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Use these links to rapidly review the document</w:t>
      </w:r>
    </w:p>
    <w:p>
      <w:pPr>
        <w:spacing w:after="0" w:line="5" w:lineRule="exact"/>
        <w:rPr>
          <w:sz w:val="24"/>
          <w:szCs w:val="24"/>
          <w:color w:val="auto"/>
        </w:rPr>
      </w:pPr>
    </w:p>
    <w:p>
      <w:pPr>
        <w:spacing w:after="0"/>
        <w:rPr>
          <w:rFonts w:ascii="Arial" w:cs="Arial" w:eastAsia="Arial" w:hAnsi="Arial"/>
          <w:sz w:val="21"/>
          <w:szCs w:val="21"/>
          <w:u w:val="single" w:color="auto"/>
          <w:color w:val="0000EE"/>
        </w:rPr>
      </w:pPr>
      <w:hyperlink w:anchor="page3">
        <w:r>
          <w:rPr>
            <w:rFonts w:ascii="Arial" w:cs="Arial" w:eastAsia="Arial" w:hAnsi="Arial"/>
            <w:sz w:val="21"/>
            <w:szCs w:val="21"/>
            <w:u w:val="single" w:color="auto"/>
            <w:color w:val="0000EE"/>
          </w:rPr>
          <w:t>TABLE OF CONTENTS</w:t>
        </w:r>
      </w:hyperlink>
    </w:p>
    <w:p>
      <w:pPr>
        <w:spacing w:after="0"/>
        <w:rPr>
          <w:rFonts w:ascii="Arial" w:cs="Arial" w:eastAsia="Arial" w:hAnsi="Arial"/>
          <w:sz w:val="21"/>
          <w:szCs w:val="21"/>
          <w:u w:val="single" w:color="auto"/>
          <w:color w:val="0000EE"/>
        </w:rPr>
      </w:pPr>
      <w:hyperlink w:anchor="page25">
        <w:r>
          <w:rPr>
            <w:rFonts w:ascii="Arial" w:cs="Arial" w:eastAsia="Arial" w:hAnsi="Arial"/>
            <w:sz w:val="21"/>
            <w:szCs w:val="21"/>
            <w:u w:val="single" w:color="auto"/>
            <w:color w:val="0000EE"/>
          </w:rPr>
          <w:t>TABLE OF CONTENTS1</w:t>
        </w:r>
      </w:hyperlink>
    </w:p>
    <w:p>
      <w:pPr>
        <w:spacing w:after="0" w:line="209" w:lineRule="exact"/>
        <w:rPr>
          <w:sz w:val="24"/>
          <w:szCs w:val="24"/>
          <w:color w:val="auto"/>
        </w:rPr>
      </w:pP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90"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UNITED STATES</w:t>
      </w:r>
    </w:p>
    <w:p>
      <w:pPr>
        <w:spacing w:after="0" w:line="21"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SECURITIES AND EXCHANGE COMMISSION</w:t>
      </w:r>
    </w:p>
    <w:p>
      <w:pPr>
        <w:spacing w:after="0" w:line="1" w:lineRule="exact"/>
        <w:rPr>
          <w:sz w:val="24"/>
          <w:szCs w:val="24"/>
          <w:color w:val="auto"/>
        </w:rPr>
      </w:pPr>
    </w:p>
    <w:p>
      <w:pPr>
        <w:jc w:val="center"/>
        <w:ind w:right="-1159"/>
        <w:spacing w:after="0"/>
        <w:rPr>
          <w:sz w:val="20"/>
          <w:szCs w:val="20"/>
          <w:color w:val="auto"/>
        </w:rPr>
      </w:pPr>
      <w:r>
        <w:rPr>
          <w:rFonts w:ascii="Arial" w:cs="Arial" w:eastAsia="Arial" w:hAnsi="Arial"/>
          <w:sz w:val="17"/>
          <w:szCs w:val="17"/>
          <w:b w:val="1"/>
          <w:bCs w:val="1"/>
          <w:color w:val="auto"/>
        </w:rPr>
        <w:t>Washington, D.C. 20549</w:t>
      </w:r>
    </w:p>
    <w:p>
      <w:pPr>
        <w:spacing w:after="0" w:line="173" w:lineRule="exact"/>
        <w:rPr>
          <w:sz w:val="24"/>
          <w:szCs w:val="24"/>
          <w:color w:val="auto"/>
        </w:rPr>
      </w:pPr>
    </w:p>
    <w:p>
      <w:pPr>
        <w:jc w:val="center"/>
        <w:ind w:right="-1159"/>
        <w:spacing w:after="0"/>
        <w:rPr>
          <w:sz w:val="20"/>
          <w:szCs w:val="20"/>
          <w:color w:val="auto"/>
        </w:rPr>
      </w:pPr>
      <w:r>
        <w:rPr>
          <w:rFonts w:ascii="Arial" w:cs="Arial" w:eastAsia="Arial" w:hAnsi="Arial"/>
          <w:sz w:val="24"/>
          <w:szCs w:val="24"/>
          <w:b w:val="1"/>
          <w:bCs w:val="1"/>
          <w:color w:val="auto"/>
        </w:rPr>
        <w:t>SCHEDULE 14A</w:t>
      </w:r>
    </w:p>
    <w:p>
      <w:pPr>
        <w:spacing w:after="0" w:line="244" w:lineRule="exact"/>
        <w:rPr>
          <w:sz w:val="24"/>
          <w:szCs w:val="24"/>
          <w:color w:val="auto"/>
        </w:rPr>
      </w:pPr>
    </w:p>
    <w:p>
      <w:pPr>
        <w:jc w:val="center"/>
        <w:ind w:right="-1159"/>
        <w:spacing w:after="0"/>
        <w:rPr>
          <w:sz w:val="20"/>
          <w:szCs w:val="20"/>
          <w:color w:val="auto"/>
        </w:rPr>
      </w:pPr>
      <w:r>
        <w:rPr>
          <w:rFonts w:ascii="Arial" w:cs="Arial" w:eastAsia="Arial" w:hAnsi="Arial"/>
          <w:sz w:val="17"/>
          <w:szCs w:val="17"/>
          <w:color w:val="auto"/>
        </w:rPr>
        <w:t>Proxy Statement Pursuant to Section 14(a) of</w:t>
      </w:r>
    </w:p>
    <w:p>
      <w:pPr>
        <w:spacing w:after="0" w:line="1" w:lineRule="exact"/>
        <w:rPr>
          <w:sz w:val="24"/>
          <w:szCs w:val="24"/>
          <w:color w:val="auto"/>
        </w:rPr>
      </w:pPr>
    </w:p>
    <w:p>
      <w:pPr>
        <w:jc w:val="center"/>
        <w:ind w:right="-1159"/>
        <w:spacing w:after="0"/>
        <w:rPr>
          <w:sz w:val="20"/>
          <w:szCs w:val="20"/>
          <w:color w:val="auto"/>
        </w:rPr>
      </w:pPr>
      <w:r>
        <w:rPr>
          <w:rFonts w:ascii="Arial" w:cs="Arial" w:eastAsia="Arial" w:hAnsi="Arial"/>
          <w:sz w:val="17"/>
          <w:szCs w:val="17"/>
          <w:color w:val="auto"/>
        </w:rPr>
        <w:t>the Securities Exchange Act of 1934</w:t>
      </w:r>
    </w:p>
    <w:p>
      <w:pPr>
        <w:spacing w:after="0" w:line="166" w:lineRule="exact"/>
        <w:rPr>
          <w:sz w:val="24"/>
          <w:szCs w:val="24"/>
          <w:color w:val="auto"/>
        </w:rPr>
      </w:pPr>
    </w:p>
    <w:p>
      <w:pPr>
        <w:ind w:left="1140"/>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81"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Filed by a Party other than the Registrant o</w:t>
      </w:r>
    </w:p>
    <w:p>
      <w:pPr>
        <w:spacing w:after="0" w:line="221"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Check the appropriate box:</w:t>
      </w:r>
    </w:p>
    <w:p>
      <w:pPr>
        <w:spacing w:after="0" w:line="236" w:lineRule="exact"/>
        <w:rPr>
          <w:sz w:val="24"/>
          <w:szCs w:val="24"/>
          <w:color w:val="auto"/>
        </w:rPr>
      </w:pPr>
    </w:p>
    <w:p>
      <w:pPr>
        <w:ind w:left="1520" w:hanging="372"/>
        <w:spacing w:after="0"/>
        <w:tabs>
          <w:tab w:leader="none" w:pos="1520" w:val="left"/>
        </w:tabs>
        <w:numPr>
          <w:ilvl w:val="0"/>
          <w:numId w:val="1"/>
        </w:numPr>
        <w:rPr>
          <w:rFonts w:ascii="Arial" w:cs="Arial" w:eastAsia="Arial" w:hAnsi="Arial"/>
          <w:sz w:val="17"/>
          <w:szCs w:val="17"/>
          <w:color w:val="auto"/>
        </w:rPr>
      </w:pPr>
      <w:r>
        <w:rPr>
          <w:rFonts w:ascii="Arial" w:cs="Arial" w:eastAsia="Arial" w:hAnsi="Arial"/>
          <w:sz w:val="17"/>
          <w:szCs w:val="17"/>
          <w:color w:val="auto"/>
        </w:rPr>
        <w:t>Preliminary Proxy Statement</w:t>
      </w:r>
    </w:p>
    <w:p>
      <w:pPr>
        <w:spacing w:after="0" w:line="228" w:lineRule="exact"/>
        <w:rPr>
          <w:rFonts w:ascii="Arial" w:cs="Arial" w:eastAsia="Arial" w:hAnsi="Arial"/>
          <w:sz w:val="17"/>
          <w:szCs w:val="17"/>
          <w:color w:val="auto"/>
        </w:rPr>
      </w:pPr>
    </w:p>
    <w:p>
      <w:pPr>
        <w:ind w:left="1520" w:hanging="372"/>
        <w:spacing w:after="0"/>
        <w:tabs>
          <w:tab w:leader="none" w:pos="152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269" w:lineRule="exact"/>
        <w:rPr>
          <w:sz w:val="24"/>
          <w:szCs w:val="24"/>
          <w:color w:val="auto"/>
        </w:rPr>
      </w:pPr>
    </w:p>
    <w:p>
      <w:pPr>
        <w:ind w:left="1520" w:hanging="372"/>
        <w:spacing w:after="0"/>
        <w:tabs>
          <w:tab w:leader="none" w:pos="15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Definitive Proxy Statement</w:t>
      </w:r>
    </w:p>
    <w:p>
      <w:pPr>
        <w:spacing w:after="0" w:line="249" w:lineRule="exact"/>
        <w:rPr>
          <w:sz w:val="24"/>
          <w:szCs w:val="24"/>
          <w:color w:val="auto"/>
        </w:rPr>
      </w:pPr>
    </w:p>
    <w:p>
      <w:pPr>
        <w:ind w:left="1520" w:hanging="372"/>
        <w:spacing w:after="0"/>
        <w:tabs>
          <w:tab w:leader="none" w:pos="1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Definitive Additional Materials</w:t>
      </w:r>
    </w:p>
    <w:p>
      <w:pPr>
        <w:spacing w:after="0" w:line="248" w:lineRule="exact"/>
        <w:rPr>
          <w:rFonts w:ascii="Arial" w:cs="Arial" w:eastAsia="Arial" w:hAnsi="Arial"/>
          <w:sz w:val="17"/>
          <w:szCs w:val="17"/>
          <w:color w:val="auto"/>
        </w:rPr>
      </w:pPr>
    </w:p>
    <w:p>
      <w:pPr>
        <w:ind w:left="1520" w:hanging="372"/>
        <w:spacing w:after="0"/>
        <w:tabs>
          <w:tab w:leader="none" w:pos="15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Soliciting Material under §240.14a-12</w:t>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ind w:left="5260"/>
        <w:spacing w:after="0"/>
        <w:rPr>
          <w:sz w:val="20"/>
          <w:szCs w:val="20"/>
          <w:color w:val="auto"/>
        </w:rPr>
      </w:pPr>
      <w:r>
        <w:rPr>
          <w:rFonts w:ascii="Arial" w:cs="Arial" w:eastAsia="Arial" w:hAnsi="Arial"/>
          <w:sz w:val="17"/>
          <w:szCs w:val="17"/>
          <w:b w:val="1"/>
          <w:bCs w:val="1"/>
          <w:color w:val="auto"/>
        </w:rPr>
        <w:t>AbbVie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724535</wp:posOffset>
            </wp:positionH>
            <wp:positionV relativeFrom="paragraph">
              <wp:posOffset>69215</wp:posOffset>
            </wp:positionV>
            <wp:extent cx="58159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15965" cy="8255"/>
                    </a:xfrm>
                    <a:prstGeom prst="rect">
                      <a:avLst/>
                    </a:prstGeom>
                    <a:noFill/>
                  </pic:spPr>
                </pic:pic>
              </a:graphicData>
            </a:graphic>
          </wp:anchor>
        </w:drawing>
      </w:r>
    </w:p>
    <w:p>
      <w:pPr>
        <w:spacing w:after="0" w:line="183"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724535</wp:posOffset>
            </wp:positionH>
            <wp:positionV relativeFrom="paragraph">
              <wp:posOffset>330200</wp:posOffset>
            </wp:positionV>
            <wp:extent cx="58159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15965" cy="8255"/>
                    </a:xfrm>
                    <a:prstGeom prst="rect">
                      <a:avLst/>
                    </a:prstGeom>
                    <a:noFill/>
                  </pic:spPr>
                </pic:pic>
              </a:graphicData>
            </a:graphic>
          </wp:anchor>
        </w:drawing>
      </w:r>
    </w:p>
    <w:p>
      <w:pPr>
        <w:spacing w:after="0" w:line="200" w:lineRule="exact"/>
        <w:rPr>
          <w:sz w:val="24"/>
          <w:szCs w:val="24"/>
          <w:color w:val="auto"/>
        </w:rPr>
      </w:pPr>
    </w:p>
    <w:p>
      <w:pPr>
        <w:spacing w:after="0" w:line="395"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(Name of Person(s) Filing Proxy Statement, if other than the Registrant)</w:t>
      </w:r>
    </w:p>
    <w:p>
      <w:pPr>
        <w:spacing w:after="0" w:line="196" w:lineRule="exact"/>
        <w:rPr>
          <w:sz w:val="24"/>
          <w:szCs w:val="24"/>
          <w:color w:val="auto"/>
        </w:rPr>
      </w:pPr>
    </w:p>
    <w:p>
      <w:pPr>
        <w:ind w:left="1140"/>
        <w:spacing w:after="0"/>
        <w:rPr>
          <w:sz w:val="20"/>
          <w:szCs w:val="20"/>
          <w:color w:val="auto"/>
        </w:rPr>
      </w:pPr>
      <w:r>
        <w:rPr>
          <w:rFonts w:ascii="Arial" w:cs="Arial" w:eastAsia="Arial" w:hAnsi="Arial"/>
          <w:sz w:val="17"/>
          <w:szCs w:val="17"/>
          <w:color w:val="auto"/>
        </w:rPr>
        <w:t>Payment of Filing Fee (Check the appropriate box):</w:t>
      </w:r>
    </w:p>
    <w:p>
      <w:pPr>
        <w:spacing w:after="0" w:line="236" w:lineRule="exact"/>
        <w:rPr>
          <w:sz w:val="24"/>
          <w:szCs w:val="24"/>
          <w:color w:val="auto"/>
        </w:rPr>
      </w:pPr>
    </w:p>
    <w:p>
      <w:pPr>
        <w:ind w:left="1520" w:hanging="372"/>
        <w:spacing w:after="0"/>
        <w:tabs>
          <w:tab w:leader="none" w:pos="1520" w:val="left"/>
        </w:tabs>
        <w:numPr>
          <w:ilvl w:val="0"/>
          <w:numId w:val="4"/>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249" w:lineRule="exact"/>
        <w:rPr>
          <w:sz w:val="24"/>
          <w:szCs w:val="24"/>
          <w:color w:val="auto"/>
        </w:rPr>
      </w:pPr>
    </w:p>
    <w:p>
      <w:pPr>
        <w:ind w:left="1520" w:hanging="372"/>
        <w:spacing w:after="0"/>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computed on table below per Exchange Act Rules 14a-6(i)(1) and 0-11.</w:t>
      </w:r>
    </w:p>
    <w:p>
      <w:pPr>
        <w:spacing w:after="0" w:line="248" w:lineRule="exact"/>
        <w:rPr>
          <w:rFonts w:ascii="Arial" w:cs="Arial" w:eastAsia="Arial" w:hAnsi="Arial"/>
          <w:sz w:val="17"/>
          <w:szCs w:val="17"/>
          <w:color w:val="auto"/>
        </w:rPr>
      </w:pPr>
    </w:p>
    <w:p>
      <w:pPr>
        <w:ind w:left="1920" w:hanging="394"/>
        <w:spacing w:after="0"/>
        <w:tabs>
          <w:tab w:leader="none" w:pos="1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Title of each class of securities to which transaction applies:</w:t>
      </w:r>
    </w:p>
    <w:p>
      <w:pPr>
        <w:spacing w:after="0" w:line="248" w:lineRule="exact"/>
        <w:rPr>
          <w:rFonts w:ascii="Arial" w:cs="Arial" w:eastAsia="Arial" w:hAnsi="Arial"/>
          <w:sz w:val="17"/>
          <w:szCs w:val="17"/>
          <w:color w:val="auto"/>
        </w:rPr>
      </w:pPr>
    </w:p>
    <w:p>
      <w:pPr>
        <w:ind w:left="1920" w:hanging="394"/>
        <w:spacing w:after="0"/>
        <w:tabs>
          <w:tab w:leader="none" w:pos="1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Aggregate number of securities to which transaction applies:</w:t>
      </w:r>
    </w:p>
    <w:p>
      <w:pPr>
        <w:spacing w:after="0" w:line="248" w:lineRule="exact"/>
        <w:rPr>
          <w:rFonts w:ascii="Arial" w:cs="Arial" w:eastAsia="Arial" w:hAnsi="Arial"/>
          <w:sz w:val="17"/>
          <w:szCs w:val="17"/>
          <w:color w:val="auto"/>
        </w:rPr>
      </w:pPr>
    </w:p>
    <w:p>
      <w:pPr>
        <w:ind w:left="1920" w:right="100" w:hanging="394"/>
        <w:spacing w:after="0" w:line="250" w:lineRule="auto"/>
        <w:tabs>
          <w:tab w:leader="none" w:pos="1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232" w:lineRule="exact"/>
        <w:rPr>
          <w:rFonts w:ascii="Arial" w:cs="Arial" w:eastAsia="Arial" w:hAnsi="Arial"/>
          <w:sz w:val="17"/>
          <w:szCs w:val="17"/>
          <w:color w:val="auto"/>
        </w:rPr>
      </w:pPr>
    </w:p>
    <w:p>
      <w:pPr>
        <w:ind w:left="1920" w:hanging="394"/>
        <w:spacing w:after="0"/>
        <w:tabs>
          <w:tab w:leader="none" w:pos="1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Proposed maximum aggregate value of transaction:</w:t>
      </w:r>
    </w:p>
    <w:p>
      <w:pPr>
        <w:spacing w:after="0" w:line="248" w:lineRule="exact"/>
        <w:rPr>
          <w:rFonts w:ascii="Arial" w:cs="Arial" w:eastAsia="Arial" w:hAnsi="Arial"/>
          <w:sz w:val="17"/>
          <w:szCs w:val="17"/>
          <w:color w:val="auto"/>
        </w:rPr>
      </w:pPr>
    </w:p>
    <w:p>
      <w:pPr>
        <w:ind w:left="1920" w:hanging="394"/>
        <w:spacing w:after="0"/>
        <w:tabs>
          <w:tab w:leader="none" w:pos="1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200" w:lineRule="exact"/>
        <w:rPr>
          <w:rFonts w:ascii="Arial" w:cs="Arial" w:eastAsia="Arial" w:hAnsi="Arial"/>
          <w:sz w:val="17"/>
          <w:szCs w:val="17"/>
          <w:color w:val="auto"/>
        </w:rPr>
      </w:pPr>
    </w:p>
    <w:p>
      <w:pPr>
        <w:spacing w:after="0" w:line="283" w:lineRule="exact"/>
        <w:rPr>
          <w:rFonts w:ascii="Arial" w:cs="Arial" w:eastAsia="Arial" w:hAnsi="Arial"/>
          <w:sz w:val="17"/>
          <w:szCs w:val="17"/>
          <w:color w:val="auto"/>
        </w:rPr>
      </w:pPr>
    </w:p>
    <w:p>
      <w:pPr>
        <w:ind w:left="1520" w:hanging="372"/>
        <w:spacing w:after="0"/>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Fee paid previously with preliminary materials.</w:t>
      </w:r>
    </w:p>
    <w:p>
      <w:pPr>
        <w:spacing w:after="0" w:line="248" w:lineRule="exact"/>
        <w:rPr>
          <w:rFonts w:ascii="Arial" w:cs="Arial" w:eastAsia="Arial" w:hAnsi="Arial"/>
          <w:sz w:val="17"/>
          <w:szCs w:val="17"/>
          <w:color w:val="auto"/>
        </w:rPr>
      </w:pPr>
    </w:p>
    <w:p>
      <w:pPr>
        <w:ind w:left="1520" w:hanging="372"/>
        <w:spacing w:after="0" w:line="245" w:lineRule="auto"/>
        <w:tabs>
          <w:tab w:leader="none" w:pos="1520" w:val="left"/>
        </w:tabs>
        <w:numPr>
          <w:ilvl w:val="0"/>
          <w:numId w:val="5"/>
        </w:numPr>
        <w:rPr>
          <w:rFonts w:ascii="Arial" w:cs="Arial" w:eastAsia="Arial" w:hAnsi="Arial"/>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24" w:lineRule="exact"/>
        <w:rPr>
          <w:rFonts w:ascii="Arial" w:cs="Arial" w:eastAsia="Arial" w:hAnsi="Arial"/>
          <w:sz w:val="17"/>
          <w:szCs w:val="17"/>
          <w:color w:val="auto"/>
        </w:rPr>
      </w:pPr>
    </w:p>
    <w:p>
      <w:pPr>
        <w:ind w:left="1920" w:hanging="394"/>
        <w:spacing w:after="0"/>
        <w:tabs>
          <w:tab w:leader="none" w:pos="1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248" w:lineRule="exact"/>
        <w:rPr>
          <w:rFonts w:ascii="Arial" w:cs="Arial" w:eastAsia="Arial" w:hAnsi="Arial"/>
          <w:sz w:val="17"/>
          <w:szCs w:val="17"/>
          <w:color w:val="auto"/>
        </w:rPr>
      </w:pPr>
    </w:p>
    <w:p>
      <w:pPr>
        <w:ind w:left="1920" w:hanging="394"/>
        <w:spacing w:after="0"/>
        <w:tabs>
          <w:tab w:leader="none" w:pos="1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248" w:lineRule="exact"/>
        <w:rPr>
          <w:rFonts w:ascii="Arial" w:cs="Arial" w:eastAsia="Arial" w:hAnsi="Arial"/>
          <w:sz w:val="17"/>
          <w:szCs w:val="17"/>
          <w:color w:val="auto"/>
        </w:rPr>
      </w:pPr>
    </w:p>
    <w:p>
      <w:pPr>
        <w:ind w:left="1920" w:hanging="394"/>
        <w:spacing w:after="0"/>
        <w:tabs>
          <w:tab w:leader="none" w:pos="1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48" w:lineRule="exact"/>
        <w:rPr>
          <w:rFonts w:ascii="Arial" w:cs="Arial" w:eastAsia="Arial" w:hAnsi="Arial"/>
          <w:sz w:val="17"/>
          <w:szCs w:val="17"/>
          <w:color w:val="auto"/>
        </w:rPr>
      </w:pPr>
    </w:p>
    <w:p>
      <w:pPr>
        <w:ind w:left="1920" w:hanging="394"/>
        <w:spacing w:after="0"/>
        <w:tabs>
          <w:tab w:leader="none" w:pos="1920" w:val="left"/>
        </w:tabs>
        <w:numPr>
          <w:ilvl w:val="1"/>
          <w:numId w:val="5"/>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635</wp:posOffset>
            </wp:positionH>
            <wp:positionV relativeFrom="paragraph">
              <wp:posOffset>220345</wp:posOffset>
            </wp:positionV>
            <wp:extent cx="7255510"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5510" cy="209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-3187065</wp:posOffset>
            </wp:positionV>
            <wp:extent cx="53098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-2904490</wp:posOffset>
            </wp:positionV>
            <wp:extent cx="53098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-2498090</wp:posOffset>
            </wp:positionV>
            <wp:extent cx="53098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-2216150</wp:posOffset>
            </wp:positionV>
            <wp:extent cx="53098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-1934210</wp:posOffset>
            </wp:positionV>
            <wp:extent cx="53098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-697865</wp:posOffset>
            </wp:positionV>
            <wp:extent cx="530987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-415925</wp:posOffset>
            </wp:positionV>
            <wp:extent cx="53098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-133985</wp:posOffset>
            </wp:positionV>
            <wp:extent cx="5309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309870" cy="8255"/>
                    </a:xfrm>
                    <a:prstGeom prst="rect">
                      <a:avLst/>
                    </a:prstGeom>
                    <a:noFill/>
                  </pic:spPr>
                </pic:pic>
              </a:graphicData>
            </a:graphic>
          </wp:anchor>
        </w:drawing>
        <w:drawing>
          <wp:anchor simplePos="0" relativeHeight="251657728" behindDoc="1" locked="0" layoutInCell="0" allowOverlap="1">
            <wp:simplePos x="0" y="0"/>
            <wp:positionH relativeFrom="column">
              <wp:posOffset>1214120</wp:posOffset>
            </wp:positionH>
            <wp:positionV relativeFrom="paragraph">
              <wp:posOffset>147955</wp:posOffset>
            </wp:positionV>
            <wp:extent cx="5309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309870" cy="8255"/>
                    </a:xfrm>
                    <a:prstGeom prst="rect">
                      <a:avLst/>
                    </a:prstGeom>
                    <a:noFill/>
                  </pic:spPr>
                </pic:pic>
              </a:graphicData>
            </a:graphic>
          </wp:anchor>
        </w:drawing>
      </w:r>
    </w:p>
    <w:p>
      <w:pPr>
        <w:sectPr>
          <w:pgSz w:w="11900" w:h="16838" w:orient="portrait"/>
          <w:cols w:equalWidth="0" w:num="1">
            <w:col w:w="10280"/>
          </w:cols>
          <w:pgMar w:left="240" w:top="667" w:right="1379" w:bottom="153" w:gutter="0" w:footer="0" w:header="0"/>
        </w:sectPr>
      </w:pPr>
    </w:p>
    <w:bookmarkStart w:id="1" w:name="page2"/>
    <w:bookmarkEnd w:id="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130810</wp:posOffset>
            </wp:positionV>
            <wp:extent cx="2687955" cy="4730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87955" cy="4730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736600</wp:posOffset>
            </wp:positionV>
            <wp:extent cx="6379845" cy="6305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Important Notice Regarding the Availability of Proxy Materials for the Stockholder Meeting to Be Held on May 6, 2016</w:t>
      </w:r>
    </w:p>
    <w:p>
      <w:pPr>
        <w:spacing w:after="0" w:line="230" w:lineRule="exact"/>
        <w:rPr>
          <w:sz w:val="20"/>
          <w:szCs w:val="20"/>
          <w:color w:val="auto"/>
        </w:rPr>
      </w:pPr>
    </w:p>
    <w:p>
      <w:pPr>
        <w:ind w:right="420" w:firstLine="657"/>
        <w:spacing w:after="0" w:line="250" w:lineRule="auto"/>
        <w:rPr>
          <w:sz w:val="20"/>
          <w:szCs w:val="20"/>
          <w:color w:val="auto"/>
        </w:rPr>
      </w:pPr>
      <w:r>
        <w:rPr>
          <w:rFonts w:ascii="Arial" w:cs="Arial" w:eastAsia="Arial" w:hAnsi="Arial"/>
          <w:sz w:val="17"/>
          <w:szCs w:val="17"/>
          <w:color w:val="auto"/>
        </w:rPr>
        <w:t>The Annual Meeting of the Stockholders of AbbVie Inc. will be held at the Fairmont Chicago, Millennium Park, 200 North Columbus Drive, Chicago, Illinois 60601, on Friday, May 6, 2016, at 9:00 a.m. CT for the following purposes:</w:t>
      </w:r>
    </w:p>
    <w:p>
      <w:pPr>
        <w:spacing w:after="0" w:line="194" w:lineRule="exact"/>
        <w:rPr>
          <w:sz w:val="20"/>
          <w:szCs w:val="20"/>
          <w:color w:val="auto"/>
        </w:rPr>
      </w:pPr>
    </w:p>
    <w:p>
      <w:pPr>
        <w:ind w:left="1040" w:hanging="513"/>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elect 3 directors to hold office until the next Annual Meeting or until their successors are elected (Item 1),</w:t>
      </w:r>
    </w:p>
    <w:p>
      <w:pPr>
        <w:spacing w:after="0" w:line="209" w:lineRule="exact"/>
        <w:rPr>
          <w:rFonts w:ascii="Arial" w:cs="Arial" w:eastAsia="Arial" w:hAnsi="Arial"/>
          <w:sz w:val="17"/>
          <w:szCs w:val="17"/>
          <w:color w:val="auto"/>
        </w:rPr>
      </w:pPr>
    </w:p>
    <w:p>
      <w:pPr>
        <w:ind w:left="1040" w:hanging="513"/>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ratify the appointment of Ernst &amp; Young LLP as AbbVie's independent registered public accounting firm for 2016 (Item 2),</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vote on an advisory vote on the approval of executive compensation (Item 3),</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vote on a management proposal regarding the annual election of directors (Item 4),</w:t>
      </w:r>
    </w:p>
    <w:p>
      <w:pPr>
        <w:spacing w:after="0" w:line="209" w:lineRule="exact"/>
        <w:rPr>
          <w:rFonts w:ascii="Arial" w:cs="Arial" w:eastAsia="Arial" w:hAnsi="Arial"/>
          <w:sz w:val="17"/>
          <w:szCs w:val="17"/>
          <w:color w:val="auto"/>
        </w:rPr>
      </w:pPr>
    </w:p>
    <w:p>
      <w:pPr>
        <w:ind w:left="1040" w:hanging="513"/>
        <w:spacing w:after="0"/>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approve the material terms of the performance goals under the AbbVie Performance Incentive Plan (Item 5), and</w:t>
      </w:r>
    </w:p>
    <w:p>
      <w:pPr>
        <w:spacing w:after="0" w:line="196" w:lineRule="exact"/>
        <w:rPr>
          <w:rFonts w:ascii="Arial" w:cs="Arial" w:eastAsia="Arial" w:hAnsi="Arial"/>
          <w:sz w:val="17"/>
          <w:szCs w:val="17"/>
          <w:color w:val="auto"/>
        </w:rPr>
      </w:pPr>
    </w:p>
    <w:p>
      <w:pPr>
        <w:ind w:left="1040" w:right="580" w:hanging="513"/>
        <w:spacing w:after="0" w:line="250" w:lineRule="auto"/>
        <w:tabs>
          <w:tab w:leader="none" w:pos="1040" w:val="left"/>
        </w:tabs>
        <w:numPr>
          <w:ilvl w:val="0"/>
          <w:numId w:val="6"/>
        </w:numPr>
        <w:rPr>
          <w:rFonts w:ascii="Arial" w:cs="Arial" w:eastAsia="Arial" w:hAnsi="Arial"/>
          <w:sz w:val="17"/>
          <w:szCs w:val="17"/>
          <w:color w:val="auto"/>
        </w:rPr>
      </w:pPr>
      <w:r>
        <w:rPr>
          <w:rFonts w:ascii="Arial" w:cs="Arial" w:eastAsia="Arial" w:hAnsi="Arial"/>
          <w:sz w:val="17"/>
          <w:szCs w:val="17"/>
          <w:color w:val="auto"/>
        </w:rPr>
        <w:t>To transact such other business as may properly come before the meeting, including consideration of two stockholder proposals, if presented at the meeting (Items 6 and 7).</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Your Vote Is Important</w:t>
      </w:r>
    </w:p>
    <w:p>
      <w:pPr>
        <w:spacing w:after="0" w:line="210" w:lineRule="exact"/>
        <w:rPr>
          <w:sz w:val="20"/>
          <w:szCs w:val="20"/>
          <w:color w:val="auto"/>
        </w:rPr>
      </w:pPr>
    </w:p>
    <w:p>
      <w:pPr>
        <w:ind w:right="100" w:firstLine="661"/>
        <w:spacing w:after="0" w:line="275" w:lineRule="auto"/>
        <w:rPr>
          <w:sz w:val="20"/>
          <w:szCs w:val="20"/>
          <w:color w:val="auto"/>
        </w:rPr>
      </w:pPr>
      <w:r>
        <w:rPr>
          <w:rFonts w:ascii="Arial" w:cs="Arial" w:eastAsia="Arial" w:hAnsi="Arial"/>
          <w:sz w:val="17"/>
          <w:szCs w:val="17"/>
          <w:b w:val="1"/>
          <w:bCs w:val="1"/>
          <w:color w:val="auto"/>
        </w:rPr>
        <w:t>Please promptly vote your shares by telephone, using the Internet, or by signing and returning your proxy in the enclosed envelope if you received a printed version of the proxy card.</w:t>
      </w:r>
    </w:p>
    <w:p>
      <w:pPr>
        <w:spacing w:after="0" w:line="153"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The board of directors recommends that you vote FOR Items 1, 2, 3, 4 and 5 on the proxy card.</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The board of directors recommends that you vote AGAINST Items 6 and 7 on the proxy card.</w:t>
      </w:r>
    </w:p>
    <w:p>
      <w:pPr>
        <w:spacing w:after="0" w:line="230" w:lineRule="exact"/>
        <w:rPr>
          <w:sz w:val="20"/>
          <w:szCs w:val="20"/>
          <w:color w:val="auto"/>
        </w:rPr>
      </w:pPr>
    </w:p>
    <w:p>
      <w:pPr>
        <w:ind w:right="60" w:firstLine="657"/>
        <w:spacing w:after="0" w:line="250" w:lineRule="auto"/>
        <w:rPr>
          <w:sz w:val="20"/>
          <w:szCs w:val="20"/>
          <w:color w:val="auto"/>
        </w:rPr>
      </w:pPr>
      <w:r>
        <w:rPr>
          <w:rFonts w:ascii="Arial" w:cs="Arial" w:eastAsia="Arial" w:hAnsi="Arial"/>
          <w:sz w:val="17"/>
          <w:szCs w:val="17"/>
          <w:color w:val="auto"/>
        </w:rPr>
        <w:t>The close of business on March 9, 2016, has been fixed as the record date for determining the stockholders entitled to receive notice of and to vote at the Annual Meeting.</w:t>
      </w:r>
    </w:p>
    <w:p>
      <w:pPr>
        <w:spacing w:after="0" w:line="174" w:lineRule="exact"/>
        <w:rPr>
          <w:sz w:val="20"/>
          <w:szCs w:val="20"/>
          <w:color w:val="auto"/>
        </w:rPr>
      </w:pPr>
    </w:p>
    <w:p>
      <w:pPr>
        <w:ind w:firstLine="661"/>
        <w:spacing w:after="0" w:line="275" w:lineRule="auto"/>
        <w:rPr>
          <w:sz w:val="20"/>
          <w:szCs w:val="20"/>
          <w:color w:val="auto"/>
        </w:rPr>
      </w:pPr>
      <w:r>
        <w:rPr>
          <w:rFonts w:ascii="Arial" w:cs="Arial" w:eastAsia="Arial" w:hAnsi="Arial"/>
          <w:sz w:val="17"/>
          <w:szCs w:val="17"/>
          <w:b w:val="1"/>
          <w:bCs w:val="1"/>
          <w:color w:val="auto"/>
        </w:rPr>
        <w:t>AbbVie's 2016 Proxy Statement and 2015 Annual Report on Form 10-K are available at www.abbvieinvestor.com</w:t>
      </w:r>
      <w:r>
        <w:rPr>
          <w:rFonts w:ascii="Arial" w:cs="Arial" w:eastAsia="Arial" w:hAnsi="Arial"/>
          <w:sz w:val="17"/>
          <w:szCs w:val="17"/>
          <w:color w:val="auto"/>
        </w:rPr>
        <w:t>. If you are a registered</w:t>
      </w:r>
      <w:r>
        <w:rPr>
          <w:rFonts w:ascii="Arial" w:cs="Arial" w:eastAsia="Arial" w:hAnsi="Arial"/>
          <w:sz w:val="17"/>
          <w:szCs w:val="17"/>
          <w:b w:val="1"/>
          <w:bCs w:val="1"/>
          <w:color w:val="auto"/>
        </w:rPr>
        <w:t xml:space="preserve"> </w:t>
      </w:r>
      <w:r>
        <w:rPr>
          <w:rFonts w:ascii="Arial" w:cs="Arial" w:eastAsia="Arial" w:hAnsi="Arial"/>
          <w:sz w:val="17"/>
          <w:szCs w:val="17"/>
          <w:color w:val="auto"/>
        </w:rPr>
        <w:t>stockholder, you may access your proxy card by either:</w:t>
      </w:r>
    </w:p>
    <w:p>
      <w:pPr>
        <w:spacing w:after="0" w:line="155" w:lineRule="exact"/>
        <w:rPr>
          <w:sz w:val="20"/>
          <w:szCs w:val="20"/>
          <w:color w:val="auto"/>
        </w:rPr>
      </w:pPr>
    </w:p>
    <w:p>
      <w:pPr>
        <w:ind w:left="1040" w:right="20" w:hanging="513"/>
        <w:spacing w:after="0" w:line="272"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Going to the following website: </w:t>
      </w:r>
      <w:r>
        <w:rPr>
          <w:rFonts w:ascii="Arial" w:cs="Arial" w:eastAsia="Arial" w:hAnsi="Arial"/>
          <w:sz w:val="17"/>
          <w:szCs w:val="17"/>
          <w:i w:val="1"/>
          <w:iCs w:val="1"/>
          <w:color w:val="auto"/>
        </w:rPr>
        <w:t>www.proxyvote.com</w:t>
      </w:r>
      <w:r>
        <w:rPr>
          <w:rFonts w:ascii="Arial" w:cs="Arial" w:eastAsia="Arial" w:hAnsi="Arial"/>
          <w:sz w:val="17"/>
          <w:szCs w:val="17"/>
          <w:color w:val="auto"/>
        </w:rPr>
        <w:t>, entering the information requested on your computer screen and following the simple instructions, or</w:t>
      </w:r>
    </w:p>
    <w:p>
      <w:pPr>
        <w:spacing w:after="0" w:line="175" w:lineRule="exact"/>
        <w:rPr>
          <w:rFonts w:ascii="Arial" w:cs="Arial" w:eastAsia="Arial" w:hAnsi="Arial"/>
          <w:sz w:val="17"/>
          <w:szCs w:val="17"/>
          <w:color w:val="auto"/>
        </w:rPr>
      </w:pPr>
    </w:p>
    <w:p>
      <w:pPr>
        <w:ind w:left="1040" w:right="240" w:hanging="513"/>
        <w:spacing w:after="0" w:line="250" w:lineRule="auto"/>
        <w:tabs>
          <w:tab w:leader="none" w:pos="1040" w:val="left"/>
        </w:tabs>
        <w:numPr>
          <w:ilvl w:val="0"/>
          <w:numId w:val="7"/>
        </w:numPr>
        <w:rPr>
          <w:rFonts w:ascii="Arial" w:cs="Arial" w:eastAsia="Arial" w:hAnsi="Arial"/>
          <w:sz w:val="17"/>
          <w:szCs w:val="17"/>
          <w:color w:val="auto"/>
        </w:rPr>
      </w:pPr>
      <w:r>
        <w:rPr>
          <w:rFonts w:ascii="Arial" w:cs="Arial" w:eastAsia="Arial" w:hAnsi="Arial"/>
          <w:sz w:val="17"/>
          <w:szCs w:val="17"/>
          <w:color w:val="auto"/>
        </w:rPr>
        <w:t>Calling (in the United States, U.S. territories, and Canada) toll free 1-800-690-6903 on a touch-tone telephone and following the simple instructions provided by the recorded message.</w:t>
      </w:r>
    </w:p>
    <w:p>
      <w:pPr>
        <w:spacing w:after="0" w:line="194" w:lineRule="exact"/>
        <w:rPr>
          <w:sz w:val="20"/>
          <w:szCs w:val="20"/>
          <w:color w:val="auto"/>
        </w:rPr>
      </w:pPr>
    </w:p>
    <w:p>
      <w:pPr>
        <w:ind w:right="100" w:firstLine="651"/>
        <w:spacing w:after="0" w:line="243" w:lineRule="auto"/>
        <w:rPr>
          <w:sz w:val="20"/>
          <w:szCs w:val="20"/>
          <w:color w:val="auto"/>
        </w:rPr>
      </w:pPr>
      <w:r>
        <w:rPr>
          <w:rFonts w:ascii="Arial" w:cs="Arial" w:eastAsia="Arial" w:hAnsi="Arial"/>
          <w:sz w:val="17"/>
          <w:szCs w:val="17"/>
          <w:color w:val="auto"/>
        </w:rPr>
        <w:t>Admission to the meeting will be by admission card only. If you plan to attend, please complete and return the reservation form in the back of these materials and an admission card will be sent to you. Due to space limitations, reservation forms must be received before April 29, 2016. Each admission card, along with photo identification, admits one person. A stockholder may request two admission cards, but a guest must be accompanied by a stockholder.</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By order of the board of directors.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Laura J. Schumacher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Secretary</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March 21,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128905</wp:posOffset>
            </wp:positionV>
            <wp:extent cx="7255510"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2" w:name="page3"/>
    <w:bookmarkEnd w:id="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2284095</wp:posOffset>
            </wp:positionH>
            <wp:positionV relativeFrom="paragraph">
              <wp:posOffset>130810</wp:posOffset>
            </wp:positionV>
            <wp:extent cx="2687955" cy="4730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87955" cy="473075"/>
                    </a:xfrm>
                    <a:prstGeom prst="rect">
                      <a:avLst/>
                    </a:prstGeom>
                    <a:noFill/>
                  </pic:spPr>
                </pic:pic>
              </a:graphicData>
            </a:graphic>
          </wp:anchor>
        </w:drawing>
        <w:drawing>
          <wp:anchor simplePos="0" relativeHeight="251657728" behindDoc="1" locked="0" layoutInCell="0" allowOverlap="1">
            <wp:simplePos x="0" y="0"/>
            <wp:positionH relativeFrom="column">
              <wp:posOffset>442595</wp:posOffset>
            </wp:positionH>
            <wp:positionV relativeFrom="paragraph">
              <wp:posOffset>736600</wp:posOffset>
            </wp:positionV>
            <wp:extent cx="6379845" cy="630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8820" w:type="dxa"/>
            <w:vAlign w:val="bottom"/>
            <w:gridSpan w:val="42"/>
          </w:tcPr>
          <w:p>
            <w:pPr>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Proxy Statement Summary</w:t>
              </w:r>
            </w:hyperlink>
          </w:p>
        </w:tc>
        <w:tc>
          <w:tcPr>
            <w:tcW w:w="1460" w:type="dxa"/>
            <w:vAlign w:val="bottom"/>
            <w:gridSpan w:val="5"/>
          </w:tcPr>
          <w:p>
            <w:pPr>
              <w:jc w:val="right"/>
              <w:ind w:right="1140"/>
              <w:spacing w:after="0"/>
              <w:rPr>
                <w:rFonts w:ascii="Arial" w:cs="Arial" w:eastAsia="Arial" w:hAnsi="Arial"/>
                <w:sz w:val="17"/>
                <w:szCs w:val="17"/>
                <w:b w:val="1"/>
                <w:bCs w:val="1"/>
                <w:color w:val="0000EE"/>
              </w:rPr>
            </w:pPr>
            <w:hyperlink w:anchor="page4">
              <w:r>
                <w:rPr>
                  <w:rFonts w:ascii="Arial" w:cs="Arial" w:eastAsia="Arial" w:hAnsi="Arial"/>
                  <w:sz w:val="17"/>
                  <w:szCs w:val="17"/>
                  <w:b w:val="1"/>
                  <w:bCs w:val="1"/>
                  <w:color w:val="0000EE"/>
                </w:rPr>
                <w:t>1</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8820" w:type="dxa"/>
            <w:vAlign w:val="bottom"/>
            <w:gridSpan w:val="42"/>
          </w:tcPr>
          <w:p>
            <w:pPr>
              <w:spacing w:after="0" w:line="176" w:lineRule="exact"/>
              <w:rPr>
                <w:rFonts w:ascii="Arial" w:cs="Arial" w:eastAsia="Arial" w:hAnsi="Arial"/>
                <w:sz w:val="17"/>
                <w:szCs w:val="17"/>
                <w:b w:val="1"/>
                <w:bCs w:val="1"/>
                <w:color w:val="0000EE"/>
              </w:rPr>
            </w:pPr>
            <w:hyperlink w:anchor="page10">
              <w:r>
                <w:rPr>
                  <w:rFonts w:ascii="Arial" w:cs="Arial" w:eastAsia="Arial" w:hAnsi="Arial"/>
                  <w:sz w:val="17"/>
                  <w:szCs w:val="17"/>
                  <w:b w:val="1"/>
                  <w:bCs w:val="1"/>
                  <w:color w:val="0000EE"/>
                </w:rPr>
                <w:t>Information about the Annual Meeting</w:t>
              </w:r>
            </w:hyperlink>
          </w:p>
        </w:tc>
        <w:tc>
          <w:tcPr>
            <w:tcW w:w="140" w:type="dxa"/>
            <w:vAlign w:val="bottom"/>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20" w:type="dxa"/>
            <w:vAlign w:val="bottom"/>
            <w:gridSpan w:val="2"/>
          </w:tcPr>
          <w:p>
            <w:pPr>
              <w:jc w:val="right"/>
              <w:ind w:right="20"/>
              <w:spacing w:after="0" w:line="176" w:lineRule="exact"/>
              <w:rPr>
                <w:rFonts w:ascii="Arial" w:cs="Arial" w:eastAsia="Arial" w:hAnsi="Arial"/>
                <w:sz w:val="17"/>
                <w:szCs w:val="17"/>
                <w:b w:val="1"/>
                <w:bCs w:val="1"/>
                <w:color w:val="0000EE"/>
                <w:w w:val="84"/>
              </w:rPr>
            </w:pPr>
            <w:hyperlink w:anchor="page10">
              <w:r>
                <w:rPr>
                  <w:rFonts w:ascii="Arial" w:cs="Arial" w:eastAsia="Arial" w:hAnsi="Arial"/>
                  <w:sz w:val="17"/>
                  <w:szCs w:val="17"/>
                  <w:b w:val="1"/>
                  <w:bCs w:val="1"/>
                  <w:color w:val="0000EE"/>
                  <w:w w:val="84"/>
                </w:rPr>
                <w:t>7</w:t>
              </w:r>
            </w:hyperlink>
          </w:p>
        </w:tc>
        <w:tc>
          <w:tcPr>
            <w:tcW w:w="1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1100" w:type="dxa"/>
            <w:vAlign w:val="bottom"/>
            <w:tcBorders>
              <w:top w:val="single" w:sz="8" w:color="0000EE"/>
              <w:bottom w:val="single" w:sz="8" w:color="0000EE"/>
            </w:tcBorders>
            <w:gridSpan w:val="2"/>
          </w:tcPr>
          <w:p>
            <w:pPr>
              <w:spacing w:after="0" w:line="176" w:lineRule="exact"/>
              <w:rPr>
                <w:rFonts w:ascii="Arial" w:cs="Arial" w:eastAsia="Arial" w:hAnsi="Arial"/>
                <w:sz w:val="17"/>
                <w:szCs w:val="17"/>
                <w:i w:val="1"/>
                <w:iCs w:val="1"/>
                <w:color w:val="0000EE"/>
                <w:w w:val="97"/>
              </w:rPr>
            </w:pPr>
            <w:hyperlink w:anchor="page10">
              <w:r>
                <w:rPr>
                  <w:rFonts w:ascii="Arial" w:cs="Arial" w:eastAsia="Arial" w:hAnsi="Arial"/>
                  <w:sz w:val="17"/>
                  <w:szCs w:val="17"/>
                  <w:i w:val="1"/>
                  <w:iCs w:val="1"/>
                  <w:color w:val="0000EE"/>
                  <w:w w:val="97"/>
                </w:rPr>
                <w:t>Who Can Vote</w:t>
              </w:r>
            </w:hyperlink>
          </w:p>
        </w:tc>
        <w:tc>
          <w:tcPr>
            <w:tcW w:w="1780" w:type="dxa"/>
            <w:vAlign w:val="bottom"/>
            <w:tcBorders>
              <w:top w:val="single" w:sz="8" w:color="0000EE"/>
            </w:tcBorders>
            <w:gridSpan w:val="22"/>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20" w:type="dxa"/>
            <w:vAlign w:val="bottom"/>
            <w:tcBorders>
              <w:top w:val="single" w:sz="8" w:color="0000EE"/>
              <w:bottom w:val="single" w:sz="8" w:color="0000EE"/>
            </w:tcBorders>
            <w:gridSpan w:val="2"/>
          </w:tcPr>
          <w:p>
            <w:pPr>
              <w:jc w:val="right"/>
              <w:ind w:right="20"/>
              <w:spacing w:after="0" w:line="176" w:lineRule="exact"/>
              <w:rPr>
                <w:rFonts w:ascii="Arial" w:cs="Arial" w:eastAsia="Arial" w:hAnsi="Arial"/>
                <w:sz w:val="17"/>
                <w:szCs w:val="17"/>
                <w:color w:val="0000EE"/>
                <w:w w:val="84"/>
              </w:rPr>
            </w:pPr>
            <w:hyperlink w:anchor="page10">
              <w:r>
                <w:rPr>
                  <w:rFonts w:ascii="Arial" w:cs="Arial" w:eastAsia="Arial" w:hAnsi="Arial"/>
                  <w:sz w:val="17"/>
                  <w:szCs w:val="17"/>
                  <w:color w:val="0000EE"/>
                  <w:w w:val="84"/>
                </w:rPr>
                <w:t>7</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40" w:type="dxa"/>
            <w:vAlign w:val="bottom"/>
            <w:gridSpan w:val="41"/>
          </w:tcPr>
          <w:p>
            <w:pPr>
              <w:spacing w:after="0" w:line="176" w:lineRule="exact"/>
              <w:rPr>
                <w:rFonts w:ascii="Arial" w:cs="Arial" w:eastAsia="Arial" w:hAnsi="Arial"/>
                <w:sz w:val="17"/>
                <w:szCs w:val="17"/>
                <w:i w:val="1"/>
                <w:iCs w:val="1"/>
                <w:color w:val="0000EE"/>
              </w:rPr>
            </w:pPr>
            <w:hyperlink w:anchor="page10">
              <w:r>
                <w:rPr>
                  <w:rFonts w:ascii="Arial" w:cs="Arial" w:eastAsia="Arial" w:hAnsi="Arial"/>
                  <w:sz w:val="17"/>
                  <w:szCs w:val="17"/>
                  <w:i w:val="1"/>
                  <w:iCs w:val="1"/>
                  <w:color w:val="0000EE"/>
                </w:rPr>
                <w:t>Notice and Access</w:t>
              </w:r>
            </w:hyperlink>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10">
              <w:r>
                <w:rPr>
                  <w:rFonts w:ascii="Arial" w:cs="Arial" w:eastAsia="Arial" w:hAnsi="Arial"/>
                  <w:sz w:val="17"/>
                  <w:szCs w:val="17"/>
                  <w:color w:val="0000EE"/>
                </w:rPr>
                <w:t>7</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0" w:type="dxa"/>
            <w:vAlign w:val="bottom"/>
            <w:tcBorders>
              <w:top w:val="single" w:sz="8" w:color="0000EE"/>
            </w:tcBorders>
            <w:gridSpan w:val="6"/>
          </w:tcPr>
          <w:p>
            <w:pPr>
              <w:spacing w:after="0" w:line="176" w:lineRule="exact"/>
              <w:rPr>
                <w:rFonts w:ascii="Arial" w:cs="Arial" w:eastAsia="Arial" w:hAnsi="Arial"/>
                <w:sz w:val="17"/>
                <w:szCs w:val="17"/>
                <w:i w:val="1"/>
                <w:iCs w:val="1"/>
                <w:color w:val="0000EE"/>
              </w:rPr>
            </w:pPr>
            <w:hyperlink w:anchor="page10">
              <w:r>
                <w:rPr>
                  <w:rFonts w:ascii="Arial" w:cs="Arial" w:eastAsia="Arial" w:hAnsi="Arial"/>
                  <w:sz w:val="17"/>
                  <w:szCs w:val="17"/>
                  <w:i w:val="1"/>
                  <w:iCs w:val="1"/>
                  <w:color w:val="0000EE"/>
                </w:rPr>
                <w:t>Voting by Proxy</w:t>
              </w:r>
            </w:hyperlink>
          </w:p>
        </w:tc>
        <w:tc>
          <w:tcPr>
            <w:tcW w:w="1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gridSpan w:val="2"/>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20" w:type="dxa"/>
            <w:vAlign w:val="bottom"/>
            <w:tcBorders>
              <w:top w:val="single" w:sz="8" w:color="0000EE"/>
            </w:tcBorders>
            <w:gridSpan w:val="2"/>
          </w:tcPr>
          <w:p>
            <w:pPr>
              <w:jc w:val="right"/>
              <w:ind w:right="20"/>
              <w:spacing w:after="0" w:line="176" w:lineRule="exact"/>
              <w:rPr>
                <w:rFonts w:ascii="Arial" w:cs="Arial" w:eastAsia="Arial" w:hAnsi="Arial"/>
                <w:sz w:val="17"/>
                <w:szCs w:val="17"/>
                <w:color w:val="0000EE"/>
                <w:w w:val="84"/>
              </w:rPr>
            </w:pPr>
            <w:hyperlink w:anchor="page10">
              <w:r>
                <w:rPr>
                  <w:rFonts w:ascii="Arial" w:cs="Arial" w:eastAsia="Arial" w:hAnsi="Arial"/>
                  <w:sz w:val="17"/>
                  <w:szCs w:val="17"/>
                  <w:color w:val="0000EE"/>
                  <w:w w:val="84"/>
                </w:rPr>
                <w:t>7</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tcBorders>
              <w:bottom w:val="single" w:sz="8" w:color="0000EE"/>
            </w:tcBorders>
            <w:gridSpan w:val="5"/>
          </w:tcPr>
          <w:p>
            <w:pPr>
              <w:spacing w:after="0" w:line="176" w:lineRule="exact"/>
              <w:rPr>
                <w:rFonts w:ascii="Arial" w:cs="Arial" w:eastAsia="Arial" w:hAnsi="Arial"/>
                <w:sz w:val="17"/>
                <w:szCs w:val="17"/>
                <w:i w:val="1"/>
                <w:iCs w:val="1"/>
                <w:color w:val="0000EE"/>
                <w:w w:val="99"/>
              </w:rPr>
            </w:pPr>
            <w:hyperlink w:anchor="page10">
              <w:r>
                <w:rPr>
                  <w:rFonts w:ascii="Arial" w:cs="Arial" w:eastAsia="Arial" w:hAnsi="Arial"/>
                  <w:sz w:val="17"/>
                  <w:szCs w:val="17"/>
                  <w:i w:val="1"/>
                  <w:iCs w:val="1"/>
                  <w:color w:val="0000EE"/>
                  <w:w w:val="99"/>
                </w:rPr>
                <w:t>Revoking a Proxy</w:t>
              </w:r>
            </w:hyperlink>
          </w:p>
        </w:tc>
        <w:tc>
          <w:tcPr>
            <w:tcW w:w="7300" w:type="dxa"/>
            <w:vAlign w:val="bottom"/>
            <w:gridSpan w:val="36"/>
          </w:tcPr>
          <w:p>
            <w:pPr>
              <w:spacing w:after="0"/>
              <w:rPr>
                <w:sz w:val="15"/>
                <w:szCs w:val="15"/>
                <w:color w:val="auto"/>
              </w:rPr>
            </w:pPr>
          </w:p>
        </w:tc>
        <w:tc>
          <w:tcPr>
            <w:tcW w:w="220" w:type="dxa"/>
            <w:vAlign w:val="bottom"/>
            <w:gridSpan w:val="2"/>
          </w:tcPr>
          <w:p>
            <w:pPr>
              <w:spacing w:after="0"/>
              <w:rPr>
                <w:sz w:val="15"/>
                <w:szCs w:val="15"/>
                <w:color w:val="auto"/>
              </w:rPr>
            </w:pPr>
          </w:p>
        </w:tc>
        <w:tc>
          <w:tcPr>
            <w:tcW w:w="120" w:type="dxa"/>
            <w:vAlign w:val="bottom"/>
            <w:tcBorders>
              <w:bottom w:val="single" w:sz="8" w:color="0000EE"/>
            </w:tcBorders>
            <w:gridSpan w:val="2"/>
          </w:tcPr>
          <w:p>
            <w:pPr>
              <w:jc w:val="right"/>
              <w:ind w:right="20"/>
              <w:spacing w:after="0" w:line="176" w:lineRule="exact"/>
              <w:rPr>
                <w:rFonts w:ascii="Arial" w:cs="Arial" w:eastAsia="Arial" w:hAnsi="Arial"/>
                <w:sz w:val="17"/>
                <w:szCs w:val="17"/>
                <w:color w:val="0000EE"/>
                <w:w w:val="84"/>
              </w:rPr>
            </w:pPr>
            <w:hyperlink w:anchor="page10">
              <w:r>
                <w:rPr>
                  <w:rFonts w:ascii="Arial" w:cs="Arial" w:eastAsia="Arial" w:hAnsi="Arial"/>
                  <w:sz w:val="17"/>
                  <w:szCs w:val="17"/>
                  <w:color w:val="0000EE"/>
                  <w:w w:val="84"/>
                </w:rPr>
                <w:t>7</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tcBorders>
              <w:bottom w:val="single" w:sz="8" w:color="0000EE"/>
            </w:tcBorders>
            <w:gridSpan w:val="16"/>
          </w:tcPr>
          <w:p>
            <w:pPr>
              <w:spacing w:after="0" w:line="176" w:lineRule="exact"/>
              <w:rPr>
                <w:rFonts w:ascii="Arial" w:cs="Arial" w:eastAsia="Arial" w:hAnsi="Arial"/>
                <w:sz w:val="17"/>
                <w:szCs w:val="17"/>
                <w:i w:val="1"/>
                <w:iCs w:val="1"/>
                <w:color w:val="0000EE"/>
                <w:w w:val="99"/>
              </w:rPr>
            </w:pPr>
            <w:hyperlink w:anchor="page10">
              <w:r>
                <w:rPr>
                  <w:rFonts w:ascii="Arial" w:cs="Arial" w:eastAsia="Arial" w:hAnsi="Arial"/>
                  <w:sz w:val="17"/>
                  <w:szCs w:val="17"/>
                  <w:i w:val="1"/>
                  <w:iCs w:val="1"/>
                  <w:color w:val="0000EE"/>
                  <w:w w:val="99"/>
                </w:rPr>
                <w:t>Discretionary Voting Authority</w:t>
              </w:r>
            </w:hyperlink>
          </w:p>
        </w:tc>
        <w:tc>
          <w:tcPr>
            <w:tcW w:w="6400" w:type="dxa"/>
            <w:vAlign w:val="bottom"/>
            <w:gridSpan w:val="25"/>
          </w:tcPr>
          <w:p>
            <w:pPr>
              <w:spacing w:after="0"/>
              <w:rPr>
                <w:sz w:val="15"/>
                <w:szCs w:val="15"/>
                <w:color w:val="auto"/>
              </w:rPr>
            </w:pPr>
          </w:p>
        </w:tc>
        <w:tc>
          <w:tcPr>
            <w:tcW w:w="220" w:type="dxa"/>
            <w:vAlign w:val="bottom"/>
            <w:gridSpan w:val="2"/>
          </w:tcPr>
          <w:p>
            <w:pPr>
              <w:spacing w:after="0"/>
              <w:rPr>
                <w:sz w:val="15"/>
                <w:szCs w:val="15"/>
                <w:color w:val="auto"/>
              </w:rPr>
            </w:pPr>
          </w:p>
        </w:tc>
        <w:tc>
          <w:tcPr>
            <w:tcW w:w="120" w:type="dxa"/>
            <w:vAlign w:val="bottom"/>
            <w:tcBorders>
              <w:bottom w:val="single" w:sz="8" w:color="0000EE"/>
            </w:tcBorders>
            <w:gridSpan w:val="2"/>
          </w:tcPr>
          <w:p>
            <w:pPr>
              <w:jc w:val="right"/>
              <w:ind w:right="20"/>
              <w:spacing w:after="0" w:line="176" w:lineRule="exact"/>
              <w:rPr>
                <w:rFonts w:ascii="Arial" w:cs="Arial" w:eastAsia="Arial" w:hAnsi="Arial"/>
                <w:sz w:val="17"/>
                <w:szCs w:val="17"/>
                <w:color w:val="0000EE"/>
                <w:w w:val="84"/>
              </w:rPr>
            </w:pPr>
            <w:hyperlink w:anchor="page10">
              <w:r>
                <w:rPr>
                  <w:rFonts w:ascii="Arial" w:cs="Arial" w:eastAsia="Arial" w:hAnsi="Arial"/>
                  <w:sz w:val="17"/>
                  <w:szCs w:val="17"/>
                  <w:color w:val="0000EE"/>
                  <w:w w:val="84"/>
                </w:rPr>
                <w:t>7</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40" w:type="dxa"/>
            <w:vAlign w:val="bottom"/>
            <w:tcBorders>
              <w:bottom w:val="single" w:sz="8" w:color="0000EE"/>
            </w:tcBorders>
            <w:gridSpan w:val="16"/>
          </w:tcPr>
          <w:p>
            <w:pPr>
              <w:spacing w:after="0" w:line="176" w:lineRule="exact"/>
              <w:rPr>
                <w:rFonts w:ascii="Arial" w:cs="Arial" w:eastAsia="Arial" w:hAnsi="Arial"/>
                <w:sz w:val="17"/>
                <w:szCs w:val="17"/>
                <w:i w:val="1"/>
                <w:iCs w:val="1"/>
                <w:color w:val="0000EE"/>
                <w:w w:val="97"/>
              </w:rPr>
            </w:pPr>
            <w:hyperlink w:anchor="page11">
              <w:r>
                <w:rPr>
                  <w:rFonts w:ascii="Arial" w:cs="Arial" w:eastAsia="Arial" w:hAnsi="Arial"/>
                  <w:sz w:val="17"/>
                  <w:szCs w:val="17"/>
                  <w:i w:val="1"/>
                  <w:iCs w:val="1"/>
                  <w:color w:val="0000EE"/>
                  <w:w w:val="97"/>
                </w:rPr>
                <w:t>Quorum and Vote Required to</w:t>
              </w:r>
            </w:hyperlink>
          </w:p>
        </w:tc>
        <w:tc>
          <w:tcPr>
            <w:tcW w:w="60" w:type="dxa"/>
            <w:vAlign w:val="bottom"/>
            <w:tcBorders>
              <w:bottom w:val="single" w:sz="8" w:color="0000EE"/>
            </w:tcBorders>
          </w:tcPr>
          <w:p>
            <w:pPr>
              <w:spacing w:after="0"/>
              <w:rPr>
                <w:sz w:val="15"/>
                <w:szCs w:val="15"/>
                <w:color w:val="auto"/>
              </w:rPr>
            </w:pPr>
          </w:p>
        </w:tc>
        <w:tc>
          <w:tcPr>
            <w:tcW w:w="2460" w:type="dxa"/>
            <w:vAlign w:val="bottom"/>
            <w:tcBorders>
              <w:bottom w:val="single" w:sz="8" w:color="0000EE"/>
            </w:tcBorders>
            <w:gridSpan w:val="18"/>
          </w:tcPr>
          <w:p>
            <w:pPr>
              <w:spacing w:after="0" w:line="176" w:lineRule="exact"/>
              <w:rPr>
                <w:rFonts w:ascii="Arial" w:cs="Arial" w:eastAsia="Arial" w:hAnsi="Arial"/>
                <w:sz w:val="17"/>
                <w:szCs w:val="17"/>
                <w:i w:val="1"/>
                <w:iCs w:val="1"/>
                <w:color w:val="0000EE"/>
                <w:w w:val="99"/>
              </w:rPr>
            </w:pPr>
            <w:hyperlink w:anchor="page11">
              <w:r>
                <w:rPr>
                  <w:rFonts w:ascii="Arial" w:cs="Arial" w:eastAsia="Arial" w:hAnsi="Arial"/>
                  <w:sz w:val="17"/>
                  <w:szCs w:val="17"/>
                  <w:i w:val="1"/>
                  <w:iCs w:val="1"/>
                  <w:color w:val="0000EE"/>
                  <w:w w:val="99"/>
                </w:rPr>
                <w:t>Approve Each Item on the Proxy</w:t>
              </w:r>
            </w:hyperlink>
          </w:p>
        </w:tc>
        <w:tc>
          <w:tcPr>
            <w:tcW w:w="3880" w:type="dxa"/>
            <w:vAlign w:val="bottom"/>
            <w:gridSpan w:val="6"/>
          </w:tcPr>
          <w:p>
            <w:pPr>
              <w:spacing w:after="0"/>
              <w:rPr>
                <w:sz w:val="15"/>
                <w:szCs w:val="15"/>
                <w:color w:val="auto"/>
              </w:rPr>
            </w:pPr>
          </w:p>
        </w:tc>
        <w:tc>
          <w:tcPr>
            <w:tcW w:w="220" w:type="dxa"/>
            <w:vAlign w:val="bottom"/>
            <w:gridSpan w:val="2"/>
          </w:tcPr>
          <w:p>
            <w:pPr>
              <w:spacing w:after="0"/>
              <w:rPr>
                <w:sz w:val="15"/>
                <w:szCs w:val="15"/>
                <w:color w:val="auto"/>
              </w:rPr>
            </w:pPr>
          </w:p>
        </w:tc>
        <w:tc>
          <w:tcPr>
            <w:tcW w:w="120" w:type="dxa"/>
            <w:vAlign w:val="bottom"/>
            <w:tcBorders>
              <w:bottom w:val="single" w:sz="8" w:color="0000EE"/>
            </w:tcBorders>
            <w:gridSpan w:val="2"/>
          </w:tcPr>
          <w:p>
            <w:pPr>
              <w:jc w:val="right"/>
              <w:ind w:right="20"/>
              <w:spacing w:after="0" w:line="176" w:lineRule="exact"/>
              <w:rPr>
                <w:rFonts w:ascii="Arial" w:cs="Arial" w:eastAsia="Arial" w:hAnsi="Arial"/>
                <w:sz w:val="17"/>
                <w:szCs w:val="17"/>
                <w:color w:val="0000EE"/>
                <w:w w:val="84"/>
              </w:rPr>
            </w:pPr>
            <w:hyperlink w:anchor="page11">
              <w:r>
                <w:rPr>
                  <w:rFonts w:ascii="Arial" w:cs="Arial" w:eastAsia="Arial" w:hAnsi="Arial"/>
                  <w:sz w:val="17"/>
                  <w:szCs w:val="17"/>
                  <w:color w:val="0000EE"/>
                  <w:w w:val="84"/>
                </w:rPr>
                <w:t>8</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760" w:type="dxa"/>
            <w:vAlign w:val="bottom"/>
            <w:gridSpan w:val="35"/>
          </w:tcPr>
          <w:p>
            <w:pPr>
              <w:spacing w:after="0" w:line="176" w:lineRule="exact"/>
              <w:rPr>
                <w:rFonts w:ascii="Arial" w:cs="Arial" w:eastAsia="Arial" w:hAnsi="Arial"/>
                <w:sz w:val="17"/>
                <w:szCs w:val="17"/>
                <w:i w:val="1"/>
                <w:iCs w:val="1"/>
                <w:color w:val="0000EE"/>
              </w:rPr>
            </w:pPr>
            <w:hyperlink w:anchor="page11">
              <w:r>
                <w:rPr>
                  <w:rFonts w:ascii="Arial" w:cs="Arial" w:eastAsia="Arial" w:hAnsi="Arial"/>
                  <w:sz w:val="17"/>
                  <w:szCs w:val="17"/>
                  <w:i w:val="1"/>
                  <w:iCs w:val="1"/>
                  <w:color w:val="0000EE"/>
                </w:rPr>
                <w:t>Effect of Broker Non-Votes and Abstentions</w:t>
              </w:r>
            </w:hyperlink>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11">
              <w:r>
                <w:rPr>
                  <w:rFonts w:ascii="Arial" w:cs="Arial" w:eastAsia="Arial" w:hAnsi="Arial"/>
                  <w:sz w:val="17"/>
                  <w:szCs w:val="17"/>
                  <w:color w:val="0000EE"/>
                </w:rPr>
                <w:t>8</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80" w:type="dxa"/>
            <w:vAlign w:val="bottom"/>
            <w:tcBorders>
              <w:top w:val="single" w:sz="8" w:color="0000EE"/>
            </w:tcBorders>
            <w:gridSpan w:val="27"/>
          </w:tcPr>
          <w:p>
            <w:pPr>
              <w:spacing w:after="0" w:line="176" w:lineRule="exact"/>
              <w:rPr>
                <w:rFonts w:ascii="Arial" w:cs="Arial" w:eastAsia="Arial" w:hAnsi="Arial"/>
                <w:sz w:val="17"/>
                <w:szCs w:val="17"/>
                <w:i w:val="1"/>
                <w:iCs w:val="1"/>
                <w:color w:val="0000EE"/>
              </w:rPr>
            </w:pPr>
            <w:hyperlink w:anchor="page11">
              <w:r>
                <w:rPr>
                  <w:rFonts w:ascii="Arial" w:cs="Arial" w:eastAsia="Arial" w:hAnsi="Arial"/>
                  <w:sz w:val="17"/>
                  <w:szCs w:val="17"/>
                  <w:i w:val="1"/>
                  <w:iCs w:val="1"/>
                  <w:color w:val="0000EE"/>
                </w:rPr>
                <w:t>Inspectors of Election</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120" w:type="dxa"/>
            <w:vAlign w:val="bottom"/>
            <w:tcBorders>
              <w:top w:val="single" w:sz="8" w:color="0000EE"/>
            </w:tcBorders>
            <w:gridSpan w:val="2"/>
          </w:tcPr>
          <w:p>
            <w:pPr>
              <w:jc w:val="right"/>
              <w:ind w:right="20"/>
              <w:spacing w:after="0" w:line="176" w:lineRule="exact"/>
              <w:rPr>
                <w:rFonts w:ascii="Arial" w:cs="Arial" w:eastAsia="Arial" w:hAnsi="Arial"/>
                <w:sz w:val="17"/>
                <w:szCs w:val="17"/>
                <w:color w:val="0000EE"/>
                <w:w w:val="84"/>
              </w:rPr>
            </w:pPr>
            <w:hyperlink w:anchor="page11">
              <w:r>
                <w:rPr>
                  <w:rFonts w:ascii="Arial" w:cs="Arial" w:eastAsia="Arial" w:hAnsi="Arial"/>
                  <w:sz w:val="17"/>
                  <w:szCs w:val="17"/>
                  <w:color w:val="0000EE"/>
                  <w:w w:val="84"/>
                </w:rPr>
                <w:t>8</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tcBorders>
              <w:bottom w:val="single" w:sz="8" w:color="0000EE"/>
            </w:tcBorders>
            <w:gridSpan w:val="14"/>
          </w:tcPr>
          <w:p>
            <w:pPr>
              <w:spacing w:after="0" w:line="176" w:lineRule="exact"/>
              <w:rPr>
                <w:rFonts w:ascii="Arial" w:cs="Arial" w:eastAsia="Arial" w:hAnsi="Arial"/>
                <w:sz w:val="17"/>
                <w:szCs w:val="17"/>
                <w:i w:val="1"/>
                <w:iCs w:val="1"/>
                <w:color w:val="0000EE"/>
                <w:w w:val="98"/>
              </w:rPr>
            </w:pPr>
            <w:hyperlink w:anchor="page11">
              <w:r>
                <w:rPr>
                  <w:rFonts w:ascii="Arial" w:cs="Arial" w:eastAsia="Arial" w:hAnsi="Arial"/>
                  <w:sz w:val="17"/>
                  <w:szCs w:val="17"/>
                  <w:i w:val="1"/>
                  <w:iCs w:val="1"/>
                  <w:color w:val="0000EE"/>
                  <w:w w:val="98"/>
                </w:rPr>
                <w:t>Cost of Soliciting Proxies</w:t>
              </w:r>
            </w:hyperlink>
          </w:p>
        </w:tc>
        <w:tc>
          <w:tcPr>
            <w:tcW w:w="6760" w:type="dxa"/>
            <w:vAlign w:val="bottom"/>
            <w:gridSpan w:val="27"/>
          </w:tcPr>
          <w:p>
            <w:pPr>
              <w:spacing w:after="0"/>
              <w:rPr>
                <w:sz w:val="15"/>
                <w:szCs w:val="15"/>
                <w:color w:val="auto"/>
              </w:rPr>
            </w:pPr>
          </w:p>
        </w:tc>
        <w:tc>
          <w:tcPr>
            <w:tcW w:w="220" w:type="dxa"/>
            <w:vAlign w:val="bottom"/>
            <w:gridSpan w:val="2"/>
          </w:tcPr>
          <w:p>
            <w:pPr>
              <w:spacing w:after="0"/>
              <w:rPr>
                <w:sz w:val="15"/>
                <w:szCs w:val="15"/>
                <w:color w:val="auto"/>
              </w:rPr>
            </w:pPr>
          </w:p>
        </w:tc>
        <w:tc>
          <w:tcPr>
            <w:tcW w:w="120" w:type="dxa"/>
            <w:vAlign w:val="bottom"/>
            <w:tcBorders>
              <w:bottom w:val="single" w:sz="8" w:color="0000EE"/>
            </w:tcBorders>
            <w:gridSpan w:val="2"/>
          </w:tcPr>
          <w:p>
            <w:pPr>
              <w:jc w:val="right"/>
              <w:ind w:right="20"/>
              <w:spacing w:after="0" w:line="176" w:lineRule="exact"/>
              <w:rPr>
                <w:rFonts w:ascii="Arial" w:cs="Arial" w:eastAsia="Arial" w:hAnsi="Arial"/>
                <w:sz w:val="17"/>
                <w:szCs w:val="17"/>
                <w:color w:val="0000EE"/>
                <w:w w:val="84"/>
              </w:rPr>
            </w:pPr>
            <w:hyperlink w:anchor="page11">
              <w:r>
                <w:rPr>
                  <w:rFonts w:ascii="Arial" w:cs="Arial" w:eastAsia="Arial" w:hAnsi="Arial"/>
                  <w:sz w:val="17"/>
                  <w:szCs w:val="17"/>
                  <w:color w:val="0000EE"/>
                  <w:w w:val="84"/>
                </w:rPr>
                <w:t>8</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80" w:type="dxa"/>
            <w:vAlign w:val="bottom"/>
            <w:gridSpan w:val="14"/>
          </w:tcPr>
          <w:p>
            <w:pPr>
              <w:spacing w:after="0" w:line="176" w:lineRule="exact"/>
              <w:rPr>
                <w:rFonts w:ascii="Arial" w:cs="Arial" w:eastAsia="Arial" w:hAnsi="Arial"/>
                <w:sz w:val="17"/>
                <w:szCs w:val="17"/>
                <w:i w:val="1"/>
                <w:iCs w:val="1"/>
                <w:color w:val="0000EE"/>
              </w:rPr>
            </w:pPr>
            <w:hyperlink w:anchor="page11">
              <w:r>
                <w:rPr>
                  <w:rFonts w:ascii="Arial" w:cs="Arial" w:eastAsia="Arial" w:hAnsi="Arial"/>
                  <w:sz w:val="17"/>
                  <w:szCs w:val="17"/>
                  <w:i w:val="1"/>
                  <w:iCs w:val="1"/>
                  <w:color w:val="0000EE"/>
                </w:rPr>
                <w:t>AbbVie Savings Plan</w:t>
              </w:r>
            </w:hyperlink>
          </w:p>
        </w:tc>
        <w:tc>
          <w:tcPr>
            <w:tcW w:w="420" w:type="dxa"/>
            <w:vAlign w:val="bottom"/>
            <w:gridSpan w:val="3"/>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gridSpan w:val="2"/>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11">
              <w:r>
                <w:rPr>
                  <w:rFonts w:ascii="Arial" w:cs="Arial" w:eastAsia="Arial" w:hAnsi="Arial"/>
                  <w:sz w:val="17"/>
                  <w:szCs w:val="17"/>
                  <w:color w:val="0000EE"/>
                </w:rPr>
                <w:t>8</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20" w:type="dxa"/>
            <w:vAlign w:val="bottom"/>
            <w:tcBorders>
              <w:top w:val="single" w:sz="8" w:color="0000EE"/>
            </w:tcBorders>
            <w:gridSpan w:val="8"/>
          </w:tcPr>
          <w:p>
            <w:pPr>
              <w:spacing w:after="0" w:line="176" w:lineRule="exact"/>
              <w:rPr>
                <w:rFonts w:ascii="Arial" w:cs="Arial" w:eastAsia="Arial" w:hAnsi="Arial"/>
                <w:sz w:val="17"/>
                <w:szCs w:val="17"/>
                <w:b w:val="1"/>
                <w:bCs w:val="1"/>
                <w:color w:val="0000EE"/>
                <w:w w:val="81"/>
              </w:rPr>
            </w:pPr>
            <w:hyperlink w:anchor="page12">
              <w:r>
                <w:rPr>
                  <w:rFonts w:ascii="Arial" w:cs="Arial" w:eastAsia="Arial" w:hAnsi="Arial"/>
                  <w:sz w:val="17"/>
                  <w:szCs w:val="17"/>
                  <w:b w:val="1"/>
                  <w:bCs w:val="1"/>
                  <w:color w:val="0000EE"/>
                  <w:w w:val="81"/>
                </w:rPr>
                <w:t>Information Concerning</w:t>
              </w:r>
            </w:hyperlink>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940" w:type="dxa"/>
            <w:vAlign w:val="bottom"/>
            <w:gridSpan w:val="30"/>
          </w:tcPr>
          <w:p>
            <w:pPr>
              <w:ind w:left="100"/>
              <w:spacing w:after="0" w:line="176" w:lineRule="exact"/>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Director Nominees (Item 1)</w:t>
              </w:r>
            </w:hyperlink>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0000EE"/>
            </w:tcBorders>
            <w:gridSpan w:val="2"/>
          </w:tcPr>
          <w:p>
            <w:pPr>
              <w:jc w:val="right"/>
              <w:ind w:right="20"/>
              <w:spacing w:after="0" w:line="176" w:lineRule="exact"/>
              <w:rPr>
                <w:rFonts w:ascii="Arial" w:cs="Arial" w:eastAsia="Arial" w:hAnsi="Arial"/>
                <w:sz w:val="17"/>
                <w:szCs w:val="17"/>
                <w:b w:val="1"/>
                <w:bCs w:val="1"/>
                <w:color w:val="0000EE"/>
                <w:w w:val="84"/>
              </w:rPr>
            </w:pPr>
            <w:hyperlink w:anchor="page12">
              <w:r>
                <w:rPr>
                  <w:rFonts w:ascii="Arial" w:cs="Arial" w:eastAsia="Arial" w:hAnsi="Arial"/>
                  <w:sz w:val="17"/>
                  <w:szCs w:val="17"/>
                  <w:b w:val="1"/>
                  <w:bCs w:val="1"/>
                  <w:color w:val="0000EE"/>
                  <w:w w:val="84"/>
                </w:rPr>
                <w:t>9</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320" w:type="dxa"/>
            <w:vAlign w:val="bottom"/>
            <w:tcBorders>
              <w:left w:val="single" w:sz="8" w:color="0000EE"/>
            </w:tcBorders>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4140" w:type="dxa"/>
            <w:vAlign w:val="bottom"/>
            <w:gridSpan w:val="33"/>
          </w:tcPr>
          <w:p>
            <w:pPr>
              <w:spacing w:after="0" w:line="176" w:lineRule="exact"/>
              <w:rPr>
                <w:rFonts w:ascii="Arial" w:cs="Arial" w:eastAsia="Arial" w:hAnsi="Arial"/>
                <w:sz w:val="17"/>
                <w:szCs w:val="17"/>
                <w:b w:val="1"/>
                <w:bCs w:val="1"/>
                <w:color w:val="0000EE"/>
              </w:rPr>
            </w:pPr>
            <w:hyperlink w:anchor="page16">
              <w:r>
                <w:rPr>
                  <w:rFonts w:ascii="Arial" w:cs="Arial" w:eastAsia="Arial" w:hAnsi="Arial"/>
                  <w:sz w:val="17"/>
                  <w:szCs w:val="17"/>
                  <w:b w:val="1"/>
                  <w:bCs w:val="1"/>
                  <w:color w:val="0000EE"/>
                </w:rPr>
                <w:t>The Board of Directors and its Committees</w:t>
              </w:r>
            </w:hyperlink>
          </w:p>
        </w:tc>
        <w:tc>
          <w:tcPr>
            <w:tcW w:w="20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340" w:type="dxa"/>
            <w:vAlign w:val="bottom"/>
            <w:gridSpan w:val="4"/>
          </w:tcPr>
          <w:p>
            <w:pPr>
              <w:jc w:val="right"/>
              <w:ind w:right="20"/>
              <w:spacing w:after="0" w:line="176" w:lineRule="exact"/>
              <w:rPr>
                <w:rFonts w:ascii="Arial" w:cs="Arial" w:eastAsia="Arial" w:hAnsi="Arial"/>
                <w:sz w:val="17"/>
                <w:szCs w:val="17"/>
                <w:b w:val="1"/>
                <w:bCs w:val="1"/>
                <w:color w:val="0000EE"/>
              </w:rPr>
            </w:pPr>
            <w:hyperlink w:anchor="page16">
              <w:r>
                <w:rPr>
                  <w:rFonts w:ascii="Arial" w:cs="Arial" w:eastAsia="Arial" w:hAnsi="Arial"/>
                  <w:sz w:val="17"/>
                  <w:szCs w:val="17"/>
                  <w:b w:val="1"/>
                  <w:bCs w:val="1"/>
                  <w:color w:val="0000EE"/>
                </w:rPr>
                <w:t>13</w:t>
              </w:r>
            </w:hyperlink>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480" w:type="dxa"/>
            <w:vAlign w:val="bottom"/>
            <w:tcBorders>
              <w:top w:val="single" w:sz="8" w:color="0000EE"/>
              <w:bottom w:val="single" w:sz="8" w:color="0000EE"/>
            </w:tcBorders>
            <w:gridSpan w:val="29"/>
          </w:tcPr>
          <w:p>
            <w:pPr>
              <w:spacing w:after="0" w:line="176" w:lineRule="exact"/>
              <w:rPr>
                <w:rFonts w:ascii="Arial" w:cs="Arial" w:eastAsia="Arial" w:hAnsi="Arial"/>
                <w:sz w:val="17"/>
                <w:szCs w:val="17"/>
                <w:b w:val="1"/>
                <w:bCs w:val="1"/>
                <w:color w:val="0000EE"/>
                <w:w w:val="98"/>
              </w:rPr>
            </w:pPr>
            <w:hyperlink w:anchor="page20">
              <w:r>
                <w:rPr>
                  <w:rFonts w:ascii="Arial" w:cs="Arial" w:eastAsia="Arial" w:hAnsi="Arial"/>
                  <w:sz w:val="17"/>
                  <w:szCs w:val="17"/>
                  <w:b w:val="1"/>
                  <w:bCs w:val="1"/>
                  <w:color w:val="0000EE"/>
                  <w:w w:val="98"/>
                </w:rPr>
                <w:t>Communicating with the Board of Directors</w:t>
              </w:r>
            </w:hyperlink>
          </w:p>
        </w:tc>
        <w:tc>
          <w:tcPr>
            <w:tcW w:w="40" w:type="dxa"/>
            <w:vAlign w:val="bottom"/>
            <w:tcBorders>
              <w:bottom w:val="single" w:sz="8" w:color="0000EE"/>
            </w:tcBorders>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0000EE"/>
              <w:bottom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20">
              <w:r>
                <w:rPr>
                  <w:rFonts w:ascii="Arial" w:cs="Arial" w:eastAsia="Arial" w:hAnsi="Arial"/>
                  <w:sz w:val="17"/>
                  <w:szCs w:val="17"/>
                  <w:b w:val="1"/>
                  <w:bCs w:val="1"/>
                  <w:color w:val="0000EE"/>
                  <w:w w:val="84"/>
                </w:rPr>
                <w:t>17</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3520" w:type="dxa"/>
            <w:vAlign w:val="bottom"/>
            <w:gridSpan w:val="30"/>
          </w:tcPr>
          <w:p>
            <w:pPr>
              <w:spacing w:after="0" w:line="176" w:lineRule="exact"/>
              <w:rPr>
                <w:rFonts w:ascii="Arial" w:cs="Arial" w:eastAsia="Arial" w:hAnsi="Arial"/>
                <w:sz w:val="17"/>
                <w:szCs w:val="17"/>
                <w:b w:val="1"/>
                <w:bCs w:val="1"/>
                <w:color w:val="0000EE"/>
              </w:rPr>
            </w:pPr>
            <w:hyperlink w:anchor="page21">
              <w:r>
                <w:rPr>
                  <w:rFonts w:ascii="Arial" w:cs="Arial" w:eastAsia="Arial" w:hAnsi="Arial"/>
                  <w:sz w:val="17"/>
                  <w:szCs w:val="17"/>
                  <w:b w:val="1"/>
                  <w:bCs w:val="1"/>
                  <w:color w:val="0000EE"/>
                </w:rPr>
                <w:t>Director Compensation</w:t>
              </w:r>
            </w:hyperlink>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gridSpan w:val="2"/>
          </w:tcPr>
          <w:p>
            <w:pPr>
              <w:jc w:val="right"/>
              <w:spacing w:after="0" w:line="176" w:lineRule="exact"/>
              <w:rPr>
                <w:rFonts w:ascii="Arial" w:cs="Arial" w:eastAsia="Arial" w:hAnsi="Arial"/>
                <w:sz w:val="17"/>
                <w:szCs w:val="17"/>
                <w:b w:val="1"/>
                <w:bCs w:val="1"/>
                <w:color w:val="0000EE"/>
                <w:w w:val="84"/>
              </w:rPr>
            </w:pPr>
            <w:hyperlink w:anchor="page21">
              <w:r>
                <w:rPr>
                  <w:rFonts w:ascii="Arial" w:cs="Arial" w:eastAsia="Arial" w:hAnsi="Arial"/>
                  <w:sz w:val="17"/>
                  <w:szCs w:val="17"/>
                  <w:b w:val="1"/>
                  <w:bCs w:val="1"/>
                  <w:color w:val="0000EE"/>
                  <w:w w:val="84"/>
                </w:rPr>
                <w:t>18</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80" w:type="dxa"/>
            <w:vAlign w:val="bottom"/>
            <w:tcBorders>
              <w:top w:val="single" w:sz="8" w:color="0000EE"/>
            </w:tcBorders>
            <w:gridSpan w:val="12"/>
          </w:tcPr>
          <w:p>
            <w:pPr>
              <w:spacing w:after="0" w:line="176" w:lineRule="exact"/>
              <w:rPr>
                <w:rFonts w:ascii="Arial" w:cs="Arial" w:eastAsia="Arial" w:hAnsi="Arial"/>
                <w:sz w:val="17"/>
                <w:szCs w:val="17"/>
                <w:b w:val="1"/>
                <w:bCs w:val="1"/>
                <w:color w:val="0000EE"/>
              </w:rPr>
            </w:pPr>
            <w:hyperlink w:anchor="page23">
              <w:r>
                <w:rPr>
                  <w:rFonts w:ascii="Arial" w:cs="Arial" w:eastAsia="Arial" w:hAnsi="Arial"/>
                  <w:sz w:val="17"/>
                  <w:szCs w:val="17"/>
                  <w:b w:val="1"/>
                  <w:bCs w:val="1"/>
                  <w:color w:val="0000EE"/>
                </w:rPr>
                <w:t>Securities Ownership</w:t>
              </w:r>
            </w:hyperlink>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23">
              <w:r>
                <w:rPr>
                  <w:rFonts w:ascii="Arial" w:cs="Arial" w:eastAsia="Arial" w:hAnsi="Arial"/>
                  <w:sz w:val="17"/>
                  <w:szCs w:val="17"/>
                  <w:b w:val="1"/>
                  <w:bCs w:val="1"/>
                  <w:color w:val="0000EE"/>
                  <w:w w:val="84"/>
                </w:rPr>
                <w:t>20</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740" w:type="dxa"/>
            <w:vAlign w:val="bottom"/>
            <w:tcBorders>
              <w:top w:val="single" w:sz="8" w:color="0000EE"/>
              <w:bottom w:val="single" w:sz="8" w:color="0000EE"/>
            </w:tcBorders>
            <w:gridSpan w:val="8"/>
          </w:tcPr>
          <w:p>
            <w:pPr>
              <w:spacing w:after="0" w:line="176" w:lineRule="exact"/>
              <w:rPr>
                <w:rFonts w:ascii="Arial" w:cs="Arial" w:eastAsia="Arial" w:hAnsi="Arial"/>
                <w:sz w:val="17"/>
                <w:szCs w:val="17"/>
                <w:b w:val="1"/>
                <w:bCs w:val="1"/>
                <w:color w:val="0000EE"/>
                <w:w w:val="85"/>
              </w:rPr>
            </w:pPr>
            <w:hyperlink w:anchor="page25">
              <w:r>
                <w:rPr>
                  <w:rFonts w:ascii="Arial" w:cs="Arial" w:eastAsia="Arial" w:hAnsi="Arial"/>
                  <w:sz w:val="17"/>
                  <w:szCs w:val="17"/>
                  <w:b w:val="1"/>
                  <w:bCs w:val="1"/>
                  <w:color w:val="0000EE"/>
                  <w:w w:val="85"/>
                </w:rPr>
                <w:t>Executive Compensation</w:t>
              </w:r>
            </w:hyperlink>
          </w:p>
        </w:tc>
        <w:tc>
          <w:tcPr>
            <w:tcW w:w="80" w:type="dxa"/>
            <w:vAlign w:val="bottom"/>
            <w:tcBorders>
              <w:bottom w:val="single" w:sz="8" w:color="0000EE"/>
            </w:tcBorders>
            <w:gridSpan w:val="2"/>
          </w:tcPr>
          <w:p>
            <w:pPr>
              <w:spacing w:after="0"/>
              <w:rPr>
                <w:sz w:val="15"/>
                <w:szCs w:val="15"/>
                <w:color w:val="auto"/>
              </w:rPr>
            </w:pPr>
          </w:p>
        </w:tc>
        <w:tc>
          <w:tcPr>
            <w:tcW w:w="40" w:type="dxa"/>
            <w:vAlign w:val="bottom"/>
            <w:tcBorders>
              <w:bottom w:val="single" w:sz="8" w:color="0000EE"/>
            </w:tcBorders>
          </w:tcPr>
          <w:p>
            <w:pPr>
              <w:spacing w:after="0"/>
              <w:rPr>
                <w:sz w:val="15"/>
                <w:szCs w:val="15"/>
                <w:color w:val="auto"/>
              </w:rPr>
            </w:pPr>
          </w:p>
        </w:tc>
        <w:tc>
          <w:tcPr>
            <w:tcW w:w="140" w:type="dxa"/>
            <w:vAlign w:val="bottom"/>
            <w:tcBorders>
              <w:bottom w:val="single" w:sz="8" w:color="0000EE"/>
            </w:tcBorders>
            <w:gridSpan w:val="2"/>
          </w:tcPr>
          <w:p>
            <w:pPr>
              <w:spacing w:after="0"/>
              <w:rPr>
                <w:sz w:val="15"/>
                <w:szCs w:val="15"/>
                <w:color w:val="auto"/>
              </w:rPr>
            </w:pPr>
          </w:p>
        </w:tc>
        <w:tc>
          <w:tcPr>
            <w:tcW w:w="20" w:type="dxa"/>
            <w:vAlign w:val="bottom"/>
            <w:tcBorders>
              <w:bottom w:val="single" w:sz="8" w:color="0000EE"/>
            </w:tcBorders>
          </w:tcPr>
          <w:p>
            <w:pPr>
              <w:spacing w:after="0"/>
              <w:rPr>
                <w:sz w:val="15"/>
                <w:szCs w:val="15"/>
                <w:color w:val="auto"/>
              </w:rPr>
            </w:pPr>
          </w:p>
        </w:tc>
        <w:tc>
          <w:tcPr>
            <w:tcW w:w="460" w:type="dxa"/>
            <w:vAlign w:val="bottom"/>
            <w:gridSpan w:val="4"/>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4"/>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gridSpan w:val="2"/>
          </w:tcPr>
          <w:p>
            <w:pPr>
              <w:spacing w:after="0"/>
              <w:rPr>
                <w:sz w:val="15"/>
                <w:szCs w:val="15"/>
                <w:color w:val="auto"/>
              </w:rPr>
            </w:pPr>
          </w:p>
        </w:tc>
        <w:tc>
          <w:tcPr>
            <w:tcW w:w="280" w:type="dxa"/>
            <w:vAlign w:val="bottom"/>
          </w:tcPr>
          <w:p>
            <w:pPr>
              <w:spacing w:after="0"/>
              <w:rPr>
                <w:sz w:val="15"/>
                <w:szCs w:val="15"/>
                <w:color w:val="auto"/>
              </w:rPr>
            </w:pPr>
          </w:p>
        </w:tc>
        <w:tc>
          <w:tcPr>
            <w:tcW w:w="1060" w:type="dxa"/>
            <w:vAlign w:val="bottom"/>
            <w:gridSpan w:val="2"/>
          </w:tcPr>
          <w:p>
            <w:pPr>
              <w:spacing w:after="0"/>
              <w:rPr>
                <w:sz w:val="15"/>
                <w:szCs w:val="15"/>
                <w:color w:val="auto"/>
              </w:rPr>
            </w:pPr>
          </w:p>
        </w:tc>
        <w:tc>
          <w:tcPr>
            <w:tcW w:w="8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0000EE"/>
              <w:bottom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25">
              <w:r>
                <w:rPr>
                  <w:rFonts w:ascii="Arial" w:cs="Arial" w:eastAsia="Arial" w:hAnsi="Arial"/>
                  <w:sz w:val="17"/>
                  <w:szCs w:val="17"/>
                  <w:b w:val="1"/>
                  <w:bCs w:val="1"/>
                  <w:color w:val="0000EE"/>
                  <w:w w:val="84"/>
                </w:rPr>
                <w:t>22</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13"/>
          </w:tcPr>
          <w:p>
            <w:pPr>
              <w:spacing w:after="0" w:line="176" w:lineRule="exact"/>
              <w:rPr>
                <w:rFonts w:ascii="Arial" w:cs="Arial" w:eastAsia="Arial" w:hAnsi="Arial"/>
                <w:sz w:val="17"/>
                <w:szCs w:val="17"/>
                <w:i w:val="1"/>
                <w:iCs w:val="1"/>
                <w:color w:val="0000EE"/>
                <w:w w:val="92"/>
              </w:rPr>
            </w:pPr>
            <w:hyperlink w:anchor="page25">
              <w:r>
                <w:rPr>
                  <w:rFonts w:ascii="Arial" w:cs="Arial" w:eastAsia="Arial" w:hAnsi="Arial"/>
                  <w:sz w:val="17"/>
                  <w:szCs w:val="17"/>
                  <w:i w:val="1"/>
                  <w:iCs w:val="1"/>
                  <w:color w:val="0000EE"/>
                  <w:w w:val="92"/>
                </w:rPr>
                <w:t>Compensation Discussion</w:t>
              </w:r>
            </w:hyperlink>
          </w:p>
        </w:tc>
        <w:tc>
          <w:tcPr>
            <w:tcW w:w="1140" w:type="dxa"/>
            <w:vAlign w:val="bottom"/>
            <w:gridSpan w:val="12"/>
          </w:tcPr>
          <w:p>
            <w:pPr>
              <w:ind w:left="180"/>
              <w:spacing w:after="0" w:line="176" w:lineRule="exact"/>
              <w:rPr>
                <w:rFonts w:ascii="Arial" w:cs="Arial" w:eastAsia="Arial" w:hAnsi="Arial"/>
                <w:sz w:val="17"/>
                <w:szCs w:val="17"/>
                <w:i w:val="1"/>
                <w:iCs w:val="1"/>
                <w:color w:val="0000EE"/>
                <w:w w:val="97"/>
              </w:rPr>
            </w:pPr>
            <w:hyperlink w:anchor="page25">
              <w:r>
                <w:rPr>
                  <w:rFonts w:ascii="Arial" w:cs="Arial" w:eastAsia="Arial" w:hAnsi="Arial"/>
                  <w:sz w:val="17"/>
                  <w:szCs w:val="17"/>
                  <w:i w:val="1"/>
                  <w:iCs w:val="1"/>
                  <w:color w:val="0000EE"/>
                  <w:w w:val="97"/>
                </w:rPr>
                <w:t>and Analysis</w:t>
              </w:r>
            </w:hyperlink>
          </w:p>
        </w:tc>
        <w:tc>
          <w:tcPr>
            <w:tcW w:w="5660" w:type="dxa"/>
            <w:vAlign w:val="bottom"/>
            <w:gridSpan w:val="16"/>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25">
              <w:r>
                <w:rPr>
                  <w:rFonts w:ascii="Arial" w:cs="Arial" w:eastAsia="Arial" w:hAnsi="Arial"/>
                  <w:sz w:val="17"/>
                  <w:szCs w:val="17"/>
                  <w:color w:val="0000EE"/>
                </w:rPr>
                <w:t>22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700" w:type="dxa"/>
            <w:vAlign w:val="bottom"/>
            <w:gridSpan w:val="4"/>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980" w:type="dxa"/>
            <w:vAlign w:val="bottom"/>
            <w:gridSpan w:val="25"/>
          </w:tcPr>
          <w:p>
            <w:pPr>
              <w:spacing w:after="0" w:line="176" w:lineRule="exact"/>
              <w:rPr>
                <w:rFonts w:ascii="Arial" w:cs="Arial" w:eastAsia="Arial" w:hAnsi="Arial"/>
                <w:sz w:val="17"/>
                <w:szCs w:val="17"/>
                <w:i w:val="1"/>
                <w:iCs w:val="1"/>
                <w:color w:val="0000EE"/>
              </w:rPr>
            </w:pPr>
            <w:hyperlink w:anchor="page43">
              <w:r>
                <w:rPr>
                  <w:rFonts w:ascii="Arial" w:cs="Arial" w:eastAsia="Arial" w:hAnsi="Arial"/>
                  <w:sz w:val="17"/>
                  <w:szCs w:val="17"/>
                  <w:i w:val="1"/>
                  <w:iCs w:val="1"/>
                  <w:color w:val="0000EE"/>
                </w:rPr>
                <w:t>Compensation Committee Report</w:t>
              </w:r>
            </w:hyperlink>
          </w:p>
        </w:tc>
        <w:tc>
          <w:tcPr>
            <w:tcW w:w="100" w:type="dxa"/>
            <w:vAlign w:val="bottom"/>
            <w:vMerge w:val="continue"/>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43">
              <w:r>
                <w:rPr>
                  <w:rFonts w:ascii="Arial" w:cs="Arial" w:eastAsia="Arial" w:hAnsi="Arial"/>
                  <w:sz w:val="17"/>
                  <w:szCs w:val="17"/>
                  <w:color w:val="0000EE"/>
                </w:rPr>
                <w:t>40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gridSpan w:val="3"/>
            <w:vMerge w:val="restart"/>
          </w:tcPr>
          <w:p>
            <w:pPr>
              <w:spacing w:after="0" w:line="20" w:lineRule="exact"/>
              <w:rPr>
                <w:sz w:val="1"/>
                <w:szCs w:val="1"/>
                <w:color w:val="auto"/>
              </w:rPr>
            </w:pPr>
          </w:p>
        </w:tc>
        <w:tc>
          <w:tcPr>
            <w:tcW w:w="700" w:type="dxa"/>
            <w:vAlign w:val="bottom"/>
            <w:gridSpan w:val="4"/>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20" w:type="dxa"/>
            <w:vAlign w:val="bottom"/>
            <w:gridSpan w:val="20"/>
          </w:tcPr>
          <w:p>
            <w:pPr>
              <w:spacing w:after="0" w:line="176" w:lineRule="exact"/>
              <w:rPr>
                <w:rFonts w:ascii="Arial" w:cs="Arial" w:eastAsia="Arial" w:hAnsi="Arial"/>
                <w:sz w:val="17"/>
                <w:szCs w:val="17"/>
                <w:i w:val="1"/>
                <w:iCs w:val="1"/>
                <w:color w:val="0000EE"/>
              </w:rPr>
            </w:pPr>
            <w:hyperlink w:anchor="page43">
              <w:r>
                <w:rPr>
                  <w:rFonts w:ascii="Arial" w:cs="Arial" w:eastAsia="Arial" w:hAnsi="Arial"/>
                  <w:sz w:val="17"/>
                  <w:szCs w:val="17"/>
                  <w:i w:val="1"/>
                  <w:iCs w:val="1"/>
                  <w:color w:val="0000EE"/>
                </w:rPr>
                <w:t>Compensation Risk Assessment</w:t>
              </w:r>
            </w:hyperlink>
          </w:p>
        </w:tc>
        <w:tc>
          <w:tcPr>
            <w:tcW w:w="14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43">
              <w:r>
                <w:rPr>
                  <w:rFonts w:ascii="Arial" w:cs="Arial" w:eastAsia="Arial" w:hAnsi="Arial"/>
                  <w:sz w:val="17"/>
                  <w:szCs w:val="17"/>
                  <w:color w:val="0000EE"/>
                </w:rPr>
                <w:t>40</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gridSpan w:val="3"/>
            <w:vMerge w:val="restart"/>
          </w:tcPr>
          <w:p>
            <w:pPr>
              <w:spacing w:after="0" w:line="20" w:lineRule="exact"/>
              <w:rPr>
                <w:sz w:val="1"/>
                <w:szCs w:val="1"/>
                <w:color w:val="auto"/>
              </w:rPr>
            </w:pPr>
          </w:p>
        </w:tc>
        <w:tc>
          <w:tcPr>
            <w:tcW w:w="700" w:type="dxa"/>
            <w:vAlign w:val="bottom"/>
            <w:gridSpan w:val="4"/>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gridSpan w:val="19"/>
          </w:tcPr>
          <w:p>
            <w:pPr>
              <w:spacing w:after="0" w:line="176" w:lineRule="exact"/>
              <w:rPr>
                <w:rFonts w:ascii="Arial" w:cs="Arial" w:eastAsia="Arial" w:hAnsi="Arial"/>
                <w:sz w:val="17"/>
                <w:szCs w:val="17"/>
                <w:i w:val="1"/>
                <w:iCs w:val="1"/>
                <w:color w:val="0000EE"/>
              </w:rPr>
            </w:pPr>
            <w:hyperlink w:anchor="page45">
              <w:r>
                <w:rPr>
                  <w:rFonts w:ascii="Arial" w:cs="Arial" w:eastAsia="Arial" w:hAnsi="Arial"/>
                  <w:sz w:val="17"/>
                  <w:szCs w:val="17"/>
                  <w:i w:val="1"/>
                  <w:iCs w:val="1"/>
                  <w:color w:val="0000EE"/>
                </w:rPr>
                <w:t>2016 Compensation Decisions</w:t>
              </w:r>
            </w:hyperlink>
          </w:p>
        </w:tc>
        <w:tc>
          <w:tcPr>
            <w:tcW w:w="22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45">
              <w:r>
                <w:rPr>
                  <w:rFonts w:ascii="Arial" w:cs="Arial" w:eastAsia="Arial" w:hAnsi="Arial"/>
                  <w:sz w:val="17"/>
                  <w:szCs w:val="17"/>
                  <w:color w:val="0000EE"/>
                </w:rPr>
                <w:t>42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80" w:type="dxa"/>
            <w:vAlign w:val="bottom"/>
            <w:gridSpan w:val="5"/>
            <w:shd w:val="clear" w:color="auto" w:fill="0000EE"/>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gridSpan w:val="2"/>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gridSpan w:val="3"/>
            <w:vMerge w:val="restart"/>
          </w:tcPr>
          <w:p>
            <w:pPr>
              <w:spacing w:after="0" w:line="20" w:lineRule="exact"/>
              <w:rPr>
                <w:sz w:val="1"/>
                <w:szCs w:val="1"/>
                <w:color w:val="auto"/>
              </w:rPr>
            </w:pPr>
          </w:p>
        </w:tc>
        <w:tc>
          <w:tcPr>
            <w:tcW w:w="700" w:type="dxa"/>
            <w:vAlign w:val="bottom"/>
            <w:gridSpan w:val="4"/>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300" w:type="dxa"/>
            <w:vAlign w:val="bottom"/>
            <w:gridSpan w:val="17"/>
          </w:tcPr>
          <w:p>
            <w:pPr>
              <w:spacing w:after="0" w:line="176" w:lineRule="exact"/>
              <w:rPr>
                <w:rFonts w:ascii="Arial" w:cs="Arial" w:eastAsia="Arial" w:hAnsi="Arial"/>
                <w:sz w:val="17"/>
                <w:szCs w:val="17"/>
                <w:i w:val="1"/>
                <w:iCs w:val="1"/>
                <w:color w:val="0000EE"/>
                <w:w w:val="97"/>
              </w:rPr>
            </w:pPr>
            <w:hyperlink w:anchor="page45">
              <w:r>
                <w:rPr>
                  <w:rFonts w:ascii="Arial" w:cs="Arial" w:eastAsia="Arial" w:hAnsi="Arial"/>
                  <w:sz w:val="17"/>
                  <w:szCs w:val="17"/>
                  <w:i w:val="1"/>
                  <w:iCs w:val="1"/>
                  <w:color w:val="0000EE"/>
                  <w:w w:val="97"/>
                </w:rPr>
                <w:t>Summary Compensation Table</w:t>
              </w:r>
            </w:hyperlink>
          </w:p>
        </w:tc>
        <w:tc>
          <w:tcPr>
            <w:tcW w:w="20" w:type="dxa"/>
            <w:vAlign w:val="bottom"/>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280" w:type="dxa"/>
            <w:vAlign w:val="bottom"/>
            <w:gridSpan w:val="3"/>
            <w:vMerge w:val="continue"/>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45">
              <w:r>
                <w:rPr>
                  <w:rFonts w:ascii="Arial" w:cs="Arial" w:eastAsia="Arial" w:hAnsi="Arial"/>
                  <w:sz w:val="17"/>
                  <w:szCs w:val="17"/>
                  <w:color w:val="0000EE"/>
                </w:rPr>
                <w:t>42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00" w:type="dxa"/>
            <w:vAlign w:val="bottom"/>
            <w:gridSpan w:val="6"/>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70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40" w:type="dxa"/>
            <w:vAlign w:val="bottom"/>
            <w:gridSpan w:val="41"/>
          </w:tcPr>
          <w:p>
            <w:pPr>
              <w:spacing w:after="0" w:line="176" w:lineRule="exact"/>
              <w:rPr>
                <w:rFonts w:ascii="Arial" w:cs="Arial" w:eastAsia="Arial" w:hAnsi="Arial"/>
                <w:sz w:val="17"/>
                <w:szCs w:val="17"/>
                <w:i w:val="1"/>
                <w:iCs w:val="1"/>
                <w:color w:val="0000EE"/>
              </w:rPr>
            </w:pPr>
            <w:hyperlink w:anchor="page48">
              <w:r>
                <w:rPr>
                  <w:rFonts w:ascii="Arial" w:cs="Arial" w:eastAsia="Arial" w:hAnsi="Arial"/>
                  <w:sz w:val="17"/>
                  <w:szCs w:val="17"/>
                  <w:i w:val="1"/>
                  <w:iCs w:val="1"/>
                  <w:color w:val="0000EE"/>
                </w:rPr>
                <w:t>2015 Grants of Plan-Based Awards</w:t>
              </w:r>
            </w:hyperlink>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48">
              <w:r>
                <w:rPr>
                  <w:rFonts w:ascii="Arial" w:cs="Arial" w:eastAsia="Arial" w:hAnsi="Arial"/>
                  <w:sz w:val="17"/>
                  <w:szCs w:val="17"/>
                  <w:color w:val="0000EE"/>
                </w:rPr>
                <w:t>45</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7"/>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240" w:type="dxa"/>
            <w:vAlign w:val="bottom"/>
            <w:gridSpan w:val="10"/>
            <w:vMerge w:val="restart"/>
          </w:tcPr>
          <w:p>
            <w:pPr>
              <w:ind w:left="40"/>
              <w:spacing w:after="0"/>
              <w:rPr>
                <w:rFonts w:ascii="Arial" w:cs="Arial" w:eastAsia="Arial" w:hAnsi="Arial"/>
                <w:sz w:val="17"/>
                <w:szCs w:val="17"/>
                <w:i w:val="1"/>
                <w:iCs w:val="1"/>
                <w:color w:val="0000EE"/>
                <w:w w:val="98"/>
              </w:rPr>
            </w:pPr>
            <w:hyperlink w:anchor="page49">
              <w:r>
                <w:rPr>
                  <w:rFonts w:ascii="Arial" w:cs="Arial" w:eastAsia="Arial" w:hAnsi="Arial"/>
                  <w:sz w:val="17"/>
                  <w:szCs w:val="17"/>
                  <w:i w:val="1"/>
                  <w:iCs w:val="1"/>
                  <w:color w:val="0000EE"/>
                  <w:w w:val="98"/>
                </w:rPr>
                <w:t>Fiscal Year End</w:t>
              </w:r>
            </w:hyperlink>
          </w:p>
        </w:tc>
        <w:tc>
          <w:tcPr>
            <w:tcW w:w="4740" w:type="dxa"/>
            <w:vAlign w:val="bottom"/>
            <w:gridSpan w:val="10"/>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60" w:type="dxa"/>
            <w:vAlign w:val="bottom"/>
            <w:gridSpan w:val="21"/>
          </w:tcPr>
          <w:p>
            <w:pPr>
              <w:spacing w:after="0" w:line="176" w:lineRule="exact"/>
              <w:rPr>
                <w:rFonts w:ascii="Arial" w:cs="Arial" w:eastAsia="Arial" w:hAnsi="Arial"/>
                <w:sz w:val="17"/>
                <w:szCs w:val="17"/>
                <w:i w:val="1"/>
                <w:iCs w:val="1"/>
                <w:color w:val="0000EE"/>
                <w:w w:val="99"/>
              </w:rPr>
            </w:pPr>
            <w:hyperlink w:anchor="page49">
              <w:r>
                <w:rPr>
                  <w:rFonts w:ascii="Arial" w:cs="Arial" w:eastAsia="Arial" w:hAnsi="Arial"/>
                  <w:sz w:val="17"/>
                  <w:szCs w:val="17"/>
                  <w:i w:val="1"/>
                  <w:iCs w:val="1"/>
                  <w:color w:val="0000EE"/>
                  <w:w w:val="99"/>
                </w:rPr>
                <w:t>2015 Outstanding Equity Awards at</w:t>
              </w:r>
            </w:hyperlink>
          </w:p>
        </w:tc>
        <w:tc>
          <w:tcPr>
            <w:tcW w:w="1240" w:type="dxa"/>
            <w:vAlign w:val="bottom"/>
            <w:gridSpan w:val="10"/>
            <w:vMerge w:val="continue"/>
          </w:tcPr>
          <w:p>
            <w:pPr>
              <w:spacing w:after="0"/>
              <w:rPr>
                <w:sz w:val="15"/>
                <w:szCs w:val="15"/>
                <w:color w:val="auto"/>
              </w:rPr>
            </w:pPr>
          </w:p>
        </w:tc>
        <w:tc>
          <w:tcPr>
            <w:tcW w:w="4740" w:type="dxa"/>
            <w:vAlign w:val="bottom"/>
            <w:gridSpan w:val="10"/>
            <w:vMerge w:val="continue"/>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49">
              <w:r>
                <w:rPr>
                  <w:rFonts w:ascii="Arial" w:cs="Arial" w:eastAsia="Arial" w:hAnsi="Arial"/>
                  <w:sz w:val="17"/>
                  <w:szCs w:val="17"/>
                  <w:color w:val="0000EE"/>
                </w:rPr>
                <w:t>46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900" w:type="dxa"/>
            <w:vAlign w:val="bottom"/>
            <w:gridSpan w:val="31"/>
          </w:tcPr>
          <w:p>
            <w:pPr>
              <w:spacing w:after="0" w:line="176" w:lineRule="exact"/>
              <w:rPr>
                <w:rFonts w:ascii="Arial" w:cs="Arial" w:eastAsia="Arial" w:hAnsi="Arial"/>
                <w:sz w:val="17"/>
                <w:szCs w:val="17"/>
                <w:i w:val="1"/>
                <w:iCs w:val="1"/>
                <w:color w:val="0000EE"/>
              </w:rPr>
            </w:pPr>
            <w:hyperlink w:anchor="page51">
              <w:r>
                <w:rPr>
                  <w:rFonts w:ascii="Arial" w:cs="Arial" w:eastAsia="Arial" w:hAnsi="Arial"/>
                  <w:sz w:val="17"/>
                  <w:szCs w:val="17"/>
                  <w:i w:val="1"/>
                  <w:iCs w:val="1"/>
                  <w:color w:val="0000EE"/>
                </w:rPr>
                <w:t>2015 Option Exercises and Stock Vested</w:t>
              </w:r>
            </w:hyperlink>
          </w:p>
        </w:tc>
        <w:tc>
          <w:tcPr>
            <w:tcW w:w="26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51">
              <w:r>
                <w:rPr>
                  <w:rFonts w:ascii="Arial" w:cs="Arial" w:eastAsia="Arial" w:hAnsi="Arial"/>
                  <w:sz w:val="17"/>
                  <w:szCs w:val="17"/>
                  <w:color w:val="0000EE"/>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3"/>
            <w:shd w:val="clear" w:color="auto" w:fill="0000EE"/>
          </w:tcPr>
          <w:p>
            <w:pPr>
              <w:spacing w:after="0" w:line="20" w:lineRule="exact"/>
              <w:rPr>
                <w:sz w:val="1"/>
                <w:szCs w:val="1"/>
                <w:color w:val="auto"/>
              </w:rPr>
            </w:pPr>
          </w:p>
        </w:tc>
        <w:tc>
          <w:tcPr>
            <w:tcW w:w="700" w:type="dxa"/>
            <w:vAlign w:val="bottom"/>
            <w:gridSpan w:val="4"/>
            <w:vMerge w:val="restart"/>
          </w:tcPr>
          <w:p>
            <w:pPr>
              <w:spacing w:after="0" w:line="20" w:lineRule="exact"/>
              <w:rPr>
                <w:sz w:val="1"/>
                <w:szCs w:val="1"/>
                <w:color w:val="auto"/>
              </w:rPr>
            </w:pPr>
          </w:p>
        </w:tc>
        <w:tc>
          <w:tcPr>
            <w:tcW w:w="380" w:type="dxa"/>
            <w:vAlign w:val="bottom"/>
            <w:gridSpan w:val="3"/>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1060" w:type="dxa"/>
            <w:vAlign w:val="bottom"/>
            <w:gridSpan w:val="2"/>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1580" w:type="dxa"/>
            <w:vAlign w:val="bottom"/>
            <w:vMerge w:val="restart"/>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38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4"/>
          </w:tcPr>
          <w:p>
            <w:pPr>
              <w:spacing w:after="0" w:line="176" w:lineRule="exact"/>
              <w:rPr>
                <w:rFonts w:ascii="Arial" w:cs="Arial" w:eastAsia="Arial" w:hAnsi="Arial"/>
                <w:sz w:val="17"/>
                <w:szCs w:val="17"/>
                <w:i w:val="1"/>
                <w:iCs w:val="1"/>
                <w:color w:val="0000EE"/>
                <w:w w:val="94"/>
              </w:rPr>
            </w:pPr>
            <w:hyperlink w:anchor="page51">
              <w:r>
                <w:rPr>
                  <w:rFonts w:ascii="Arial" w:cs="Arial" w:eastAsia="Arial" w:hAnsi="Arial"/>
                  <w:sz w:val="17"/>
                  <w:szCs w:val="17"/>
                  <w:i w:val="1"/>
                  <w:iCs w:val="1"/>
                  <w:color w:val="0000EE"/>
                  <w:w w:val="94"/>
                </w:rPr>
                <w:t>Pension Benefits</w:t>
              </w:r>
            </w:hyperlink>
          </w:p>
        </w:tc>
        <w:tc>
          <w:tcPr>
            <w:tcW w:w="1840" w:type="dxa"/>
            <w:vAlign w:val="bottom"/>
            <w:gridSpan w:val="22"/>
          </w:tcPr>
          <w:p>
            <w:pPr>
              <w:spacing w:after="0"/>
              <w:rPr>
                <w:sz w:val="15"/>
                <w:szCs w:val="15"/>
                <w:color w:val="auto"/>
              </w:rPr>
            </w:pPr>
          </w:p>
        </w:tc>
        <w:tc>
          <w:tcPr>
            <w:tcW w:w="700" w:type="dxa"/>
            <w:vAlign w:val="bottom"/>
            <w:gridSpan w:val="4"/>
            <w:vMerge w:val="continue"/>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1580" w:type="dxa"/>
            <w:vAlign w:val="bottom"/>
            <w:vMerge w:val="continue"/>
          </w:tcPr>
          <w:p>
            <w:pPr>
              <w:spacing w:after="0"/>
              <w:rPr>
                <w:sz w:val="15"/>
                <w:szCs w:val="15"/>
                <w:color w:val="auto"/>
              </w:rPr>
            </w:pPr>
          </w:p>
        </w:tc>
        <w:tc>
          <w:tcPr>
            <w:tcW w:w="240" w:type="dxa"/>
            <w:vAlign w:val="bottom"/>
            <w:vMerge w:val="continue"/>
          </w:tcPr>
          <w:p>
            <w:pPr>
              <w:spacing w:after="0"/>
              <w:rPr>
                <w:sz w:val="15"/>
                <w:szCs w:val="15"/>
                <w:color w:val="auto"/>
              </w:rPr>
            </w:pPr>
          </w:p>
        </w:tc>
        <w:tc>
          <w:tcPr>
            <w:tcW w:w="380" w:type="dxa"/>
            <w:vAlign w:val="bottom"/>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51">
              <w:r>
                <w:rPr>
                  <w:rFonts w:ascii="Arial" w:cs="Arial" w:eastAsia="Arial" w:hAnsi="Arial"/>
                  <w:sz w:val="17"/>
                  <w:szCs w:val="17"/>
                  <w:color w:val="0000EE"/>
                </w:rPr>
                <w:t>48</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7"/>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gridSpan w:val="7"/>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23"/>
          </w:tcPr>
          <w:p>
            <w:pPr>
              <w:spacing w:after="0" w:line="176" w:lineRule="exact"/>
              <w:rPr>
                <w:rFonts w:ascii="Arial" w:cs="Arial" w:eastAsia="Arial" w:hAnsi="Arial"/>
                <w:sz w:val="17"/>
                <w:szCs w:val="17"/>
                <w:i w:val="1"/>
                <w:iCs w:val="1"/>
                <w:color w:val="0000EE"/>
                <w:w w:val="99"/>
              </w:rPr>
            </w:pPr>
            <w:hyperlink w:anchor="page55">
              <w:r>
                <w:rPr>
                  <w:rFonts w:ascii="Arial" w:cs="Arial" w:eastAsia="Arial" w:hAnsi="Arial"/>
                  <w:sz w:val="17"/>
                  <w:szCs w:val="17"/>
                  <w:i w:val="1"/>
                  <w:iCs w:val="1"/>
                  <w:color w:val="0000EE"/>
                  <w:w w:val="99"/>
                </w:rPr>
                <w:t>Nonqualified Deferred Compensation</w:t>
              </w:r>
            </w:hyperlink>
          </w:p>
        </w:tc>
        <w:tc>
          <w:tcPr>
            <w:tcW w:w="5840" w:type="dxa"/>
            <w:vAlign w:val="bottom"/>
            <w:gridSpan w:val="18"/>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55">
              <w:r>
                <w:rPr>
                  <w:rFonts w:ascii="Arial" w:cs="Arial" w:eastAsia="Arial" w:hAnsi="Arial"/>
                  <w:sz w:val="17"/>
                  <w:szCs w:val="17"/>
                  <w:color w:val="0000EE"/>
                </w:rPr>
                <w:t>52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40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20" w:type="dxa"/>
            <w:vAlign w:val="bottom"/>
            <w:tcBorders>
              <w:right w:val="single" w:sz="8" w:color="0000EE"/>
            </w:tcBorders>
            <w:gridSpan w:val="7"/>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840" w:type="dxa"/>
            <w:vAlign w:val="bottom"/>
            <w:gridSpan w:val="18"/>
            <w:vMerge w:val="restart"/>
          </w:tcPr>
          <w:p>
            <w:pPr>
              <w:ind w:left="60"/>
              <w:spacing w:after="0"/>
              <w:rPr>
                <w:rFonts w:ascii="Arial" w:cs="Arial" w:eastAsia="Arial" w:hAnsi="Arial"/>
                <w:sz w:val="17"/>
                <w:szCs w:val="17"/>
                <w:i w:val="1"/>
                <w:iCs w:val="1"/>
                <w:color w:val="0000EE"/>
              </w:rPr>
            </w:pPr>
            <w:hyperlink w:anchor="page55">
              <w:r>
                <w:rPr>
                  <w:rFonts w:ascii="Arial" w:cs="Arial" w:eastAsia="Arial" w:hAnsi="Arial"/>
                  <w:sz w:val="17"/>
                  <w:szCs w:val="17"/>
                  <w:i w:val="1"/>
                  <w:iCs w:val="1"/>
                  <w:color w:val="0000EE"/>
                </w:rPr>
                <w:t>or Change in Control</w:t>
              </w:r>
            </w:hyperlink>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0" w:type="dxa"/>
            <w:vAlign w:val="bottom"/>
            <w:gridSpan w:val="23"/>
          </w:tcPr>
          <w:p>
            <w:pPr>
              <w:spacing w:after="0" w:line="176" w:lineRule="exact"/>
              <w:rPr>
                <w:rFonts w:ascii="Arial" w:cs="Arial" w:eastAsia="Arial" w:hAnsi="Arial"/>
                <w:sz w:val="17"/>
                <w:szCs w:val="17"/>
                <w:i w:val="1"/>
                <w:iCs w:val="1"/>
                <w:color w:val="0000EE"/>
                <w:w w:val="98"/>
              </w:rPr>
            </w:pPr>
            <w:hyperlink w:anchor="page55">
              <w:r>
                <w:rPr>
                  <w:rFonts w:ascii="Arial" w:cs="Arial" w:eastAsia="Arial" w:hAnsi="Arial"/>
                  <w:sz w:val="17"/>
                  <w:szCs w:val="17"/>
                  <w:i w:val="1"/>
                  <w:iCs w:val="1"/>
                  <w:color w:val="0000EE"/>
                  <w:w w:val="98"/>
                </w:rPr>
                <w:t>Potential Payments upon Termination</w:t>
              </w:r>
            </w:hyperlink>
          </w:p>
        </w:tc>
        <w:tc>
          <w:tcPr>
            <w:tcW w:w="5840" w:type="dxa"/>
            <w:vAlign w:val="bottom"/>
            <w:gridSpan w:val="18"/>
            <w:vMerge w:val="continue"/>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55">
              <w:r>
                <w:rPr>
                  <w:rFonts w:ascii="Arial" w:cs="Arial" w:eastAsia="Arial" w:hAnsi="Arial"/>
                  <w:sz w:val="17"/>
                  <w:szCs w:val="17"/>
                  <w:color w:val="0000EE"/>
                </w:rPr>
                <w:t>52</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440" w:type="dxa"/>
            <w:vAlign w:val="bottom"/>
            <w:tcBorders>
              <w:top w:val="single" w:sz="8" w:color="0000EE"/>
            </w:tcBorders>
            <w:gridSpan w:val="34"/>
          </w:tcPr>
          <w:p>
            <w:pPr>
              <w:spacing w:after="0" w:line="176" w:lineRule="exact"/>
              <w:rPr>
                <w:rFonts w:ascii="Arial" w:cs="Arial" w:eastAsia="Arial" w:hAnsi="Arial"/>
                <w:sz w:val="17"/>
                <w:szCs w:val="17"/>
                <w:b w:val="1"/>
                <w:bCs w:val="1"/>
                <w:color w:val="0000EE"/>
                <w:w w:val="92"/>
              </w:rPr>
            </w:pPr>
            <w:hyperlink w:anchor="page58">
              <w:r>
                <w:rPr>
                  <w:rFonts w:ascii="Arial" w:cs="Arial" w:eastAsia="Arial" w:hAnsi="Arial"/>
                  <w:sz w:val="17"/>
                  <w:szCs w:val="17"/>
                  <w:b w:val="1"/>
                  <w:bCs w:val="1"/>
                  <w:color w:val="0000EE"/>
                  <w:w w:val="92"/>
                </w:rPr>
                <w:t>Ratification of Ernst &amp; Young LLP as AbbVie's Independent</w:t>
              </w:r>
            </w:hyperlink>
          </w:p>
        </w:tc>
        <w:tc>
          <w:tcPr>
            <w:tcW w:w="4200" w:type="dxa"/>
            <w:vAlign w:val="bottom"/>
            <w:gridSpan w:val="7"/>
          </w:tcPr>
          <w:p>
            <w:pPr>
              <w:ind w:left="200"/>
              <w:spacing w:after="0" w:line="176" w:lineRule="exact"/>
              <w:rPr>
                <w:rFonts w:ascii="Arial" w:cs="Arial" w:eastAsia="Arial" w:hAnsi="Arial"/>
                <w:sz w:val="17"/>
                <w:szCs w:val="17"/>
                <w:b w:val="1"/>
                <w:bCs w:val="1"/>
                <w:color w:val="0000EE"/>
              </w:rPr>
            </w:pPr>
            <w:hyperlink w:anchor="page58">
              <w:r>
                <w:rPr>
                  <w:rFonts w:ascii="Arial" w:cs="Arial" w:eastAsia="Arial" w:hAnsi="Arial"/>
                  <w:sz w:val="17"/>
                  <w:szCs w:val="17"/>
                  <w:b w:val="1"/>
                  <w:bCs w:val="1"/>
                  <w:color w:val="0000EE"/>
                </w:rPr>
                <w:t>Registered Public Accounting Firm (Item 2)</w:t>
              </w:r>
            </w:hyperlink>
          </w:p>
        </w:tc>
        <w:tc>
          <w:tcPr>
            <w:tcW w:w="14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58">
              <w:r>
                <w:rPr>
                  <w:rFonts w:ascii="Arial" w:cs="Arial" w:eastAsia="Arial" w:hAnsi="Arial"/>
                  <w:sz w:val="17"/>
                  <w:szCs w:val="17"/>
                  <w:b w:val="1"/>
                  <w:bCs w:val="1"/>
                  <w:color w:val="0000EE"/>
                  <w:w w:val="84"/>
                </w:rPr>
                <w:t>55</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8300" w:type="dxa"/>
            <w:vAlign w:val="bottom"/>
            <w:tcBorders>
              <w:top w:val="single" w:sz="8" w:color="0000EE"/>
            </w:tcBorders>
            <w:gridSpan w:val="40"/>
          </w:tcPr>
          <w:p>
            <w:pPr>
              <w:spacing w:after="0" w:line="176" w:lineRule="exact"/>
              <w:rPr>
                <w:rFonts w:ascii="Arial" w:cs="Arial" w:eastAsia="Arial" w:hAnsi="Arial"/>
                <w:sz w:val="17"/>
                <w:szCs w:val="17"/>
                <w:b w:val="1"/>
                <w:bCs w:val="1"/>
                <w:color w:val="0000EE"/>
              </w:rPr>
            </w:pPr>
            <w:hyperlink w:anchor="page59">
              <w:r>
                <w:rPr>
                  <w:rFonts w:ascii="Arial" w:cs="Arial" w:eastAsia="Arial" w:hAnsi="Arial"/>
                  <w:sz w:val="17"/>
                  <w:szCs w:val="17"/>
                  <w:b w:val="1"/>
                  <w:bCs w:val="1"/>
                  <w:color w:val="0000EE"/>
                </w:rPr>
                <w:t>Audit Information</w:t>
              </w:r>
            </w:hyperlink>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59">
              <w:r>
                <w:rPr>
                  <w:rFonts w:ascii="Arial" w:cs="Arial" w:eastAsia="Arial" w:hAnsi="Arial"/>
                  <w:sz w:val="17"/>
                  <w:szCs w:val="17"/>
                  <w:b w:val="1"/>
                  <w:bCs w:val="1"/>
                  <w:color w:val="0000EE"/>
                  <w:w w:val="84"/>
                </w:rPr>
                <w:t>56</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60" w:type="dxa"/>
            <w:vAlign w:val="bottom"/>
            <w:gridSpan w:val="3"/>
            <w:shd w:val="clear" w:color="auto" w:fill="0000EE"/>
          </w:tcPr>
          <w:p>
            <w:pPr>
              <w:spacing w:after="0" w:line="20" w:lineRule="exact"/>
              <w:rPr>
                <w:sz w:val="1"/>
                <w:szCs w:val="1"/>
                <w:color w:val="auto"/>
              </w:rPr>
            </w:pPr>
          </w:p>
        </w:tc>
        <w:tc>
          <w:tcPr>
            <w:tcW w:w="7400" w:type="dxa"/>
            <w:vAlign w:val="bottom"/>
            <w:gridSpan w:val="37"/>
            <w:vMerge w:val="restart"/>
          </w:tcPr>
          <w:p>
            <w:pPr>
              <w:spacing w:after="0"/>
              <w:rPr>
                <w:rFonts w:ascii="Arial" w:cs="Arial" w:eastAsia="Arial" w:hAnsi="Arial"/>
                <w:sz w:val="17"/>
                <w:szCs w:val="17"/>
                <w:i w:val="1"/>
                <w:iCs w:val="1"/>
                <w:color w:val="0000EE"/>
              </w:rPr>
            </w:pPr>
            <w:hyperlink w:anchor="page59">
              <w:r>
                <w:rPr>
                  <w:rFonts w:ascii="Arial" w:cs="Arial" w:eastAsia="Arial" w:hAnsi="Arial"/>
                  <w:sz w:val="17"/>
                  <w:szCs w:val="17"/>
                  <w:i w:val="1"/>
                  <w:iCs w:val="1"/>
                  <w:color w:val="0000EE"/>
                </w:rPr>
                <w:t>Non-Audit Fees</w:t>
              </w:r>
            </w:hyperlink>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4"/>
          </w:tcPr>
          <w:p>
            <w:pPr>
              <w:spacing w:after="0" w:line="176" w:lineRule="exact"/>
              <w:rPr>
                <w:rFonts w:ascii="Arial" w:cs="Arial" w:eastAsia="Arial" w:hAnsi="Arial"/>
                <w:sz w:val="17"/>
                <w:szCs w:val="17"/>
                <w:i w:val="1"/>
                <w:iCs w:val="1"/>
                <w:color w:val="0000EE"/>
              </w:rPr>
            </w:pPr>
            <w:hyperlink w:anchor="page59">
              <w:r>
                <w:rPr>
                  <w:rFonts w:ascii="Arial" w:cs="Arial" w:eastAsia="Arial" w:hAnsi="Arial"/>
                  <w:sz w:val="17"/>
                  <w:szCs w:val="17"/>
                  <w:i w:val="1"/>
                  <w:iCs w:val="1"/>
                  <w:color w:val="0000EE"/>
                </w:rPr>
                <w:t>Audit Fees and</w:t>
              </w:r>
            </w:hyperlink>
          </w:p>
        </w:tc>
        <w:tc>
          <w:tcPr>
            <w:tcW w:w="7400" w:type="dxa"/>
            <w:vAlign w:val="bottom"/>
            <w:gridSpan w:val="37"/>
            <w:vMerge w:val="continue"/>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59">
              <w:r>
                <w:rPr>
                  <w:rFonts w:ascii="Arial" w:cs="Arial" w:eastAsia="Arial" w:hAnsi="Arial"/>
                  <w:sz w:val="17"/>
                  <w:szCs w:val="17"/>
                  <w:color w:val="0000EE"/>
                </w:rPr>
                <w:t>56</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40" w:type="dxa"/>
            <w:vAlign w:val="bottom"/>
            <w:tcBorders>
              <w:top w:val="single" w:sz="8" w:color="0000EE"/>
            </w:tcBorders>
            <w:gridSpan w:val="19"/>
          </w:tcPr>
          <w:p>
            <w:pPr>
              <w:spacing w:after="0" w:line="176" w:lineRule="exact"/>
              <w:rPr>
                <w:rFonts w:ascii="Arial" w:cs="Arial" w:eastAsia="Arial" w:hAnsi="Arial"/>
                <w:sz w:val="17"/>
                <w:szCs w:val="17"/>
                <w:i w:val="1"/>
                <w:iCs w:val="1"/>
                <w:color w:val="0000EE"/>
              </w:rPr>
            </w:pPr>
            <w:hyperlink w:anchor="page59">
              <w:r>
                <w:rPr>
                  <w:rFonts w:ascii="Arial" w:cs="Arial" w:eastAsia="Arial" w:hAnsi="Arial"/>
                  <w:sz w:val="17"/>
                  <w:szCs w:val="17"/>
                  <w:i w:val="1"/>
                  <w:iCs w:val="1"/>
                  <w:color w:val="0000EE"/>
                </w:rPr>
                <w:t>Policy on Audit Committee Pre-</w:t>
              </w:r>
            </w:hyperlink>
          </w:p>
        </w:tc>
        <w:tc>
          <w:tcPr>
            <w:tcW w:w="6200" w:type="dxa"/>
            <w:vAlign w:val="bottom"/>
            <w:gridSpan w:val="22"/>
          </w:tcPr>
          <w:p>
            <w:pPr>
              <w:spacing w:after="0" w:line="176" w:lineRule="exact"/>
              <w:rPr>
                <w:rFonts w:ascii="Arial" w:cs="Arial" w:eastAsia="Arial" w:hAnsi="Arial"/>
                <w:sz w:val="17"/>
                <w:szCs w:val="17"/>
                <w:i w:val="1"/>
                <w:iCs w:val="1"/>
                <w:color w:val="0000EE"/>
              </w:rPr>
            </w:pPr>
            <w:hyperlink w:anchor="page59">
              <w:r>
                <w:rPr>
                  <w:rFonts w:ascii="Arial" w:cs="Arial" w:eastAsia="Arial" w:hAnsi="Arial"/>
                  <w:sz w:val="17"/>
                  <w:szCs w:val="17"/>
                  <w:i w:val="1"/>
                  <w:iCs w:val="1"/>
                  <w:color w:val="0000EE"/>
                </w:rPr>
                <w:t>Approval of Audit and Permissible Non-Audit Services of the Independent</w:t>
              </w:r>
            </w:hyperlink>
          </w:p>
        </w:tc>
        <w:tc>
          <w:tcPr>
            <w:tcW w:w="140" w:type="dxa"/>
            <w:vAlign w:val="bottom"/>
          </w:tcPr>
          <w:p>
            <w:pPr>
              <w:spacing w:after="0"/>
              <w:rPr>
                <w:sz w:val="15"/>
                <w:szCs w:val="15"/>
                <w:color w:val="auto"/>
              </w:rPr>
            </w:pPr>
          </w:p>
        </w:tc>
        <w:tc>
          <w:tcPr>
            <w:tcW w:w="80" w:type="dxa"/>
            <w:vAlign w:val="bottom"/>
            <w:tcBorders>
              <w:top w:val="single" w:sz="8" w:color="0000EE"/>
            </w:tcBorders>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0000EE"/>
            </w:tcBorders>
          </w:tcPr>
          <w:p>
            <w:pPr>
              <w:spacing w:after="0"/>
              <w:rPr>
                <w:sz w:val="15"/>
                <w:szCs w:val="15"/>
                <w:color w:val="auto"/>
              </w:rPr>
            </w:pPr>
          </w:p>
        </w:tc>
        <w:tc>
          <w:tcPr>
            <w:tcW w:w="7700" w:type="dxa"/>
            <w:vAlign w:val="bottom"/>
            <w:tcBorders>
              <w:top w:val="single" w:sz="8" w:color="0000EE"/>
            </w:tcBorders>
            <w:gridSpan w:val="37"/>
          </w:tcPr>
          <w:p>
            <w:pPr>
              <w:spacing w:after="0" w:line="176" w:lineRule="exact"/>
              <w:rPr>
                <w:rFonts w:ascii="Arial" w:cs="Arial" w:eastAsia="Arial" w:hAnsi="Arial"/>
                <w:sz w:val="17"/>
                <w:szCs w:val="17"/>
                <w:i w:val="1"/>
                <w:iCs w:val="1"/>
                <w:color w:val="0000EE"/>
              </w:rPr>
            </w:pPr>
            <w:hyperlink w:anchor="page59">
              <w:r>
                <w:rPr>
                  <w:rFonts w:ascii="Arial" w:cs="Arial" w:eastAsia="Arial" w:hAnsi="Arial"/>
                  <w:sz w:val="17"/>
                  <w:szCs w:val="17"/>
                  <w:i w:val="1"/>
                  <w:iCs w:val="1"/>
                  <w:color w:val="0000EE"/>
                </w:rPr>
                <w:t>Registered Public Accounting Firm</w:t>
              </w:r>
            </w:hyperlink>
          </w:p>
        </w:tc>
        <w:tc>
          <w:tcPr>
            <w:tcW w:w="62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59">
              <w:r>
                <w:rPr>
                  <w:rFonts w:ascii="Arial" w:cs="Arial" w:eastAsia="Arial" w:hAnsi="Arial"/>
                  <w:sz w:val="17"/>
                  <w:szCs w:val="17"/>
                  <w:color w:val="0000EE"/>
                </w:rPr>
                <w:t>56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960" w:type="dxa"/>
            <w:vAlign w:val="bottom"/>
            <w:gridSpan w:val="10"/>
            <w:shd w:val="clear" w:color="auto" w:fill="0000EE"/>
          </w:tcPr>
          <w:p>
            <w:pPr>
              <w:spacing w:after="0" w:line="20" w:lineRule="exact"/>
              <w:rPr>
                <w:sz w:val="1"/>
                <w:szCs w:val="1"/>
                <w:color w:val="auto"/>
              </w:rPr>
            </w:pPr>
          </w:p>
        </w:tc>
        <w:tc>
          <w:tcPr>
            <w:tcW w:w="1000" w:type="dxa"/>
            <w:vAlign w:val="bottom"/>
            <w:gridSpan w:val="8"/>
            <w:vMerge w:val="restart"/>
          </w:tcPr>
          <w:p>
            <w:pPr>
              <w:spacing w:after="0" w:line="20" w:lineRule="exact"/>
              <w:rPr>
                <w:sz w:val="1"/>
                <w:szCs w:val="1"/>
                <w:color w:val="auto"/>
              </w:rPr>
            </w:pPr>
          </w:p>
        </w:tc>
        <w:tc>
          <w:tcPr>
            <w:tcW w:w="380" w:type="dxa"/>
            <w:vAlign w:val="bottom"/>
            <w:gridSpan w:val="3"/>
            <w:vMerge w:val="restart"/>
          </w:tcPr>
          <w:p>
            <w:pPr>
              <w:spacing w:after="0" w:line="20" w:lineRule="exact"/>
              <w:rPr>
                <w:sz w:val="1"/>
                <w:szCs w:val="1"/>
                <w:color w:val="auto"/>
              </w:rPr>
            </w:pPr>
          </w:p>
        </w:tc>
        <w:tc>
          <w:tcPr>
            <w:tcW w:w="1340" w:type="dxa"/>
            <w:vAlign w:val="bottom"/>
            <w:gridSpan w:val="3"/>
            <w:vMerge w:val="restart"/>
          </w:tcPr>
          <w:p>
            <w:pPr>
              <w:spacing w:after="0" w:line="20" w:lineRule="exact"/>
              <w:rPr>
                <w:sz w:val="1"/>
                <w:szCs w:val="1"/>
                <w:color w:val="auto"/>
              </w:rPr>
            </w:pPr>
          </w:p>
        </w:tc>
        <w:tc>
          <w:tcPr>
            <w:tcW w:w="800" w:type="dxa"/>
            <w:vAlign w:val="bottom"/>
            <w:vMerge w:val="restart"/>
          </w:tcPr>
          <w:p>
            <w:pPr>
              <w:spacing w:after="0" w:line="20" w:lineRule="exact"/>
              <w:rPr>
                <w:sz w:val="1"/>
                <w:szCs w:val="1"/>
                <w:color w:val="auto"/>
              </w:rPr>
            </w:pPr>
          </w:p>
        </w:tc>
        <w:tc>
          <w:tcPr>
            <w:tcW w:w="2200" w:type="dxa"/>
            <w:vAlign w:val="bottom"/>
            <w:gridSpan w:val="3"/>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20" w:type="dxa"/>
            <w:vAlign w:val="bottom"/>
            <w:gridSpan w:val="12"/>
          </w:tcPr>
          <w:p>
            <w:pPr>
              <w:spacing w:after="0" w:line="176" w:lineRule="exact"/>
              <w:rPr>
                <w:rFonts w:ascii="Arial" w:cs="Arial" w:eastAsia="Arial" w:hAnsi="Arial"/>
                <w:sz w:val="17"/>
                <w:szCs w:val="17"/>
                <w:i w:val="1"/>
                <w:iCs w:val="1"/>
                <w:color w:val="0000EE"/>
                <w:w w:val="99"/>
              </w:rPr>
            </w:pPr>
            <w:hyperlink w:anchor="page60">
              <w:r>
                <w:rPr>
                  <w:rFonts w:ascii="Arial" w:cs="Arial" w:eastAsia="Arial" w:hAnsi="Arial"/>
                  <w:sz w:val="17"/>
                  <w:szCs w:val="17"/>
                  <w:i w:val="1"/>
                  <w:iCs w:val="1"/>
                  <w:color w:val="0000EE"/>
                  <w:w w:val="99"/>
                </w:rPr>
                <w:t>Audit Committee Report</w:t>
              </w:r>
            </w:hyperlink>
          </w:p>
        </w:tc>
        <w:tc>
          <w:tcPr>
            <w:tcW w:w="960" w:type="dxa"/>
            <w:vAlign w:val="bottom"/>
            <w:gridSpan w:val="10"/>
          </w:tcPr>
          <w:p>
            <w:pPr>
              <w:spacing w:after="0"/>
              <w:rPr>
                <w:sz w:val="15"/>
                <w:szCs w:val="15"/>
                <w:color w:val="auto"/>
              </w:rPr>
            </w:pPr>
          </w:p>
        </w:tc>
        <w:tc>
          <w:tcPr>
            <w:tcW w:w="1000" w:type="dxa"/>
            <w:vAlign w:val="bottom"/>
            <w:gridSpan w:val="8"/>
            <w:vMerge w:val="continue"/>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1340" w:type="dxa"/>
            <w:vAlign w:val="bottom"/>
            <w:gridSpan w:val="3"/>
            <w:vMerge w:val="continue"/>
          </w:tcPr>
          <w:p>
            <w:pPr>
              <w:spacing w:after="0"/>
              <w:rPr>
                <w:sz w:val="15"/>
                <w:szCs w:val="15"/>
                <w:color w:val="auto"/>
              </w:rPr>
            </w:pPr>
          </w:p>
        </w:tc>
        <w:tc>
          <w:tcPr>
            <w:tcW w:w="800" w:type="dxa"/>
            <w:vAlign w:val="bottom"/>
            <w:vMerge w:val="continue"/>
          </w:tcPr>
          <w:p>
            <w:pPr>
              <w:spacing w:after="0"/>
              <w:rPr>
                <w:sz w:val="15"/>
                <w:szCs w:val="15"/>
                <w:color w:val="auto"/>
              </w:rPr>
            </w:pPr>
          </w:p>
        </w:tc>
        <w:tc>
          <w:tcPr>
            <w:tcW w:w="2200" w:type="dxa"/>
            <w:vAlign w:val="bottom"/>
            <w:gridSpan w:val="3"/>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60">
              <w:r>
                <w:rPr>
                  <w:rFonts w:ascii="Arial" w:cs="Arial" w:eastAsia="Arial" w:hAnsi="Arial"/>
                  <w:sz w:val="17"/>
                  <w:szCs w:val="17"/>
                  <w:color w:val="0000EE"/>
                </w:rPr>
                <w:t>57</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9"/>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960" w:type="dxa"/>
            <w:vAlign w:val="bottom"/>
            <w:gridSpan w:val="18"/>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34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8820" w:type="dxa"/>
            <w:vAlign w:val="bottom"/>
            <w:gridSpan w:val="42"/>
          </w:tcPr>
          <w:p>
            <w:pPr>
              <w:spacing w:after="0" w:line="176" w:lineRule="exact"/>
              <w:rPr>
                <w:rFonts w:ascii="Arial" w:cs="Arial" w:eastAsia="Arial" w:hAnsi="Arial"/>
                <w:sz w:val="17"/>
                <w:szCs w:val="17"/>
                <w:b w:val="1"/>
                <w:bCs w:val="1"/>
                <w:color w:val="0000EE"/>
              </w:rPr>
            </w:pPr>
            <w:hyperlink w:anchor="page61">
              <w:r>
                <w:rPr>
                  <w:rFonts w:ascii="Arial" w:cs="Arial" w:eastAsia="Arial" w:hAnsi="Arial"/>
                  <w:sz w:val="17"/>
                  <w:szCs w:val="17"/>
                  <w:b w:val="1"/>
                  <w:bCs w:val="1"/>
                  <w:color w:val="0000EE"/>
                </w:rPr>
                <w:t>Say on Pay—Advisory Vote on the Approval of Executive Compensation (Item 3)</w:t>
              </w:r>
            </w:hyperlink>
          </w:p>
        </w:tc>
        <w:tc>
          <w:tcPr>
            <w:tcW w:w="140" w:type="dxa"/>
            <w:vAlign w:val="bottom"/>
            <w:vMerge w:val="continue"/>
          </w:tcPr>
          <w:p>
            <w:pPr>
              <w:spacing w:after="0"/>
              <w:rPr>
                <w:sz w:val="15"/>
                <w:szCs w:val="15"/>
                <w:color w:val="auto"/>
              </w:rPr>
            </w:pPr>
          </w:p>
        </w:tc>
        <w:tc>
          <w:tcPr>
            <w:tcW w:w="180" w:type="dxa"/>
            <w:vAlign w:val="bottom"/>
            <w:gridSpan w:val="2"/>
          </w:tcPr>
          <w:p>
            <w:pPr>
              <w:jc w:val="right"/>
              <w:spacing w:after="0" w:line="176" w:lineRule="exact"/>
              <w:rPr>
                <w:rFonts w:ascii="Arial" w:cs="Arial" w:eastAsia="Arial" w:hAnsi="Arial"/>
                <w:sz w:val="17"/>
                <w:szCs w:val="17"/>
                <w:b w:val="1"/>
                <w:bCs w:val="1"/>
                <w:color w:val="0000EE"/>
                <w:w w:val="84"/>
              </w:rPr>
            </w:pPr>
            <w:hyperlink w:anchor="page61">
              <w:r>
                <w:rPr>
                  <w:rFonts w:ascii="Arial" w:cs="Arial" w:eastAsia="Arial" w:hAnsi="Arial"/>
                  <w:sz w:val="17"/>
                  <w:szCs w:val="17"/>
                  <w:b w:val="1"/>
                  <w:bCs w:val="1"/>
                  <w:color w:val="0000EE"/>
                  <w:w w:val="84"/>
                </w:rPr>
                <w:t>58</w:t>
              </w:r>
            </w:hyperlink>
          </w:p>
        </w:tc>
        <w:tc>
          <w:tcPr>
            <w:tcW w:w="11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6480" w:type="dxa"/>
            <w:vAlign w:val="bottom"/>
            <w:tcBorders>
              <w:top w:val="single" w:sz="8" w:color="0000EE"/>
            </w:tcBorders>
            <w:gridSpan w:val="38"/>
          </w:tcPr>
          <w:p>
            <w:pPr>
              <w:spacing w:after="0" w:line="176" w:lineRule="exact"/>
              <w:rPr>
                <w:rFonts w:ascii="Arial" w:cs="Arial" w:eastAsia="Arial" w:hAnsi="Arial"/>
                <w:sz w:val="17"/>
                <w:szCs w:val="17"/>
                <w:b w:val="1"/>
                <w:bCs w:val="1"/>
                <w:color w:val="0000EE"/>
              </w:rPr>
            </w:pPr>
            <w:hyperlink w:anchor="page62">
              <w:r>
                <w:rPr>
                  <w:rFonts w:ascii="Arial" w:cs="Arial" w:eastAsia="Arial" w:hAnsi="Arial"/>
                  <w:sz w:val="17"/>
                  <w:szCs w:val="17"/>
                  <w:b w:val="1"/>
                  <w:bCs w:val="1"/>
                  <w:color w:val="0000EE"/>
                </w:rPr>
                <w:t>Management Proposal Regarding Annual Election of Directors (Item 4)</w:t>
              </w:r>
            </w:hyperlink>
          </w:p>
        </w:tc>
        <w:tc>
          <w:tcPr>
            <w:tcW w:w="2200" w:type="dxa"/>
            <w:vAlign w:val="bottom"/>
            <w:gridSpan w:val="3"/>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62">
              <w:r>
                <w:rPr>
                  <w:rFonts w:ascii="Arial" w:cs="Arial" w:eastAsia="Arial" w:hAnsi="Arial"/>
                  <w:sz w:val="17"/>
                  <w:szCs w:val="17"/>
                  <w:b w:val="1"/>
                  <w:bCs w:val="1"/>
                  <w:color w:val="0000EE"/>
                  <w:w w:val="84"/>
                </w:rPr>
                <w:t>59</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5680" w:type="dxa"/>
            <w:vAlign w:val="bottom"/>
            <w:tcBorders>
              <w:top w:val="single" w:sz="8" w:color="0000EE"/>
            </w:tcBorders>
            <w:gridSpan w:val="37"/>
          </w:tcPr>
          <w:p>
            <w:pPr>
              <w:spacing w:after="0" w:line="176" w:lineRule="exact"/>
              <w:rPr>
                <w:rFonts w:ascii="Arial" w:cs="Arial" w:eastAsia="Arial" w:hAnsi="Arial"/>
                <w:sz w:val="17"/>
                <w:szCs w:val="17"/>
                <w:b w:val="1"/>
                <w:bCs w:val="1"/>
                <w:color w:val="0000EE"/>
                <w:w w:val="98"/>
              </w:rPr>
            </w:pPr>
            <w:hyperlink w:anchor="page63">
              <w:r>
                <w:rPr>
                  <w:rFonts w:ascii="Arial" w:cs="Arial" w:eastAsia="Arial" w:hAnsi="Arial"/>
                  <w:sz w:val="17"/>
                  <w:szCs w:val="17"/>
                  <w:b w:val="1"/>
                  <w:bCs w:val="1"/>
                  <w:color w:val="0000EE"/>
                  <w:w w:val="98"/>
                </w:rPr>
                <w:t>Approval of Material Terms of the Performance Goals under the AbbVie</w:t>
              </w:r>
            </w:hyperlink>
          </w:p>
        </w:tc>
        <w:tc>
          <w:tcPr>
            <w:tcW w:w="3140" w:type="dxa"/>
            <w:vAlign w:val="bottom"/>
            <w:gridSpan w:val="5"/>
          </w:tcPr>
          <w:p>
            <w:pPr>
              <w:ind w:left="120"/>
              <w:spacing w:after="0" w:line="176" w:lineRule="exact"/>
              <w:rPr>
                <w:rFonts w:ascii="Arial" w:cs="Arial" w:eastAsia="Arial" w:hAnsi="Arial"/>
                <w:sz w:val="17"/>
                <w:szCs w:val="17"/>
                <w:b w:val="1"/>
                <w:bCs w:val="1"/>
                <w:color w:val="0000EE"/>
              </w:rPr>
            </w:pPr>
            <w:hyperlink w:anchor="page63">
              <w:r>
                <w:rPr>
                  <w:rFonts w:ascii="Arial" w:cs="Arial" w:eastAsia="Arial" w:hAnsi="Arial"/>
                  <w:sz w:val="17"/>
                  <w:szCs w:val="17"/>
                  <w:b w:val="1"/>
                  <w:bCs w:val="1"/>
                  <w:color w:val="0000EE"/>
                </w:rPr>
                <w:t>Performance Incentive Plan (Item 5)</w:t>
              </w:r>
            </w:hyperlink>
          </w:p>
        </w:tc>
        <w:tc>
          <w:tcPr>
            <w:tcW w:w="14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63">
              <w:r>
                <w:rPr>
                  <w:rFonts w:ascii="Arial" w:cs="Arial" w:eastAsia="Arial" w:hAnsi="Arial"/>
                  <w:sz w:val="17"/>
                  <w:szCs w:val="17"/>
                  <w:b w:val="1"/>
                  <w:bCs w:val="1"/>
                  <w:color w:val="0000EE"/>
                  <w:w w:val="84"/>
                </w:rPr>
                <w:t>60</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60" w:type="dxa"/>
            <w:vAlign w:val="bottom"/>
            <w:tcBorders>
              <w:top w:val="single" w:sz="8" w:color="0000EE"/>
              <w:bottom w:val="single" w:sz="8" w:color="0000EE"/>
            </w:tcBorders>
            <w:gridSpan w:val="11"/>
          </w:tcPr>
          <w:p>
            <w:pPr>
              <w:spacing w:after="0" w:line="176" w:lineRule="exact"/>
              <w:rPr>
                <w:rFonts w:ascii="Arial" w:cs="Arial" w:eastAsia="Arial" w:hAnsi="Arial"/>
                <w:sz w:val="17"/>
                <w:szCs w:val="17"/>
                <w:b w:val="1"/>
                <w:bCs w:val="1"/>
                <w:color w:val="0000EE"/>
                <w:w w:val="99"/>
              </w:rPr>
            </w:pPr>
            <w:hyperlink w:anchor="page65">
              <w:r>
                <w:rPr>
                  <w:rFonts w:ascii="Arial" w:cs="Arial" w:eastAsia="Arial" w:hAnsi="Arial"/>
                  <w:sz w:val="17"/>
                  <w:szCs w:val="17"/>
                  <w:b w:val="1"/>
                  <w:bCs w:val="1"/>
                  <w:color w:val="0000EE"/>
                  <w:w w:val="99"/>
                </w:rPr>
                <w:t>Stockholder Proposals</w:t>
              </w:r>
            </w:hyperlink>
          </w:p>
        </w:tc>
        <w:tc>
          <w:tcPr>
            <w:tcW w:w="6820" w:type="dxa"/>
            <w:vAlign w:val="bottom"/>
            <w:tcBorders>
              <w:top w:val="single" w:sz="8" w:color="0000EE"/>
            </w:tcBorders>
            <w:gridSpan w:val="30"/>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0000EE"/>
              <w:bottom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65">
              <w:r>
                <w:rPr>
                  <w:rFonts w:ascii="Arial" w:cs="Arial" w:eastAsia="Arial" w:hAnsi="Arial"/>
                  <w:sz w:val="17"/>
                  <w:szCs w:val="17"/>
                  <w:b w:val="1"/>
                  <w:bCs w:val="1"/>
                  <w:color w:val="0000EE"/>
                  <w:w w:val="84"/>
                </w:rPr>
                <w:t>62</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gridSpan w:val="10"/>
          </w:tcPr>
          <w:p>
            <w:pPr>
              <w:spacing w:after="0" w:line="176" w:lineRule="exact"/>
              <w:rPr>
                <w:rFonts w:ascii="Arial" w:cs="Arial" w:eastAsia="Arial" w:hAnsi="Arial"/>
                <w:sz w:val="17"/>
                <w:szCs w:val="17"/>
                <w:i w:val="1"/>
                <w:iCs w:val="1"/>
                <w:color w:val="0000EE"/>
              </w:rPr>
            </w:pPr>
            <w:hyperlink w:anchor="page65">
              <w:r>
                <w:rPr>
                  <w:rFonts w:ascii="Arial" w:cs="Arial" w:eastAsia="Arial" w:hAnsi="Arial"/>
                  <w:sz w:val="17"/>
                  <w:szCs w:val="17"/>
                  <w:i w:val="1"/>
                  <w:iCs w:val="1"/>
                  <w:color w:val="0000EE"/>
                </w:rPr>
                <w:t>Stockholder Proposal</w:t>
              </w:r>
            </w:hyperlink>
          </w:p>
        </w:tc>
        <w:tc>
          <w:tcPr>
            <w:tcW w:w="2480" w:type="dxa"/>
            <w:vAlign w:val="bottom"/>
            <w:gridSpan w:val="23"/>
          </w:tcPr>
          <w:p>
            <w:pPr>
              <w:spacing w:after="0" w:line="176" w:lineRule="exact"/>
              <w:rPr>
                <w:rFonts w:ascii="Arial" w:cs="Arial" w:eastAsia="Arial" w:hAnsi="Arial"/>
                <w:sz w:val="17"/>
                <w:szCs w:val="17"/>
                <w:i w:val="1"/>
                <w:iCs w:val="1"/>
                <w:color w:val="0000EE"/>
                <w:w w:val="98"/>
              </w:rPr>
            </w:pPr>
            <w:hyperlink w:anchor="page65">
              <w:r>
                <w:rPr>
                  <w:rFonts w:ascii="Arial" w:cs="Arial" w:eastAsia="Arial" w:hAnsi="Arial"/>
                  <w:sz w:val="17"/>
                  <w:szCs w:val="17"/>
                  <w:i w:val="1"/>
                  <w:iCs w:val="1"/>
                  <w:color w:val="0000EE"/>
                  <w:w w:val="98"/>
                </w:rPr>
                <w:t>on Drug Disposal Report (Item 6)</w:t>
              </w:r>
            </w:hyperlink>
          </w:p>
        </w:tc>
        <w:tc>
          <w:tcPr>
            <w:tcW w:w="4480" w:type="dxa"/>
            <w:vAlign w:val="bottom"/>
            <w:gridSpan w:val="8"/>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65">
              <w:r>
                <w:rPr>
                  <w:rFonts w:ascii="Arial" w:cs="Arial" w:eastAsia="Arial" w:hAnsi="Arial"/>
                  <w:sz w:val="17"/>
                  <w:szCs w:val="17"/>
                  <w:color w:val="0000EE"/>
                </w:rPr>
                <w:t>62</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40" w:type="dxa"/>
            <w:vAlign w:val="bottom"/>
            <w:gridSpan w:val="9"/>
            <w:shd w:val="clear" w:color="auto" w:fill="0000EE"/>
          </w:tcPr>
          <w:p>
            <w:pPr>
              <w:spacing w:after="0" w:line="20" w:lineRule="exact"/>
              <w:rPr>
                <w:sz w:val="1"/>
                <w:szCs w:val="1"/>
                <w:color w:val="auto"/>
              </w:rPr>
            </w:pPr>
          </w:p>
        </w:tc>
        <w:tc>
          <w:tcPr>
            <w:tcW w:w="2140" w:type="dxa"/>
            <w:vAlign w:val="bottom"/>
            <w:gridSpan w:val="21"/>
            <w:shd w:val="clear" w:color="auto" w:fill="0000EE"/>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4480" w:type="dxa"/>
            <w:vAlign w:val="bottom"/>
            <w:gridSpan w:val="8"/>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160" w:type="dxa"/>
            <w:vAlign w:val="bottom"/>
            <w:gridSpan w:val="33"/>
          </w:tcPr>
          <w:p>
            <w:pPr>
              <w:spacing w:after="0" w:line="176" w:lineRule="exact"/>
              <w:rPr>
                <w:rFonts w:ascii="Arial" w:cs="Arial" w:eastAsia="Arial" w:hAnsi="Arial"/>
                <w:sz w:val="17"/>
                <w:szCs w:val="17"/>
                <w:i w:val="1"/>
                <w:iCs w:val="1"/>
                <w:color w:val="0000EE"/>
              </w:rPr>
            </w:pPr>
            <w:hyperlink w:anchor="page66">
              <w:r>
                <w:rPr>
                  <w:rFonts w:ascii="Arial" w:cs="Arial" w:eastAsia="Arial" w:hAnsi="Arial"/>
                  <w:sz w:val="17"/>
                  <w:szCs w:val="17"/>
                  <w:i w:val="1"/>
                  <w:iCs w:val="1"/>
                  <w:color w:val="0000EE"/>
                </w:rPr>
                <w:t>Stockholder Proposal on Lobbying Report (Item 7)</w:t>
              </w:r>
            </w:hyperlink>
          </w:p>
        </w:tc>
        <w:tc>
          <w:tcPr>
            <w:tcW w:w="4480" w:type="dxa"/>
            <w:vAlign w:val="bottom"/>
            <w:gridSpan w:val="8"/>
            <w:vMerge w:val="continue"/>
          </w:tcPr>
          <w:p>
            <w:pPr>
              <w:spacing w:after="0"/>
              <w:rPr>
                <w:sz w:val="15"/>
                <w:szCs w:val="15"/>
                <w:color w:val="auto"/>
              </w:rPr>
            </w:pPr>
          </w:p>
        </w:tc>
        <w:tc>
          <w:tcPr>
            <w:tcW w:w="1460" w:type="dxa"/>
            <w:vAlign w:val="bottom"/>
            <w:gridSpan w:val="5"/>
          </w:tcPr>
          <w:p>
            <w:pPr>
              <w:jc w:val="right"/>
              <w:ind w:right="1140"/>
              <w:spacing w:after="0" w:line="176" w:lineRule="exact"/>
              <w:rPr>
                <w:rFonts w:ascii="Arial" w:cs="Arial" w:eastAsia="Arial" w:hAnsi="Arial"/>
                <w:sz w:val="17"/>
                <w:szCs w:val="17"/>
                <w:color w:val="0000EE"/>
              </w:rPr>
            </w:pPr>
            <w:hyperlink w:anchor="page66">
              <w:r>
                <w:rPr>
                  <w:rFonts w:ascii="Arial" w:cs="Arial" w:eastAsia="Arial" w:hAnsi="Arial"/>
                  <w:sz w:val="17"/>
                  <w:szCs w:val="17"/>
                  <w:color w:val="0000EE"/>
                </w:rPr>
                <w:t>63</w:t>
              </w:r>
            </w:hyperlink>
          </w:p>
        </w:tc>
        <w:tc>
          <w:tcPr>
            <w:tcW w:w="0" w:type="dxa"/>
            <w:vAlign w:val="bottom"/>
          </w:tcPr>
          <w:p>
            <w:pPr>
              <w:spacing w:after="0"/>
              <w:rPr>
                <w:sz w:val="1"/>
                <w:szCs w:val="1"/>
                <w:color w:val="auto"/>
              </w:rPr>
            </w:pPr>
          </w:p>
        </w:tc>
      </w:tr>
      <w:tr>
        <w:trPr>
          <w:trHeight w:val="176"/>
        </w:trPr>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780" w:type="dxa"/>
            <w:vAlign w:val="bottom"/>
            <w:tcBorders>
              <w:top w:val="single" w:sz="8" w:color="0000EE"/>
            </w:tcBorders>
            <w:gridSpan w:val="30"/>
          </w:tcPr>
          <w:p>
            <w:pPr>
              <w:spacing w:after="0" w:line="176" w:lineRule="exact"/>
              <w:rPr>
                <w:rFonts w:ascii="Arial" w:cs="Arial" w:eastAsia="Arial" w:hAnsi="Arial"/>
                <w:sz w:val="17"/>
                <w:szCs w:val="17"/>
                <w:b w:val="1"/>
                <w:bCs w:val="1"/>
                <w:color w:val="0000EE"/>
              </w:rPr>
            </w:pPr>
            <w:hyperlink w:anchor="page70">
              <w:r>
                <w:rPr>
                  <w:rFonts w:ascii="Arial" w:cs="Arial" w:eastAsia="Arial" w:hAnsi="Arial"/>
                  <w:sz w:val="17"/>
                  <w:szCs w:val="17"/>
                  <w:b w:val="1"/>
                  <w:bCs w:val="1"/>
                  <w:color w:val="0000EE"/>
                </w:rPr>
                <w:t>Additional Information</w:t>
              </w:r>
            </w:hyperlink>
          </w:p>
        </w:tc>
        <w:tc>
          <w:tcPr>
            <w:tcW w:w="4860" w:type="dxa"/>
            <w:vAlign w:val="bottom"/>
            <w:gridSpan w:val="11"/>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Arial" w:cs="Arial" w:eastAsia="Arial" w:hAnsi="Arial"/>
                <w:sz w:val="17"/>
                <w:szCs w:val="17"/>
                <w:b w:val="1"/>
                <w:bCs w:val="1"/>
                <w:color w:val="0000EE"/>
                <w:w w:val="84"/>
              </w:rPr>
            </w:pPr>
            <w:hyperlink w:anchor="page70">
              <w:r>
                <w:rPr>
                  <w:rFonts w:ascii="Arial" w:cs="Arial" w:eastAsia="Arial" w:hAnsi="Arial"/>
                  <w:sz w:val="17"/>
                  <w:szCs w:val="17"/>
                  <w:b w:val="1"/>
                  <w:bCs w:val="1"/>
                  <w:color w:val="0000EE"/>
                  <w:w w:val="84"/>
                </w:rPr>
                <w:t>67</w:t>
              </w:r>
            </w:hyperlink>
          </w:p>
        </w:tc>
        <w:tc>
          <w:tcPr>
            <w:tcW w:w="114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1140" w:type="dxa"/>
            <w:vAlign w:val="bottom"/>
            <w:tcBorders>
              <w:bottom w:val="single" w:sz="8" w:color="808080"/>
            </w:tcBorders>
          </w:tcPr>
          <w:p>
            <w:pPr>
              <w:spacing w:after="0"/>
              <w:rPr>
                <w:sz w:val="10"/>
                <w:szCs w:val="10"/>
                <w:color w:val="auto"/>
              </w:rPr>
            </w:pPr>
          </w:p>
        </w:tc>
        <w:tc>
          <w:tcPr>
            <w:tcW w:w="180" w:type="dxa"/>
            <w:vAlign w:val="bottom"/>
            <w:tcBorders>
              <w:top w:val="single" w:sz="8" w:color="0000EE"/>
              <w:bottom w:val="single" w:sz="8" w:color="808080"/>
            </w:tcBorders>
          </w:tcPr>
          <w:p>
            <w:pPr>
              <w:spacing w:after="0"/>
              <w:rPr>
                <w:sz w:val="10"/>
                <w:szCs w:val="10"/>
                <w:color w:val="auto"/>
              </w:rPr>
            </w:pPr>
          </w:p>
        </w:tc>
        <w:tc>
          <w:tcPr>
            <w:tcW w:w="180" w:type="dxa"/>
            <w:vAlign w:val="bottom"/>
            <w:tcBorders>
              <w:top w:val="single" w:sz="8" w:color="0000EE"/>
              <w:bottom w:val="single" w:sz="8" w:color="808080"/>
            </w:tcBorders>
          </w:tcPr>
          <w:p>
            <w:pPr>
              <w:spacing w:after="0"/>
              <w:rPr>
                <w:sz w:val="10"/>
                <w:szCs w:val="10"/>
                <w:color w:val="auto"/>
              </w:rPr>
            </w:pPr>
          </w:p>
        </w:tc>
        <w:tc>
          <w:tcPr>
            <w:tcW w:w="920" w:type="dxa"/>
            <w:vAlign w:val="bottom"/>
            <w:tcBorders>
              <w:top w:val="single" w:sz="8" w:color="0000EE"/>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160" w:type="dxa"/>
            <w:vAlign w:val="bottom"/>
            <w:tcBorders>
              <w:top w:val="single" w:sz="8" w:color="0000EE"/>
              <w:bottom w:val="single" w:sz="8" w:color="808080"/>
            </w:tcBorders>
          </w:tcPr>
          <w:p>
            <w:pPr>
              <w:spacing w:after="0"/>
              <w:rPr>
                <w:sz w:val="10"/>
                <w:szCs w:val="10"/>
                <w:color w:val="auto"/>
              </w:rPr>
            </w:pPr>
          </w:p>
        </w:tc>
        <w:tc>
          <w:tcPr>
            <w:tcW w:w="60" w:type="dxa"/>
            <w:vAlign w:val="bottom"/>
            <w:tcBorders>
              <w:top w:val="single" w:sz="8" w:color="0000EE"/>
              <w:bottom w:val="single" w:sz="8" w:color="808080"/>
            </w:tcBorders>
          </w:tcPr>
          <w:p>
            <w:pPr>
              <w:spacing w:after="0"/>
              <w:rPr>
                <w:sz w:val="10"/>
                <w:szCs w:val="10"/>
                <w:color w:val="auto"/>
              </w:rPr>
            </w:pPr>
          </w:p>
        </w:tc>
        <w:tc>
          <w:tcPr>
            <w:tcW w:w="20" w:type="dxa"/>
            <w:vAlign w:val="bottom"/>
            <w:tcBorders>
              <w:top w:val="single" w:sz="8" w:color="0000EE"/>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6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8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10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440" w:type="dxa"/>
            <w:vAlign w:val="bottom"/>
            <w:tcBorders>
              <w:bottom w:val="single" w:sz="8" w:color="808080"/>
            </w:tcBorders>
          </w:tcPr>
          <w:p>
            <w:pPr>
              <w:spacing w:after="0"/>
              <w:rPr>
                <w:sz w:val="10"/>
                <w:szCs w:val="10"/>
                <w:color w:val="auto"/>
              </w:rPr>
            </w:pPr>
          </w:p>
        </w:tc>
        <w:tc>
          <w:tcPr>
            <w:tcW w:w="120" w:type="dxa"/>
            <w:vAlign w:val="bottom"/>
            <w:tcBorders>
              <w:bottom w:val="single" w:sz="8" w:color="808080"/>
            </w:tcBorders>
          </w:tcPr>
          <w:p>
            <w:pPr>
              <w:spacing w:after="0"/>
              <w:rPr>
                <w:sz w:val="10"/>
                <w:szCs w:val="10"/>
                <w:color w:val="auto"/>
              </w:rPr>
            </w:pPr>
          </w:p>
        </w:tc>
        <w:tc>
          <w:tcPr>
            <w:tcW w:w="60" w:type="dxa"/>
            <w:vAlign w:val="bottom"/>
            <w:tcBorders>
              <w:bottom w:val="single" w:sz="8" w:color="808080"/>
            </w:tcBorders>
          </w:tcPr>
          <w:p>
            <w:pPr>
              <w:spacing w:after="0"/>
              <w:rPr>
                <w:sz w:val="10"/>
                <w:szCs w:val="10"/>
                <w:color w:val="auto"/>
              </w:rPr>
            </w:pPr>
          </w:p>
        </w:tc>
        <w:tc>
          <w:tcPr>
            <w:tcW w:w="200" w:type="dxa"/>
            <w:vAlign w:val="bottom"/>
            <w:tcBorders>
              <w:bottom w:val="single" w:sz="8" w:color="808080"/>
            </w:tcBorders>
          </w:tcPr>
          <w:p>
            <w:pPr>
              <w:spacing w:after="0"/>
              <w:rPr>
                <w:sz w:val="10"/>
                <w:szCs w:val="10"/>
                <w:color w:val="auto"/>
              </w:rPr>
            </w:pPr>
          </w:p>
        </w:tc>
        <w:tc>
          <w:tcPr>
            <w:tcW w:w="280" w:type="dxa"/>
            <w:vAlign w:val="bottom"/>
            <w:tcBorders>
              <w:bottom w:val="single" w:sz="8" w:color="808080"/>
            </w:tcBorders>
          </w:tcPr>
          <w:p>
            <w:pPr>
              <w:spacing w:after="0"/>
              <w:rPr>
                <w:sz w:val="10"/>
                <w:szCs w:val="10"/>
                <w:color w:val="auto"/>
              </w:rPr>
            </w:pPr>
          </w:p>
        </w:tc>
        <w:tc>
          <w:tcPr>
            <w:tcW w:w="320" w:type="dxa"/>
            <w:vAlign w:val="bottom"/>
            <w:tcBorders>
              <w:bottom w:val="single" w:sz="8" w:color="808080"/>
            </w:tcBorders>
          </w:tcPr>
          <w:p>
            <w:pPr>
              <w:spacing w:after="0"/>
              <w:rPr>
                <w:sz w:val="10"/>
                <w:szCs w:val="10"/>
                <w:color w:val="auto"/>
              </w:rPr>
            </w:pPr>
          </w:p>
        </w:tc>
        <w:tc>
          <w:tcPr>
            <w:tcW w:w="740" w:type="dxa"/>
            <w:vAlign w:val="bottom"/>
            <w:tcBorders>
              <w:bottom w:val="single" w:sz="8" w:color="808080"/>
            </w:tcBorders>
          </w:tcPr>
          <w:p>
            <w:pPr>
              <w:spacing w:after="0"/>
              <w:rPr>
                <w:sz w:val="10"/>
                <w:szCs w:val="10"/>
                <w:color w:val="auto"/>
              </w:rPr>
            </w:pPr>
          </w:p>
        </w:tc>
        <w:tc>
          <w:tcPr>
            <w:tcW w:w="800" w:type="dxa"/>
            <w:vAlign w:val="bottom"/>
            <w:tcBorders>
              <w:bottom w:val="single" w:sz="8" w:color="808080"/>
            </w:tcBorders>
          </w:tcPr>
          <w:p>
            <w:pPr>
              <w:spacing w:after="0"/>
              <w:rPr>
                <w:sz w:val="10"/>
                <w:szCs w:val="10"/>
                <w:color w:val="auto"/>
              </w:rPr>
            </w:pPr>
          </w:p>
        </w:tc>
        <w:tc>
          <w:tcPr>
            <w:tcW w:w="1580" w:type="dxa"/>
            <w:vAlign w:val="bottom"/>
            <w:tcBorders>
              <w:bottom w:val="single" w:sz="8" w:color="808080"/>
            </w:tcBorders>
          </w:tcPr>
          <w:p>
            <w:pPr>
              <w:spacing w:after="0"/>
              <w:rPr>
                <w:sz w:val="10"/>
                <w:szCs w:val="10"/>
                <w:color w:val="auto"/>
              </w:rPr>
            </w:pPr>
          </w:p>
        </w:tc>
        <w:tc>
          <w:tcPr>
            <w:tcW w:w="240" w:type="dxa"/>
            <w:vAlign w:val="bottom"/>
            <w:tcBorders>
              <w:bottom w:val="single" w:sz="8" w:color="808080"/>
            </w:tcBorders>
          </w:tcPr>
          <w:p>
            <w:pPr>
              <w:spacing w:after="0"/>
              <w:rPr>
                <w:sz w:val="10"/>
                <w:szCs w:val="10"/>
                <w:color w:val="auto"/>
              </w:rPr>
            </w:pPr>
          </w:p>
        </w:tc>
        <w:tc>
          <w:tcPr>
            <w:tcW w:w="38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140" w:type="dxa"/>
            <w:vAlign w:val="bottom"/>
            <w:tcBorders>
              <w:bottom w:val="single" w:sz="8" w:color="808080"/>
            </w:tcBorders>
          </w:tcPr>
          <w:p>
            <w:pPr>
              <w:spacing w:after="0"/>
              <w:rPr>
                <w:sz w:val="10"/>
                <w:szCs w:val="10"/>
                <w:color w:val="auto"/>
              </w:rPr>
            </w:pPr>
          </w:p>
        </w:tc>
        <w:tc>
          <w:tcPr>
            <w:tcW w:w="80" w:type="dxa"/>
            <w:vAlign w:val="bottom"/>
            <w:tcBorders>
              <w:top w:val="single" w:sz="8" w:color="0000EE"/>
              <w:bottom w:val="single" w:sz="8" w:color="808080"/>
            </w:tcBorders>
          </w:tcPr>
          <w:p>
            <w:pPr>
              <w:spacing w:after="0"/>
              <w:rPr>
                <w:sz w:val="10"/>
                <w:szCs w:val="10"/>
                <w:color w:val="auto"/>
              </w:rPr>
            </w:pPr>
          </w:p>
        </w:tc>
        <w:tc>
          <w:tcPr>
            <w:tcW w:w="100" w:type="dxa"/>
            <w:vAlign w:val="bottom"/>
            <w:tcBorders>
              <w:top w:val="single" w:sz="8" w:color="0000EE"/>
              <w:bottom w:val="single" w:sz="8" w:color="808080"/>
            </w:tcBorders>
          </w:tcPr>
          <w:p>
            <w:pPr>
              <w:spacing w:after="0"/>
              <w:rPr>
                <w:sz w:val="10"/>
                <w:szCs w:val="10"/>
                <w:color w:val="auto"/>
              </w:rPr>
            </w:pPr>
          </w:p>
        </w:tc>
        <w:tc>
          <w:tcPr>
            <w:tcW w:w="20" w:type="dxa"/>
            <w:vAlign w:val="bottom"/>
            <w:tcBorders>
              <w:bottom w:val="single" w:sz="8" w:color="808080"/>
            </w:tcBorders>
          </w:tcPr>
          <w:p>
            <w:pPr>
              <w:spacing w:after="0"/>
              <w:rPr>
                <w:sz w:val="10"/>
                <w:szCs w:val="10"/>
                <w:color w:val="auto"/>
              </w:rPr>
            </w:pPr>
          </w:p>
        </w:tc>
        <w:tc>
          <w:tcPr>
            <w:tcW w:w="112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 w:name="page4"/>
    <w:bookmarkEnd w:id="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387985</wp:posOffset>
            </wp:positionV>
            <wp:extent cx="7312660" cy="71850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312660" cy="7185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240" w:firstLine="658"/>
        <w:spacing w:after="0" w:line="245" w:lineRule="auto"/>
        <w:rPr>
          <w:sz w:val="20"/>
          <w:szCs w:val="20"/>
          <w:color w:val="auto"/>
        </w:rPr>
      </w:pPr>
      <w:r>
        <w:rPr>
          <w:rFonts w:ascii="Arial" w:cs="Arial" w:eastAsia="Arial" w:hAnsi="Arial"/>
          <w:sz w:val="17"/>
          <w:szCs w:val="17"/>
          <w:color w:val="auto"/>
        </w:rPr>
        <w:t>The accompanying proxy is solicited on behalf of the board of directors for use at the Annual Meeting of Stockholders. The meeting will be hel on May 6, 2016, at the Fairmont Chicago, Millennium Park, 200 North Columbus Drive, Chicago, Illinois 60601. This summary highlights selected information in the Proxy Statement. Please review the entire Proxy Statement and the AbbVie 2015 Annual Report before voting.</w:t>
      </w:r>
    </w:p>
    <w:p>
      <w:pPr>
        <w:spacing w:after="0" w:line="163"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444867"/>
        </w:rPr>
        <w:t>2016 Annual Meeting of Stockholders</w:t>
      </w:r>
    </w:p>
    <w:p>
      <w:pPr>
        <w:spacing w:after="0" w:line="257"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Date and Time: May 6, 2016 9:00 a.m. CT</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Location: Fairmont Chicago, Millennium Park, 200 North Columbus Drive, Chicago, Illinois 60601</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auto"/>
        </w:rPr>
        <w:t>Record Date: March 9, 2016</w:t>
      </w:r>
    </w:p>
    <w:p>
      <w:pPr>
        <w:spacing w:after="0" w:line="210" w:lineRule="exact"/>
        <w:rPr>
          <w:sz w:val="20"/>
          <w:szCs w:val="20"/>
          <w:color w:val="auto"/>
        </w:rPr>
      </w:pPr>
    </w:p>
    <w:p>
      <w:pPr>
        <w:ind w:left="240" w:right="40"/>
        <w:spacing w:after="0" w:line="275" w:lineRule="auto"/>
        <w:rPr>
          <w:sz w:val="20"/>
          <w:szCs w:val="20"/>
          <w:color w:val="auto"/>
        </w:rPr>
      </w:pPr>
      <w:r>
        <w:rPr>
          <w:rFonts w:ascii="Arial" w:cs="Arial" w:eastAsia="Arial" w:hAnsi="Arial"/>
          <w:sz w:val="17"/>
          <w:szCs w:val="17"/>
          <w:b w:val="1"/>
          <w:bCs w:val="1"/>
          <w:color w:val="auto"/>
        </w:rPr>
        <w:t xml:space="preserve">How to Vote: </w:t>
      </w:r>
      <w:r>
        <w:rPr>
          <w:rFonts w:ascii="Arial" w:cs="Arial" w:eastAsia="Arial" w:hAnsi="Arial"/>
          <w:sz w:val="17"/>
          <w:szCs w:val="17"/>
          <w:color w:val="auto"/>
        </w:rPr>
        <w:t>Stockholders as of the record date are entitled to vote via Internet at</w:t>
      </w:r>
      <w:r>
        <w:rPr>
          <w:rFonts w:ascii="Arial" w:cs="Arial" w:eastAsia="Arial" w:hAnsi="Arial"/>
          <w:sz w:val="17"/>
          <w:szCs w:val="17"/>
          <w:b w:val="1"/>
          <w:bCs w:val="1"/>
          <w:color w:val="auto"/>
        </w:rPr>
        <w:t xml:space="preserve"> </w:t>
      </w:r>
      <w:r>
        <w:rPr>
          <w:rFonts w:ascii="Arial" w:cs="Arial" w:eastAsia="Arial" w:hAnsi="Arial"/>
          <w:sz w:val="17"/>
          <w:szCs w:val="17"/>
          <w:i w:val="1"/>
          <w:iCs w:val="1"/>
          <w:color w:val="auto"/>
        </w:rPr>
        <w:t>www.proxyvote.com</w:t>
      </w:r>
      <w:r>
        <w:rPr>
          <w:rFonts w:ascii="Arial" w:cs="Arial" w:eastAsia="Arial" w:hAnsi="Arial"/>
          <w:sz w:val="17"/>
          <w:szCs w:val="17"/>
          <w:color w:val="auto"/>
        </w:rPr>
        <w:t>; by telephone at 1-800-690-6903; by returning</w:t>
      </w:r>
      <w:r>
        <w:rPr>
          <w:rFonts w:ascii="Arial" w:cs="Arial" w:eastAsia="Arial" w:hAnsi="Arial"/>
          <w:sz w:val="17"/>
          <w:szCs w:val="17"/>
          <w:b w:val="1"/>
          <w:bCs w:val="1"/>
          <w:color w:val="auto"/>
        </w:rPr>
        <w:t xml:space="preserve"> </w:t>
      </w:r>
      <w:r>
        <w:rPr>
          <w:rFonts w:ascii="Arial" w:cs="Arial" w:eastAsia="Arial" w:hAnsi="Arial"/>
          <w:sz w:val="17"/>
          <w:szCs w:val="17"/>
          <w:color w:val="auto"/>
        </w:rPr>
        <w:t>completed proxy card; or in person at the Annual Meeting of Stockholders.</w:t>
      </w:r>
    </w:p>
    <w:p>
      <w:pPr>
        <w:spacing w:after="0" w:line="138"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444867"/>
        </w:rPr>
        <w:t>Voting Items and Board Recommendations</w:t>
      </w:r>
    </w:p>
    <w:p>
      <w:pPr>
        <w:spacing w:after="0" w:line="257" w:lineRule="exact"/>
        <w:rPr>
          <w:sz w:val="20"/>
          <w:szCs w:val="20"/>
          <w:color w:val="auto"/>
        </w:rPr>
      </w:pPr>
    </w:p>
    <w:tbl>
      <w:tblPr>
        <w:tblLayout w:type="fixed"/>
        <w:tblInd w:w="1400" w:type="dxa"/>
        <w:tblCellMar>
          <w:top w:w="0" w:type="dxa"/>
          <w:left w:w="0" w:type="dxa"/>
          <w:bottom w:w="0" w:type="dxa"/>
          <w:right w:w="0" w:type="dxa"/>
        </w:tblCellMar>
      </w:tblPr>
      <w:tr>
        <w:trPr>
          <w:trHeight w:val="196"/>
        </w:trPr>
        <w:tc>
          <w:tcPr>
            <w:tcW w:w="600" w:type="dxa"/>
            <w:vAlign w:val="bottom"/>
          </w:tcPr>
          <w:p>
            <w:pPr>
              <w:spacing w:after="0"/>
              <w:rPr>
                <w:sz w:val="17"/>
                <w:szCs w:val="17"/>
                <w:color w:val="auto"/>
              </w:rPr>
            </w:pPr>
          </w:p>
        </w:tc>
        <w:tc>
          <w:tcPr>
            <w:tcW w:w="6880" w:type="dxa"/>
            <w:vAlign w:val="bottom"/>
          </w:tcPr>
          <w:p>
            <w:pPr>
              <w:spacing w:after="0"/>
              <w:rPr>
                <w:sz w:val="17"/>
                <w:szCs w:val="17"/>
                <w:color w:val="auto"/>
              </w:rPr>
            </w:pPr>
          </w:p>
        </w:tc>
        <w:tc>
          <w:tcPr>
            <w:tcW w:w="1640" w:type="dxa"/>
            <w:vAlign w:val="bottom"/>
          </w:tcPr>
          <w:p>
            <w:pPr>
              <w:jc w:val="center"/>
              <w:spacing w:after="0"/>
              <w:rPr>
                <w:sz w:val="20"/>
                <w:szCs w:val="20"/>
                <w:color w:val="auto"/>
              </w:rPr>
            </w:pPr>
            <w:r>
              <w:rPr>
                <w:rFonts w:ascii="Arial" w:cs="Arial" w:eastAsia="Arial" w:hAnsi="Arial"/>
                <w:sz w:val="17"/>
                <w:szCs w:val="17"/>
                <w:b w:val="1"/>
                <w:bCs w:val="1"/>
                <w:color w:val="auto"/>
                <w:w w:val="97"/>
              </w:rPr>
              <w:t>Board</w:t>
            </w:r>
          </w:p>
        </w:tc>
        <w:tc>
          <w:tcPr>
            <w:tcW w:w="0" w:type="dxa"/>
            <w:vAlign w:val="bottom"/>
          </w:tcPr>
          <w:p>
            <w:pPr>
              <w:spacing w:after="0"/>
              <w:rPr>
                <w:sz w:val="1"/>
                <w:szCs w:val="1"/>
                <w:color w:val="auto"/>
              </w:rPr>
            </w:pPr>
          </w:p>
        </w:tc>
      </w:tr>
      <w:tr>
        <w:trPr>
          <w:trHeight w:val="213"/>
        </w:trPr>
        <w:tc>
          <w:tcPr>
            <w:tcW w:w="7480" w:type="dxa"/>
            <w:vAlign w:val="bottom"/>
            <w:gridSpan w:val="2"/>
            <w:vMerge w:val="restart"/>
          </w:tcPr>
          <w:p>
            <w:pPr>
              <w:spacing w:after="0"/>
              <w:rPr>
                <w:sz w:val="20"/>
                <w:szCs w:val="20"/>
                <w:color w:val="auto"/>
              </w:rPr>
            </w:pPr>
            <w:r>
              <w:rPr>
                <w:rFonts w:ascii="Arial" w:cs="Arial" w:eastAsia="Arial" w:hAnsi="Arial"/>
                <w:sz w:val="17"/>
                <w:szCs w:val="17"/>
                <w:color w:val="auto"/>
              </w:rPr>
              <w:t xml:space="preserve">Item 1   </w:t>
            </w:r>
            <w:r>
              <w:rPr>
                <w:rFonts w:ascii="Arial" w:cs="Arial" w:eastAsia="Arial" w:hAnsi="Arial"/>
                <w:sz w:val="17"/>
                <w:szCs w:val="17"/>
                <w:b w:val="1"/>
                <w:bCs w:val="1"/>
                <w:color w:val="auto"/>
              </w:rPr>
              <w:t>Election of Directors</w:t>
            </w:r>
          </w:p>
        </w:tc>
        <w:tc>
          <w:tcPr>
            <w:tcW w:w="164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Recommendations</w:t>
            </w:r>
          </w:p>
        </w:tc>
        <w:tc>
          <w:tcPr>
            <w:tcW w:w="0" w:type="dxa"/>
            <w:vAlign w:val="bottom"/>
          </w:tcPr>
          <w:p>
            <w:pPr>
              <w:spacing w:after="0"/>
              <w:rPr>
                <w:sz w:val="1"/>
                <w:szCs w:val="1"/>
                <w:color w:val="auto"/>
              </w:rPr>
            </w:pPr>
          </w:p>
        </w:tc>
      </w:tr>
      <w:tr>
        <w:trPr>
          <w:trHeight w:val="172"/>
        </w:trPr>
        <w:tc>
          <w:tcPr>
            <w:tcW w:w="7480" w:type="dxa"/>
            <w:vAlign w:val="bottom"/>
            <w:gridSpan w:val="2"/>
            <w:vMerge w:val="continue"/>
          </w:tcPr>
          <w:p>
            <w:pPr>
              <w:spacing w:after="0"/>
              <w:rPr>
                <w:sz w:val="14"/>
                <w:szCs w:val="14"/>
                <w:color w:val="auto"/>
              </w:rPr>
            </w:pPr>
          </w:p>
        </w:tc>
        <w:tc>
          <w:tcPr>
            <w:tcW w:w="1640" w:type="dxa"/>
            <w:vAlign w:val="bottom"/>
          </w:tcPr>
          <w:p>
            <w:pPr>
              <w:jc w:val="center"/>
              <w:spacing w:after="0" w:line="172" w:lineRule="exact"/>
              <w:rPr>
                <w:sz w:val="20"/>
                <w:szCs w:val="20"/>
                <w:color w:val="auto"/>
              </w:rPr>
            </w:pPr>
            <w:r>
              <w:rPr>
                <w:rFonts w:ascii="Arial" w:cs="Arial" w:eastAsia="Arial" w:hAnsi="Arial"/>
                <w:sz w:val="17"/>
                <w:szCs w:val="17"/>
                <w:color w:val="auto"/>
                <w:w w:val="99"/>
              </w:rPr>
              <w:t>FOR All Nominees</w:t>
            </w:r>
          </w:p>
        </w:tc>
        <w:tc>
          <w:tcPr>
            <w:tcW w:w="0" w:type="dxa"/>
            <w:vAlign w:val="bottom"/>
          </w:tcPr>
          <w:p>
            <w:pPr>
              <w:spacing w:after="0"/>
              <w:rPr>
                <w:sz w:val="1"/>
                <w:szCs w:val="1"/>
                <w:color w:val="auto"/>
              </w:rPr>
            </w:pPr>
          </w:p>
        </w:tc>
      </w:tr>
      <w:tr>
        <w:trPr>
          <w:trHeight w:val="196"/>
        </w:trPr>
        <w:tc>
          <w:tcPr>
            <w:tcW w:w="7480" w:type="dxa"/>
            <w:vAlign w:val="bottom"/>
            <w:gridSpan w:val="2"/>
          </w:tcPr>
          <w:p>
            <w:pPr>
              <w:spacing w:after="0"/>
              <w:rPr>
                <w:sz w:val="20"/>
                <w:szCs w:val="20"/>
                <w:color w:val="auto"/>
              </w:rPr>
            </w:pPr>
            <w:r>
              <w:rPr>
                <w:rFonts w:ascii="Arial" w:cs="Arial" w:eastAsia="Arial" w:hAnsi="Arial"/>
                <w:sz w:val="17"/>
                <w:szCs w:val="17"/>
                <w:color w:val="auto"/>
              </w:rPr>
              <w:t xml:space="preserve">Item 2   </w:t>
            </w:r>
            <w:r>
              <w:rPr>
                <w:rFonts w:ascii="Arial" w:cs="Arial" w:eastAsia="Arial" w:hAnsi="Arial"/>
                <w:sz w:val="17"/>
                <w:szCs w:val="17"/>
                <w:b w:val="1"/>
                <w:bCs w:val="1"/>
                <w:color w:val="auto"/>
              </w:rPr>
              <w:t>Ratification of Independent Auditor</w:t>
            </w:r>
          </w:p>
        </w:tc>
        <w:tc>
          <w:tcPr>
            <w:tcW w:w="1640" w:type="dxa"/>
            <w:vAlign w:val="bottom"/>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96"/>
        </w:trPr>
        <w:tc>
          <w:tcPr>
            <w:tcW w:w="7480" w:type="dxa"/>
            <w:vAlign w:val="bottom"/>
            <w:gridSpan w:val="2"/>
          </w:tcPr>
          <w:p>
            <w:pPr>
              <w:spacing w:after="0"/>
              <w:rPr>
                <w:sz w:val="20"/>
                <w:szCs w:val="20"/>
                <w:color w:val="auto"/>
              </w:rPr>
            </w:pPr>
            <w:r>
              <w:rPr>
                <w:rFonts w:ascii="Arial" w:cs="Arial" w:eastAsia="Arial" w:hAnsi="Arial"/>
                <w:sz w:val="17"/>
                <w:szCs w:val="17"/>
                <w:color w:val="auto"/>
              </w:rPr>
              <w:t xml:space="preserve">Item 3   </w:t>
            </w:r>
            <w:r>
              <w:rPr>
                <w:rFonts w:ascii="Arial" w:cs="Arial" w:eastAsia="Arial" w:hAnsi="Arial"/>
                <w:sz w:val="17"/>
                <w:szCs w:val="17"/>
                <w:b w:val="1"/>
                <w:bCs w:val="1"/>
                <w:color w:val="auto"/>
              </w:rPr>
              <w:t>Say on Pay—Advisory Vote on the Approval of Executive Compensation</w:t>
            </w:r>
          </w:p>
        </w:tc>
        <w:tc>
          <w:tcPr>
            <w:tcW w:w="1640" w:type="dxa"/>
            <w:vAlign w:val="bottom"/>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20"/>
                <w:szCs w:val="20"/>
                <w:color w:val="auto"/>
              </w:rPr>
            </w:pPr>
            <w:r>
              <w:rPr>
                <w:rFonts w:ascii="Arial" w:cs="Arial" w:eastAsia="Arial" w:hAnsi="Arial"/>
                <w:sz w:val="17"/>
                <w:szCs w:val="17"/>
                <w:color w:val="auto"/>
              </w:rPr>
              <w:t>Item 4</w:t>
            </w:r>
          </w:p>
        </w:tc>
        <w:tc>
          <w:tcPr>
            <w:tcW w:w="6880" w:type="dxa"/>
            <w:vAlign w:val="bottom"/>
          </w:tcPr>
          <w:p>
            <w:pPr>
              <w:ind w:left="140"/>
              <w:spacing w:after="0"/>
              <w:rPr>
                <w:sz w:val="20"/>
                <w:szCs w:val="20"/>
                <w:color w:val="auto"/>
              </w:rPr>
            </w:pPr>
            <w:r>
              <w:rPr>
                <w:rFonts w:ascii="Arial" w:cs="Arial" w:eastAsia="Arial" w:hAnsi="Arial"/>
                <w:sz w:val="17"/>
                <w:szCs w:val="17"/>
                <w:b w:val="1"/>
                <w:bCs w:val="1"/>
                <w:color w:val="auto"/>
              </w:rPr>
              <w:t>Management Proposal Regarding the Annual Election of Directors</w:t>
            </w:r>
          </w:p>
        </w:tc>
        <w:tc>
          <w:tcPr>
            <w:tcW w:w="1640" w:type="dxa"/>
            <w:vAlign w:val="bottom"/>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20"/>
                <w:szCs w:val="20"/>
                <w:color w:val="auto"/>
              </w:rPr>
            </w:pPr>
            <w:r>
              <w:rPr>
                <w:rFonts w:ascii="Arial" w:cs="Arial" w:eastAsia="Arial" w:hAnsi="Arial"/>
                <w:sz w:val="17"/>
                <w:szCs w:val="17"/>
                <w:color w:val="auto"/>
              </w:rPr>
              <w:t>Item 5</w:t>
            </w:r>
          </w:p>
        </w:tc>
        <w:tc>
          <w:tcPr>
            <w:tcW w:w="6880" w:type="dxa"/>
            <w:vAlign w:val="bottom"/>
          </w:tcPr>
          <w:p>
            <w:pPr>
              <w:ind w:left="140"/>
              <w:spacing w:after="0"/>
              <w:rPr>
                <w:sz w:val="20"/>
                <w:szCs w:val="20"/>
                <w:color w:val="auto"/>
              </w:rPr>
            </w:pPr>
            <w:r>
              <w:rPr>
                <w:rFonts w:ascii="Arial" w:cs="Arial" w:eastAsia="Arial" w:hAnsi="Arial"/>
                <w:sz w:val="17"/>
                <w:szCs w:val="17"/>
                <w:b w:val="1"/>
                <w:bCs w:val="1"/>
                <w:color w:val="auto"/>
              </w:rPr>
              <w:t>Approval of the Material Terms of the Performance Goals under the AbbVie</w:t>
            </w:r>
          </w:p>
        </w:tc>
        <w:tc>
          <w:tcPr>
            <w:tcW w:w="1640" w:type="dxa"/>
            <w:vAlign w:val="bottom"/>
          </w:tcPr>
          <w:p>
            <w:pPr>
              <w:jc w:val="center"/>
              <w:spacing w:after="0"/>
              <w:rPr>
                <w:sz w:val="20"/>
                <w:szCs w:val="20"/>
                <w:color w:val="auto"/>
              </w:rPr>
            </w:pPr>
            <w:r>
              <w:rPr>
                <w:rFonts w:ascii="Arial" w:cs="Arial" w:eastAsia="Arial" w:hAnsi="Arial"/>
                <w:sz w:val="17"/>
                <w:szCs w:val="17"/>
                <w:color w:val="auto"/>
              </w:rPr>
              <w:t>FOR</w:t>
            </w:r>
          </w:p>
        </w:tc>
        <w:tc>
          <w:tcPr>
            <w:tcW w:w="0" w:type="dxa"/>
            <w:vAlign w:val="bottom"/>
          </w:tcPr>
          <w:p>
            <w:pPr>
              <w:spacing w:after="0"/>
              <w:rPr>
                <w:sz w:val="1"/>
                <w:szCs w:val="1"/>
                <w:color w:val="auto"/>
              </w:rPr>
            </w:pPr>
          </w:p>
        </w:tc>
      </w:tr>
      <w:tr>
        <w:trPr>
          <w:trHeight w:val="196"/>
        </w:trPr>
        <w:tc>
          <w:tcPr>
            <w:tcW w:w="600" w:type="dxa"/>
            <w:vAlign w:val="bottom"/>
          </w:tcPr>
          <w:p>
            <w:pPr>
              <w:spacing w:after="0"/>
              <w:rPr>
                <w:sz w:val="17"/>
                <w:szCs w:val="17"/>
                <w:color w:val="auto"/>
              </w:rPr>
            </w:pPr>
          </w:p>
        </w:tc>
        <w:tc>
          <w:tcPr>
            <w:tcW w:w="6880" w:type="dxa"/>
            <w:vAlign w:val="bottom"/>
          </w:tcPr>
          <w:p>
            <w:pPr>
              <w:ind w:left="140"/>
              <w:spacing w:after="0"/>
              <w:rPr>
                <w:sz w:val="20"/>
                <w:szCs w:val="20"/>
                <w:color w:val="auto"/>
              </w:rPr>
            </w:pPr>
            <w:r>
              <w:rPr>
                <w:rFonts w:ascii="Arial" w:cs="Arial" w:eastAsia="Arial" w:hAnsi="Arial"/>
                <w:sz w:val="17"/>
                <w:szCs w:val="17"/>
                <w:b w:val="1"/>
                <w:bCs w:val="1"/>
                <w:color w:val="auto"/>
              </w:rPr>
              <w:t>Performance Incentive Plan</w:t>
            </w: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600" w:type="dxa"/>
            <w:vAlign w:val="bottom"/>
          </w:tcPr>
          <w:p>
            <w:pPr>
              <w:spacing w:after="0"/>
              <w:rPr>
                <w:sz w:val="20"/>
                <w:szCs w:val="20"/>
                <w:color w:val="auto"/>
              </w:rPr>
            </w:pPr>
            <w:r>
              <w:rPr>
                <w:rFonts w:ascii="Arial" w:cs="Arial" w:eastAsia="Arial" w:hAnsi="Arial"/>
                <w:sz w:val="17"/>
                <w:szCs w:val="17"/>
                <w:color w:val="auto"/>
              </w:rPr>
              <w:t>Item 6</w:t>
            </w:r>
          </w:p>
        </w:tc>
        <w:tc>
          <w:tcPr>
            <w:tcW w:w="6880" w:type="dxa"/>
            <w:vAlign w:val="bottom"/>
          </w:tcPr>
          <w:p>
            <w:pPr>
              <w:ind w:left="140"/>
              <w:spacing w:after="0"/>
              <w:rPr>
                <w:sz w:val="20"/>
                <w:szCs w:val="20"/>
                <w:color w:val="auto"/>
              </w:rPr>
            </w:pPr>
            <w:r>
              <w:rPr>
                <w:rFonts w:ascii="Arial" w:cs="Arial" w:eastAsia="Arial" w:hAnsi="Arial"/>
                <w:sz w:val="17"/>
                <w:szCs w:val="17"/>
                <w:b w:val="1"/>
                <w:bCs w:val="1"/>
                <w:color w:val="auto"/>
              </w:rPr>
              <w:t>Stockholder Proposal on Drug Disposal Report</w:t>
            </w:r>
          </w:p>
        </w:tc>
        <w:tc>
          <w:tcPr>
            <w:tcW w:w="1640" w:type="dxa"/>
            <w:vAlign w:val="bottom"/>
          </w:tcPr>
          <w:p>
            <w:pPr>
              <w:jc w:val="center"/>
              <w:spacing w:after="0"/>
              <w:rPr>
                <w:sz w:val="20"/>
                <w:szCs w:val="20"/>
                <w:color w:val="auto"/>
              </w:rPr>
            </w:pPr>
            <w:r>
              <w:rPr>
                <w:rFonts w:ascii="Arial" w:cs="Arial" w:eastAsia="Arial" w:hAnsi="Arial"/>
                <w:sz w:val="17"/>
                <w:szCs w:val="17"/>
                <w:color w:val="auto"/>
              </w:rPr>
              <w:t>AGAINST</w:t>
            </w:r>
          </w:p>
        </w:tc>
        <w:tc>
          <w:tcPr>
            <w:tcW w:w="0" w:type="dxa"/>
            <w:vAlign w:val="bottom"/>
          </w:tcPr>
          <w:p>
            <w:pPr>
              <w:spacing w:after="0"/>
              <w:rPr>
                <w:sz w:val="1"/>
                <w:szCs w:val="1"/>
                <w:color w:val="auto"/>
              </w:rPr>
            </w:pPr>
          </w:p>
        </w:tc>
      </w:tr>
      <w:tr>
        <w:trPr>
          <w:trHeight w:val="224"/>
        </w:trPr>
        <w:tc>
          <w:tcPr>
            <w:tcW w:w="600" w:type="dxa"/>
            <w:vAlign w:val="bottom"/>
          </w:tcPr>
          <w:p>
            <w:pPr>
              <w:spacing w:after="0"/>
              <w:rPr>
                <w:sz w:val="20"/>
                <w:szCs w:val="20"/>
                <w:color w:val="auto"/>
              </w:rPr>
            </w:pPr>
            <w:r>
              <w:rPr>
                <w:rFonts w:ascii="Arial" w:cs="Arial" w:eastAsia="Arial" w:hAnsi="Arial"/>
                <w:sz w:val="17"/>
                <w:szCs w:val="17"/>
                <w:color w:val="auto"/>
              </w:rPr>
              <w:t>Item 7</w:t>
            </w:r>
          </w:p>
        </w:tc>
        <w:tc>
          <w:tcPr>
            <w:tcW w:w="6880" w:type="dxa"/>
            <w:vAlign w:val="bottom"/>
          </w:tcPr>
          <w:p>
            <w:pPr>
              <w:ind w:left="140"/>
              <w:spacing w:after="0"/>
              <w:rPr>
                <w:sz w:val="20"/>
                <w:szCs w:val="20"/>
                <w:color w:val="auto"/>
              </w:rPr>
            </w:pPr>
            <w:r>
              <w:rPr>
                <w:rFonts w:ascii="Arial" w:cs="Arial" w:eastAsia="Arial" w:hAnsi="Arial"/>
                <w:sz w:val="17"/>
                <w:szCs w:val="17"/>
                <w:b w:val="1"/>
                <w:bCs w:val="1"/>
                <w:color w:val="auto"/>
              </w:rPr>
              <w:t>Stockholder Proposal on Lobbying Report</w:t>
            </w:r>
          </w:p>
        </w:tc>
        <w:tc>
          <w:tcPr>
            <w:tcW w:w="1640" w:type="dxa"/>
            <w:vAlign w:val="bottom"/>
          </w:tcPr>
          <w:p>
            <w:pPr>
              <w:jc w:val="center"/>
              <w:spacing w:after="0"/>
              <w:rPr>
                <w:sz w:val="20"/>
                <w:szCs w:val="20"/>
                <w:color w:val="auto"/>
              </w:rPr>
            </w:pPr>
            <w:r>
              <w:rPr>
                <w:rFonts w:ascii="Arial" w:cs="Arial" w:eastAsia="Arial" w:hAnsi="Arial"/>
                <w:sz w:val="17"/>
                <w:szCs w:val="17"/>
                <w:color w:val="auto"/>
              </w:rPr>
              <w:t>AGAINST</w:t>
            </w: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444867"/>
        </w:rPr>
        <w:t>Business Overview and Performance Highlights</w:t>
      </w:r>
    </w:p>
    <w:p>
      <w:pPr>
        <w:spacing w:after="0" w:line="257"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444867"/>
        </w:rPr>
        <w:t>Business Overview</w:t>
      </w:r>
    </w:p>
    <w:p>
      <w:pPr>
        <w:spacing w:after="0" w:line="230" w:lineRule="exact"/>
        <w:rPr>
          <w:sz w:val="20"/>
          <w:szCs w:val="20"/>
          <w:color w:val="auto"/>
        </w:rPr>
      </w:pPr>
    </w:p>
    <w:p>
      <w:pPr>
        <w:ind w:left="240" w:right="40" w:firstLine="651"/>
        <w:spacing w:after="0" w:line="242" w:lineRule="auto"/>
        <w:rPr>
          <w:sz w:val="20"/>
          <w:szCs w:val="20"/>
          <w:color w:val="auto"/>
        </w:rPr>
      </w:pPr>
      <w:r>
        <w:rPr>
          <w:rFonts w:ascii="Arial" w:cs="Arial" w:eastAsia="Arial" w:hAnsi="Arial"/>
          <w:sz w:val="17"/>
          <w:szCs w:val="17"/>
          <w:color w:val="auto"/>
        </w:rPr>
        <w:t>AbbVie was created in 2013 following separation from Abbott Laboratories. AbbVie's mission is to be an innovation-driven, patient-focused specialty biopharmaceutical company capable of achieving top-tier financial performance through outstanding execution and a consistent stream of innovative new medicines. AbbVie intends to continue to advance its mission in a number of ways, including: (i) growing revenues through continued strong performance from its existing portfolio of on-market products, including its flagship brands, Humira, Imbruvica and Viekira Pak, as well as growt from pipeline products; (ii) continuing to enhance efficiency by expanding gross and operating margins; (iii) continued investment in its pipeline in support of opportunities in immunology, oncology, and virology, as well as continued investment in key on-market products; (iv) augmentation of its pipeline through concerted focus on strategic licensing, acquisition and partnering activity with a focus on identifying compelling programs that fit AbbVie's strategic criteria; and (v) returning cash to stockholders via dividends and share repurchases.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818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4" w:name="page5"/>
    <w:bookmarkEnd w:id="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312660" cy="76993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312660" cy="7699375"/>
                    </a:xfrm>
                    <a:prstGeom prst="rect">
                      <a:avLst/>
                    </a:prstGeom>
                    <a:noFill/>
                  </pic:spPr>
                </pic:pic>
              </a:graphicData>
            </a:graphic>
          </wp:anchor>
        </w:drawing>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PROXY STATEMENT SUMMARY</w:t>
      </w:r>
    </w:p>
    <w:p>
      <w:pPr>
        <w:spacing w:after="0" w:line="308" w:lineRule="exact"/>
        <w:rPr>
          <w:sz w:val="20"/>
          <w:szCs w:val="20"/>
          <w:color w:val="auto"/>
        </w:rPr>
      </w:pPr>
    </w:p>
    <w:p>
      <w:pPr>
        <w:ind w:left="240" w:firstLine="651"/>
        <w:spacing w:after="0" w:line="243" w:lineRule="auto"/>
        <w:rPr>
          <w:sz w:val="20"/>
          <w:szCs w:val="20"/>
          <w:color w:val="auto"/>
        </w:rPr>
      </w:pPr>
      <w:r>
        <w:rPr>
          <w:rFonts w:ascii="Arial" w:cs="Arial" w:eastAsia="Arial" w:hAnsi="Arial"/>
          <w:sz w:val="17"/>
          <w:szCs w:val="17"/>
          <w:color w:val="auto"/>
        </w:rPr>
        <w:t>AbbVie's products support the treatment of conditions such as chronic autoimmune diseases in rheumatology, gastroenterology and dermatology; oncology, including a leadership position in the treatment of blood cancers; virology, including hepatitis C virus (HCV) and human immunodeficiency virus (HIV); neurological disorders, such as Parkinson's disease; metabolic diseases, including thyroid disease and complications associated with cystic fibrosis; as well as other serious health conditions. Our pipeline includes more than 50 compounds or indications in developmen across important medical specialties such as immunology, oncology, virology/liver disease, neurological diseases and women's health.</w:t>
      </w:r>
    </w:p>
    <w:p>
      <w:pPr>
        <w:spacing w:after="0" w:line="179" w:lineRule="exact"/>
        <w:rPr>
          <w:sz w:val="20"/>
          <w:szCs w:val="20"/>
          <w:color w:val="auto"/>
        </w:rPr>
      </w:pPr>
    </w:p>
    <w:p>
      <w:pPr>
        <w:ind w:left="240"/>
        <w:spacing w:after="0"/>
        <w:rPr>
          <w:sz w:val="20"/>
          <w:szCs w:val="20"/>
          <w:color w:val="auto"/>
        </w:rPr>
      </w:pPr>
      <w:r>
        <w:rPr>
          <w:rFonts w:ascii="Arial" w:cs="Arial" w:eastAsia="Arial" w:hAnsi="Arial"/>
          <w:sz w:val="17"/>
          <w:szCs w:val="17"/>
          <w:b w:val="1"/>
          <w:bCs w:val="1"/>
          <w:i w:val="1"/>
          <w:iCs w:val="1"/>
          <w:color w:val="000F68"/>
        </w:rPr>
        <w:t>Business Performance Highlights</w:t>
      </w:r>
    </w:p>
    <w:p>
      <w:pPr>
        <w:spacing w:after="0" w:line="210"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444867"/>
        </w:rPr>
        <w:t>AbbVie has Delivered Robust Financial Results since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The measures set forth above were calculated as of December 31, 2015.</w:t>
      </w:r>
    </w:p>
    <w:p>
      <w:pPr>
        <w:spacing w:after="0" w:line="230" w:lineRule="exact"/>
        <w:rPr>
          <w:sz w:val="20"/>
          <w:szCs w:val="20"/>
          <w:color w:val="auto"/>
        </w:rPr>
      </w:pPr>
    </w:p>
    <w:p>
      <w:pPr>
        <w:ind w:left="1740" w:right="260" w:hanging="277"/>
        <w:spacing w:after="0" w:line="250" w:lineRule="auto"/>
        <w:tabs>
          <w:tab w:leader="none" w:pos="1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Net revenues, earnings per share and operating margin are adjusted to exclude certain specified items, which are reconciled in our Form 8-K dated January 29, 2016.</w:t>
      </w:r>
    </w:p>
    <w:p>
      <w:pPr>
        <w:spacing w:after="0" w:line="194" w:lineRule="exact"/>
        <w:rPr>
          <w:sz w:val="20"/>
          <w:szCs w:val="20"/>
          <w:color w:val="auto"/>
        </w:rPr>
      </w:pPr>
    </w:p>
    <w:p>
      <w:pPr>
        <w:ind w:left="240" w:firstLine="651"/>
        <w:spacing w:after="0" w:line="262" w:lineRule="auto"/>
        <w:rPr>
          <w:sz w:val="20"/>
          <w:szCs w:val="20"/>
          <w:color w:val="auto"/>
        </w:rPr>
      </w:pPr>
      <w:r>
        <w:rPr>
          <w:rFonts w:ascii="Arial" w:cs="Arial" w:eastAsia="Arial" w:hAnsi="Arial"/>
          <w:sz w:val="16"/>
          <w:szCs w:val="16"/>
          <w:color w:val="auto"/>
        </w:rPr>
        <w:t>AbbVie has delivered a three-year compound annual growth rate (CAGR) of 10.2% in net revenues and 16.9% in earnings per share (EPS). This performance places AbbVie in the top quartile of its Health Care Peer Group. Additionally, AbbVie has been committed to a robust return of capita to stockholders with an increase of 42% in its dividend since 2013 as part of a balanced and disciplined capital allocation program. AbbVie's total stockholder return (TSR) since inception of 92.4% also places AbbVie among the top of its Health Care Peer Group, and nearly 40 percentage points above the Standard &amp; Poor's 500 Index and more than 33 percentage points above the NYSE Arca Pharmaceuticals Index over the same time period.</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2  </w:t>
      </w:r>
      <w:r>
        <w:rPr>
          <w:sz w:val="1"/>
          <w:szCs w:val="1"/>
          <w:color w:val="auto"/>
        </w:rPr>
        <w:drawing>
          <wp:inline distT="0" distB="0" distL="0" distR="0">
            <wp:extent cx="622300" cy="10795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5" w:name="page6"/>
    <w:bookmarkEnd w:id="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312660" cy="74009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312660" cy="7400925"/>
                    </a:xfrm>
                    <a:prstGeom prst="rect">
                      <a:avLst/>
                    </a:prstGeom>
                    <a:noFill/>
                  </pic:spPr>
                </pic:pic>
              </a:graphicData>
            </a:graphic>
          </wp:anchor>
        </w:drawing>
      </w: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0"/>
          <w:szCs w:val="10"/>
          <w:b w:val="1"/>
          <w:bCs w:val="1"/>
          <w:color w:val="FFFFFE"/>
        </w:rPr>
        <w:t>PROXY STATEMENT SUMMARY</w:t>
      </w:r>
    </w:p>
    <w:p>
      <w:pPr>
        <w:spacing w:after="0" w:line="308" w:lineRule="exact"/>
        <w:rPr>
          <w:sz w:val="20"/>
          <w:szCs w:val="20"/>
          <w:color w:val="auto"/>
        </w:rPr>
      </w:pPr>
    </w:p>
    <w:p>
      <w:pPr>
        <w:ind w:left="900"/>
        <w:spacing w:after="0"/>
        <w:rPr>
          <w:sz w:val="20"/>
          <w:szCs w:val="20"/>
          <w:color w:val="auto"/>
        </w:rPr>
      </w:pPr>
      <w:r>
        <w:rPr>
          <w:rFonts w:ascii="Arial" w:cs="Arial" w:eastAsia="Arial" w:hAnsi="Arial"/>
          <w:sz w:val="17"/>
          <w:szCs w:val="17"/>
          <w:color w:val="auto"/>
        </w:rPr>
        <w:t>AbbVie has significantly grown revenue, operating margin and EPS since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080" w:right="1180"/>
        <w:spacing w:after="0" w:line="250" w:lineRule="auto"/>
        <w:rPr>
          <w:sz w:val="20"/>
          <w:szCs w:val="20"/>
          <w:color w:val="auto"/>
        </w:rPr>
      </w:pPr>
      <w:r>
        <w:rPr>
          <w:rFonts w:ascii="Arial" w:cs="Arial" w:eastAsia="Arial" w:hAnsi="Arial"/>
          <w:sz w:val="17"/>
          <w:szCs w:val="17"/>
          <w:color w:val="auto"/>
        </w:rPr>
        <w:t>Note: Net revenues, operating margin and earnings per share are adjusted for specified items and exclude the impact of amortization.</w:t>
      </w:r>
    </w:p>
    <w:p>
      <w:pPr>
        <w:spacing w:after="0" w:line="174" w:lineRule="exact"/>
        <w:rPr>
          <w:sz w:val="20"/>
          <w:szCs w:val="20"/>
          <w:color w:val="auto"/>
        </w:rPr>
      </w:pPr>
    </w:p>
    <w:p>
      <w:pPr>
        <w:ind w:left="240"/>
        <w:spacing w:after="0"/>
        <w:rPr>
          <w:sz w:val="20"/>
          <w:szCs w:val="20"/>
          <w:color w:val="auto"/>
        </w:rPr>
      </w:pPr>
      <w:r>
        <w:rPr>
          <w:rFonts w:ascii="Arial" w:cs="Arial" w:eastAsia="Arial" w:hAnsi="Arial"/>
          <w:sz w:val="17"/>
          <w:szCs w:val="17"/>
          <w:b w:val="1"/>
          <w:bCs w:val="1"/>
          <w:color w:val="444867"/>
        </w:rPr>
        <w:t>AbbVie also Delivered Strong Business Performance in 2015</w:t>
      </w:r>
    </w:p>
    <w:p>
      <w:pPr>
        <w:spacing w:after="0" w:line="230"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AbbVie has built a strong foundation for its business and 2015 was an exceptional year, as evidenced by a number of 2015 business highlight</w:t>
      </w:r>
    </w:p>
    <w:p>
      <w:pPr>
        <w:spacing w:after="0" w:line="201" w:lineRule="exact"/>
        <w:rPr>
          <w:sz w:val="20"/>
          <w:szCs w:val="20"/>
          <w:color w:val="auto"/>
        </w:rPr>
      </w:pPr>
    </w:p>
    <w:p>
      <w:pPr>
        <w:ind w:left="1300" w:right="360" w:hanging="529"/>
        <w:spacing w:after="0" w:line="275"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AbbVie reported full-year adjusted net revenues of $22.8 billion, an increase of 22.1% over 2014, excluding foreign</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This reflects top-tier growth, second in AbbVie's peer group.</w:t>
      </w:r>
    </w:p>
    <w:p>
      <w:pPr>
        <w:spacing w:after="0" w:line="139" w:lineRule="exact"/>
        <w:rPr>
          <w:rFonts w:ascii="Arial" w:cs="Arial" w:eastAsia="Arial" w:hAnsi="Arial"/>
          <w:sz w:val="17"/>
          <w:szCs w:val="17"/>
          <w:color w:val="auto"/>
        </w:rPr>
      </w:pPr>
    </w:p>
    <w:p>
      <w:pPr>
        <w:ind w:left="1300" w:right="320" w:hanging="529"/>
        <w:spacing w:after="0" w:line="275"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Operating Margins: </w:t>
      </w:r>
      <w:r>
        <w:rPr>
          <w:rFonts w:ascii="Arial" w:cs="Arial" w:eastAsia="Arial" w:hAnsi="Arial"/>
          <w:sz w:val="17"/>
          <w:szCs w:val="17"/>
          <w:color w:val="auto"/>
        </w:rPr>
        <w:t>In 2015, AbbVie expanded its adjusted operating margin to 42.3% of net revenues—up 610 basis points—and</w:t>
      </w:r>
      <w:r>
        <w:rPr>
          <w:rFonts w:ascii="Arial" w:cs="Arial" w:eastAsia="Arial" w:hAnsi="Arial"/>
          <w:sz w:val="17"/>
          <w:szCs w:val="17"/>
          <w:b w:val="1"/>
          <w:bCs w:val="1"/>
          <w:color w:val="auto"/>
        </w:rPr>
        <w:t xml:space="preserve"> </w:t>
      </w:r>
      <w:r>
        <w:rPr>
          <w:rFonts w:ascii="Arial" w:cs="Arial" w:eastAsia="Arial" w:hAnsi="Arial"/>
          <w:sz w:val="17"/>
          <w:szCs w:val="17"/>
          <w:color w:val="auto"/>
        </w:rPr>
        <w:t>improved gross margin to 82.9% of net revenues—up 280 basis points—since 2014.</w:t>
      </w:r>
    </w:p>
    <w:p>
      <w:pPr>
        <w:spacing w:after="0" w:line="153" w:lineRule="exact"/>
        <w:rPr>
          <w:rFonts w:ascii="Arial" w:cs="Arial" w:eastAsia="Arial" w:hAnsi="Arial"/>
          <w:sz w:val="17"/>
          <w:szCs w:val="17"/>
          <w:color w:val="auto"/>
        </w:rPr>
      </w:pPr>
    </w:p>
    <w:p>
      <w:pPr>
        <w:ind w:left="1300" w:right="160" w:hanging="529"/>
        <w:spacing w:after="0" w:line="307" w:lineRule="auto"/>
        <w:tabs>
          <w:tab w:leader="none" w:pos="130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AbbVie reported full-year adjusted EPS of $4.29, up 29.2%. This reflects top-tier growth, second in AbbVie's</w:t>
      </w:r>
      <w:r>
        <w:rPr>
          <w:rFonts w:ascii="Arial" w:cs="Arial" w:eastAsia="Arial" w:hAnsi="Arial"/>
          <w:sz w:val="16"/>
          <w:szCs w:val="16"/>
          <w:b w:val="1"/>
          <w:bCs w:val="1"/>
          <w:color w:val="auto"/>
        </w:rPr>
        <w:t xml:space="preserve"> </w:t>
      </w:r>
      <w:r>
        <w:rPr>
          <w:rFonts w:ascii="Arial" w:cs="Arial" w:eastAsia="Arial" w:hAnsi="Arial"/>
          <w:sz w:val="16"/>
          <w:szCs w:val="16"/>
          <w:color w:val="auto"/>
        </w:rPr>
        <w:t>Health Care Peer Group. AbbVie's 2016 adjusted EPS guidance range of $4.82 to $5.02 reflects growth of nearly 15% at the midpoint.</w:t>
      </w:r>
    </w:p>
    <w:p>
      <w:pPr>
        <w:spacing w:after="0" w:line="117" w:lineRule="exact"/>
        <w:rPr>
          <w:rFonts w:ascii="Arial" w:cs="Arial" w:eastAsia="Arial" w:hAnsi="Arial"/>
          <w:sz w:val="16"/>
          <w:szCs w:val="16"/>
          <w:color w:val="auto"/>
        </w:rPr>
      </w:pPr>
    </w:p>
    <w:p>
      <w:pPr>
        <w:ind w:left="1300" w:right="20" w:hanging="529"/>
        <w:spacing w:after="0" w:line="257"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Humira Sales: </w:t>
      </w:r>
      <w:r>
        <w:rPr>
          <w:rFonts w:ascii="Arial" w:cs="Arial" w:eastAsia="Arial" w:hAnsi="Arial"/>
          <w:sz w:val="17"/>
          <w:szCs w:val="17"/>
          <w:color w:val="auto"/>
        </w:rPr>
        <w:t>AbbVie delivered global Humira sales of $14 billion, an increase of 19% excluding the impact of exchange rate</w:t>
      </w:r>
      <w:r>
        <w:rPr>
          <w:rFonts w:ascii="Arial" w:cs="Arial" w:eastAsia="Arial" w:hAnsi="Arial"/>
          <w:sz w:val="17"/>
          <w:szCs w:val="17"/>
          <w:b w:val="1"/>
          <w:bCs w:val="1"/>
          <w:color w:val="auto"/>
        </w:rPr>
        <w:t xml:space="preserve"> </w:t>
      </w:r>
      <w:r>
        <w:rPr>
          <w:rFonts w:ascii="Arial" w:cs="Arial" w:eastAsia="Arial" w:hAnsi="Arial"/>
          <w:sz w:val="17"/>
          <w:szCs w:val="17"/>
          <w:color w:val="auto"/>
        </w:rPr>
        <w:t>fluctuations, compared to 2014. Humira's performance was driven by market penetration across therapeutic categories and geographies approval of new indications and market share gains.</w:t>
      </w:r>
    </w:p>
    <w:p>
      <w:pPr>
        <w:spacing w:after="0" w:line="155" w:lineRule="exact"/>
        <w:rPr>
          <w:rFonts w:ascii="Arial" w:cs="Arial" w:eastAsia="Arial" w:hAnsi="Arial"/>
          <w:sz w:val="17"/>
          <w:szCs w:val="17"/>
          <w:color w:val="auto"/>
        </w:rPr>
      </w:pPr>
    </w:p>
    <w:p>
      <w:pPr>
        <w:ind w:left="1300" w:hanging="529"/>
        <w:spacing w:after="0" w:line="257"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Pharmacyclics Acquisition: </w:t>
      </w:r>
      <w:r>
        <w:rPr>
          <w:rFonts w:ascii="Arial" w:cs="Arial" w:eastAsia="Arial" w:hAnsi="Arial"/>
          <w:sz w:val="17"/>
          <w:szCs w:val="17"/>
          <w:color w:val="auto"/>
        </w:rPr>
        <w:t>AbbVie made a significant investment in the rapidly-growing hematologic oncology space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of Pharmacyclics, Inc. and its first in class BTK inhibitor Imbruvica, which positions AbbVie as an oncology leader in this rapid growing market segment.</w:t>
      </w:r>
    </w:p>
    <w:p>
      <w:pPr>
        <w:spacing w:after="0" w:line="169" w:lineRule="exact"/>
        <w:rPr>
          <w:rFonts w:ascii="Arial" w:cs="Arial" w:eastAsia="Arial" w:hAnsi="Arial"/>
          <w:sz w:val="17"/>
          <w:szCs w:val="17"/>
          <w:color w:val="auto"/>
        </w:rPr>
      </w:pPr>
    </w:p>
    <w:p>
      <w:pPr>
        <w:ind w:left="1300" w:hanging="529"/>
        <w:spacing w:after="0" w:line="252"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Regulatory Milestones: </w:t>
      </w:r>
      <w:r>
        <w:rPr>
          <w:rFonts w:ascii="Arial" w:cs="Arial" w:eastAsia="Arial" w:hAnsi="Arial"/>
          <w:sz w:val="17"/>
          <w:szCs w:val="17"/>
          <w:color w:val="auto"/>
        </w:rPr>
        <w:t>AbbVie also achieved a number of regulatory milestones in markets worldwide for several key products,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U.S. Food and Drug Administration (FDA) and European Medicines Agency (EMA) approvals for new indications of Humira and Imbruvica, as well as new regulatory approvals for AbbVie's HCV program Viekira, Viekirax in Japan and Technivie in the U.S. AbbVie also announced FDA approval of Duopa for patients with advanced Parkinson's disease.</w:t>
      </w:r>
    </w:p>
    <w:p>
      <w:pPr>
        <w:spacing w:after="0" w:line="158" w:lineRule="exact"/>
        <w:rPr>
          <w:rFonts w:ascii="Arial" w:cs="Arial" w:eastAsia="Arial" w:hAnsi="Arial"/>
          <w:sz w:val="17"/>
          <w:szCs w:val="17"/>
          <w:color w:val="auto"/>
        </w:rPr>
      </w:pPr>
    </w:p>
    <w:p>
      <w:pPr>
        <w:ind w:left="1300" w:right="100" w:hanging="529"/>
        <w:spacing w:after="0" w:line="247" w:lineRule="auto"/>
        <w:tabs>
          <w:tab w:leader="none" w:pos="1300" w:val="left"/>
        </w:tabs>
        <w:numPr>
          <w:ilvl w:val="0"/>
          <w:numId w:val="9"/>
        </w:numPr>
        <w:rPr>
          <w:rFonts w:ascii="Arial" w:cs="Arial" w:eastAsia="Arial" w:hAnsi="Arial"/>
          <w:sz w:val="17"/>
          <w:szCs w:val="17"/>
          <w:color w:val="auto"/>
        </w:rPr>
      </w:pPr>
      <w:r>
        <w:rPr>
          <w:rFonts w:ascii="Arial" w:cs="Arial" w:eastAsia="Arial" w:hAnsi="Arial"/>
          <w:sz w:val="17"/>
          <w:szCs w:val="17"/>
          <w:b w:val="1"/>
          <w:bCs w:val="1"/>
          <w:color w:val="auto"/>
        </w:rPr>
        <w:t xml:space="preserve">Pipeline Development: </w:t>
      </w:r>
      <w:r>
        <w:rPr>
          <w:rFonts w:ascii="Arial" w:cs="Arial" w:eastAsia="Arial" w:hAnsi="Arial"/>
          <w:sz w:val="17"/>
          <w:szCs w:val="17"/>
          <w:color w:val="auto"/>
        </w:rPr>
        <w:t>With a record number of programs in mid- and late-stage development, AbbVie made significant pipeline</w:t>
      </w:r>
      <w:r>
        <w:rPr>
          <w:rFonts w:ascii="Arial" w:cs="Arial" w:eastAsia="Arial" w:hAnsi="Arial"/>
          <w:sz w:val="17"/>
          <w:szCs w:val="17"/>
          <w:b w:val="1"/>
          <w:bCs w:val="1"/>
          <w:color w:val="auto"/>
        </w:rPr>
        <w:t xml:space="preserve"> </w:t>
      </w:r>
      <w:r>
        <w:rPr>
          <w:rFonts w:ascii="Arial" w:cs="Arial" w:eastAsia="Arial" w:hAnsi="Arial"/>
          <w:sz w:val="17"/>
          <w:szCs w:val="17"/>
          <w:color w:val="auto"/>
        </w:rPr>
        <w:t>advancements in 2015, such as regulatory application submissions for Venetoclax for relapsed/refractory chronic lymphocytic leukemia (CLL); Imbruvica for first-line CLL; Zinbryta for multiple sclerosis; and Humira for uveitis. AbbVie also successfully transitioned several mid-stage pipeline assets into late-stage development, including its selective JAK-1 inhibitor, ABT-494, in rheumatoid arthritis; a pan-genotypic next-generation HCV combination; elagolix for uterine fibroids; and ABT-414, an antibody drug conjugate for glioblastoma multiforme.</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818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6" w:name="page7"/>
    <w:bookmarkEnd w:id="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312660" cy="542607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312660" cy="5426075"/>
                    </a:xfrm>
                    <a:prstGeom prst="rect">
                      <a:avLst/>
                    </a:prstGeom>
                    <a:noFill/>
                  </pic:spPr>
                </pic:pic>
              </a:graphicData>
            </a:graphic>
          </wp:anchor>
        </w:drawing>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PROXY STATEMENT SUMMARY</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444867"/>
        </w:rPr>
        <w:t>Corporate Governance Highlights</w:t>
      </w:r>
    </w:p>
    <w:p>
      <w:pPr>
        <w:spacing w:after="0" w:line="277" w:lineRule="exact"/>
        <w:rPr>
          <w:sz w:val="20"/>
          <w:szCs w:val="20"/>
          <w:color w:val="auto"/>
        </w:rPr>
      </w:pPr>
    </w:p>
    <w:p>
      <w:pPr>
        <w:ind w:left="240" w:right="200" w:firstLine="661"/>
        <w:spacing w:after="0" w:line="245" w:lineRule="auto"/>
        <w:rPr>
          <w:sz w:val="20"/>
          <w:szCs w:val="20"/>
          <w:color w:val="auto"/>
        </w:rPr>
      </w:pPr>
      <w:r>
        <w:rPr>
          <w:rFonts w:ascii="Arial" w:cs="Arial" w:eastAsia="Arial" w:hAnsi="Arial"/>
          <w:sz w:val="17"/>
          <w:szCs w:val="17"/>
          <w:color w:val="auto"/>
        </w:rPr>
        <w:t>Our board of directors is committed to strong corporate governance tailored to meet the needs of AbbVie and its stockholders to enhance stockholder value. In connection with our ongoing, proactive engagement with stockholders during 2015 (as described in greater detail on page 29), AbbVie's board of directors has approved:</w:t>
      </w:r>
    </w:p>
    <w:p>
      <w:pPr>
        <w:spacing w:after="0" w:line="178" w:lineRule="exact"/>
        <w:rPr>
          <w:sz w:val="20"/>
          <w:szCs w:val="20"/>
          <w:color w:val="auto"/>
        </w:rPr>
      </w:pPr>
    </w:p>
    <w:p>
      <w:pPr>
        <w:ind w:left="1300" w:hanging="529"/>
        <w:spacing w:after="0" w:line="257"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a proxy access by-law </w:t>
      </w:r>
      <w:r>
        <w:rPr>
          <w:rFonts w:ascii="Arial" w:cs="Arial" w:eastAsia="Arial" w:hAnsi="Arial"/>
          <w:sz w:val="17"/>
          <w:szCs w:val="17"/>
          <w:color w:val="auto"/>
        </w:rPr>
        <w:t>provision to permit a stockholder, or a group of up to 20 stockholders, owning at least 3% of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outstanding common stock continuously for at least 3 years to nominate and include in the company's proxy materials director nominees constituting up to 25% of the board of directors, as further detailed in the company's By-Laws; and</w:t>
      </w:r>
    </w:p>
    <w:p>
      <w:pPr>
        <w:spacing w:after="0" w:line="155" w:lineRule="exact"/>
        <w:rPr>
          <w:rFonts w:ascii="Arial" w:cs="Arial" w:eastAsia="Arial" w:hAnsi="Arial"/>
          <w:sz w:val="17"/>
          <w:szCs w:val="17"/>
          <w:color w:val="auto"/>
        </w:rPr>
      </w:pPr>
    </w:p>
    <w:p>
      <w:pPr>
        <w:ind w:left="1300" w:right="20" w:hanging="529"/>
        <w:spacing w:after="0" w:line="257" w:lineRule="auto"/>
        <w:tabs>
          <w:tab w:leader="none" w:pos="1300" w:val="left"/>
        </w:tabs>
        <w:numPr>
          <w:ilvl w:val="0"/>
          <w:numId w:val="10"/>
        </w:numPr>
        <w:rPr>
          <w:rFonts w:ascii="Arial" w:cs="Arial" w:eastAsia="Arial" w:hAnsi="Arial"/>
          <w:sz w:val="17"/>
          <w:szCs w:val="17"/>
          <w:color w:val="auto"/>
        </w:rPr>
      </w:pPr>
      <w:r>
        <w:rPr>
          <w:rFonts w:ascii="Arial" w:cs="Arial" w:eastAsia="Arial" w:hAnsi="Arial"/>
          <w:sz w:val="17"/>
          <w:szCs w:val="17"/>
          <w:b w:val="1"/>
          <w:bCs w:val="1"/>
          <w:color w:val="auto"/>
        </w:rPr>
        <w:t xml:space="preserve">a declassification management proposal </w:t>
      </w:r>
      <w:r>
        <w:rPr>
          <w:rFonts w:ascii="Arial" w:cs="Arial" w:eastAsia="Arial" w:hAnsi="Arial"/>
          <w:sz w:val="17"/>
          <w:szCs w:val="17"/>
          <w:color w:val="auto"/>
        </w:rPr>
        <w:t>in this proxy statement (Item 4) to seek stockholder approval to amend the company's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and Restated Certificate of Incorporation to declassify the board of directors and to allow for the annual election of directors, a described in Item 4.</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Pr>
          <w:p>
            <w:pPr>
              <w:ind w:left="640"/>
              <w:spacing w:after="0"/>
              <w:rPr>
                <w:sz w:val="20"/>
                <w:szCs w:val="20"/>
                <w:color w:val="auto"/>
              </w:rPr>
            </w:pPr>
            <w:r>
              <w:rPr>
                <w:rFonts w:ascii="Arial" w:cs="Arial" w:eastAsia="Arial" w:hAnsi="Arial"/>
                <w:sz w:val="17"/>
                <w:szCs w:val="17"/>
                <w:color w:val="auto"/>
              </w:rPr>
              <w:t>Highlights of our governance practices include:</w:t>
            </w:r>
          </w:p>
        </w:tc>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24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7220" w:type="dxa"/>
            <w:vAlign w:val="bottom"/>
            <w:tcBorders>
              <w:bottom w:val="single" w:sz="8" w:color="444867"/>
            </w:tcBorders>
          </w:tcPr>
          <w:p>
            <w:pPr>
              <w:spacing w:after="0"/>
              <w:rPr>
                <w:sz w:val="17"/>
                <w:szCs w:val="17"/>
                <w:color w:val="auto"/>
              </w:rPr>
            </w:pPr>
          </w:p>
        </w:tc>
        <w:tc>
          <w:tcPr>
            <w:tcW w:w="4040" w:type="dxa"/>
            <w:vAlign w:val="bottom"/>
            <w:tcBorders>
              <w:bottom w:val="single" w:sz="8" w:color="444867"/>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722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Governance Practice</w:t>
            </w:r>
          </w:p>
        </w:tc>
        <w:tc>
          <w:tcPr>
            <w:tcW w:w="4040" w:type="dxa"/>
            <w:vAlign w:val="bottom"/>
            <w:tcBorders>
              <w:bottom w:val="single" w:sz="8" w:color="auto"/>
            </w:tcBorders>
            <w:gridSpan w:val="2"/>
          </w:tcPr>
          <w:p>
            <w:pPr>
              <w:ind w:left="380"/>
              <w:spacing w:after="0" w:line="189" w:lineRule="exact"/>
              <w:rPr>
                <w:sz w:val="20"/>
                <w:szCs w:val="20"/>
                <w:color w:val="auto"/>
              </w:rPr>
            </w:pPr>
            <w:r>
              <w:rPr>
                <w:rFonts w:ascii="Arial" w:cs="Arial" w:eastAsia="Arial" w:hAnsi="Arial"/>
                <w:sz w:val="17"/>
                <w:szCs w:val="17"/>
                <w:b w:val="1"/>
                <w:bCs w:val="1"/>
                <w:color w:val="auto"/>
              </w:rPr>
              <w:t>For more information</w:t>
            </w:r>
          </w:p>
        </w:tc>
        <w:tc>
          <w:tcPr>
            <w:tcW w:w="0" w:type="dxa"/>
            <w:vAlign w:val="bottom"/>
          </w:tcPr>
          <w:p>
            <w:pPr>
              <w:spacing w:after="0"/>
              <w:rPr>
                <w:sz w:val="1"/>
                <w:szCs w:val="1"/>
                <w:color w:val="auto"/>
              </w:rPr>
            </w:pPr>
          </w:p>
        </w:tc>
      </w:tr>
      <w:tr>
        <w:trPr>
          <w:trHeight w:val="189"/>
        </w:trPr>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20" w:type="dxa"/>
            <w:vAlign w:val="bottom"/>
            <w:shd w:val="clear" w:color="auto" w:fill="E7E7E8"/>
          </w:tcPr>
          <w:p>
            <w:pPr>
              <w:spacing w:after="0" w:line="189" w:lineRule="exact"/>
              <w:rPr>
                <w:sz w:val="20"/>
                <w:szCs w:val="20"/>
                <w:color w:val="auto"/>
              </w:rPr>
            </w:pPr>
            <w:r>
              <w:rPr>
                <w:rFonts w:ascii="Arial" w:cs="Arial" w:eastAsia="Arial" w:hAnsi="Arial"/>
                <w:sz w:val="17"/>
                <w:szCs w:val="17"/>
                <w:b w:val="1"/>
                <w:bCs w:val="1"/>
                <w:color w:val="auto"/>
              </w:rPr>
              <w:t xml:space="preserve">Independent lead director </w:t>
            </w:r>
            <w:r>
              <w:rPr>
                <w:rFonts w:ascii="Arial" w:cs="Arial" w:eastAsia="Arial" w:hAnsi="Arial"/>
                <w:sz w:val="17"/>
                <w:szCs w:val="17"/>
                <w:color w:val="auto"/>
              </w:rPr>
              <w:t>with robust responsibilities is selected by the Board</w:t>
            </w:r>
          </w:p>
        </w:tc>
        <w:tc>
          <w:tcPr>
            <w:tcW w:w="4040" w:type="dxa"/>
            <w:vAlign w:val="bottom"/>
            <w:gridSpan w:val="2"/>
            <w:shd w:val="clear" w:color="auto" w:fill="E7E7E8"/>
          </w:tcPr>
          <w:p>
            <w:pPr>
              <w:ind w:left="380"/>
              <w:spacing w:after="0" w:line="189" w:lineRule="exact"/>
              <w:rPr>
                <w:sz w:val="20"/>
                <w:szCs w:val="20"/>
                <w:color w:val="auto"/>
              </w:rPr>
            </w:pPr>
            <w:r>
              <w:rPr>
                <w:rFonts w:ascii="Arial" w:cs="Arial" w:eastAsia="Arial" w:hAnsi="Arial"/>
                <w:sz w:val="17"/>
                <w:szCs w:val="17"/>
                <w:color w:val="auto"/>
              </w:rPr>
              <w:t>p. 13</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 xml:space="preserve">Eight of AbbVie's nine directors are </w:t>
            </w:r>
            <w:r>
              <w:rPr>
                <w:rFonts w:ascii="Arial" w:cs="Arial" w:eastAsia="Arial" w:hAnsi="Arial"/>
                <w:sz w:val="17"/>
                <w:szCs w:val="17"/>
                <w:b w:val="1"/>
                <w:bCs w:val="1"/>
                <w:color w:val="auto"/>
              </w:rPr>
              <w:t>independent</w:t>
            </w:r>
            <w:r>
              <w:rPr>
                <w:rFonts w:ascii="Arial" w:cs="Arial" w:eastAsia="Arial" w:hAnsi="Arial"/>
                <w:sz w:val="17"/>
                <w:szCs w:val="17"/>
                <w:color w:val="auto"/>
              </w:rPr>
              <w:t xml:space="preserve"> and regularly meet in </w:t>
            </w:r>
            <w:r>
              <w:rPr>
                <w:rFonts w:ascii="Arial" w:cs="Arial" w:eastAsia="Arial" w:hAnsi="Arial"/>
                <w:sz w:val="17"/>
                <w:szCs w:val="17"/>
                <w:b w:val="1"/>
                <w:bCs w:val="1"/>
                <w:color w:val="auto"/>
              </w:rPr>
              <w:t>executive session</w:t>
            </w:r>
          </w:p>
        </w:tc>
        <w:tc>
          <w:tcPr>
            <w:tcW w:w="4040" w:type="dxa"/>
            <w:vAlign w:val="bottom"/>
            <w:gridSpan w:val="2"/>
          </w:tcPr>
          <w:p>
            <w:pPr>
              <w:ind w:left="380"/>
              <w:spacing w:after="0"/>
              <w:rPr>
                <w:sz w:val="20"/>
                <w:szCs w:val="20"/>
                <w:color w:val="auto"/>
              </w:rPr>
            </w:pPr>
            <w:r>
              <w:rPr>
                <w:rFonts w:ascii="Arial" w:cs="Arial" w:eastAsia="Arial" w:hAnsi="Arial"/>
                <w:sz w:val="17"/>
                <w:szCs w:val="17"/>
                <w:color w:val="auto"/>
              </w:rPr>
              <w:t>p. 13</w:t>
            </w: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20" w:type="dxa"/>
            <w:vAlign w:val="bottom"/>
            <w:shd w:val="clear" w:color="auto" w:fill="E7E7E8"/>
          </w:tcPr>
          <w:p>
            <w:pPr>
              <w:spacing w:after="0" w:line="179" w:lineRule="exact"/>
              <w:rPr>
                <w:sz w:val="20"/>
                <w:szCs w:val="20"/>
                <w:color w:val="auto"/>
              </w:rPr>
            </w:pPr>
            <w:r>
              <w:rPr>
                <w:rFonts w:ascii="Arial" w:cs="Arial" w:eastAsia="Arial" w:hAnsi="Arial"/>
                <w:sz w:val="17"/>
                <w:szCs w:val="17"/>
                <w:color w:val="auto"/>
              </w:rPr>
              <w:t>All members of the audit, compensation, nominations and governance and public policy</w:t>
            </w:r>
          </w:p>
        </w:tc>
        <w:tc>
          <w:tcPr>
            <w:tcW w:w="4040" w:type="dxa"/>
            <w:vAlign w:val="bottom"/>
            <w:gridSpan w:val="2"/>
            <w:shd w:val="clear" w:color="auto" w:fill="E7E7E8"/>
          </w:tcPr>
          <w:p>
            <w:pPr>
              <w:ind w:left="380"/>
              <w:spacing w:after="0" w:line="179" w:lineRule="exact"/>
              <w:rPr>
                <w:sz w:val="20"/>
                <w:szCs w:val="20"/>
                <w:color w:val="auto"/>
              </w:rPr>
            </w:pPr>
            <w:r>
              <w:rPr>
                <w:rFonts w:ascii="Arial" w:cs="Arial" w:eastAsia="Arial" w:hAnsi="Arial"/>
                <w:sz w:val="17"/>
                <w:szCs w:val="17"/>
                <w:color w:val="auto"/>
              </w:rPr>
              <w:t>p. 15</w:t>
            </w: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20" w:type="dxa"/>
            <w:vAlign w:val="bottom"/>
            <w:shd w:val="clear" w:color="auto" w:fill="E7E7E8"/>
          </w:tcPr>
          <w:p>
            <w:pPr>
              <w:spacing w:after="0"/>
              <w:rPr>
                <w:sz w:val="20"/>
                <w:szCs w:val="20"/>
                <w:color w:val="auto"/>
              </w:rPr>
            </w:pPr>
            <w:r>
              <w:rPr>
                <w:rFonts w:ascii="Arial" w:cs="Arial" w:eastAsia="Arial" w:hAnsi="Arial"/>
                <w:sz w:val="17"/>
                <w:szCs w:val="17"/>
                <w:b w:val="1"/>
                <w:bCs w:val="1"/>
                <w:color w:val="auto"/>
              </w:rPr>
              <w:t>committees are independent</w:t>
            </w:r>
          </w:p>
        </w:tc>
        <w:tc>
          <w:tcPr>
            <w:tcW w:w="39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b w:val="1"/>
                <w:bCs w:val="1"/>
                <w:color w:val="auto"/>
              </w:rPr>
              <w:t xml:space="preserve">Adopted a Proxy Access </w:t>
            </w:r>
            <w:r>
              <w:rPr>
                <w:rFonts w:ascii="Arial" w:cs="Arial" w:eastAsia="Arial" w:hAnsi="Arial"/>
                <w:sz w:val="17"/>
                <w:szCs w:val="17"/>
                <w:color w:val="auto"/>
              </w:rPr>
              <w:t>By-Law provision for 3%/3 years</w:t>
            </w:r>
          </w:p>
        </w:tc>
        <w:tc>
          <w:tcPr>
            <w:tcW w:w="4040" w:type="dxa"/>
            <w:vAlign w:val="bottom"/>
            <w:gridSpan w:val="2"/>
          </w:tcPr>
          <w:p>
            <w:pPr>
              <w:ind w:left="380"/>
              <w:spacing w:after="0"/>
              <w:rPr>
                <w:sz w:val="20"/>
                <w:szCs w:val="20"/>
                <w:color w:val="auto"/>
              </w:rPr>
            </w:pPr>
            <w:r>
              <w:rPr>
                <w:rFonts w:ascii="Arial" w:cs="Arial" w:eastAsia="Arial" w:hAnsi="Arial"/>
                <w:sz w:val="17"/>
                <w:szCs w:val="17"/>
                <w:color w:val="auto"/>
              </w:rPr>
              <w:t>p. 69</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shd w:val="clear" w:color="auto" w:fill="E7E7E8"/>
          </w:tcPr>
          <w:p>
            <w:pPr>
              <w:spacing w:after="0"/>
              <w:rPr>
                <w:sz w:val="20"/>
                <w:szCs w:val="20"/>
                <w:color w:val="auto"/>
              </w:rPr>
            </w:pPr>
            <w:r>
              <w:rPr>
                <w:rFonts w:ascii="Arial" w:cs="Arial" w:eastAsia="Arial" w:hAnsi="Arial"/>
                <w:sz w:val="17"/>
                <w:szCs w:val="17"/>
                <w:color w:val="auto"/>
              </w:rPr>
              <w:t xml:space="preserve">Policy </w:t>
            </w:r>
            <w:r>
              <w:rPr>
                <w:rFonts w:ascii="Arial" w:cs="Arial" w:eastAsia="Arial" w:hAnsi="Arial"/>
                <w:sz w:val="17"/>
                <w:szCs w:val="17"/>
                <w:b w:val="1"/>
                <w:bCs w:val="1"/>
                <w:color w:val="auto"/>
              </w:rPr>
              <w:t>prohibiting hedging and pledging</w:t>
            </w:r>
          </w:p>
        </w:tc>
        <w:tc>
          <w:tcPr>
            <w:tcW w:w="4040" w:type="dxa"/>
            <w:vAlign w:val="bottom"/>
            <w:gridSpan w:val="2"/>
            <w:shd w:val="clear" w:color="auto" w:fill="E7E7E8"/>
          </w:tcPr>
          <w:p>
            <w:pPr>
              <w:ind w:left="380"/>
              <w:spacing w:after="0"/>
              <w:rPr>
                <w:sz w:val="20"/>
                <w:szCs w:val="20"/>
                <w:color w:val="auto"/>
              </w:rPr>
            </w:pPr>
            <w:r>
              <w:rPr>
                <w:rFonts w:ascii="Arial" w:cs="Arial" w:eastAsia="Arial" w:hAnsi="Arial"/>
                <w:sz w:val="17"/>
                <w:szCs w:val="17"/>
                <w:color w:val="auto"/>
              </w:rPr>
              <w:t>p. 40</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 xml:space="preserve">Robust </w:t>
            </w:r>
            <w:r>
              <w:rPr>
                <w:rFonts w:ascii="Arial" w:cs="Arial" w:eastAsia="Arial" w:hAnsi="Arial"/>
                <w:sz w:val="17"/>
                <w:szCs w:val="17"/>
                <w:b w:val="1"/>
                <w:bCs w:val="1"/>
                <w:color w:val="auto"/>
              </w:rPr>
              <w:t>stock ownership guidelines</w:t>
            </w:r>
          </w:p>
        </w:tc>
        <w:tc>
          <w:tcPr>
            <w:tcW w:w="4040" w:type="dxa"/>
            <w:vAlign w:val="bottom"/>
            <w:gridSpan w:val="2"/>
          </w:tcPr>
          <w:p>
            <w:pPr>
              <w:ind w:left="380"/>
              <w:spacing w:after="0"/>
              <w:rPr>
                <w:sz w:val="20"/>
                <w:szCs w:val="20"/>
                <w:color w:val="auto"/>
              </w:rPr>
            </w:pPr>
            <w:r>
              <w:rPr>
                <w:rFonts w:ascii="Arial" w:cs="Arial" w:eastAsia="Arial" w:hAnsi="Arial"/>
                <w:sz w:val="17"/>
                <w:szCs w:val="17"/>
                <w:color w:val="auto"/>
              </w:rPr>
              <w:t>p. 39</w:t>
            </w:r>
          </w:p>
        </w:tc>
        <w:tc>
          <w:tcPr>
            <w:tcW w:w="0" w:type="dxa"/>
            <w:vAlign w:val="bottom"/>
          </w:tcPr>
          <w:p>
            <w:pPr>
              <w:spacing w:after="0"/>
              <w:rPr>
                <w:sz w:val="1"/>
                <w:szCs w:val="1"/>
                <w:color w:val="auto"/>
              </w:rPr>
            </w:pPr>
          </w:p>
        </w:tc>
      </w:tr>
      <w:tr>
        <w:trPr>
          <w:trHeight w:val="199"/>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shd w:val="clear" w:color="auto" w:fill="E7E7E8"/>
          </w:tcPr>
          <w:p>
            <w:pPr>
              <w:spacing w:after="0"/>
              <w:rPr>
                <w:sz w:val="20"/>
                <w:szCs w:val="20"/>
                <w:color w:val="auto"/>
              </w:rPr>
            </w:pPr>
            <w:r>
              <w:rPr>
                <w:rFonts w:ascii="Arial" w:cs="Arial" w:eastAsia="Arial" w:hAnsi="Arial"/>
                <w:sz w:val="17"/>
                <w:szCs w:val="17"/>
                <w:color w:val="auto"/>
              </w:rPr>
              <w:t xml:space="preserve">Disclosure of our corporate </w:t>
            </w:r>
            <w:r>
              <w:rPr>
                <w:rFonts w:ascii="Arial" w:cs="Arial" w:eastAsia="Arial" w:hAnsi="Arial"/>
                <w:sz w:val="17"/>
                <w:szCs w:val="17"/>
                <w:b w:val="1"/>
                <w:bCs w:val="1"/>
                <w:color w:val="auto"/>
              </w:rPr>
              <w:t>political contributions</w:t>
            </w:r>
            <w:r>
              <w:rPr>
                <w:rFonts w:ascii="Arial" w:cs="Arial" w:eastAsia="Arial" w:hAnsi="Arial"/>
                <w:sz w:val="17"/>
                <w:szCs w:val="17"/>
                <w:color w:val="auto"/>
              </w:rPr>
              <w:t xml:space="preserve"> and our </w:t>
            </w:r>
            <w:r>
              <w:rPr>
                <w:rFonts w:ascii="Arial" w:cs="Arial" w:eastAsia="Arial" w:hAnsi="Arial"/>
                <w:sz w:val="17"/>
                <w:szCs w:val="17"/>
                <w:b w:val="1"/>
                <w:bCs w:val="1"/>
                <w:color w:val="auto"/>
              </w:rPr>
              <w:t>trade association</w:t>
            </w:r>
            <w:r>
              <w:rPr>
                <w:rFonts w:ascii="Arial" w:cs="Arial" w:eastAsia="Arial" w:hAnsi="Arial"/>
                <w:sz w:val="17"/>
                <w:szCs w:val="17"/>
                <w:color w:val="auto"/>
              </w:rPr>
              <w:t xml:space="preserve"> dues and</w:t>
            </w:r>
          </w:p>
        </w:tc>
        <w:tc>
          <w:tcPr>
            <w:tcW w:w="4040" w:type="dxa"/>
            <w:vAlign w:val="bottom"/>
            <w:gridSpan w:val="2"/>
            <w:shd w:val="clear" w:color="auto" w:fill="E7E7E8"/>
          </w:tcPr>
          <w:p>
            <w:pPr>
              <w:ind w:left="380"/>
              <w:spacing w:after="0"/>
              <w:rPr>
                <w:sz w:val="20"/>
                <w:szCs w:val="20"/>
                <w:color w:val="auto"/>
              </w:rPr>
            </w:pPr>
            <w:r>
              <w:rPr>
                <w:rFonts w:ascii="Arial" w:cs="Arial" w:eastAsia="Arial" w:hAnsi="Arial"/>
                <w:sz w:val="17"/>
                <w:szCs w:val="17"/>
                <w:color w:val="auto"/>
                <w:w w:val="98"/>
              </w:rPr>
              <w:t>http://www.abbvie.com/responsibility/transparenc</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20" w:type="dxa"/>
            <w:vAlign w:val="bottom"/>
            <w:shd w:val="clear" w:color="auto" w:fill="E7E7E8"/>
          </w:tcPr>
          <w:p>
            <w:pPr>
              <w:spacing w:after="0" w:line="193" w:lineRule="exact"/>
              <w:rPr>
                <w:sz w:val="20"/>
                <w:szCs w:val="20"/>
                <w:color w:val="auto"/>
              </w:rPr>
            </w:pPr>
            <w:r>
              <w:rPr>
                <w:rFonts w:ascii="Arial" w:cs="Arial" w:eastAsia="Arial" w:hAnsi="Arial"/>
                <w:sz w:val="17"/>
                <w:szCs w:val="17"/>
                <w:color w:val="auto"/>
              </w:rPr>
              <w:t>oversight process</w:t>
            </w:r>
          </w:p>
        </w:tc>
        <w:tc>
          <w:tcPr>
            <w:tcW w:w="4040" w:type="dxa"/>
            <w:vAlign w:val="bottom"/>
            <w:gridSpan w:val="2"/>
            <w:shd w:val="clear" w:color="auto" w:fill="E7E7E8"/>
          </w:tcPr>
          <w:p>
            <w:pPr>
              <w:ind w:left="380"/>
              <w:spacing w:after="0" w:line="193" w:lineRule="exact"/>
              <w:rPr>
                <w:sz w:val="20"/>
                <w:szCs w:val="20"/>
                <w:color w:val="auto"/>
              </w:rPr>
            </w:pPr>
            <w:r>
              <w:rPr>
                <w:rFonts w:ascii="Arial" w:cs="Arial" w:eastAsia="Arial" w:hAnsi="Arial"/>
                <w:sz w:val="17"/>
                <w:szCs w:val="17"/>
                <w:color w:val="auto"/>
              </w:rPr>
              <w:t>policies/corporate-political-participation.html</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b w:val="1"/>
                <w:bCs w:val="1"/>
                <w:color w:val="auto"/>
              </w:rPr>
              <w:t xml:space="preserve">Clawback </w:t>
            </w:r>
            <w:r>
              <w:rPr>
                <w:rFonts w:ascii="Arial" w:cs="Arial" w:eastAsia="Arial" w:hAnsi="Arial"/>
                <w:sz w:val="17"/>
                <w:szCs w:val="17"/>
                <w:color w:val="auto"/>
              </w:rPr>
              <w:t>authority in the event of financial restatement to recover incentive plan awards</w:t>
            </w:r>
          </w:p>
        </w:tc>
        <w:tc>
          <w:tcPr>
            <w:tcW w:w="4040" w:type="dxa"/>
            <w:vAlign w:val="bottom"/>
            <w:gridSpan w:val="2"/>
          </w:tcPr>
          <w:p>
            <w:pPr>
              <w:ind w:left="380"/>
              <w:spacing w:after="0"/>
              <w:rPr>
                <w:sz w:val="20"/>
                <w:szCs w:val="20"/>
                <w:color w:val="auto"/>
              </w:rPr>
            </w:pPr>
            <w:r>
              <w:rPr>
                <w:rFonts w:ascii="Arial" w:cs="Arial" w:eastAsia="Arial" w:hAnsi="Arial"/>
                <w:sz w:val="17"/>
                <w:szCs w:val="17"/>
                <w:color w:val="auto"/>
              </w:rPr>
              <w:t>p. 40</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shd w:val="clear" w:color="auto" w:fill="E7E7E8"/>
          </w:tcPr>
          <w:p>
            <w:pPr>
              <w:spacing w:after="0"/>
              <w:rPr>
                <w:sz w:val="20"/>
                <w:szCs w:val="20"/>
                <w:color w:val="auto"/>
              </w:rPr>
            </w:pPr>
            <w:r>
              <w:rPr>
                <w:rFonts w:ascii="Arial" w:cs="Arial" w:eastAsia="Arial" w:hAnsi="Arial"/>
                <w:sz w:val="17"/>
                <w:szCs w:val="17"/>
                <w:b w:val="1"/>
                <w:bCs w:val="1"/>
                <w:color w:val="auto"/>
              </w:rPr>
              <w:t xml:space="preserve">Related person transaction </w:t>
            </w:r>
            <w:r>
              <w:rPr>
                <w:rFonts w:ascii="Arial" w:cs="Arial" w:eastAsia="Arial" w:hAnsi="Arial"/>
                <w:sz w:val="17"/>
                <w:szCs w:val="17"/>
                <w:color w:val="auto"/>
              </w:rPr>
              <w:t>policy to ensure appropriate oversight</w:t>
            </w:r>
          </w:p>
        </w:tc>
        <w:tc>
          <w:tcPr>
            <w:tcW w:w="4040" w:type="dxa"/>
            <w:vAlign w:val="bottom"/>
            <w:gridSpan w:val="2"/>
            <w:shd w:val="clear" w:color="auto" w:fill="E7E7E8"/>
          </w:tcPr>
          <w:p>
            <w:pPr>
              <w:ind w:left="380"/>
              <w:spacing w:after="0"/>
              <w:rPr>
                <w:sz w:val="20"/>
                <w:szCs w:val="20"/>
                <w:color w:val="auto"/>
              </w:rPr>
            </w:pPr>
            <w:r>
              <w:rPr>
                <w:rFonts w:ascii="Arial" w:cs="Arial" w:eastAsia="Arial" w:hAnsi="Arial"/>
                <w:sz w:val="17"/>
                <w:szCs w:val="17"/>
                <w:color w:val="auto"/>
              </w:rPr>
              <w:t>p. 67</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 xml:space="preserve">We do not have a </w:t>
            </w:r>
            <w:r>
              <w:rPr>
                <w:rFonts w:ascii="Arial" w:cs="Arial" w:eastAsia="Arial" w:hAnsi="Arial"/>
                <w:sz w:val="17"/>
                <w:szCs w:val="17"/>
                <w:b w:val="1"/>
                <w:bCs w:val="1"/>
                <w:color w:val="auto"/>
              </w:rPr>
              <w:t>stockholder rights plan</w:t>
            </w:r>
            <w:r>
              <w:rPr>
                <w:rFonts w:ascii="Arial" w:cs="Arial" w:eastAsia="Arial" w:hAnsi="Arial"/>
                <w:sz w:val="17"/>
                <w:szCs w:val="17"/>
                <w:color w:val="auto"/>
              </w:rPr>
              <w:t xml:space="preserve"> or "poison pill"</w:t>
            </w:r>
          </w:p>
        </w:tc>
        <w:tc>
          <w:tcPr>
            <w:tcW w:w="4040" w:type="dxa"/>
            <w:vAlign w:val="bottom"/>
            <w:gridSpan w:val="2"/>
          </w:tcPr>
          <w:p>
            <w:pPr>
              <w:ind w:left="380"/>
              <w:spacing w:after="0"/>
              <w:rPr>
                <w:sz w:val="20"/>
                <w:szCs w:val="20"/>
                <w:color w:val="auto"/>
              </w:rPr>
            </w:pPr>
            <w:r>
              <w:rPr>
                <w:rFonts w:ascii="Arial" w:cs="Arial" w:eastAsia="Arial" w:hAnsi="Arial"/>
                <w:sz w:val="17"/>
                <w:szCs w:val="17"/>
                <w:color w:val="auto"/>
              </w:rPr>
              <w:t>Certificate of Incorporation and By-Laws</w:t>
            </w:r>
          </w:p>
        </w:tc>
        <w:tc>
          <w:tcPr>
            <w:tcW w:w="0" w:type="dxa"/>
            <w:vAlign w:val="bottom"/>
          </w:tcPr>
          <w:p>
            <w:pPr>
              <w:spacing w:after="0"/>
              <w:rPr>
                <w:sz w:val="1"/>
                <w:szCs w:val="1"/>
                <w:color w:val="auto"/>
              </w:rPr>
            </w:pPr>
          </w:p>
        </w:tc>
      </w:tr>
      <w:tr>
        <w:trPr>
          <w:trHeight w:val="199"/>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shd w:val="clear" w:color="auto" w:fill="E7E7E8"/>
          </w:tcPr>
          <w:p>
            <w:pPr>
              <w:spacing w:after="0"/>
              <w:rPr>
                <w:sz w:val="20"/>
                <w:szCs w:val="20"/>
                <w:color w:val="auto"/>
              </w:rPr>
            </w:pPr>
            <w:r>
              <w:rPr>
                <w:rFonts w:ascii="Arial" w:cs="Arial" w:eastAsia="Arial" w:hAnsi="Arial"/>
                <w:sz w:val="17"/>
                <w:szCs w:val="17"/>
                <w:color w:val="auto"/>
              </w:rPr>
              <w:t xml:space="preserve">Our directors are elected by a </w:t>
            </w:r>
            <w:r>
              <w:rPr>
                <w:rFonts w:ascii="Arial" w:cs="Arial" w:eastAsia="Arial" w:hAnsi="Arial"/>
                <w:sz w:val="17"/>
                <w:szCs w:val="17"/>
                <w:b w:val="1"/>
                <w:bCs w:val="1"/>
                <w:color w:val="auto"/>
              </w:rPr>
              <w:t>majority vote</w:t>
            </w:r>
            <w:r>
              <w:rPr>
                <w:rFonts w:ascii="Arial" w:cs="Arial" w:eastAsia="Arial" w:hAnsi="Arial"/>
                <w:sz w:val="17"/>
                <w:szCs w:val="17"/>
                <w:color w:val="auto"/>
              </w:rPr>
              <w:t xml:space="preserve"> of our stockholders for uncontested elections</w:t>
            </w:r>
          </w:p>
        </w:tc>
        <w:tc>
          <w:tcPr>
            <w:tcW w:w="4040" w:type="dxa"/>
            <w:vAlign w:val="bottom"/>
            <w:gridSpan w:val="2"/>
            <w:shd w:val="clear" w:color="auto" w:fill="E7E7E8"/>
          </w:tcPr>
          <w:p>
            <w:pPr>
              <w:ind w:left="380"/>
              <w:spacing w:after="0"/>
              <w:rPr>
                <w:sz w:val="20"/>
                <w:szCs w:val="20"/>
                <w:color w:val="auto"/>
              </w:rPr>
            </w:pPr>
            <w:r>
              <w:rPr>
                <w:rFonts w:ascii="Arial" w:cs="Arial" w:eastAsia="Arial" w:hAnsi="Arial"/>
                <w:sz w:val="17"/>
                <w:szCs w:val="17"/>
                <w:color w:val="auto"/>
              </w:rPr>
              <w:t>p. 9</w:t>
            </w:r>
          </w:p>
        </w:tc>
        <w:tc>
          <w:tcPr>
            <w:tcW w:w="0" w:type="dxa"/>
            <w:vAlign w:val="bottom"/>
          </w:tcPr>
          <w:p>
            <w:pPr>
              <w:spacing w:after="0"/>
              <w:rPr>
                <w:sz w:val="1"/>
                <w:szCs w:val="1"/>
                <w:color w:val="auto"/>
              </w:rPr>
            </w:pPr>
          </w:p>
        </w:tc>
      </w:tr>
      <w:tr>
        <w:trPr>
          <w:trHeight w:val="193"/>
        </w:trPr>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20" w:type="dxa"/>
            <w:vAlign w:val="bottom"/>
            <w:shd w:val="clear" w:color="auto" w:fill="E7E7E8"/>
          </w:tcPr>
          <w:p>
            <w:pPr>
              <w:spacing w:after="0" w:line="193" w:lineRule="exact"/>
              <w:rPr>
                <w:sz w:val="20"/>
                <w:szCs w:val="20"/>
                <w:color w:val="auto"/>
              </w:rPr>
            </w:pPr>
            <w:r>
              <w:rPr>
                <w:rFonts w:ascii="Arial" w:cs="Arial" w:eastAsia="Arial" w:hAnsi="Arial"/>
                <w:sz w:val="17"/>
                <w:szCs w:val="17"/>
                <w:color w:val="auto"/>
              </w:rPr>
              <w:t>and we have a resignation policy if the director fails to receive a majority of the votes cast</w:t>
            </w:r>
          </w:p>
        </w:tc>
        <w:tc>
          <w:tcPr>
            <w:tcW w:w="3940" w:type="dxa"/>
            <w:vAlign w:val="bottom"/>
            <w:shd w:val="clear" w:color="auto" w:fill="E7E7E8"/>
          </w:tcPr>
          <w:p>
            <w:pPr>
              <w:spacing w:after="0"/>
              <w:rPr>
                <w:sz w:val="16"/>
                <w:szCs w:val="16"/>
                <w:color w:val="auto"/>
              </w:rPr>
            </w:pPr>
          </w:p>
        </w:tc>
        <w:tc>
          <w:tcPr>
            <w:tcW w:w="100" w:type="dxa"/>
            <w:vAlign w:val="bottom"/>
            <w:shd w:val="clear" w:color="auto" w:fill="E7E7E8"/>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 xml:space="preserve">We hold an </w:t>
            </w:r>
            <w:r>
              <w:rPr>
                <w:rFonts w:ascii="Arial" w:cs="Arial" w:eastAsia="Arial" w:hAnsi="Arial"/>
                <w:sz w:val="17"/>
                <w:szCs w:val="17"/>
                <w:b w:val="1"/>
                <w:bCs w:val="1"/>
                <w:color w:val="auto"/>
              </w:rPr>
              <w:t>annual say-on-pay</w:t>
            </w:r>
            <w:r>
              <w:rPr>
                <w:rFonts w:ascii="Arial" w:cs="Arial" w:eastAsia="Arial" w:hAnsi="Arial"/>
                <w:sz w:val="17"/>
                <w:szCs w:val="17"/>
                <w:color w:val="auto"/>
              </w:rPr>
              <w:t xml:space="preserve"> advisory vote on executive compensation</w:t>
            </w:r>
          </w:p>
        </w:tc>
        <w:tc>
          <w:tcPr>
            <w:tcW w:w="4040" w:type="dxa"/>
            <w:vAlign w:val="bottom"/>
            <w:gridSpan w:val="2"/>
          </w:tcPr>
          <w:p>
            <w:pPr>
              <w:ind w:left="380"/>
              <w:spacing w:after="0"/>
              <w:rPr>
                <w:sz w:val="20"/>
                <w:szCs w:val="20"/>
                <w:color w:val="auto"/>
              </w:rPr>
            </w:pPr>
            <w:r>
              <w:rPr>
                <w:rFonts w:ascii="Arial" w:cs="Arial" w:eastAsia="Arial" w:hAnsi="Arial"/>
                <w:sz w:val="17"/>
                <w:szCs w:val="17"/>
                <w:color w:val="auto"/>
              </w:rPr>
              <w:t>p. 58</w:t>
            </w:r>
          </w:p>
        </w:tc>
        <w:tc>
          <w:tcPr>
            <w:tcW w:w="0" w:type="dxa"/>
            <w:vAlign w:val="bottom"/>
          </w:tcPr>
          <w:p>
            <w:pPr>
              <w:spacing w:after="0"/>
              <w:rPr>
                <w:sz w:val="1"/>
                <w:szCs w:val="1"/>
                <w:color w:val="auto"/>
              </w:rPr>
            </w:pPr>
          </w:p>
        </w:tc>
      </w:tr>
      <w:tr>
        <w:trPr>
          <w:trHeight w:val="179"/>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20" w:type="dxa"/>
            <w:vAlign w:val="bottom"/>
            <w:shd w:val="clear" w:color="auto" w:fill="E7E7E8"/>
          </w:tcPr>
          <w:p>
            <w:pPr>
              <w:spacing w:after="0" w:line="179" w:lineRule="exact"/>
              <w:rPr>
                <w:sz w:val="20"/>
                <w:szCs w:val="20"/>
                <w:color w:val="auto"/>
              </w:rPr>
            </w:pPr>
            <w:r>
              <w:rPr>
                <w:rFonts w:ascii="Arial" w:cs="Arial" w:eastAsia="Arial" w:hAnsi="Arial"/>
                <w:sz w:val="17"/>
                <w:szCs w:val="17"/>
                <w:color w:val="auto"/>
              </w:rPr>
              <w:t>Our governance guidelines restrict the number of boards our directors may serve on to</w:t>
            </w:r>
          </w:p>
        </w:tc>
        <w:tc>
          <w:tcPr>
            <w:tcW w:w="4040" w:type="dxa"/>
            <w:vAlign w:val="bottom"/>
            <w:gridSpan w:val="2"/>
            <w:shd w:val="clear" w:color="auto" w:fill="E7E7E8"/>
          </w:tcPr>
          <w:p>
            <w:pPr>
              <w:ind w:left="380"/>
              <w:spacing w:after="0" w:line="179" w:lineRule="exact"/>
              <w:rPr>
                <w:sz w:val="20"/>
                <w:szCs w:val="20"/>
                <w:color w:val="auto"/>
              </w:rPr>
            </w:pPr>
            <w:r>
              <w:rPr>
                <w:rFonts w:ascii="Arial" w:cs="Arial" w:eastAsia="Arial" w:hAnsi="Arial"/>
                <w:sz w:val="17"/>
                <w:szCs w:val="17"/>
                <w:color w:val="auto"/>
              </w:rPr>
              <w:t>Corporate Governance Guidelines</w:t>
            </w:r>
          </w:p>
        </w:tc>
        <w:tc>
          <w:tcPr>
            <w:tcW w:w="0" w:type="dxa"/>
            <w:vAlign w:val="bottom"/>
          </w:tcPr>
          <w:p>
            <w:pPr>
              <w:spacing w:after="0"/>
              <w:rPr>
                <w:sz w:val="1"/>
                <w:szCs w:val="1"/>
                <w:color w:val="auto"/>
              </w:rPr>
            </w:pPr>
          </w:p>
        </w:tc>
      </w:tr>
      <w:tr>
        <w:trPr>
          <w:trHeight w:val="213"/>
        </w:trPr>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20" w:type="dxa"/>
            <w:vAlign w:val="bottom"/>
            <w:shd w:val="clear" w:color="auto" w:fill="E7E7E8"/>
          </w:tcPr>
          <w:p>
            <w:pPr>
              <w:spacing w:after="0"/>
              <w:rPr>
                <w:sz w:val="20"/>
                <w:szCs w:val="20"/>
                <w:color w:val="auto"/>
              </w:rPr>
            </w:pPr>
            <w:r>
              <w:rPr>
                <w:rFonts w:ascii="Arial" w:cs="Arial" w:eastAsia="Arial" w:hAnsi="Arial"/>
                <w:sz w:val="17"/>
                <w:szCs w:val="17"/>
                <w:b w:val="1"/>
                <w:bCs w:val="1"/>
                <w:color w:val="auto"/>
              </w:rPr>
              <w:t>prevent overboarding</w:t>
            </w:r>
          </w:p>
        </w:tc>
        <w:tc>
          <w:tcPr>
            <w:tcW w:w="3940" w:type="dxa"/>
            <w:vAlign w:val="bottom"/>
            <w:shd w:val="clear" w:color="auto" w:fill="E7E7E8"/>
          </w:tcPr>
          <w:p>
            <w:pPr>
              <w:spacing w:after="0"/>
              <w:rPr>
                <w:sz w:val="18"/>
                <w:szCs w:val="18"/>
                <w:color w:val="auto"/>
              </w:rPr>
            </w:pPr>
          </w:p>
        </w:tc>
        <w:tc>
          <w:tcPr>
            <w:tcW w:w="100" w:type="dxa"/>
            <w:vAlign w:val="bottom"/>
            <w:shd w:val="clear" w:color="auto" w:fill="E7E7E8"/>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 xml:space="preserve">Annual board and committee </w:t>
            </w:r>
            <w:r>
              <w:rPr>
                <w:rFonts w:ascii="Arial" w:cs="Arial" w:eastAsia="Arial" w:hAnsi="Arial"/>
                <w:sz w:val="17"/>
                <w:szCs w:val="17"/>
                <w:b w:val="1"/>
                <w:bCs w:val="1"/>
                <w:color w:val="auto"/>
              </w:rPr>
              <w:t>self-assessments</w:t>
            </w:r>
            <w:r>
              <w:rPr>
                <w:rFonts w:ascii="Arial" w:cs="Arial" w:eastAsia="Arial" w:hAnsi="Arial"/>
                <w:sz w:val="17"/>
                <w:szCs w:val="17"/>
                <w:color w:val="auto"/>
              </w:rPr>
              <w:t xml:space="preserve"> and annual </w:t>
            </w:r>
            <w:r>
              <w:rPr>
                <w:rFonts w:ascii="Arial" w:cs="Arial" w:eastAsia="Arial" w:hAnsi="Arial"/>
                <w:sz w:val="17"/>
                <w:szCs w:val="17"/>
                <w:b w:val="1"/>
                <w:bCs w:val="1"/>
                <w:color w:val="auto"/>
              </w:rPr>
              <w:t>succession planning</w:t>
            </w:r>
          </w:p>
        </w:tc>
        <w:tc>
          <w:tcPr>
            <w:tcW w:w="4040" w:type="dxa"/>
            <w:vAlign w:val="bottom"/>
            <w:gridSpan w:val="2"/>
          </w:tcPr>
          <w:p>
            <w:pPr>
              <w:ind w:left="380"/>
              <w:spacing w:after="0"/>
              <w:rPr>
                <w:sz w:val="20"/>
                <w:szCs w:val="20"/>
                <w:color w:val="auto"/>
              </w:rPr>
            </w:pPr>
            <w:r>
              <w:rPr>
                <w:rFonts w:ascii="Arial" w:cs="Arial" w:eastAsia="Arial" w:hAnsi="Arial"/>
                <w:sz w:val="17"/>
                <w:szCs w:val="17"/>
                <w:color w:val="auto"/>
              </w:rPr>
              <w:t>Corporate Governance Guidelines</w:t>
            </w:r>
          </w:p>
        </w:tc>
        <w:tc>
          <w:tcPr>
            <w:tcW w:w="0" w:type="dxa"/>
            <w:vAlign w:val="bottom"/>
          </w:tcPr>
          <w:p>
            <w:pPr>
              <w:spacing w:after="0"/>
              <w:rPr>
                <w:sz w:val="1"/>
                <w:szCs w:val="1"/>
                <w:color w:val="auto"/>
              </w:rPr>
            </w:pP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shd w:val="clear" w:color="auto" w:fill="E7E7E8"/>
          </w:tcPr>
          <w:p>
            <w:pPr>
              <w:spacing w:after="0"/>
              <w:rPr>
                <w:sz w:val="20"/>
                <w:szCs w:val="20"/>
                <w:color w:val="auto"/>
              </w:rPr>
            </w:pPr>
            <w:r>
              <w:rPr>
                <w:rFonts w:ascii="Arial" w:cs="Arial" w:eastAsia="Arial" w:hAnsi="Arial"/>
                <w:sz w:val="17"/>
                <w:szCs w:val="17"/>
                <w:color w:val="auto"/>
              </w:rPr>
              <w:t xml:space="preserve">We are guided by strong </w:t>
            </w:r>
            <w:r>
              <w:rPr>
                <w:rFonts w:ascii="Arial" w:cs="Arial" w:eastAsia="Arial" w:hAnsi="Arial"/>
                <w:sz w:val="17"/>
                <w:szCs w:val="17"/>
                <w:b w:val="1"/>
                <w:bCs w:val="1"/>
                <w:color w:val="auto"/>
              </w:rPr>
              <w:t>ethics programs</w:t>
            </w:r>
            <w:r>
              <w:rPr>
                <w:rFonts w:ascii="Arial" w:cs="Arial" w:eastAsia="Arial" w:hAnsi="Arial"/>
                <w:sz w:val="17"/>
                <w:szCs w:val="17"/>
                <w:color w:val="auto"/>
              </w:rPr>
              <w:t xml:space="preserve"> and </w:t>
            </w:r>
            <w:r>
              <w:rPr>
                <w:rFonts w:ascii="Arial" w:cs="Arial" w:eastAsia="Arial" w:hAnsi="Arial"/>
                <w:sz w:val="17"/>
                <w:szCs w:val="17"/>
                <w:b w:val="1"/>
                <w:bCs w:val="1"/>
                <w:color w:val="auto"/>
              </w:rPr>
              <w:t>supplier guidelines</w:t>
            </w:r>
          </w:p>
        </w:tc>
        <w:tc>
          <w:tcPr>
            <w:tcW w:w="4040" w:type="dxa"/>
            <w:vAlign w:val="bottom"/>
            <w:gridSpan w:val="2"/>
            <w:shd w:val="clear" w:color="auto" w:fill="E7E7E8"/>
          </w:tcPr>
          <w:p>
            <w:pPr>
              <w:ind w:left="380"/>
              <w:spacing w:after="0"/>
              <w:rPr>
                <w:sz w:val="20"/>
                <w:szCs w:val="20"/>
                <w:color w:val="auto"/>
              </w:rPr>
            </w:pPr>
            <w:r>
              <w:rPr>
                <w:rFonts w:ascii="Arial" w:cs="Arial" w:eastAsia="Arial" w:hAnsi="Arial"/>
                <w:sz w:val="17"/>
                <w:szCs w:val="17"/>
                <w:color w:val="auto"/>
              </w:rPr>
              <w:t>http://www.abbvie.com/responsibility/home.html</w:t>
            </w:r>
          </w:p>
        </w:tc>
        <w:tc>
          <w:tcPr>
            <w:tcW w:w="0" w:type="dxa"/>
            <w:vAlign w:val="bottom"/>
          </w:tcPr>
          <w:p>
            <w:pPr>
              <w:spacing w:after="0"/>
              <w:rPr>
                <w:sz w:val="1"/>
                <w:szCs w:val="1"/>
                <w:color w:val="auto"/>
              </w:rPr>
            </w:pPr>
          </w:p>
        </w:tc>
      </w:tr>
      <w:tr>
        <w:trPr>
          <w:trHeight w:val="199"/>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20" w:type="dxa"/>
            <w:vAlign w:val="bottom"/>
          </w:tcPr>
          <w:p>
            <w:pPr>
              <w:spacing w:after="0"/>
              <w:rPr>
                <w:sz w:val="20"/>
                <w:szCs w:val="20"/>
                <w:color w:val="auto"/>
              </w:rPr>
            </w:pPr>
            <w:r>
              <w:rPr>
                <w:rFonts w:ascii="Arial" w:cs="Arial" w:eastAsia="Arial" w:hAnsi="Arial"/>
                <w:sz w:val="17"/>
                <w:szCs w:val="17"/>
                <w:color w:val="auto"/>
              </w:rPr>
              <w:t xml:space="preserve">For inclusion on the board, the nominations and governance committee considers </w:t>
            </w:r>
            <w:r>
              <w:rPr>
                <w:rFonts w:ascii="Arial" w:cs="Arial" w:eastAsia="Arial" w:hAnsi="Arial"/>
                <w:sz w:val="17"/>
                <w:szCs w:val="17"/>
                <w:b w:val="1"/>
                <w:bCs w:val="1"/>
                <w:color w:val="auto"/>
              </w:rPr>
              <w:t>diversity</w:t>
            </w:r>
          </w:p>
        </w:tc>
        <w:tc>
          <w:tcPr>
            <w:tcW w:w="4040" w:type="dxa"/>
            <w:vAlign w:val="bottom"/>
            <w:gridSpan w:val="2"/>
          </w:tcPr>
          <w:p>
            <w:pPr>
              <w:ind w:left="380"/>
              <w:spacing w:after="0"/>
              <w:rPr>
                <w:sz w:val="20"/>
                <w:szCs w:val="20"/>
                <w:color w:val="auto"/>
              </w:rPr>
            </w:pPr>
            <w:r>
              <w:rPr>
                <w:rFonts w:ascii="Arial" w:cs="Arial" w:eastAsia="Arial" w:hAnsi="Arial"/>
                <w:sz w:val="17"/>
                <w:szCs w:val="17"/>
                <w:color w:val="auto"/>
              </w:rPr>
              <w:t>p. 14</w:t>
            </w:r>
          </w:p>
        </w:tc>
        <w:tc>
          <w:tcPr>
            <w:tcW w:w="0" w:type="dxa"/>
            <w:vAlign w:val="bottom"/>
          </w:tcPr>
          <w:p>
            <w:pPr>
              <w:spacing w:after="0"/>
              <w:rPr>
                <w:sz w:val="1"/>
                <w:szCs w:val="1"/>
                <w:color w:val="auto"/>
              </w:rPr>
            </w:pPr>
          </w:p>
        </w:tc>
      </w:tr>
      <w:tr>
        <w:trPr>
          <w:trHeight w:val="204"/>
        </w:trPr>
        <w:tc>
          <w:tcPr>
            <w:tcW w:w="240" w:type="dxa"/>
            <w:vAlign w:val="bottom"/>
          </w:tcPr>
          <w:p>
            <w:pPr>
              <w:spacing w:after="0"/>
              <w:rPr>
                <w:sz w:val="17"/>
                <w:szCs w:val="17"/>
                <w:color w:val="auto"/>
              </w:rPr>
            </w:pPr>
          </w:p>
        </w:tc>
        <w:tc>
          <w:tcPr>
            <w:tcW w:w="7240" w:type="dxa"/>
            <w:vAlign w:val="bottom"/>
            <w:gridSpan w:val="2"/>
          </w:tcPr>
          <w:p>
            <w:pPr>
              <w:spacing w:after="0"/>
              <w:rPr>
                <w:sz w:val="20"/>
                <w:szCs w:val="20"/>
                <w:color w:val="auto"/>
              </w:rPr>
            </w:pPr>
            <w:r>
              <w:rPr>
                <w:rFonts w:ascii="Arial" w:cs="Arial" w:eastAsia="Arial" w:hAnsi="Arial"/>
                <w:sz w:val="17"/>
                <w:szCs w:val="17"/>
                <w:color w:val="auto"/>
              </w:rPr>
              <w:t>of ethnicity, gender, and geography</w:t>
            </w:r>
          </w:p>
        </w:tc>
        <w:tc>
          <w:tcPr>
            <w:tcW w:w="3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15"/>
        </w:trPr>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4</w:t>
            </w:r>
          </w:p>
        </w:tc>
        <w:tc>
          <w:tcPr>
            <w:tcW w:w="20" w:type="dxa"/>
            <w:vAlign w:val="bottom"/>
          </w:tcPr>
          <w:p>
            <w:pPr>
              <w:spacing w:after="0"/>
              <w:rPr>
                <w:sz w:val="24"/>
                <w:szCs w:val="24"/>
                <w:color w:val="auto"/>
              </w:rPr>
            </w:pPr>
          </w:p>
        </w:tc>
        <w:tc>
          <w:tcPr>
            <w:tcW w:w="7220" w:type="dxa"/>
            <w:vAlign w:val="bottom"/>
          </w:tcPr>
          <w:p>
            <w:pPr>
              <w:ind w:left="1200"/>
              <w:spacing w:after="0"/>
              <w:rPr>
                <w:sz w:val="20"/>
                <w:szCs w:val="20"/>
                <w:color w:val="auto"/>
              </w:rPr>
            </w:pPr>
            <w:r>
              <w:rPr>
                <w:rFonts w:ascii="Arial" w:cs="Arial" w:eastAsia="Arial" w:hAnsi="Arial"/>
                <w:sz w:val="24"/>
                <w:szCs w:val="24"/>
                <w:b w:val="1"/>
                <w:bCs w:val="1"/>
                <w:color w:val="444867"/>
              </w:rPr>
              <w:t xml:space="preserve">| </w:t>
            </w:r>
            <w:r>
              <w:rPr>
                <w:rFonts w:ascii="Arial" w:cs="Arial" w:eastAsia="Arial" w:hAnsi="Arial"/>
                <w:sz w:val="16"/>
                <w:szCs w:val="16"/>
                <w:i w:val="1"/>
                <w:iCs w:val="1"/>
                <w:color w:val="000000"/>
              </w:rPr>
              <w:t>2016 Proxy Statement</w:t>
            </w: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24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7220" w:type="dxa"/>
            <w:vAlign w:val="bottom"/>
            <w:tcBorders>
              <w:bottom w:val="single" w:sz="8" w:color="808080"/>
            </w:tcBorders>
          </w:tcPr>
          <w:p>
            <w:pPr>
              <w:spacing w:after="0"/>
              <w:rPr>
                <w:sz w:val="15"/>
                <w:szCs w:val="15"/>
                <w:color w:val="auto"/>
              </w:rPr>
            </w:pPr>
          </w:p>
        </w:tc>
        <w:tc>
          <w:tcPr>
            <w:tcW w:w="3940" w:type="dxa"/>
            <w:vAlign w:val="bottom"/>
            <w:tcBorders>
              <w:bottom w:val="single" w:sz="8" w:color="808080"/>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-300355</wp:posOffset>
            </wp:positionV>
            <wp:extent cx="622300" cy="1079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22300" cy="107950"/>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7" w:name="page8"/>
    <w:bookmarkEnd w:id="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312660" cy="67290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312660" cy="6729095"/>
                    </a:xfrm>
                    <a:prstGeom prst="rect">
                      <a:avLst/>
                    </a:prstGeom>
                    <a:noFill/>
                  </pic:spPr>
                </pic:pic>
              </a:graphicData>
            </a:graphic>
          </wp:anchor>
        </w:drawing>
      </w:r>
    </w:p>
    <w:p>
      <w:pPr>
        <w:spacing w:after="0" w:line="224" w:lineRule="exact"/>
        <w:rPr>
          <w:sz w:val="20"/>
          <w:szCs w:val="20"/>
          <w:color w:val="auto"/>
        </w:rPr>
      </w:pPr>
    </w:p>
    <w:p>
      <w:pPr>
        <w:ind w:left="9620"/>
        <w:spacing w:after="0"/>
        <w:rPr>
          <w:sz w:val="20"/>
          <w:szCs w:val="20"/>
          <w:color w:val="auto"/>
        </w:rPr>
      </w:pPr>
      <w:r>
        <w:rPr>
          <w:rFonts w:ascii="Arial" w:cs="Arial" w:eastAsia="Arial" w:hAnsi="Arial"/>
          <w:sz w:val="10"/>
          <w:szCs w:val="10"/>
          <w:b w:val="1"/>
          <w:bCs w:val="1"/>
          <w:color w:val="FFFFFE"/>
        </w:rPr>
        <w:t>PROXY STATEMENT SUMMARY</w:t>
      </w:r>
    </w:p>
    <w:p>
      <w:pPr>
        <w:spacing w:after="0" w:line="273" w:lineRule="exact"/>
        <w:rPr>
          <w:sz w:val="20"/>
          <w:szCs w:val="20"/>
          <w:color w:val="auto"/>
        </w:rPr>
      </w:pPr>
    </w:p>
    <w:p>
      <w:pPr>
        <w:ind w:left="240"/>
        <w:spacing w:after="0"/>
        <w:rPr>
          <w:sz w:val="20"/>
          <w:szCs w:val="20"/>
          <w:color w:val="auto"/>
        </w:rPr>
      </w:pPr>
      <w:r>
        <w:rPr>
          <w:rFonts w:ascii="Arial" w:cs="Arial" w:eastAsia="Arial" w:hAnsi="Arial"/>
          <w:sz w:val="21"/>
          <w:szCs w:val="21"/>
          <w:b w:val="1"/>
          <w:bCs w:val="1"/>
          <w:color w:val="444867"/>
        </w:rPr>
        <w:t>Executive Compensation Highlights</w:t>
      </w:r>
    </w:p>
    <w:p>
      <w:pPr>
        <w:spacing w:after="0" w:line="277" w:lineRule="exact"/>
        <w:rPr>
          <w:sz w:val="20"/>
          <w:szCs w:val="20"/>
          <w:color w:val="auto"/>
        </w:rPr>
      </w:pPr>
    </w:p>
    <w:p>
      <w:pPr>
        <w:ind w:left="240" w:firstLine="651"/>
        <w:spacing w:after="0" w:line="243" w:lineRule="auto"/>
        <w:rPr>
          <w:sz w:val="20"/>
          <w:szCs w:val="20"/>
          <w:color w:val="auto"/>
        </w:rPr>
      </w:pPr>
      <w:r>
        <w:rPr>
          <w:rFonts w:ascii="Arial" w:cs="Arial" w:eastAsia="Arial" w:hAnsi="Arial"/>
          <w:sz w:val="17"/>
          <w:szCs w:val="17"/>
          <w:color w:val="auto"/>
        </w:rPr>
        <w:t>At AbbVie, the board of directors believes a well-designed compensation program should align executive interests with the drivers of stockholder returns and profitable growth, support achievement of the company's primary business goals, and attract and retain world-class executives whose talents and contributions sustain the growth in long-term stockholder value. Consequently, the compensation committee of the board has designed and implemented an executive compensation program in which a substantial majority of named executive officer (NEO) compensation at AbbVie is performance-based.</w:t>
      </w:r>
    </w:p>
    <w:p>
      <w:pPr>
        <w:spacing w:after="0" w:line="199" w:lineRule="exact"/>
        <w:rPr>
          <w:sz w:val="20"/>
          <w:szCs w:val="20"/>
          <w:color w:val="auto"/>
        </w:rPr>
      </w:pPr>
    </w:p>
    <w:p>
      <w:pPr>
        <w:jc w:val="both"/>
        <w:ind w:left="240" w:firstLine="661"/>
        <w:spacing w:after="0" w:line="255" w:lineRule="auto"/>
        <w:rPr>
          <w:sz w:val="20"/>
          <w:szCs w:val="20"/>
          <w:color w:val="auto"/>
        </w:rPr>
      </w:pPr>
      <w:r>
        <w:rPr>
          <w:rFonts w:ascii="Arial" w:cs="Arial" w:eastAsia="Arial" w:hAnsi="Arial"/>
          <w:sz w:val="16"/>
          <w:szCs w:val="16"/>
          <w:color w:val="auto"/>
        </w:rPr>
        <w:t>When determining NEO compensation, the committee first considers the median of the competitive marketplace (as derived primarily from the Health Care Peer Group approved by the committee) as an initial benchmark for assessing compensation. The committee then takes into account the company's overall performance against the financial, operating and strategic objectives that were established at the start of the performance period.</w:t>
      </w:r>
    </w:p>
    <w:p>
      <w:pPr>
        <w:spacing w:after="0" w:line="1" w:lineRule="exact"/>
        <w:rPr>
          <w:sz w:val="20"/>
          <w:szCs w:val="20"/>
          <w:color w:val="auto"/>
        </w:rPr>
      </w:pPr>
    </w:p>
    <w:p>
      <w:pPr>
        <w:jc w:val="both"/>
        <w:ind w:left="240"/>
        <w:spacing w:after="0" w:line="250" w:lineRule="auto"/>
        <w:rPr>
          <w:sz w:val="20"/>
          <w:szCs w:val="20"/>
          <w:color w:val="auto"/>
        </w:rPr>
      </w:pPr>
      <w:r>
        <w:rPr>
          <w:rFonts w:ascii="Arial" w:cs="Arial" w:eastAsia="Arial" w:hAnsi="Arial"/>
          <w:sz w:val="17"/>
          <w:szCs w:val="17"/>
          <w:color w:val="auto"/>
        </w:rPr>
        <w:t>Finally, specific pay determinations are made for each NEO based on his or her individual performance against goals and contributions to the short- an long-term performance of the company.</w:t>
      </w:r>
    </w:p>
    <w:p>
      <w:pPr>
        <w:spacing w:after="0" w:line="194" w:lineRule="exact"/>
        <w:rPr>
          <w:sz w:val="20"/>
          <w:szCs w:val="20"/>
          <w:color w:val="auto"/>
        </w:rPr>
      </w:pPr>
    </w:p>
    <w:p>
      <w:pPr>
        <w:jc w:val="both"/>
        <w:ind w:left="240" w:right="500" w:firstLine="658"/>
        <w:spacing w:after="0" w:line="245" w:lineRule="auto"/>
        <w:rPr>
          <w:sz w:val="20"/>
          <w:szCs w:val="20"/>
          <w:color w:val="auto"/>
        </w:rPr>
      </w:pPr>
      <w:r>
        <w:rPr>
          <w:rFonts w:ascii="Arial" w:cs="Arial" w:eastAsia="Arial" w:hAnsi="Arial"/>
          <w:sz w:val="17"/>
          <w:szCs w:val="17"/>
          <w:color w:val="auto"/>
        </w:rPr>
        <w:t>Three primary components make up AbbVie's executive pay program: base salary, short-term incentives and long-term incentives. The structure of each component is tailored to serve a specific function and purpose. The following is a summary of the key components of our 2015 compensation program and changes made for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8180"/>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8" w:name="page9"/>
    <w:bookmarkEnd w:id="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130810</wp:posOffset>
            </wp:positionV>
            <wp:extent cx="7312660" cy="30702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312660" cy="3070225"/>
                    </a:xfrm>
                    <a:prstGeom prst="rect">
                      <a:avLst/>
                    </a:prstGeom>
                    <a:noFill/>
                  </pic:spPr>
                </pic:pic>
              </a:graphicData>
            </a:graphic>
          </wp:anchor>
        </w:drawing>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PROXY STATEMENT SUMMARY</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40" w:type="dxa"/>
            <w:vAlign w:val="bottom"/>
          </w:tcPr>
          <w:p>
            <w:pPr>
              <w:spacing w:after="0"/>
              <w:rPr>
                <w:sz w:val="18"/>
                <w:szCs w:val="18"/>
                <w:color w:val="auto"/>
              </w:rPr>
            </w:pPr>
          </w:p>
        </w:tc>
        <w:tc>
          <w:tcPr>
            <w:tcW w:w="366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7"/>
                <w:szCs w:val="17"/>
                <w:b w:val="1"/>
                <w:bCs w:val="1"/>
                <w:color w:val="444867"/>
              </w:rPr>
              <w:t>Element of Pay</w:t>
            </w:r>
          </w:p>
        </w:tc>
        <w:tc>
          <w:tcPr>
            <w:tcW w:w="7620" w:type="dxa"/>
            <w:vAlign w:val="bottom"/>
            <w:tcBorders>
              <w:top w:val="single" w:sz="8" w:color="auto"/>
              <w:bottom w:val="single" w:sz="8" w:color="auto"/>
            </w:tcBorders>
            <w:gridSpan w:val="2"/>
          </w:tcPr>
          <w:p>
            <w:pPr>
              <w:ind w:left="460"/>
              <w:spacing w:after="0"/>
              <w:rPr>
                <w:sz w:val="20"/>
                <w:szCs w:val="20"/>
                <w:color w:val="auto"/>
              </w:rPr>
            </w:pPr>
            <w:r>
              <w:rPr>
                <w:rFonts w:ascii="Arial" w:cs="Arial" w:eastAsia="Arial" w:hAnsi="Arial"/>
                <w:sz w:val="17"/>
                <w:szCs w:val="17"/>
                <w:b w:val="1"/>
                <w:bCs w:val="1"/>
                <w:color w:val="444867"/>
              </w:rPr>
              <w:t>Changes Made for 2016</w:t>
            </w:r>
          </w:p>
        </w:tc>
      </w:tr>
      <w:tr>
        <w:trPr>
          <w:trHeight w:val="179"/>
        </w:trPr>
        <w:tc>
          <w:tcPr>
            <w:tcW w:w="240" w:type="dxa"/>
            <w:vAlign w:val="bottom"/>
          </w:tcPr>
          <w:p>
            <w:pPr>
              <w:spacing w:after="0"/>
              <w:rPr>
                <w:sz w:val="15"/>
                <w:szCs w:val="15"/>
                <w:color w:val="auto"/>
              </w:rPr>
            </w:pPr>
          </w:p>
        </w:tc>
        <w:tc>
          <w:tcPr>
            <w:tcW w:w="3660" w:type="dxa"/>
            <w:vAlign w:val="bottom"/>
            <w:gridSpan w:val="2"/>
          </w:tcPr>
          <w:p>
            <w:pPr>
              <w:spacing w:after="0" w:line="179" w:lineRule="exact"/>
              <w:rPr>
                <w:sz w:val="20"/>
                <w:szCs w:val="20"/>
                <w:color w:val="auto"/>
              </w:rPr>
            </w:pPr>
            <w:r>
              <w:rPr>
                <w:rFonts w:ascii="Arial" w:cs="Arial" w:eastAsia="Arial" w:hAnsi="Arial"/>
                <w:sz w:val="17"/>
                <w:szCs w:val="17"/>
                <w:color w:val="auto"/>
              </w:rPr>
              <w:t>Long-Term Incentive Program</w:t>
            </w:r>
          </w:p>
        </w:tc>
        <w:tc>
          <w:tcPr>
            <w:tcW w:w="7620" w:type="dxa"/>
            <w:vAlign w:val="bottom"/>
            <w:gridSpan w:val="2"/>
          </w:tcPr>
          <w:p>
            <w:pPr>
              <w:ind w:left="460"/>
              <w:spacing w:after="0" w:line="179" w:lineRule="exact"/>
              <w:rPr>
                <w:sz w:val="20"/>
                <w:szCs w:val="20"/>
                <w:color w:val="auto"/>
              </w:rPr>
            </w:pPr>
            <w:r>
              <w:rPr>
                <w:rFonts w:ascii="Arial" w:cs="Arial" w:eastAsia="Arial" w:hAnsi="Arial"/>
                <w:sz w:val="17"/>
                <w:szCs w:val="17"/>
                <w:color w:val="auto"/>
              </w:rPr>
              <w:t>ü   Completed redesign of our long-term incentive program:</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620" w:type="dxa"/>
            <w:vAlign w:val="bottom"/>
            <w:gridSpan w:val="2"/>
          </w:tcPr>
          <w:p>
            <w:pPr>
              <w:ind w:left="780"/>
              <w:spacing w:after="0"/>
              <w:rPr>
                <w:sz w:val="20"/>
                <w:szCs w:val="20"/>
                <w:color w:val="auto"/>
              </w:rPr>
            </w:pPr>
            <w:r>
              <w:rPr>
                <w:rFonts w:ascii="Arial" w:cs="Arial" w:eastAsia="Arial" w:hAnsi="Arial"/>
                <w:sz w:val="17"/>
                <w:szCs w:val="17"/>
                <w:color w:val="auto"/>
              </w:rPr>
              <w:t>—  Added multiple performance metrics, including relative ROE, EPS and relative TSR as</w:t>
            </w:r>
          </w:p>
        </w:tc>
      </w:tr>
      <w:tr>
        <w:trPr>
          <w:trHeight w:val="18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7620" w:type="dxa"/>
            <w:vAlign w:val="bottom"/>
            <w:gridSpan w:val="2"/>
          </w:tcPr>
          <w:p>
            <w:pPr>
              <w:ind w:left="1100"/>
              <w:spacing w:after="0" w:line="183" w:lineRule="exact"/>
              <w:rPr>
                <w:sz w:val="20"/>
                <w:szCs w:val="20"/>
                <w:color w:val="auto"/>
              </w:rPr>
            </w:pPr>
            <w:r>
              <w:rPr>
                <w:rFonts w:ascii="Arial" w:cs="Arial" w:eastAsia="Arial" w:hAnsi="Arial"/>
                <w:sz w:val="17"/>
                <w:szCs w:val="17"/>
                <w:color w:val="auto"/>
              </w:rPr>
              <w:t>criteria for vesting.</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620" w:type="dxa"/>
            <w:vAlign w:val="bottom"/>
            <w:gridSpan w:val="2"/>
          </w:tcPr>
          <w:p>
            <w:pPr>
              <w:ind w:left="780"/>
              <w:spacing w:after="0"/>
              <w:rPr>
                <w:sz w:val="20"/>
                <w:szCs w:val="20"/>
                <w:color w:val="auto"/>
              </w:rPr>
            </w:pPr>
            <w:r>
              <w:rPr>
                <w:rFonts w:ascii="Arial" w:cs="Arial" w:eastAsia="Arial" w:hAnsi="Arial"/>
                <w:sz w:val="17"/>
                <w:szCs w:val="17"/>
                <w:color w:val="auto"/>
              </w:rPr>
              <w:t>—  Removed provision that allowed performance awards to vest if thresholds were met in</w:t>
            </w:r>
          </w:p>
        </w:tc>
      </w:tr>
      <w:tr>
        <w:trPr>
          <w:trHeight w:val="18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7620" w:type="dxa"/>
            <w:vAlign w:val="bottom"/>
            <w:gridSpan w:val="2"/>
          </w:tcPr>
          <w:p>
            <w:pPr>
              <w:ind w:left="1100"/>
              <w:spacing w:after="0" w:line="183" w:lineRule="exact"/>
              <w:rPr>
                <w:sz w:val="20"/>
                <w:szCs w:val="20"/>
                <w:color w:val="auto"/>
              </w:rPr>
            </w:pPr>
            <w:r>
              <w:rPr>
                <w:rFonts w:ascii="Arial" w:cs="Arial" w:eastAsia="Arial" w:hAnsi="Arial"/>
                <w:sz w:val="17"/>
                <w:szCs w:val="17"/>
                <w:color w:val="auto"/>
              </w:rPr>
              <w:t>any 3 of 5 years, creating more risk of forfeiture.</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620" w:type="dxa"/>
            <w:vAlign w:val="bottom"/>
            <w:gridSpan w:val="2"/>
          </w:tcPr>
          <w:p>
            <w:pPr>
              <w:ind w:left="780"/>
              <w:spacing w:after="0"/>
              <w:rPr>
                <w:sz w:val="20"/>
                <w:szCs w:val="20"/>
                <w:color w:val="auto"/>
              </w:rPr>
            </w:pPr>
            <w:r>
              <w:rPr>
                <w:rFonts w:ascii="Arial" w:cs="Arial" w:eastAsia="Arial" w:hAnsi="Arial"/>
                <w:sz w:val="17"/>
                <w:szCs w:val="17"/>
                <w:color w:val="auto"/>
              </w:rPr>
              <w:t>—  Added multi-year performance periods.</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620" w:type="dxa"/>
            <w:vAlign w:val="bottom"/>
            <w:gridSpan w:val="2"/>
          </w:tcPr>
          <w:p>
            <w:pPr>
              <w:ind w:left="780"/>
              <w:spacing w:after="0"/>
              <w:rPr>
                <w:sz w:val="20"/>
                <w:szCs w:val="20"/>
                <w:color w:val="auto"/>
              </w:rPr>
            </w:pPr>
            <w:r>
              <w:rPr>
                <w:rFonts w:ascii="Arial" w:cs="Arial" w:eastAsia="Arial" w:hAnsi="Arial"/>
                <w:sz w:val="17"/>
                <w:szCs w:val="17"/>
                <w:color w:val="auto"/>
              </w:rPr>
              <w:t>—  Changed dividend payment schedule so dividends are paid only at vesting and only on</w:t>
            </w:r>
          </w:p>
        </w:tc>
      </w:tr>
      <w:tr>
        <w:trPr>
          <w:trHeight w:val="18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7620" w:type="dxa"/>
            <w:vAlign w:val="bottom"/>
            <w:gridSpan w:val="2"/>
          </w:tcPr>
          <w:p>
            <w:pPr>
              <w:ind w:left="1100"/>
              <w:spacing w:after="0" w:line="183" w:lineRule="exact"/>
              <w:rPr>
                <w:sz w:val="20"/>
                <w:szCs w:val="20"/>
                <w:color w:val="auto"/>
              </w:rPr>
            </w:pPr>
            <w:r>
              <w:rPr>
                <w:rFonts w:ascii="Arial" w:cs="Arial" w:eastAsia="Arial" w:hAnsi="Arial"/>
                <w:sz w:val="17"/>
                <w:szCs w:val="17"/>
                <w:color w:val="auto"/>
              </w:rPr>
              <w:t>vested shares.</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620" w:type="dxa"/>
            <w:vAlign w:val="bottom"/>
            <w:gridSpan w:val="2"/>
          </w:tcPr>
          <w:p>
            <w:pPr>
              <w:ind w:left="780"/>
              <w:spacing w:after="0"/>
              <w:rPr>
                <w:sz w:val="20"/>
                <w:szCs w:val="20"/>
                <w:color w:val="auto"/>
              </w:rPr>
            </w:pPr>
            <w:r>
              <w:rPr>
                <w:rFonts w:ascii="Arial" w:cs="Arial" w:eastAsia="Arial" w:hAnsi="Arial"/>
                <w:sz w:val="17"/>
                <w:szCs w:val="17"/>
                <w:color w:val="auto"/>
              </w:rPr>
              <w:t>—  Increased use of performance-vested awards from 75% to 80% which, in combination</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620" w:type="dxa"/>
            <w:vAlign w:val="bottom"/>
            <w:gridSpan w:val="2"/>
          </w:tcPr>
          <w:p>
            <w:pPr>
              <w:ind w:left="1100"/>
              <w:spacing w:after="0"/>
              <w:rPr>
                <w:sz w:val="20"/>
                <w:szCs w:val="20"/>
                <w:color w:val="auto"/>
              </w:rPr>
            </w:pPr>
            <w:r>
              <w:rPr>
                <w:rFonts w:ascii="Arial" w:cs="Arial" w:eastAsia="Arial" w:hAnsi="Arial"/>
                <w:sz w:val="17"/>
                <w:szCs w:val="17"/>
                <w:color w:val="auto"/>
                <w:w w:val="99"/>
              </w:rPr>
              <w:t>with stock options, ties 100% of our LTI program to performance metrics and stock pric</w:t>
            </w:r>
          </w:p>
        </w:tc>
      </w:tr>
      <w:tr>
        <w:trPr>
          <w:trHeight w:val="183"/>
        </w:trPr>
        <w:tc>
          <w:tcPr>
            <w:tcW w:w="2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7620" w:type="dxa"/>
            <w:vAlign w:val="bottom"/>
            <w:gridSpan w:val="2"/>
          </w:tcPr>
          <w:p>
            <w:pPr>
              <w:ind w:left="1100"/>
              <w:spacing w:after="0" w:line="183" w:lineRule="exact"/>
              <w:rPr>
                <w:sz w:val="20"/>
                <w:szCs w:val="20"/>
                <w:color w:val="auto"/>
              </w:rPr>
            </w:pPr>
            <w:r>
              <w:rPr>
                <w:rFonts w:ascii="Arial" w:cs="Arial" w:eastAsia="Arial" w:hAnsi="Arial"/>
                <w:sz w:val="17"/>
                <w:szCs w:val="17"/>
                <w:color w:val="auto"/>
              </w:rPr>
              <w:t>appreciation.</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7620" w:type="dxa"/>
            <w:vAlign w:val="bottom"/>
            <w:gridSpan w:val="2"/>
          </w:tcPr>
          <w:p>
            <w:pPr>
              <w:ind w:left="780"/>
              <w:spacing w:after="0"/>
              <w:rPr>
                <w:sz w:val="20"/>
                <w:szCs w:val="20"/>
                <w:color w:val="auto"/>
              </w:rPr>
            </w:pPr>
            <w:r>
              <w:rPr>
                <w:rFonts w:ascii="Arial" w:cs="Arial" w:eastAsia="Arial" w:hAnsi="Arial"/>
                <w:sz w:val="17"/>
                <w:szCs w:val="17"/>
                <w:color w:val="auto"/>
              </w:rPr>
              <w:t>—  Refined process for referencing the market median for long-term incentive award</w:t>
            </w:r>
          </w:p>
        </w:tc>
      </w:tr>
      <w:tr>
        <w:trPr>
          <w:trHeight w:val="193"/>
        </w:trPr>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40" w:type="dxa"/>
            <w:vAlign w:val="bottom"/>
          </w:tcPr>
          <w:p>
            <w:pPr>
              <w:spacing w:after="0"/>
              <w:rPr>
                <w:sz w:val="16"/>
                <w:szCs w:val="16"/>
                <w:color w:val="auto"/>
              </w:rPr>
            </w:pPr>
          </w:p>
        </w:tc>
        <w:tc>
          <w:tcPr>
            <w:tcW w:w="7620" w:type="dxa"/>
            <w:vAlign w:val="bottom"/>
            <w:gridSpan w:val="2"/>
          </w:tcPr>
          <w:p>
            <w:pPr>
              <w:ind w:left="1100"/>
              <w:spacing w:after="0" w:line="193" w:lineRule="exact"/>
              <w:rPr>
                <w:sz w:val="20"/>
                <w:szCs w:val="20"/>
                <w:color w:val="auto"/>
              </w:rPr>
            </w:pPr>
            <w:r>
              <w:rPr>
                <w:rFonts w:ascii="Arial" w:cs="Arial" w:eastAsia="Arial" w:hAnsi="Arial"/>
                <w:sz w:val="17"/>
                <w:szCs w:val="17"/>
                <w:color w:val="auto"/>
              </w:rPr>
              <w:t>decisions.</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shd w:val="clear" w:color="auto" w:fill="E7E7E8"/>
          </w:tcPr>
          <w:p>
            <w:pPr>
              <w:spacing w:after="0"/>
              <w:rPr>
                <w:sz w:val="20"/>
                <w:szCs w:val="20"/>
                <w:color w:val="auto"/>
              </w:rPr>
            </w:pPr>
            <w:r>
              <w:rPr>
                <w:rFonts w:ascii="Arial" w:cs="Arial" w:eastAsia="Arial" w:hAnsi="Arial"/>
                <w:sz w:val="17"/>
                <w:szCs w:val="17"/>
                <w:color w:val="auto"/>
              </w:rPr>
              <w:t>Performance Incentive Plan</w:t>
            </w:r>
          </w:p>
        </w:tc>
        <w:tc>
          <w:tcPr>
            <w:tcW w:w="7620" w:type="dxa"/>
            <w:vAlign w:val="bottom"/>
            <w:gridSpan w:val="2"/>
            <w:shd w:val="clear" w:color="auto" w:fill="E7E7E8"/>
          </w:tcPr>
          <w:p>
            <w:pPr>
              <w:ind w:left="460"/>
              <w:spacing w:after="0"/>
              <w:rPr>
                <w:sz w:val="20"/>
                <w:szCs w:val="20"/>
                <w:color w:val="auto"/>
              </w:rPr>
            </w:pPr>
            <w:r>
              <w:rPr>
                <w:rFonts w:ascii="Arial" w:cs="Arial" w:eastAsia="Arial" w:hAnsi="Arial"/>
                <w:sz w:val="17"/>
                <w:szCs w:val="17"/>
                <w:color w:val="auto"/>
              </w:rPr>
              <w:t>ü   Added disclosure of our maximum incentive cap of 200% of target.</w:t>
            </w:r>
          </w:p>
        </w:tc>
      </w:tr>
      <w:tr>
        <w:trPr>
          <w:trHeight w:val="196"/>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shd w:val="clear" w:color="auto" w:fill="E7E7E8"/>
          </w:tcPr>
          <w:p>
            <w:pPr>
              <w:spacing w:after="0"/>
              <w:rPr>
                <w:sz w:val="17"/>
                <w:szCs w:val="17"/>
                <w:color w:val="auto"/>
              </w:rPr>
            </w:pPr>
          </w:p>
        </w:tc>
        <w:tc>
          <w:tcPr>
            <w:tcW w:w="7620" w:type="dxa"/>
            <w:vAlign w:val="bottom"/>
            <w:gridSpan w:val="2"/>
            <w:shd w:val="clear" w:color="auto" w:fill="E7E7E8"/>
          </w:tcPr>
          <w:p>
            <w:pPr>
              <w:ind w:left="460"/>
              <w:spacing w:after="0"/>
              <w:rPr>
                <w:sz w:val="20"/>
                <w:szCs w:val="20"/>
                <w:color w:val="auto"/>
              </w:rPr>
            </w:pPr>
            <w:r>
              <w:rPr>
                <w:rFonts w:ascii="Arial" w:cs="Arial" w:eastAsia="Arial" w:hAnsi="Arial"/>
                <w:sz w:val="17"/>
                <w:szCs w:val="17"/>
                <w:color w:val="auto"/>
              </w:rPr>
              <w:t>ü   Reduced the CEO's target annual incentive to 150% of base salary.</w:t>
            </w:r>
          </w:p>
        </w:tc>
      </w:tr>
      <w:tr>
        <w:trPr>
          <w:trHeight w:val="199"/>
        </w:trPr>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40" w:type="dxa"/>
            <w:vAlign w:val="bottom"/>
            <w:shd w:val="clear" w:color="auto" w:fill="E7E7E8"/>
          </w:tcPr>
          <w:p>
            <w:pPr>
              <w:spacing w:after="0"/>
              <w:rPr>
                <w:sz w:val="17"/>
                <w:szCs w:val="17"/>
                <w:color w:val="auto"/>
              </w:rPr>
            </w:pPr>
          </w:p>
        </w:tc>
        <w:tc>
          <w:tcPr>
            <w:tcW w:w="7620" w:type="dxa"/>
            <w:vAlign w:val="bottom"/>
            <w:gridSpan w:val="2"/>
            <w:shd w:val="clear" w:color="auto" w:fill="E7E7E8"/>
          </w:tcPr>
          <w:p>
            <w:pPr>
              <w:ind w:left="460"/>
              <w:spacing w:after="0"/>
              <w:rPr>
                <w:sz w:val="20"/>
                <w:szCs w:val="20"/>
                <w:color w:val="auto"/>
              </w:rPr>
            </w:pPr>
            <w:r>
              <w:rPr>
                <w:rFonts w:ascii="Arial" w:cs="Arial" w:eastAsia="Arial" w:hAnsi="Arial"/>
                <w:sz w:val="17"/>
                <w:szCs w:val="17"/>
                <w:color w:val="auto"/>
              </w:rPr>
              <w:t>ü   Established a formal payout matrix based on net revenues and operating margin to guide</w:t>
            </w:r>
          </w:p>
        </w:tc>
      </w:tr>
      <w:tr>
        <w:trPr>
          <w:trHeight w:val="193"/>
        </w:trPr>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40" w:type="dxa"/>
            <w:vAlign w:val="bottom"/>
            <w:shd w:val="clear" w:color="auto" w:fill="E7E7E8"/>
          </w:tcPr>
          <w:p>
            <w:pPr>
              <w:spacing w:after="0"/>
              <w:rPr>
                <w:sz w:val="16"/>
                <w:szCs w:val="16"/>
                <w:color w:val="auto"/>
              </w:rPr>
            </w:pPr>
          </w:p>
        </w:tc>
        <w:tc>
          <w:tcPr>
            <w:tcW w:w="7620" w:type="dxa"/>
            <w:vAlign w:val="bottom"/>
            <w:gridSpan w:val="2"/>
            <w:shd w:val="clear" w:color="auto" w:fill="E7E7E8"/>
          </w:tcPr>
          <w:p>
            <w:pPr>
              <w:ind w:left="780"/>
              <w:spacing w:after="0" w:line="193" w:lineRule="exact"/>
              <w:rPr>
                <w:sz w:val="20"/>
                <w:szCs w:val="20"/>
                <w:color w:val="auto"/>
              </w:rPr>
            </w:pPr>
            <w:r>
              <w:rPr>
                <w:rFonts w:ascii="Arial" w:cs="Arial" w:eastAsia="Arial" w:hAnsi="Arial"/>
                <w:sz w:val="17"/>
                <w:szCs w:val="17"/>
                <w:color w:val="auto"/>
              </w:rPr>
              <w:t>NEO annual incentive awards, beginning with awards for the 2015 performance year.</w:t>
            </w:r>
          </w:p>
        </w:tc>
      </w:tr>
      <w:tr>
        <w:trPr>
          <w:trHeight w:val="199"/>
        </w:trPr>
        <w:tc>
          <w:tcPr>
            <w:tcW w:w="240" w:type="dxa"/>
            <w:vAlign w:val="bottom"/>
          </w:tcPr>
          <w:p>
            <w:pPr>
              <w:spacing w:after="0"/>
              <w:rPr>
                <w:sz w:val="17"/>
                <w:szCs w:val="17"/>
                <w:color w:val="auto"/>
              </w:rPr>
            </w:pPr>
          </w:p>
        </w:tc>
        <w:tc>
          <w:tcPr>
            <w:tcW w:w="3660" w:type="dxa"/>
            <w:vAlign w:val="bottom"/>
            <w:gridSpan w:val="2"/>
          </w:tcPr>
          <w:p>
            <w:pPr>
              <w:spacing w:after="0"/>
              <w:rPr>
                <w:sz w:val="20"/>
                <w:szCs w:val="20"/>
                <w:color w:val="auto"/>
              </w:rPr>
            </w:pPr>
            <w:r>
              <w:rPr>
                <w:rFonts w:ascii="Arial" w:cs="Arial" w:eastAsia="Arial" w:hAnsi="Arial"/>
                <w:sz w:val="17"/>
                <w:szCs w:val="17"/>
                <w:color w:val="auto"/>
              </w:rPr>
              <w:t>Peer Comparisons</w:t>
            </w:r>
          </w:p>
        </w:tc>
        <w:tc>
          <w:tcPr>
            <w:tcW w:w="7620" w:type="dxa"/>
            <w:vAlign w:val="bottom"/>
            <w:gridSpan w:val="2"/>
          </w:tcPr>
          <w:p>
            <w:pPr>
              <w:ind w:left="460"/>
              <w:spacing w:after="0"/>
              <w:rPr>
                <w:sz w:val="20"/>
                <w:szCs w:val="20"/>
                <w:color w:val="auto"/>
              </w:rPr>
            </w:pPr>
            <w:r>
              <w:rPr>
                <w:rFonts w:ascii="Arial" w:cs="Arial" w:eastAsia="Arial" w:hAnsi="Arial"/>
                <w:sz w:val="17"/>
                <w:szCs w:val="17"/>
                <w:color w:val="auto"/>
              </w:rPr>
              <w:t>ü   Simplified the peer group used for compensation benchmarking, the AbbVie Health Care</w:t>
            </w:r>
          </w:p>
        </w:tc>
      </w:tr>
      <w:tr>
        <w:trPr>
          <w:trHeight w:val="193"/>
        </w:trPr>
        <w:tc>
          <w:tcPr>
            <w:tcW w:w="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40" w:type="dxa"/>
            <w:vAlign w:val="bottom"/>
            <w:tcBorders>
              <w:bottom w:val="single" w:sz="8" w:color="auto"/>
            </w:tcBorders>
          </w:tcPr>
          <w:p>
            <w:pPr>
              <w:spacing w:after="0"/>
              <w:rPr>
                <w:sz w:val="16"/>
                <w:szCs w:val="16"/>
                <w:color w:val="auto"/>
              </w:rPr>
            </w:pPr>
          </w:p>
        </w:tc>
        <w:tc>
          <w:tcPr>
            <w:tcW w:w="7620" w:type="dxa"/>
            <w:vAlign w:val="bottom"/>
            <w:tcBorders>
              <w:bottom w:val="single" w:sz="8" w:color="auto"/>
            </w:tcBorders>
            <w:gridSpan w:val="2"/>
          </w:tcPr>
          <w:p>
            <w:pPr>
              <w:ind w:left="780"/>
              <w:spacing w:after="0" w:line="193" w:lineRule="exact"/>
              <w:rPr>
                <w:sz w:val="20"/>
                <w:szCs w:val="20"/>
                <w:color w:val="auto"/>
              </w:rPr>
            </w:pPr>
            <w:r>
              <w:rPr>
                <w:rFonts w:ascii="Arial" w:cs="Arial" w:eastAsia="Arial" w:hAnsi="Arial"/>
                <w:sz w:val="17"/>
                <w:szCs w:val="17"/>
                <w:color w:val="auto"/>
              </w:rPr>
              <w:t>Peer Group.</w:t>
            </w:r>
          </w:p>
        </w:tc>
      </w:tr>
      <w:tr>
        <w:trPr>
          <w:trHeight w:val="1006"/>
        </w:trPr>
        <w:tc>
          <w:tcPr>
            <w:tcW w:w="240" w:type="dxa"/>
            <w:vAlign w:val="bottom"/>
          </w:tcPr>
          <w:p>
            <w:pPr>
              <w:jc w:val="right"/>
              <w:spacing w:after="0"/>
              <w:rPr>
                <w:sz w:val="20"/>
                <w:szCs w:val="20"/>
                <w:color w:val="auto"/>
              </w:rPr>
            </w:pPr>
            <w:r>
              <w:rPr>
                <w:rFonts w:ascii="Arial" w:cs="Arial" w:eastAsia="Arial" w:hAnsi="Arial"/>
                <w:sz w:val="17"/>
                <w:szCs w:val="17"/>
                <w:b w:val="1"/>
                <w:bCs w:val="1"/>
                <w:color w:val="auto"/>
              </w:rPr>
              <w:t>6</w:t>
            </w:r>
          </w:p>
        </w:tc>
        <w:tc>
          <w:tcPr>
            <w:tcW w:w="20" w:type="dxa"/>
            <w:vAlign w:val="bottom"/>
          </w:tcPr>
          <w:p>
            <w:pPr>
              <w:spacing w:after="0"/>
              <w:rPr>
                <w:sz w:val="24"/>
                <w:szCs w:val="24"/>
                <w:color w:val="auto"/>
              </w:rPr>
            </w:pPr>
          </w:p>
        </w:tc>
        <w:tc>
          <w:tcPr>
            <w:tcW w:w="3640" w:type="dxa"/>
            <w:vAlign w:val="bottom"/>
          </w:tcPr>
          <w:p>
            <w:pPr>
              <w:ind w:left="1200"/>
              <w:spacing w:after="0"/>
              <w:rPr>
                <w:sz w:val="20"/>
                <w:szCs w:val="20"/>
                <w:color w:val="auto"/>
              </w:rPr>
            </w:pPr>
            <w:r>
              <w:rPr>
                <w:rFonts w:ascii="Arial" w:cs="Arial" w:eastAsia="Arial" w:hAnsi="Arial"/>
                <w:sz w:val="24"/>
                <w:szCs w:val="24"/>
                <w:b w:val="1"/>
                <w:bCs w:val="1"/>
                <w:color w:val="444867"/>
              </w:rPr>
              <w:t xml:space="preserve">| </w:t>
            </w:r>
            <w:r>
              <w:rPr>
                <w:rFonts w:ascii="Arial" w:cs="Arial" w:eastAsia="Arial" w:hAnsi="Arial"/>
                <w:sz w:val="16"/>
                <w:szCs w:val="16"/>
                <w:i w:val="1"/>
                <w:iCs w:val="1"/>
                <w:color w:val="000000"/>
              </w:rPr>
              <w:t>2016 Proxy Statement</w:t>
            </w:r>
          </w:p>
        </w:tc>
        <w:tc>
          <w:tcPr>
            <w:tcW w:w="7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6"/>
        </w:trPr>
        <w:tc>
          <w:tcPr>
            <w:tcW w:w="240" w:type="dxa"/>
            <w:vAlign w:val="bottom"/>
            <w:tcBorders>
              <w:bottom w:val="single" w:sz="8" w:color="808080"/>
            </w:tcBorders>
          </w:tcPr>
          <w:p>
            <w:pPr>
              <w:spacing w:after="0"/>
              <w:rPr>
                <w:sz w:val="16"/>
                <w:szCs w:val="16"/>
                <w:color w:val="auto"/>
              </w:rPr>
            </w:pPr>
          </w:p>
        </w:tc>
        <w:tc>
          <w:tcPr>
            <w:tcW w:w="20" w:type="dxa"/>
            <w:vAlign w:val="bottom"/>
            <w:tcBorders>
              <w:bottom w:val="single" w:sz="8" w:color="808080"/>
            </w:tcBorders>
          </w:tcPr>
          <w:p>
            <w:pPr>
              <w:spacing w:after="0"/>
              <w:rPr>
                <w:sz w:val="16"/>
                <w:szCs w:val="16"/>
                <w:color w:val="auto"/>
              </w:rPr>
            </w:pPr>
          </w:p>
        </w:tc>
        <w:tc>
          <w:tcPr>
            <w:tcW w:w="3640" w:type="dxa"/>
            <w:vAlign w:val="bottom"/>
            <w:tcBorders>
              <w:bottom w:val="single" w:sz="8" w:color="808080"/>
            </w:tcBorders>
          </w:tcPr>
          <w:p>
            <w:pPr>
              <w:spacing w:after="0"/>
              <w:rPr>
                <w:sz w:val="16"/>
                <w:szCs w:val="16"/>
                <w:color w:val="auto"/>
              </w:rPr>
            </w:pPr>
          </w:p>
        </w:tc>
        <w:tc>
          <w:tcPr>
            <w:tcW w:w="7520" w:type="dxa"/>
            <w:vAlign w:val="bottom"/>
            <w:tcBorders>
              <w:bottom w:val="single" w:sz="8" w:color="808080"/>
            </w:tcBorders>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-300355</wp:posOffset>
            </wp:positionV>
            <wp:extent cx="622300" cy="1079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22300" cy="107950"/>
                    </a:xfrm>
                    <a:prstGeom prst="rect">
                      <a:avLst/>
                    </a:prstGeom>
                    <a:noFill/>
                  </pic:spPr>
                </pic:pic>
              </a:graphicData>
            </a:graphic>
          </wp:anchor>
        </w:drawing>
      </w:r>
    </w:p>
    <w:p>
      <w:pPr>
        <w:sectPr>
          <w:pgSz w:w="11900" w:h="16838" w:orient="portrait"/>
          <w:cols w:equalWidth="0" w:num="1">
            <w:col w:w="11520"/>
          </w:cols>
          <w:pgMar w:left="240" w:top="143" w:right="13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6305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Who Can Vote</w:t>
      </w:r>
    </w:p>
    <w:p>
      <w:pPr>
        <w:spacing w:after="0" w:line="230" w:lineRule="exact"/>
        <w:rPr>
          <w:sz w:val="20"/>
          <w:szCs w:val="20"/>
          <w:color w:val="auto"/>
        </w:rPr>
      </w:pPr>
    </w:p>
    <w:p>
      <w:pPr>
        <w:ind w:right="100" w:firstLine="661"/>
        <w:spacing w:after="0" w:line="245" w:lineRule="auto"/>
        <w:rPr>
          <w:sz w:val="20"/>
          <w:szCs w:val="20"/>
          <w:color w:val="auto"/>
        </w:rPr>
      </w:pPr>
      <w:r>
        <w:rPr>
          <w:rFonts w:ascii="Arial" w:cs="Arial" w:eastAsia="Arial" w:hAnsi="Arial"/>
          <w:sz w:val="17"/>
          <w:szCs w:val="17"/>
          <w:color w:val="auto"/>
        </w:rPr>
        <w:t>Stockholders of record at the close of business on March 9, 2016 will be entitled to notice of and to vote at the Annual Meeting. As of March 9, 2016, AbbVie had 1,617,735,289 outstanding shares of common stock, which are AbbVie's only outstanding voting securities. Each stockholder has one vote per share. Stockholders do not have the right to vote cumulatively in electing directors.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Notice and Access</w:t>
      </w:r>
    </w:p>
    <w:p>
      <w:pPr>
        <w:spacing w:after="0" w:line="230" w:lineRule="exact"/>
        <w:rPr>
          <w:sz w:val="20"/>
          <w:szCs w:val="20"/>
          <w:color w:val="auto"/>
        </w:rPr>
      </w:pPr>
    </w:p>
    <w:p>
      <w:pPr>
        <w:ind w:right="80" w:firstLine="661"/>
        <w:spacing w:after="0" w:line="243" w:lineRule="auto"/>
        <w:rPr>
          <w:sz w:val="20"/>
          <w:szCs w:val="20"/>
          <w:color w:val="auto"/>
        </w:rPr>
      </w:pPr>
      <w:r>
        <w:rPr>
          <w:rFonts w:ascii="Arial" w:cs="Arial" w:eastAsia="Arial" w:hAnsi="Arial"/>
          <w:sz w:val="17"/>
          <w:szCs w:val="17"/>
          <w:color w:val="auto"/>
        </w:rPr>
        <w:t>In accordance with the Securities and Exchange Commission (SEC) e-proxy rules, AbbVie mailed a Notice of Internet Availability of Proxy Materials (the "Notice") to stockholders in March 2016. The Notice describes the matters to be considered at the Annual Meeting and how stockholders can access the proxy materials online. It also provides instructions on how stockholders can vote their shares. If you received the Notice, you will not receive a printed version of the proxy materials unless you request one. If you would like to receive a printed version of the proxy materials, free of charge, please follow the instructions on the Notice.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Voting by Proxy</w:t>
      </w:r>
    </w:p>
    <w:p>
      <w:pPr>
        <w:spacing w:after="0" w:line="230" w:lineRule="exact"/>
        <w:rPr>
          <w:sz w:val="20"/>
          <w:szCs w:val="20"/>
          <w:color w:val="auto"/>
        </w:rPr>
      </w:pPr>
    </w:p>
    <w:p>
      <w:pPr>
        <w:ind w:right="140" w:firstLine="651"/>
        <w:spacing w:after="0" w:line="245" w:lineRule="auto"/>
        <w:rPr>
          <w:sz w:val="20"/>
          <w:szCs w:val="20"/>
          <w:color w:val="auto"/>
        </w:rPr>
      </w:pPr>
      <w:r>
        <w:rPr>
          <w:rFonts w:ascii="Arial" w:cs="Arial" w:eastAsia="Arial" w:hAnsi="Arial"/>
          <w:sz w:val="17"/>
          <w:szCs w:val="17"/>
          <w:color w:val="auto"/>
        </w:rPr>
        <w:t>AbbVie's stockholders may vote their shares by telephone, the Internet, or at the Annual Meeting. If you vote by telephone or the Internet, you do not need to return your proxy card. The instructions for voting can be found on the Notice, on the website listed in the Notice, and, if you received one, on your proxy card. If you requested a printed version of the proxy card, you may also vote by mail.</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Revoking a Proxy</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You may revoke your proxy by voting in person at the Annual Meeting or, at any time prior to the meeting:</w:t>
      </w:r>
    </w:p>
    <w:p>
      <w:pPr>
        <w:spacing w:after="0" w:line="210" w:lineRule="exact"/>
        <w:rPr>
          <w:sz w:val="20"/>
          <w:szCs w:val="20"/>
          <w:color w:val="auto"/>
        </w:rPr>
      </w:pPr>
    </w:p>
    <w:p>
      <w:pPr>
        <w:ind w:left="1040" w:hanging="513"/>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by delivering a written notice to the secretary of AbbVie,</w:t>
      </w:r>
    </w:p>
    <w:p>
      <w:pPr>
        <w:spacing w:after="0" w:line="209" w:lineRule="exact"/>
        <w:rPr>
          <w:rFonts w:ascii="Arial" w:cs="Arial" w:eastAsia="Arial" w:hAnsi="Arial"/>
          <w:sz w:val="17"/>
          <w:szCs w:val="17"/>
          <w:color w:val="auto"/>
        </w:rPr>
      </w:pPr>
    </w:p>
    <w:p>
      <w:pPr>
        <w:ind w:left="1040" w:hanging="513"/>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by delivering an authorized proxy with a later date, or</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by voting by telephone or the Internet after you have given your proxy.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Discretionary Voting Authority</w:t>
      </w:r>
    </w:p>
    <w:p>
      <w:pPr>
        <w:spacing w:after="0" w:line="230" w:lineRule="exact"/>
        <w:rPr>
          <w:sz w:val="20"/>
          <w:szCs w:val="20"/>
          <w:color w:val="auto"/>
        </w:rPr>
      </w:pPr>
    </w:p>
    <w:p>
      <w:pPr>
        <w:ind w:right="80" w:firstLine="661"/>
        <w:spacing w:after="0" w:line="243" w:lineRule="auto"/>
        <w:rPr>
          <w:sz w:val="20"/>
          <w:szCs w:val="20"/>
          <w:color w:val="auto"/>
        </w:rPr>
      </w:pPr>
      <w:r>
        <w:rPr>
          <w:rFonts w:ascii="Arial" w:cs="Arial" w:eastAsia="Arial" w:hAnsi="Arial"/>
          <w:sz w:val="17"/>
          <w:szCs w:val="17"/>
          <w:color w:val="auto"/>
        </w:rPr>
        <w:t>Unless authority is withheld in accordance with the instructions on the proxy, the persons named in the proxy will vote the shares of AbbVie common stock covered by proxies they receive to elect the 3 nominees named in Item 1 on the proxy card. If a nominee becomes unavailable to serve, the shares will be voted for a substitute designated by the board of directors or for fewer than 3 nominees if, in the judgment of the proxy holders, such action is necessary or desirable.</w:t>
      </w:r>
    </w:p>
    <w:p>
      <w:pPr>
        <w:spacing w:after="0" w:line="201" w:lineRule="exact"/>
        <w:rPr>
          <w:sz w:val="20"/>
          <w:szCs w:val="20"/>
          <w:color w:val="auto"/>
        </w:rPr>
      </w:pPr>
    </w:p>
    <w:p>
      <w:pPr>
        <w:ind w:firstLine="661"/>
        <w:spacing w:after="0" w:line="243" w:lineRule="auto"/>
        <w:rPr>
          <w:sz w:val="20"/>
          <w:szCs w:val="20"/>
          <w:color w:val="auto"/>
        </w:rPr>
      </w:pPr>
      <w:r>
        <w:rPr>
          <w:rFonts w:ascii="Arial" w:cs="Arial" w:eastAsia="Arial" w:hAnsi="Arial"/>
          <w:sz w:val="17"/>
          <w:szCs w:val="17"/>
          <w:color w:val="auto"/>
        </w:rPr>
        <w:t>Where a stockholder has specified a choice for or against the proposals to be presented at the Annual Meeting or if the stockholder has chosen to abstain, the shares of AbbVie common stock represented by the proxy will be voted (or not voted) as specified. Where no choice has been specified, the proxy will be voted FOR the ratification of Ernst &amp; Young LLP as auditors, FOR the approval of executive compensation, FOR the management proposal regarding the annual election of directors, FOR the approval of the material terms of the performance goals under the AbbVie Performance Incentive Plan, and AGAINST each of the stockholder proposals.</w:t>
      </w:r>
    </w:p>
    <w:p>
      <w:pPr>
        <w:spacing w:after="0" w:line="199" w:lineRule="exact"/>
        <w:rPr>
          <w:sz w:val="20"/>
          <w:szCs w:val="20"/>
          <w:color w:val="auto"/>
        </w:rPr>
      </w:pPr>
    </w:p>
    <w:p>
      <w:pPr>
        <w:ind w:right="100" w:firstLine="657"/>
        <w:spacing w:after="0" w:line="250" w:lineRule="auto"/>
        <w:rPr>
          <w:sz w:val="20"/>
          <w:szCs w:val="20"/>
          <w:color w:val="auto"/>
        </w:rPr>
      </w:pPr>
      <w:r>
        <w:rPr>
          <w:rFonts w:ascii="Arial" w:cs="Arial" w:eastAsia="Arial" w:hAnsi="Arial"/>
          <w:sz w:val="17"/>
          <w:szCs w:val="17"/>
          <w:color w:val="auto"/>
        </w:rPr>
        <w:t>The board of directors is not aware of any other issue which may properly be brought before the meeting. If other matters are properly brought before the meeting, the accompanying proxy will be voted in accordance with the judgment of the proxy holders.</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0" w:name="page11"/>
    <w:bookmarkEnd w:id="1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90"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 xml:space="preserve">INFORMATION ABOUT THE ANNUAL MEETING </w:t>
      </w:r>
      <w:r>
        <w:rPr>
          <w:rFonts w:ascii="Arial" w:cs="Arial" w:eastAsia="Arial" w:hAnsi="Arial"/>
          <w:sz w:val="16"/>
          <w:szCs w:val="16"/>
          <w:b w:val="1"/>
          <w:bCs w:val="1"/>
          <w:color w:val="444867"/>
        </w:rPr>
        <w:t>Quorum and Vote Required to Approve Each Item on the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1659255" cy="14097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59255" cy="140970"/>
                    </a:xfrm>
                    <a:prstGeom prst="rect">
                      <a:avLst/>
                    </a:prstGeom>
                    <a:noFill/>
                  </pic:spPr>
                </pic:pic>
              </a:graphicData>
            </a:graphic>
          </wp:anchor>
        </w:drawing>
      </w:r>
    </w:p>
    <w:p>
      <w:pPr>
        <w:spacing w:after="0" w:line="221" w:lineRule="exact"/>
        <w:rPr>
          <w:sz w:val="20"/>
          <w:szCs w:val="20"/>
          <w:color w:val="auto"/>
        </w:rPr>
      </w:pPr>
    </w:p>
    <w:p>
      <w:pPr>
        <w:ind w:right="180" w:firstLine="651"/>
        <w:spacing w:after="0" w:line="242" w:lineRule="auto"/>
        <w:rPr>
          <w:sz w:val="20"/>
          <w:szCs w:val="20"/>
          <w:color w:val="auto"/>
        </w:rPr>
      </w:pPr>
      <w:r>
        <w:rPr>
          <w:rFonts w:ascii="Arial" w:cs="Arial" w:eastAsia="Arial" w:hAnsi="Arial"/>
          <w:sz w:val="17"/>
          <w:szCs w:val="17"/>
          <w:color w:val="auto"/>
        </w:rPr>
        <w:t>A majority of the outstanding shares entitled to vote generally in the election of directors, represented in person or by proxy, constitutes a quorum. Directors are elected by stockholders in an uncontested election if a majority of the votes cast are "for" a director's re-election at the Annual Meeting, excluding abstentions and broker non-votes. For other matters, the affirmative vote of a majority of the shares represented, in person or by proxy, at the meeting and entitled to vote on a matter shall be the act of the stockholders with respect to that matter, except for the management proposal regarding the annual election of directors which requires the affirmative vote of shares representing not less than eighty percent (80%) of the outstanding shares of capital stock of AbbVie entitled to vote generally in the election of directors pursuant to Article XI of AbbVie's Amended and Restated Certificate of Incorporation.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Effect of Broker Non-Votes and Abstentions</w:t>
      </w:r>
    </w:p>
    <w:p>
      <w:pPr>
        <w:spacing w:after="0" w:line="230" w:lineRule="exact"/>
        <w:rPr>
          <w:sz w:val="20"/>
          <w:szCs w:val="20"/>
          <w:color w:val="auto"/>
        </w:rPr>
      </w:pPr>
    </w:p>
    <w:p>
      <w:pPr>
        <w:ind w:right="20" w:firstLine="651"/>
        <w:spacing w:after="0" w:line="241" w:lineRule="auto"/>
        <w:rPr>
          <w:sz w:val="20"/>
          <w:szCs w:val="20"/>
          <w:color w:val="auto"/>
        </w:rPr>
      </w:pPr>
      <w:r>
        <w:rPr>
          <w:rFonts w:ascii="Arial" w:cs="Arial" w:eastAsia="Arial" w:hAnsi="Arial"/>
          <w:sz w:val="17"/>
          <w:szCs w:val="17"/>
          <w:color w:val="auto"/>
        </w:rPr>
        <w:t>A proxy submitted by an institution such as a broker or bank that holds shares for the account of a beneficial owner may indicate that all or a portion of the shares represented by that proxy are not being voted with respect to a particular matter. This could occur, for example, when the broker or bank is not permitted to vote those shares in the absence of instructions from the beneficial owner of the stock. These "non-voted shares" will be considered shares not present and, therefore, not entitled to vote on those matters, although these shares may be considered present and entitled to vote for other purposes. Brokers and banks have discretionary authority to vote shares in the absence of instructions on matters the New York Stock Exchange considers "routine," such as the ratification of the appointment of the auditors. They do not have discretionary authority to vote shares in absence of instructions on "non-routine" matters. The election of directors, the advisory vote on the approval of executive compensation, the management proposal regarding the annual election of directors, the approval of the material terms of the performance goals under the AbbVie Performance Incentive Plan, and the stockholder proposals are considered "non-routine" matters. Non-voted shares will not affect the determination of the outcome of the vote on any matter to be decided at the meeting. Shares represented by proxies that are present and entitled to vote on a matter but which have elected to abstain from voting on that matter, other than the election of directors, will have the effect of votes against that matter.</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Inspectors of Election</w:t>
      </w:r>
    </w:p>
    <w:p>
      <w:pPr>
        <w:spacing w:after="0" w:line="230" w:lineRule="exact"/>
        <w:rPr>
          <w:sz w:val="20"/>
          <w:szCs w:val="20"/>
          <w:color w:val="auto"/>
        </w:rPr>
      </w:pPr>
    </w:p>
    <w:p>
      <w:pPr>
        <w:ind w:right="260" w:firstLine="657"/>
        <w:spacing w:after="0" w:line="250" w:lineRule="auto"/>
        <w:rPr>
          <w:sz w:val="20"/>
          <w:szCs w:val="20"/>
          <w:color w:val="auto"/>
        </w:rPr>
      </w:pPr>
      <w:r>
        <w:rPr>
          <w:rFonts w:ascii="Arial" w:cs="Arial" w:eastAsia="Arial" w:hAnsi="Arial"/>
          <w:sz w:val="17"/>
          <w:szCs w:val="17"/>
          <w:color w:val="auto"/>
        </w:rPr>
        <w:t>The inspectors of election and the tabulators of all proxies, ballots, and voting tabulations that identify stockholders are independent and are not AbbVie employees.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Cost of Soliciting Proxies</w:t>
      </w:r>
    </w:p>
    <w:p>
      <w:pPr>
        <w:spacing w:after="0" w:line="230" w:lineRule="exact"/>
        <w:rPr>
          <w:sz w:val="20"/>
          <w:szCs w:val="20"/>
          <w:color w:val="auto"/>
        </w:rPr>
      </w:pPr>
    </w:p>
    <w:p>
      <w:pPr>
        <w:ind w:right="60" w:firstLine="651"/>
        <w:spacing w:after="0" w:line="245" w:lineRule="auto"/>
        <w:rPr>
          <w:sz w:val="20"/>
          <w:szCs w:val="20"/>
          <w:color w:val="auto"/>
        </w:rPr>
      </w:pPr>
      <w:r>
        <w:rPr>
          <w:rFonts w:ascii="Arial" w:cs="Arial" w:eastAsia="Arial" w:hAnsi="Arial"/>
          <w:sz w:val="17"/>
          <w:szCs w:val="17"/>
          <w:color w:val="auto"/>
        </w:rPr>
        <w:t>AbbVie will bear the cost of making solicitations from its stockholders and will reimburse banks and brokerage firms for out-of-pocket expenses incurred in connection with this solicitation. Proxies may be solicited by mail, telephone, Internet, or in person by directors, officers, or employees of AbbVie and its subsidiaries.</w:t>
      </w:r>
    </w:p>
    <w:p>
      <w:pPr>
        <w:spacing w:after="0" w:line="198" w:lineRule="exact"/>
        <w:rPr>
          <w:sz w:val="20"/>
          <w:szCs w:val="20"/>
          <w:color w:val="auto"/>
        </w:rPr>
      </w:pPr>
    </w:p>
    <w:p>
      <w:pPr>
        <w:ind w:firstLine="651"/>
        <w:spacing w:after="0" w:line="250" w:lineRule="auto"/>
        <w:rPr>
          <w:sz w:val="20"/>
          <w:szCs w:val="20"/>
          <w:color w:val="auto"/>
        </w:rPr>
      </w:pPr>
      <w:r>
        <w:rPr>
          <w:rFonts w:ascii="Arial" w:cs="Arial" w:eastAsia="Arial" w:hAnsi="Arial"/>
          <w:sz w:val="17"/>
          <w:szCs w:val="17"/>
          <w:color w:val="auto"/>
        </w:rPr>
        <w:t>AbbVie has retained Georgeson Inc. to aid in the solicitation of proxies, at an estimated cost of $19,500 plus reimbursement for reasonable out-of-pocket expenses.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AbbVie Savings Plan</w:t>
      </w:r>
    </w:p>
    <w:p>
      <w:pPr>
        <w:spacing w:after="0" w:line="230" w:lineRule="exact"/>
        <w:rPr>
          <w:sz w:val="20"/>
          <w:szCs w:val="20"/>
          <w:color w:val="auto"/>
        </w:rPr>
      </w:pPr>
    </w:p>
    <w:p>
      <w:pPr>
        <w:ind w:right="160" w:firstLine="661"/>
        <w:spacing w:after="0" w:line="242" w:lineRule="auto"/>
        <w:rPr>
          <w:sz w:val="20"/>
          <w:szCs w:val="20"/>
          <w:color w:val="auto"/>
        </w:rPr>
      </w:pPr>
      <w:r>
        <w:rPr>
          <w:rFonts w:ascii="Arial" w:cs="Arial" w:eastAsia="Arial" w:hAnsi="Arial"/>
          <w:sz w:val="17"/>
          <w:szCs w:val="17"/>
          <w:color w:val="auto"/>
        </w:rPr>
        <w:t>Participants in the AbbVie Savings Plan will receive voting instructions for their shares of AbbVie common stock held in the AbbVie Savings Plan Trust. The Trust is administered by both a trustee and an investment committee. The trustee is Mercer Trust Company. The members of the investment committee are Robert A. Michael, William H.S. Preece and Michael J. Thomas, employees of AbbVie. The voting power with respect to the shares is held by and shared between the investment committee and the participants. The investment committee must solicit voting instructions from the participants and follow the voting instructions it receives. The investment committee may use its own discretion with respect to those shares of AbbVie common stock for which no voting instructions are received.</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8  </w:t>
      </w:r>
      <w:r>
        <w:rPr>
          <w:sz w:val="1"/>
          <w:szCs w:val="1"/>
          <w:color w:val="auto"/>
        </w:rPr>
        <w:drawing>
          <wp:inline distT="0" distB="0" distL="0" distR="0">
            <wp:extent cx="622300" cy="10795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1" w:name="page12"/>
    <w:bookmarkEnd w:id="1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87947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379845" cy="87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120" w:firstLine="657"/>
        <w:spacing w:after="0" w:line="245" w:lineRule="auto"/>
        <w:rPr>
          <w:sz w:val="20"/>
          <w:szCs w:val="20"/>
          <w:color w:val="auto"/>
        </w:rPr>
      </w:pPr>
      <w:r>
        <w:rPr>
          <w:rFonts w:ascii="Arial" w:cs="Arial" w:eastAsia="Arial" w:hAnsi="Arial"/>
          <w:sz w:val="17"/>
          <w:szCs w:val="17"/>
          <w:color w:val="auto"/>
        </w:rPr>
        <w:t>The board of directors consists of three classes with each class currently comprised of three directors. Directors of one class are elected each year for a term of three years. The Class I directors are presented for re-election to hold office until the expiration of their term at the 2019 annual meeting of stockholders and until their successors are elected and qualified or until their earlier death or resignation.</w:t>
      </w:r>
    </w:p>
    <w:p>
      <w:pPr>
        <w:spacing w:after="0" w:line="198" w:lineRule="exact"/>
        <w:rPr>
          <w:sz w:val="20"/>
          <w:szCs w:val="20"/>
          <w:color w:val="auto"/>
        </w:rPr>
      </w:pPr>
    </w:p>
    <w:p>
      <w:pPr>
        <w:ind w:right="20" w:firstLine="661"/>
        <w:spacing w:after="0" w:line="264" w:lineRule="auto"/>
        <w:rPr>
          <w:sz w:val="20"/>
          <w:szCs w:val="20"/>
          <w:color w:val="auto"/>
        </w:rPr>
      </w:pPr>
      <w:r>
        <w:rPr>
          <w:rFonts w:ascii="Arial" w:cs="Arial" w:eastAsia="Arial" w:hAnsi="Arial"/>
          <w:sz w:val="16"/>
          <w:szCs w:val="16"/>
          <w:color w:val="auto"/>
        </w:rPr>
        <w:t>Directors are elected by stockholders if a majority of the votes cast are "for" a director's re-election at the Annual Meeting, excluding abstentions and broker non-votes. For more information on the director majority vote standard, see AbbVie's By-Laws as listed as an exhibit to AbbVie's 2015 Annual Report on Form 10-K. All of the nominees, except Mr. Hart, are currently serving as directors. Mr. Hart was recommended for election by the nominations and governance committee. Mr. Roberts is retiring as a director following the Annual Meeting and is not standing for reelection.</w:t>
      </w:r>
    </w:p>
    <w:p>
      <w:pPr>
        <w:spacing w:after="0" w:line="148"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Class I—Directors Whose Terms Expire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-1232535</wp:posOffset>
            </wp:positionV>
            <wp:extent cx="1120140" cy="11201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Audit</w:t>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Nominations &amp;</w:t>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Governance</w:t>
      </w:r>
    </w:p>
    <w:p>
      <w:pPr>
        <w:spacing w:after="0" w:line="190"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2013</w:t>
      </w:r>
    </w:p>
    <w:p>
      <w:pPr>
        <w:spacing w:after="0" w:line="21"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Age: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280670</wp:posOffset>
            </wp:positionV>
            <wp:extent cx="1120140" cy="11201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Nominee</w:t>
      </w:r>
    </w:p>
    <w:p>
      <w:pPr>
        <w:spacing w:after="0" w:line="21"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Age: 46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William H.L. Burnside</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Retired Senior Vice President and Director at The Boston Consulting Group</w:t>
      </w:r>
    </w:p>
    <w:p>
      <w:pPr>
        <w:spacing w:after="0" w:line="19" w:lineRule="exact"/>
        <w:rPr>
          <w:sz w:val="20"/>
          <w:szCs w:val="20"/>
          <w:color w:val="auto"/>
        </w:rPr>
      </w:pPr>
    </w:p>
    <w:p>
      <w:pPr>
        <w:ind w:right="120"/>
        <w:spacing w:after="0" w:line="243" w:lineRule="auto"/>
        <w:rPr>
          <w:sz w:val="20"/>
          <w:szCs w:val="20"/>
          <w:color w:val="auto"/>
        </w:rPr>
      </w:pPr>
      <w:r>
        <w:rPr>
          <w:rFonts w:ascii="Arial" w:cs="Arial" w:eastAsia="Arial" w:hAnsi="Arial"/>
          <w:sz w:val="17"/>
          <w:szCs w:val="17"/>
          <w:color w:val="auto"/>
        </w:rPr>
        <w:t>Mr. Burnside is a retired senior vice president and director at The Boston Consulting Group (BCG), where he currently serves as an advisor. Prior to becoming managing partner of BCG's Los Angeles office in 1987, he worked in BCG's London and Chicago offices, servicing clients in telecommunications, media, defense, financial services, and manufacturing. Mr. Burnside is a director at Audubon California.</w:t>
      </w:r>
    </w:p>
    <w:p>
      <w:pPr>
        <w:spacing w:after="0" w:line="201" w:lineRule="exact"/>
        <w:rPr>
          <w:sz w:val="20"/>
          <w:szCs w:val="20"/>
          <w:color w:val="auto"/>
        </w:rPr>
      </w:pPr>
    </w:p>
    <w:p>
      <w:pPr>
        <w:ind w:right="80"/>
        <w:spacing w:after="0" w:line="245" w:lineRule="auto"/>
        <w:rPr>
          <w:sz w:val="20"/>
          <w:szCs w:val="20"/>
          <w:color w:val="auto"/>
        </w:rPr>
      </w:pPr>
      <w:r>
        <w:rPr>
          <w:rFonts w:ascii="Arial" w:cs="Arial" w:eastAsia="Arial" w:hAnsi="Arial"/>
          <w:sz w:val="17"/>
          <w:szCs w:val="17"/>
          <w:color w:val="auto"/>
        </w:rPr>
        <w:t>Key Contributions to the Board: Through his experience with The Boston Consulting Group, Mr. Burnside acquired knowledge and understanding of corporate finance and capital markets matters, as well as global and domestic strategic advisory experience across a broad base of industries.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Brett J. Hart</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Executive Vice President and General Counsel, United Continental Holdings, Inc.</w:t>
      </w:r>
    </w:p>
    <w:p>
      <w:pPr>
        <w:spacing w:after="0" w:line="19" w:lineRule="exact"/>
        <w:rPr>
          <w:sz w:val="20"/>
          <w:szCs w:val="20"/>
          <w:color w:val="auto"/>
        </w:rPr>
      </w:pPr>
    </w:p>
    <w:p>
      <w:pPr>
        <w:ind w:right="160"/>
        <w:spacing w:after="0" w:line="243" w:lineRule="auto"/>
        <w:rPr>
          <w:sz w:val="20"/>
          <w:szCs w:val="20"/>
          <w:color w:val="auto"/>
        </w:rPr>
      </w:pPr>
      <w:r>
        <w:rPr>
          <w:rFonts w:ascii="Arial" w:cs="Arial" w:eastAsia="Arial" w:hAnsi="Arial"/>
          <w:sz w:val="17"/>
          <w:szCs w:val="17"/>
          <w:color w:val="auto"/>
        </w:rPr>
        <w:t>Mr. Hart is the executive vice president and general counsel of United Continental Holdings, Inc. (UAL) and United Airlines, Inc. since February 2012. Mr. Hart also served as acting chief executive officer of UAL and United Airlines, Inc. from October 2015 to March 2016. From December 2010 to February 2012, he served as senior vice president, general counsel and secretary of UAL, United and Continental. From June 2009 to December 2010, Mr. Hart served as executive vice president, general counsel and corporate secretary at Sara Lee Corporation.</w:t>
      </w:r>
    </w:p>
    <w:p>
      <w:pPr>
        <w:spacing w:after="0" w:line="199" w:lineRule="exact"/>
        <w:rPr>
          <w:sz w:val="20"/>
          <w:szCs w:val="20"/>
          <w:color w:val="auto"/>
        </w:rPr>
      </w:pPr>
    </w:p>
    <w:p>
      <w:pPr>
        <w:ind w:right="440"/>
        <w:spacing w:after="0" w:line="243" w:lineRule="auto"/>
        <w:rPr>
          <w:sz w:val="20"/>
          <w:szCs w:val="20"/>
          <w:color w:val="auto"/>
        </w:rPr>
      </w:pPr>
      <w:r>
        <w:rPr>
          <w:rFonts w:ascii="Arial" w:cs="Arial" w:eastAsia="Arial" w:hAnsi="Arial"/>
          <w:sz w:val="17"/>
          <w:szCs w:val="17"/>
          <w:color w:val="auto"/>
        </w:rPr>
        <w:t>Key Contributions to the Board: As an executive vice president and general counsel for two large public companies with international operations and having served as an acting CEO, Mr. Hart contributes operational and strategic acumen with expertise in risk management, legal strategic matters, government and regulatory affairs, customer and external facing matters, corporate governance, and compliance.</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130810</wp:posOffset>
            </wp:positionV>
            <wp:extent cx="7255510" cy="209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2">
            <w:col w:w="1700" w:space="220"/>
            <w:col w:w="9500"/>
          </w:cols>
          <w:pgMar w:left="240" w:top="143" w:right="239" w:bottom="1440" w:gutter="0" w:footer="0" w:header="0"/>
          <w:type w:val="continuous"/>
        </w:sectPr>
      </w:pPr>
    </w:p>
    <w:bookmarkStart w:id="12" w:name="page13"/>
    <w:bookmarkEnd w:id="1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841500" cy="14097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841500" cy="140970"/>
                    </a:xfrm>
                    <a:prstGeom prst="rect">
                      <a:avLst/>
                    </a:prstGeom>
                    <a:noFill/>
                  </pic:spPr>
                </pic:pic>
              </a:graphicData>
            </a:graphic>
          </wp:anchor>
        </w:drawing>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INFORMATION CONCERNING DIRECTOR NOMINEES</w:t>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-1232535</wp:posOffset>
            </wp:positionV>
            <wp:extent cx="1120140" cy="11201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Audit</w:t>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Public Policy</w:t>
      </w:r>
    </w:p>
    <w:p>
      <w:pPr>
        <w:spacing w:after="0" w:line="190"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2013</w:t>
      </w:r>
    </w:p>
    <w:p>
      <w:pPr>
        <w:spacing w:after="0" w:line="21"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Age: 58</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Edward J. Rapp</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Retired Group President for Resource Industries of Caterpillar Inc</w:t>
      </w:r>
      <w:r>
        <w:rPr>
          <w:rFonts w:ascii="Arial" w:cs="Arial" w:eastAsia="Arial" w:hAnsi="Arial"/>
          <w:sz w:val="17"/>
          <w:szCs w:val="17"/>
          <w:color w:val="auto"/>
        </w:rPr>
        <w:t>.</w:t>
      </w:r>
    </w:p>
    <w:p>
      <w:pPr>
        <w:spacing w:after="0" w:line="19" w:lineRule="exact"/>
        <w:rPr>
          <w:sz w:val="20"/>
          <w:szCs w:val="20"/>
          <w:color w:val="auto"/>
        </w:rPr>
      </w:pPr>
    </w:p>
    <w:p>
      <w:pPr>
        <w:jc w:val="both"/>
        <w:ind w:right="20"/>
        <w:spacing w:after="0" w:line="243" w:lineRule="auto"/>
        <w:rPr>
          <w:sz w:val="20"/>
          <w:szCs w:val="20"/>
          <w:color w:val="auto"/>
        </w:rPr>
      </w:pPr>
      <w:r>
        <w:rPr>
          <w:rFonts w:ascii="Arial" w:cs="Arial" w:eastAsia="Arial" w:hAnsi="Arial"/>
          <w:sz w:val="17"/>
          <w:szCs w:val="17"/>
          <w:color w:val="auto"/>
        </w:rPr>
        <w:t>Mr. Rapp served as the Caterpillar Inc. group president for resource industries from 2014 until his retirement in early 2016. He previously served at Caterpillar as group president based in Singapore in 2013 and 2014 and as the chief financial officer from 2010 to 2013, and he was named a group president in 2007. Mr. Rapp is presently a board member for FM Global and Junior Achievement USA. He is currently a member of the University of Missouri College of Business Strategic Development Board.</w:t>
      </w:r>
    </w:p>
    <w:p>
      <w:pPr>
        <w:spacing w:after="0" w:line="201" w:lineRule="exact"/>
        <w:rPr>
          <w:sz w:val="20"/>
          <w:szCs w:val="20"/>
          <w:color w:val="auto"/>
        </w:rPr>
      </w:pPr>
    </w:p>
    <w:p>
      <w:pPr>
        <w:ind w:right="240"/>
        <w:spacing w:after="0" w:line="245" w:lineRule="auto"/>
        <w:rPr>
          <w:sz w:val="20"/>
          <w:szCs w:val="20"/>
          <w:color w:val="auto"/>
        </w:rPr>
      </w:pPr>
      <w:r>
        <w:rPr>
          <w:rFonts w:ascii="Arial" w:cs="Arial" w:eastAsia="Arial" w:hAnsi="Arial"/>
          <w:sz w:val="17"/>
          <w:szCs w:val="17"/>
          <w:color w:val="auto"/>
        </w:rPr>
        <w:t>Key Contributions to the Board: As a result of his tenure as group president and chief financial officer at Caterpillar Inc., Mr. Rapp has acquired management, operational, and financial expertise with extensive global experience and provides the board with an informed perspective on financial and operational matters faced by a complex international company.</w:t>
      </w:r>
    </w:p>
    <w:p>
      <w:pPr>
        <w:spacing w:after="0" w:line="946" w:lineRule="exact"/>
        <w:rPr>
          <w:sz w:val="20"/>
          <w:szCs w:val="20"/>
          <w:color w:val="auto"/>
        </w:rPr>
      </w:pPr>
    </w:p>
    <w:p>
      <w:pPr>
        <w:sectPr>
          <w:pgSz w:w="11900" w:h="16838" w:orient="portrait"/>
          <w:cols w:equalWidth="0" w:num="2">
            <w:col w:w="1700" w:space="220"/>
            <w:col w:w="9500"/>
          </w:cols>
          <w:pgMar w:left="240" w:top="143" w:right="239" w:bottom="1440" w:gutter="0" w:footer="0" w:header="0"/>
          <w:type w:val="continuous"/>
        </w:sectPr>
      </w:pPr>
    </w:p>
    <w:p>
      <w:pPr>
        <w:spacing w:after="0"/>
        <w:rPr>
          <w:sz w:val="20"/>
          <w:szCs w:val="20"/>
          <w:color w:val="auto"/>
        </w:rPr>
      </w:pPr>
      <w:r>
        <w:rPr>
          <w:rFonts w:ascii="Arial" w:cs="Arial" w:eastAsia="Arial" w:hAnsi="Arial"/>
          <w:sz w:val="21"/>
          <w:szCs w:val="21"/>
          <w:b w:val="1"/>
          <w:bCs w:val="1"/>
          <w:color w:val="444867"/>
        </w:rPr>
        <w:t>Class II—Directors Whose Terms Expire in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3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9680" w:type="dxa"/>
            <w:vAlign w:val="bottom"/>
          </w:tcPr>
          <w:p>
            <w:pPr>
              <w:ind w:left="180"/>
              <w:spacing w:after="0"/>
              <w:rPr>
                <w:sz w:val="20"/>
                <w:szCs w:val="20"/>
                <w:color w:val="auto"/>
              </w:rPr>
            </w:pPr>
            <w:r>
              <w:rPr>
                <w:rFonts w:ascii="Arial" w:cs="Arial" w:eastAsia="Arial" w:hAnsi="Arial"/>
                <w:sz w:val="17"/>
                <w:szCs w:val="17"/>
                <w:b w:val="1"/>
                <w:bCs w:val="1"/>
                <w:color w:val="444867"/>
              </w:rPr>
              <w:t>Robert J. Alpern, M.D.</w:t>
            </w:r>
          </w:p>
        </w:tc>
        <w:tc>
          <w:tcPr>
            <w:tcW w:w="0" w:type="dxa"/>
            <w:vAlign w:val="bottom"/>
          </w:tcPr>
          <w:p>
            <w:pPr>
              <w:spacing w:after="0"/>
              <w:rPr>
                <w:sz w:val="1"/>
                <w:szCs w:val="1"/>
                <w:color w:val="auto"/>
              </w:rPr>
            </w:pPr>
          </w:p>
        </w:tc>
      </w:tr>
      <w:tr>
        <w:trPr>
          <w:trHeight w:val="397"/>
        </w:trPr>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80" w:type="dxa"/>
            <w:vAlign w:val="bottom"/>
          </w:tcPr>
          <w:p>
            <w:pPr>
              <w:ind w:left="180"/>
              <w:spacing w:after="0"/>
              <w:rPr>
                <w:sz w:val="20"/>
                <w:szCs w:val="20"/>
                <w:color w:val="auto"/>
              </w:rPr>
            </w:pPr>
            <w:r>
              <w:rPr>
                <w:rFonts w:ascii="Arial" w:cs="Arial" w:eastAsia="Arial" w:hAnsi="Arial"/>
                <w:sz w:val="17"/>
                <w:szCs w:val="17"/>
                <w:i w:val="1"/>
                <w:iCs w:val="1"/>
                <w:color w:val="auto"/>
              </w:rPr>
              <w:t>Ensign Professor of Medicine, Professor of Internal Medicine, and Dean of Yale School of Medicine</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80" w:type="dxa"/>
            <w:vAlign w:val="bottom"/>
          </w:tcPr>
          <w:p>
            <w:pPr>
              <w:ind w:left="180"/>
              <w:spacing w:after="0"/>
              <w:rPr>
                <w:sz w:val="20"/>
                <w:szCs w:val="20"/>
                <w:color w:val="auto"/>
              </w:rPr>
            </w:pPr>
            <w:r>
              <w:rPr>
                <w:rFonts w:ascii="Arial" w:cs="Arial" w:eastAsia="Arial" w:hAnsi="Arial"/>
                <w:sz w:val="17"/>
                <w:szCs w:val="17"/>
                <w:color w:val="auto"/>
              </w:rPr>
              <w:t>Dr. Alpern has served as the Ensign Professor of Medicine, Professor of Internal Medicine, and Dean of Yale School of</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80" w:type="dxa"/>
            <w:vAlign w:val="bottom"/>
          </w:tcPr>
          <w:p>
            <w:pPr>
              <w:ind w:left="180"/>
              <w:spacing w:after="0"/>
              <w:rPr>
                <w:sz w:val="20"/>
                <w:szCs w:val="20"/>
                <w:color w:val="auto"/>
              </w:rPr>
            </w:pPr>
            <w:r>
              <w:rPr>
                <w:rFonts w:ascii="Arial" w:cs="Arial" w:eastAsia="Arial" w:hAnsi="Arial"/>
                <w:sz w:val="17"/>
                <w:szCs w:val="17"/>
                <w:color w:val="auto"/>
              </w:rPr>
              <w:t>Medicine since June 2004. From July 1998 to June 2004, Dr. Alpern was the Dean of The University of Texas Southwestern</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80" w:type="dxa"/>
            <w:vAlign w:val="bottom"/>
          </w:tcPr>
          <w:p>
            <w:pPr>
              <w:ind w:left="180"/>
              <w:spacing w:after="0"/>
              <w:rPr>
                <w:sz w:val="20"/>
                <w:szCs w:val="20"/>
                <w:color w:val="auto"/>
              </w:rPr>
            </w:pPr>
            <w:r>
              <w:rPr>
                <w:rFonts w:ascii="Arial" w:cs="Arial" w:eastAsia="Arial" w:hAnsi="Arial"/>
                <w:sz w:val="17"/>
                <w:szCs w:val="17"/>
                <w:color w:val="auto"/>
              </w:rPr>
              <w:t>Medical Center. Dr. Alpern also serves as a director of Abbott Laboratories and as a director on the Board of Yale—New</w:t>
            </w: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80" w:type="dxa"/>
            <w:vAlign w:val="bottom"/>
          </w:tcPr>
          <w:p>
            <w:pPr>
              <w:ind w:left="180"/>
              <w:spacing w:after="0"/>
              <w:rPr>
                <w:sz w:val="20"/>
                <w:szCs w:val="20"/>
                <w:color w:val="auto"/>
              </w:rPr>
            </w:pPr>
            <w:r>
              <w:rPr>
                <w:rFonts w:ascii="Arial" w:cs="Arial" w:eastAsia="Arial" w:hAnsi="Arial"/>
                <w:sz w:val="17"/>
                <w:szCs w:val="17"/>
                <w:color w:val="auto"/>
              </w:rPr>
              <w:t>Haven Hospital.</w:t>
            </w:r>
          </w:p>
        </w:tc>
        <w:tc>
          <w:tcPr>
            <w:tcW w:w="0" w:type="dxa"/>
            <w:vAlign w:val="bottom"/>
          </w:tcPr>
          <w:p>
            <w:pPr>
              <w:spacing w:after="0"/>
              <w:rPr>
                <w:sz w:val="1"/>
                <w:szCs w:val="1"/>
                <w:color w:val="auto"/>
              </w:rPr>
            </w:pPr>
          </w:p>
        </w:tc>
      </w:tr>
      <w:tr>
        <w:trPr>
          <w:trHeight w:val="397"/>
        </w:trPr>
        <w:tc>
          <w:tcPr>
            <w:tcW w:w="300" w:type="dxa"/>
            <w:vAlign w:val="bottom"/>
          </w:tcPr>
          <w:p>
            <w:pPr>
              <w:spacing w:after="0"/>
              <w:rPr>
                <w:sz w:val="24"/>
                <w:szCs w:val="24"/>
                <w:color w:val="auto"/>
              </w:rPr>
            </w:pPr>
          </w:p>
        </w:tc>
        <w:tc>
          <w:tcPr>
            <w:tcW w:w="1440" w:type="dxa"/>
            <w:vAlign w:val="bottom"/>
            <w:vMerge w:val="restart"/>
          </w:tcPr>
          <w:p>
            <w:pPr>
              <w:jc w:val="center"/>
              <w:ind w:right="171"/>
              <w:spacing w:after="0"/>
              <w:rPr>
                <w:sz w:val="20"/>
                <w:szCs w:val="20"/>
                <w:color w:val="auto"/>
              </w:rPr>
            </w:pPr>
            <w:r>
              <w:rPr>
                <w:rFonts w:ascii="Arial" w:cs="Arial" w:eastAsia="Arial" w:hAnsi="Arial"/>
                <w:sz w:val="17"/>
                <w:szCs w:val="17"/>
                <w:b w:val="1"/>
                <w:bCs w:val="1"/>
                <w:color w:val="444867"/>
                <w:w w:val="99"/>
              </w:rPr>
              <w:t>Committees:</w:t>
            </w:r>
          </w:p>
        </w:tc>
        <w:tc>
          <w:tcPr>
            <w:tcW w:w="9680" w:type="dxa"/>
            <w:vAlign w:val="bottom"/>
          </w:tcPr>
          <w:p>
            <w:pPr>
              <w:ind w:left="180"/>
              <w:spacing w:after="0"/>
              <w:rPr>
                <w:sz w:val="20"/>
                <w:szCs w:val="20"/>
                <w:color w:val="auto"/>
              </w:rPr>
            </w:pPr>
            <w:r>
              <w:rPr>
                <w:rFonts w:ascii="Arial" w:cs="Arial" w:eastAsia="Arial" w:hAnsi="Arial"/>
                <w:sz w:val="17"/>
                <w:szCs w:val="17"/>
                <w:color w:val="auto"/>
              </w:rPr>
              <w:t>Key Contributions to the Board: As the Ensign Professor of Medicine, Professor of Internal Medicine, and Dean of Yale School</w:t>
            </w:r>
          </w:p>
        </w:tc>
        <w:tc>
          <w:tcPr>
            <w:tcW w:w="0" w:type="dxa"/>
            <w:vAlign w:val="bottom"/>
          </w:tcPr>
          <w:p>
            <w:pPr>
              <w:spacing w:after="0"/>
              <w:rPr>
                <w:sz w:val="1"/>
                <w:szCs w:val="1"/>
                <w:color w:val="auto"/>
              </w:rPr>
            </w:pPr>
          </w:p>
        </w:tc>
      </w:tr>
      <w:tr>
        <w:trPr>
          <w:trHeight w:val="183"/>
        </w:trPr>
        <w:tc>
          <w:tcPr>
            <w:tcW w:w="300" w:type="dxa"/>
            <w:vAlign w:val="bottom"/>
          </w:tcPr>
          <w:p>
            <w:pPr>
              <w:spacing w:after="0"/>
              <w:rPr>
                <w:sz w:val="15"/>
                <w:szCs w:val="15"/>
                <w:color w:val="auto"/>
              </w:rPr>
            </w:pPr>
          </w:p>
        </w:tc>
        <w:tc>
          <w:tcPr>
            <w:tcW w:w="1440" w:type="dxa"/>
            <w:vAlign w:val="bottom"/>
            <w:vMerge w:val="continue"/>
          </w:tcPr>
          <w:p>
            <w:pPr>
              <w:spacing w:after="0"/>
              <w:rPr>
                <w:sz w:val="15"/>
                <w:szCs w:val="15"/>
                <w:color w:val="auto"/>
              </w:rPr>
            </w:pPr>
          </w:p>
        </w:tc>
        <w:tc>
          <w:tcPr>
            <w:tcW w:w="9680" w:type="dxa"/>
            <w:vAlign w:val="bottom"/>
          </w:tcPr>
          <w:p>
            <w:pPr>
              <w:ind w:left="180"/>
              <w:spacing w:after="0" w:line="183" w:lineRule="exact"/>
              <w:rPr>
                <w:sz w:val="20"/>
                <w:szCs w:val="20"/>
                <w:color w:val="auto"/>
              </w:rPr>
            </w:pPr>
            <w:r>
              <w:rPr>
                <w:rFonts w:ascii="Arial" w:cs="Arial" w:eastAsia="Arial" w:hAnsi="Arial"/>
                <w:sz w:val="17"/>
                <w:szCs w:val="17"/>
                <w:color w:val="auto"/>
              </w:rPr>
              <w:t>of Medicine, Dean of The University of Texas Southwestern Medical Center, and as a director on the Board of Yale—New</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40" w:type="dxa"/>
            <w:vAlign w:val="bottom"/>
          </w:tcPr>
          <w:p>
            <w:pPr>
              <w:jc w:val="center"/>
              <w:ind w:right="171"/>
              <w:spacing w:after="0"/>
              <w:rPr>
                <w:sz w:val="20"/>
                <w:szCs w:val="20"/>
                <w:color w:val="auto"/>
              </w:rPr>
            </w:pPr>
            <w:r>
              <w:rPr>
                <w:rFonts w:ascii="Arial" w:cs="Arial" w:eastAsia="Arial" w:hAnsi="Arial"/>
                <w:sz w:val="17"/>
                <w:szCs w:val="17"/>
                <w:color w:val="auto"/>
                <w:w w:val="99"/>
              </w:rPr>
              <w:t>Nominations &amp;</w:t>
            </w:r>
          </w:p>
        </w:tc>
        <w:tc>
          <w:tcPr>
            <w:tcW w:w="9680" w:type="dxa"/>
            <w:vAlign w:val="bottom"/>
          </w:tcPr>
          <w:p>
            <w:pPr>
              <w:ind w:left="180"/>
              <w:spacing w:after="0"/>
              <w:rPr>
                <w:sz w:val="20"/>
                <w:szCs w:val="20"/>
                <w:color w:val="auto"/>
              </w:rPr>
            </w:pPr>
            <w:r>
              <w:rPr>
                <w:rFonts w:ascii="Arial" w:cs="Arial" w:eastAsia="Arial" w:hAnsi="Arial"/>
                <w:sz w:val="17"/>
                <w:szCs w:val="17"/>
                <w:color w:val="auto"/>
              </w:rPr>
              <w:t>Haven Hospital, Dr. Alpern contributes valuable insights to the board through his medical and scientific expertise and his</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40" w:type="dxa"/>
            <w:vAlign w:val="bottom"/>
          </w:tcPr>
          <w:p>
            <w:pPr>
              <w:jc w:val="center"/>
              <w:ind w:right="191"/>
              <w:spacing w:after="0"/>
              <w:rPr>
                <w:sz w:val="20"/>
                <w:szCs w:val="20"/>
                <w:color w:val="auto"/>
              </w:rPr>
            </w:pPr>
            <w:r>
              <w:rPr>
                <w:rFonts w:ascii="Arial" w:cs="Arial" w:eastAsia="Arial" w:hAnsi="Arial"/>
                <w:sz w:val="17"/>
                <w:szCs w:val="17"/>
                <w:color w:val="auto"/>
                <w:w w:val="99"/>
              </w:rPr>
              <w:t>Governance</w:t>
            </w:r>
          </w:p>
        </w:tc>
        <w:tc>
          <w:tcPr>
            <w:tcW w:w="9680" w:type="dxa"/>
            <w:vAlign w:val="bottom"/>
          </w:tcPr>
          <w:p>
            <w:pPr>
              <w:ind w:left="180"/>
              <w:spacing w:after="0"/>
              <w:rPr>
                <w:sz w:val="20"/>
                <w:szCs w:val="20"/>
                <w:color w:val="auto"/>
              </w:rPr>
            </w:pPr>
            <w:r>
              <w:rPr>
                <w:rFonts w:ascii="Arial" w:cs="Arial" w:eastAsia="Arial" w:hAnsi="Arial"/>
                <w:sz w:val="17"/>
                <w:szCs w:val="17"/>
                <w:color w:val="auto"/>
              </w:rPr>
              <w:t>knowledge of the health care environment and the scientific nature of AbbVie's key research and development initiatives.</w:t>
            </w: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1440" w:type="dxa"/>
            <w:vAlign w:val="bottom"/>
          </w:tcPr>
          <w:p>
            <w:pPr>
              <w:jc w:val="center"/>
              <w:ind w:right="191"/>
              <w:spacing w:after="0"/>
              <w:rPr>
                <w:sz w:val="20"/>
                <w:szCs w:val="20"/>
                <w:color w:val="auto"/>
              </w:rPr>
            </w:pPr>
            <w:r>
              <w:rPr>
                <w:rFonts w:ascii="Arial" w:cs="Arial" w:eastAsia="Arial" w:hAnsi="Arial"/>
                <w:sz w:val="17"/>
                <w:szCs w:val="17"/>
                <w:color w:val="auto"/>
                <w:w w:val="99"/>
              </w:rPr>
              <w:t>Public Policy</w:t>
            </w:r>
          </w:p>
        </w:tc>
        <w:tc>
          <w:tcPr>
            <w:tcW w:w="9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1740" w:type="dxa"/>
            <w:vAlign w:val="bottom"/>
            <w:gridSpan w:val="2"/>
          </w:tcPr>
          <w:p>
            <w:pPr>
              <w:jc w:val="center"/>
              <w:spacing w:after="0"/>
              <w:rPr>
                <w:sz w:val="20"/>
                <w:szCs w:val="20"/>
                <w:color w:val="auto"/>
              </w:rPr>
            </w:pPr>
            <w:r>
              <w:rPr>
                <w:rFonts w:ascii="Arial" w:cs="Arial" w:eastAsia="Arial" w:hAnsi="Arial"/>
                <w:sz w:val="17"/>
                <w:szCs w:val="17"/>
                <w:b w:val="1"/>
                <w:bCs w:val="1"/>
                <w:color w:val="444867"/>
              </w:rPr>
              <w:t>Director since: 2013</w:t>
            </w:r>
          </w:p>
        </w:tc>
        <w:tc>
          <w:tcPr>
            <w:tcW w:w="9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00" w:type="dxa"/>
            <w:vAlign w:val="bottom"/>
          </w:tcPr>
          <w:p>
            <w:pPr>
              <w:spacing w:after="0"/>
              <w:rPr>
                <w:sz w:val="19"/>
                <w:szCs w:val="19"/>
                <w:color w:val="auto"/>
              </w:rPr>
            </w:pPr>
          </w:p>
        </w:tc>
        <w:tc>
          <w:tcPr>
            <w:tcW w:w="1440" w:type="dxa"/>
            <w:vAlign w:val="bottom"/>
          </w:tcPr>
          <w:p>
            <w:pPr>
              <w:jc w:val="center"/>
              <w:ind w:right="171"/>
              <w:spacing w:after="0"/>
              <w:rPr>
                <w:sz w:val="20"/>
                <w:szCs w:val="20"/>
                <w:color w:val="auto"/>
              </w:rPr>
            </w:pPr>
            <w:r>
              <w:rPr>
                <w:rFonts w:ascii="Arial" w:cs="Arial" w:eastAsia="Arial" w:hAnsi="Arial"/>
                <w:sz w:val="17"/>
                <w:szCs w:val="17"/>
                <w:b w:val="1"/>
                <w:bCs w:val="1"/>
                <w:color w:val="444867"/>
              </w:rPr>
              <w:t>Age: 65</w:t>
            </w:r>
          </w:p>
        </w:tc>
        <w:tc>
          <w:tcPr>
            <w:tcW w:w="9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27"/>
        </w:trPr>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80" w:type="dxa"/>
            <w:vAlign w:val="bottom"/>
          </w:tcPr>
          <w:p>
            <w:pPr>
              <w:ind w:left="180"/>
              <w:spacing w:after="0"/>
              <w:rPr>
                <w:sz w:val="20"/>
                <w:szCs w:val="20"/>
                <w:color w:val="auto"/>
              </w:rPr>
            </w:pPr>
            <w:r>
              <w:rPr>
                <w:rFonts w:ascii="Arial" w:cs="Arial" w:eastAsia="Arial" w:hAnsi="Arial"/>
                <w:sz w:val="17"/>
                <w:szCs w:val="17"/>
                <w:b w:val="1"/>
                <w:bCs w:val="1"/>
                <w:color w:val="444867"/>
              </w:rPr>
              <w:t>Edward M. Liddy</w:t>
            </w:r>
          </w:p>
        </w:tc>
        <w:tc>
          <w:tcPr>
            <w:tcW w:w="0" w:type="dxa"/>
            <w:vAlign w:val="bottom"/>
          </w:tcPr>
          <w:p>
            <w:pPr>
              <w:spacing w:after="0"/>
              <w:rPr>
                <w:sz w:val="1"/>
                <w:szCs w:val="1"/>
                <w:color w:val="auto"/>
              </w:rPr>
            </w:pPr>
          </w:p>
        </w:tc>
      </w:tr>
      <w:tr>
        <w:trPr>
          <w:trHeight w:val="397"/>
        </w:trPr>
        <w:tc>
          <w:tcPr>
            <w:tcW w:w="3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9680" w:type="dxa"/>
            <w:vAlign w:val="bottom"/>
          </w:tcPr>
          <w:p>
            <w:pPr>
              <w:ind w:left="180"/>
              <w:spacing w:after="0"/>
              <w:rPr>
                <w:sz w:val="20"/>
                <w:szCs w:val="20"/>
                <w:color w:val="auto"/>
              </w:rPr>
            </w:pPr>
            <w:r>
              <w:rPr>
                <w:rFonts w:ascii="Arial" w:cs="Arial" w:eastAsia="Arial" w:hAnsi="Arial"/>
                <w:sz w:val="17"/>
                <w:szCs w:val="17"/>
                <w:i w:val="1"/>
                <w:iCs w:val="1"/>
                <w:color w:val="auto"/>
              </w:rPr>
              <w:t>Retired Chairman &amp; CEO, The Allstate Corporation</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80" w:type="dxa"/>
            <w:vAlign w:val="bottom"/>
          </w:tcPr>
          <w:p>
            <w:pPr>
              <w:ind w:left="180"/>
              <w:spacing w:after="0"/>
              <w:rPr>
                <w:sz w:val="20"/>
                <w:szCs w:val="20"/>
                <w:color w:val="auto"/>
              </w:rPr>
            </w:pPr>
            <w:r>
              <w:rPr>
                <w:rFonts w:ascii="Arial" w:cs="Arial" w:eastAsia="Arial" w:hAnsi="Arial"/>
                <w:sz w:val="17"/>
                <w:szCs w:val="17"/>
                <w:color w:val="auto"/>
              </w:rPr>
              <w:t>Mr. Liddy served as a partner in the private equity investment firm Clayton, Dubilier &amp; Rice, LLC from January 2010 to</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80" w:type="dxa"/>
            <w:vAlign w:val="bottom"/>
          </w:tcPr>
          <w:p>
            <w:pPr>
              <w:ind w:left="180"/>
              <w:spacing w:after="0"/>
              <w:rPr>
                <w:sz w:val="20"/>
                <w:szCs w:val="20"/>
                <w:color w:val="auto"/>
              </w:rPr>
            </w:pPr>
            <w:r>
              <w:rPr>
                <w:rFonts w:ascii="Arial" w:cs="Arial" w:eastAsia="Arial" w:hAnsi="Arial"/>
                <w:sz w:val="17"/>
                <w:szCs w:val="17"/>
                <w:color w:val="auto"/>
              </w:rPr>
              <w:t>December 2015. At the request of the Secretary of the U.S. Department of the Treasury, Mr. Liddy served as interim chairman</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80" w:type="dxa"/>
            <w:vAlign w:val="bottom"/>
          </w:tcPr>
          <w:p>
            <w:pPr>
              <w:ind w:left="180"/>
              <w:spacing w:after="0"/>
              <w:rPr>
                <w:sz w:val="20"/>
                <w:szCs w:val="20"/>
                <w:color w:val="auto"/>
              </w:rPr>
            </w:pPr>
            <w:r>
              <w:rPr>
                <w:rFonts w:ascii="Arial" w:cs="Arial" w:eastAsia="Arial" w:hAnsi="Arial"/>
                <w:sz w:val="17"/>
                <w:szCs w:val="17"/>
                <w:color w:val="auto"/>
              </w:rPr>
              <w:t>and chief executive officer of American International Group, Inc. (AIG), a global insurance and financial services holding</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80" w:type="dxa"/>
            <w:vAlign w:val="bottom"/>
          </w:tcPr>
          <w:p>
            <w:pPr>
              <w:ind w:left="180"/>
              <w:spacing w:after="0"/>
              <w:rPr>
                <w:sz w:val="20"/>
                <w:szCs w:val="20"/>
                <w:color w:val="auto"/>
              </w:rPr>
            </w:pPr>
            <w:r>
              <w:rPr>
                <w:rFonts w:ascii="Arial" w:cs="Arial" w:eastAsia="Arial" w:hAnsi="Arial"/>
                <w:sz w:val="17"/>
                <w:szCs w:val="17"/>
                <w:color w:val="auto"/>
              </w:rPr>
              <w:t>company, from September 2008 to August 2009. From January 1999 to April 2008, Mr. Liddy served as chairman of the board</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80" w:type="dxa"/>
            <w:vAlign w:val="bottom"/>
          </w:tcPr>
          <w:p>
            <w:pPr>
              <w:ind w:left="180"/>
              <w:spacing w:after="0"/>
              <w:rPr>
                <w:sz w:val="20"/>
                <w:szCs w:val="20"/>
                <w:color w:val="auto"/>
              </w:rPr>
            </w:pPr>
            <w:r>
              <w:rPr>
                <w:rFonts w:ascii="Arial" w:cs="Arial" w:eastAsia="Arial" w:hAnsi="Arial"/>
                <w:sz w:val="17"/>
                <w:szCs w:val="17"/>
                <w:color w:val="auto"/>
              </w:rPr>
              <w:t>of The Allstate Corporation (insurance). He served as chief executive officer of Allstate from January 1999 to December 2006,</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40" w:type="dxa"/>
            <w:vAlign w:val="bottom"/>
            <w:vMerge w:val="restart"/>
          </w:tcPr>
          <w:p>
            <w:pPr>
              <w:jc w:val="center"/>
              <w:ind w:right="171"/>
              <w:spacing w:after="0"/>
              <w:rPr>
                <w:sz w:val="20"/>
                <w:szCs w:val="20"/>
                <w:color w:val="auto"/>
              </w:rPr>
            </w:pPr>
            <w:r>
              <w:rPr>
                <w:rFonts w:ascii="Arial" w:cs="Arial" w:eastAsia="Arial" w:hAnsi="Arial"/>
                <w:sz w:val="17"/>
                <w:szCs w:val="17"/>
                <w:b w:val="1"/>
                <w:bCs w:val="1"/>
                <w:color w:val="444867"/>
                <w:w w:val="99"/>
              </w:rPr>
              <w:t>Committees:</w:t>
            </w:r>
          </w:p>
        </w:tc>
        <w:tc>
          <w:tcPr>
            <w:tcW w:w="9680" w:type="dxa"/>
            <w:vAlign w:val="bottom"/>
          </w:tcPr>
          <w:p>
            <w:pPr>
              <w:ind w:left="180"/>
              <w:spacing w:after="0"/>
              <w:rPr>
                <w:sz w:val="20"/>
                <w:szCs w:val="20"/>
                <w:color w:val="auto"/>
              </w:rPr>
            </w:pPr>
            <w:r>
              <w:rPr>
                <w:rFonts w:ascii="Arial" w:cs="Arial" w:eastAsia="Arial" w:hAnsi="Arial"/>
                <w:sz w:val="17"/>
                <w:szCs w:val="17"/>
                <w:color w:val="auto"/>
              </w:rPr>
              <w:t>president from January 1995 to May 2005, and chief operating officer from August 1994 to January 1999. Mr. Liddy currently</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40" w:type="dxa"/>
            <w:vAlign w:val="bottom"/>
            <w:vMerge w:val="continue"/>
          </w:tcPr>
          <w:p>
            <w:pPr>
              <w:spacing w:after="0"/>
              <w:rPr>
                <w:sz w:val="17"/>
                <w:szCs w:val="17"/>
                <w:color w:val="auto"/>
              </w:rPr>
            </w:pPr>
          </w:p>
        </w:tc>
        <w:tc>
          <w:tcPr>
            <w:tcW w:w="9680" w:type="dxa"/>
            <w:vAlign w:val="bottom"/>
          </w:tcPr>
          <w:p>
            <w:pPr>
              <w:ind w:left="180"/>
              <w:spacing w:after="0"/>
              <w:rPr>
                <w:sz w:val="20"/>
                <w:szCs w:val="20"/>
                <w:color w:val="auto"/>
              </w:rPr>
            </w:pPr>
            <w:r>
              <w:rPr>
                <w:rFonts w:ascii="Arial" w:cs="Arial" w:eastAsia="Arial" w:hAnsi="Arial"/>
                <w:sz w:val="17"/>
                <w:szCs w:val="17"/>
                <w:color w:val="auto"/>
              </w:rPr>
              <w:t>serves on the board of directors of Abbott Laboratories, 3M Company, and The Boeing Company.</w:t>
            </w:r>
          </w:p>
        </w:tc>
        <w:tc>
          <w:tcPr>
            <w:tcW w:w="0" w:type="dxa"/>
            <w:vAlign w:val="bottom"/>
          </w:tcPr>
          <w:p>
            <w:pPr>
              <w:spacing w:after="0"/>
              <w:rPr>
                <w:sz w:val="1"/>
                <w:szCs w:val="1"/>
                <w:color w:val="auto"/>
              </w:rPr>
            </w:pPr>
          </w:p>
        </w:tc>
      </w:tr>
      <w:tr>
        <w:trPr>
          <w:trHeight w:val="196"/>
        </w:trPr>
        <w:tc>
          <w:tcPr>
            <w:tcW w:w="300" w:type="dxa"/>
            <w:vAlign w:val="bottom"/>
          </w:tcPr>
          <w:p>
            <w:pPr>
              <w:spacing w:after="0"/>
              <w:rPr>
                <w:sz w:val="17"/>
                <w:szCs w:val="17"/>
                <w:color w:val="auto"/>
              </w:rPr>
            </w:pPr>
          </w:p>
        </w:tc>
        <w:tc>
          <w:tcPr>
            <w:tcW w:w="1440" w:type="dxa"/>
            <w:vAlign w:val="bottom"/>
          </w:tcPr>
          <w:p>
            <w:pPr>
              <w:jc w:val="center"/>
              <w:ind w:right="171"/>
              <w:spacing w:after="0"/>
              <w:rPr>
                <w:sz w:val="20"/>
                <w:szCs w:val="20"/>
                <w:color w:val="auto"/>
              </w:rPr>
            </w:pPr>
            <w:r>
              <w:rPr>
                <w:rFonts w:ascii="Arial" w:cs="Arial" w:eastAsia="Arial" w:hAnsi="Arial"/>
                <w:sz w:val="17"/>
                <w:szCs w:val="17"/>
                <w:color w:val="auto"/>
              </w:rPr>
              <w:t>Compensation</w:t>
            </w:r>
          </w:p>
        </w:tc>
        <w:tc>
          <w:tcPr>
            <w:tcW w:w="9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 w:type="dxa"/>
            <w:vAlign w:val="bottom"/>
          </w:tcPr>
          <w:p>
            <w:pPr>
              <w:spacing w:after="0"/>
              <w:rPr>
                <w:sz w:val="18"/>
                <w:szCs w:val="18"/>
                <w:color w:val="auto"/>
              </w:rPr>
            </w:pPr>
          </w:p>
        </w:tc>
        <w:tc>
          <w:tcPr>
            <w:tcW w:w="1440" w:type="dxa"/>
            <w:vAlign w:val="bottom"/>
          </w:tcPr>
          <w:p>
            <w:pPr>
              <w:jc w:val="center"/>
              <w:ind w:right="191"/>
              <w:spacing w:after="0"/>
              <w:rPr>
                <w:sz w:val="20"/>
                <w:szCs w:val="20"/>
                <w:color w:val="auto"/>
              </w:rPr>
            </w:pPr>
            <w:r>
              <w:rPr>
                <w:rFonts w:ascii="Arial" w:cs="Arial" w:eastAsia="Arial" w:hAnsi="Arial"/>
                <w:sz w:val="17"/>
                <w:szCs w:val="17"/>
                <w:color w:val="auto"/>
                <w:w w:val="99"/>
              </w:rPr>
              <w:t>Public Policy</w:t>
            </w:r>
          </w:p>
        </w:tc>
        <w:tc>
          <w:tcPr>
            <w:tcW w:w="9680" w:type="dxa"/>
            <w:vAlign w:val="bottom"/>
          </w:tcPr>
          <w:p>
            <w:pPr>
              <w:ind w:left="180"/>
              <w:spacing w:after="0"/>
              <w:rPr>
                <w:sz w:val="20"/>
                <w:szCs w:val="20"/>
                <w:color w:val="auto"/>
              </w:rPr>
            </w:pPr>
            <w:r>
              <w:rPr>
                <w:rFonts w:ascii="Arial" w:cs="Arial" w:eastAsia="Arial" w:hAnsi="Arial"/>
                <w:sz w:val="17"/>
                <w:szCs w:val="17"/>
                <w:color w:val="auto"/>
              </w:rPr>
              <w:t>Key Contributions to the Board: Mr. Liddy's executive leadership at Allstate and AIG and his board service at several Fortune</w:t>
            </w:r>
          </w:p>
        </w:tc>
        <w:tc>
          <w:tcPr>
            <w:tcW w:w="0" w:type="dxa"/>
            <w:vAlign w:val="bottom"/>
          </w:tcPr>
          <w:p>
            <w:pPr>
              <w:spacing w:after="0"/>
              <w:rPr>
                <w:sz w:val="1"/>
                <w:szCs w:val="1"/>
                <w:color w:val="auto"/>
              </w:rPr>
            </w:pPr>
          </w:p>
        </w:tc>
      </w:tr>
      <w:tr>
        <w:trPr>
          <w:trHeight w:val="196"/>
        </w:trPr>
        <w:tc>
          <w:tcPr>
            <w:tcW w:w="1740" w:type="dxa"/>
            <w:vAlign w:val="bottom"/>
            <w:gridSpan w:val="2"/>
            <w:vMerge w:val="restart"/>
          </w:tcPr>
          <w:p>
            <w:pPr>
              <w:jc w:val="center"/>
              <w:spacing w:after="0"/>
              <w:rPr>
                <w:sz w:val="20"/>
                <w:szCs w:val="20"/>
                <w:color w:val="auto"/>
              </w:rPr>
            </w:pPr>
            <w:r>
              <w:rPr>
                <w:rFonts w:ascii="Arial" w:cs="Arial" w:eastAsia="Arial" w:hAnsi="Arial"/>
                <w:sz w:val="17"/>
                <w:szCs w:val="17"/>
                <w:b w:val="1"/>
                <w:bCs w:val="1"/>
                <w:color w:val="444867"/>
              </w:rPr>
              <w:t>Director since: 2013</w:t>
            </w:r>
          </w:p>
        </w:tc>
        <w:tc>
          <w:tcPr>
            <w:tcW w:w="9680" w:type="dxa"/>
            <w:vAlign w:val="bottom"/>
          </w:tcPr>
          <w:p>
            <w:pPr>
              <w:ind w:left="180"/>
              <w:spacing w:after="0"/>
              <w:rPr>
                <w:sz w:val="20"/>
                <w:szCs w:val="20"/>
                <w:color w:val="auto"/>
              </w:rPr>
            </w:pPr>
            <w:r>
              <w:rPr>
                <w:rFonts w:ascii="Arial" w:cs="Arial" w:eastAsia="Arial" w:hAnsi="Arial"/>
                <w:sz w:val="17"/>
                <w:szCs w:val="17"/>
                <w:color w:val="auto"/>
              </w:rPr>
              <w:t>100 companies enable him to provide our board with valuable insights on corporate strategy, risk management, corporate</w:t>
            </w:r>
          </w:p>
        </w:tc>
        <w:tc>
          <w:tcPr>
            <w:tcW w:w="0" w:type="dxa"/>
            <w:vAlign w:val="bottom"/>
          </w:tcPr>
          <w:p>
            <w:pPr>
              <w:spacing w:after="0"/>
              <w:rPr>
                <w:sz w:val="1"/>
                <w:szCs w:val="1"/>
                <w:color w:val="auto"/>
              </w:rPr>
            </w:pPr>
          </w:p>
        </w:tc>
      </w:tr>
      <w:tr>
        <w:trPr>
          <w:trHeight w:val="176"/>
        </w:trPr>
        <w:tc>
          <w:tcPr>
            <w:tcW w:w="1740" w:type="dxa"/>
            <w:vAlign w:val="bottom"/>
            <w:gridSpan w:val="2"/>
            <w:vMerge w:val="continue"/>
          </w:tcPr>
          <w:p>
            <w:pPr>
              <w:spacing w:after="0"/>
              <w:rPr>
                <w:sz w:val="15"/>
                <w:szCs w:val="15"/>
                <w:color w:val="auto"/>
              </w:rPr>
            </w:pPr>
          </w:p>
        </w:tc>
        <w:tc>
          <w:tcPr>
            <w:tcW w:w="9680" w:type="dxa"/>
            <w:vAlign w:val="bottom"/>
          </w:tcPr>
          <w:p>
            <w:pPr>
              <w:ind w:left="180"/>
              <w:spacing w:after="0" w:line="176" w:lineRule="exact"/>
              <w:rPr>
                <w:sz w:val="20"/>
                <w:szCs w:val="20"/>
                <w:color w:val="auto"/>
              </w:rPr>
            </w:pPr>
            <w:r>
              <w:rPr>
                <w:rFonts w:ascii="Arial" w:cs="Arial" w:eastAsia="Arial" w:hAnsi="Arial"/>
                <w:sz w:val="17"/>
                <w:szCs w:val="17"/>
                <w:color w:val="auto"/>
              </w:rPr>
              <w:t>governance and other issues facing large, global enterprises. Additionally, as a former chief financial officer, audit committee</w:t>
            </w: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1440" w:type="dxa"/>
            <w:vAlign w:val="bottom"/>
          </w:tcPr>
          <w:p>
            <w:pPr>
              <w:jc w:val="center"/>
              <w:ind w:right="171"/>
              <w:spacing w:after="0"/>
              <w:rPr>
                <w:sz w:val="20"/>
                <w:szCs w:val="20"/>
                <w:color w:val="auto"/>
              </w:rPr>
            </w:pPr>
            <w:r>
              <w:rPr>
                <w:rFonts w:ascii="Arial" w:cs="Arial" w:eastAsia="Arial" w:hAnsi="Arial"/>
                <w:sz w:val="17"/>
                <w:szCs w:val="17"/>
                <w:b w:val="1"/>
                <w:bCs w:val="1"/>
                <w:color w:val="444867"/>
              </w:rPr>
              <w:t>Age: 70</w:t>
            </w:r>
          </w:p>
        </w:tc>
        <w:tc>
          <w:tcPr>
            <w:tcW w:w="9680" w:type="dxa"/>
            <w:vAlign w:val="bottom"/>
          </w:tcPr>
          <w:p>
            <w:pPr>
              <w:ind w:left="180"/>
              <w:spacing w:after="0"/>
              <w:rPr>
                <w:sz w:val="20"/>
                <w:szCs w:val="20"/>
                <w:color w:val="auto"/>
              </w:rPr>
            </w:pPr>
            <w:r>
              <w:rPr>
                <w:rFonts w:ascii="Arial" w:cs="Arial" w:eastAsia="Arial" w:hAnsi="Arial"/>
                <w:sz w:val="17"/>
                <w:szCs w:val="17"/>
                <w:color w:val="auto"/>
                <w:w w:val="99"/>
              </w:rPr>
              <w:t>chair at Goldman Sachs and 3M, and a private equity firm partner, Mr. Liddy provides our board with significant knowledge and</w:t>
            </w: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9680" w:type="dxa"/>
            <w:vAlign w:val="bottom"/>
          </w:tcPr>
          <w:p>
            <w:pPr>
              <w:ind w:left="180"/>
              <w:spacing w:after="0"/>
              <w:rPr>
                <w:sz w:val="20"/>
                <w:szCs w:val="20"/>
                <w:color w:val="auto"/>
              </w:rPr>
            </w:pPr>
            <w:r>
              <w:rPr>
                <w:rFonts w:ascii="Arial" w:cs="Arial" w:eastAsia="Arial" w:hAnsi="Arial"/>
                <w:sz w:val="17"/>
                <w:szCs w:val="17"/>
                <w:color w:val="auto"/>
              </w:rPr>
              <w:t>understanding of corporate finance, capital markets, financial reporting and accounting matters.</w:t>
            </w:r>
          </w:p>
        </w:tc>
        <w:tc>
          <w:tcPr>
            <w:tcW w:w="0" w:type="dxa"/>
            <w:vAlign w:val="bottom"/>
          </w:tcPr>
          <w:p>
            <w:pPr>
              <w:spacing w:after="0"/>
              <w:rPr>
                <w:sz w:val="1"/>
                <w:szCs w:val="1"/>
                <w:color w:val="auto"/>
              </w:rPr>
            </w:pPr>
          </w:p>
        </w:tc>
      </w:tr>
      <w:tr>
        <w:trPr>
          <w:trHeight w:val="532"/>
        </w:trPr>
        <w:tc>
          <w:tcPr>
            <w:tcW w:w="300" w:type="dxa"/>
            <w:vAlign w:val="bottom"/>
          </w:tcPr>
          <w:p>
            <w:pPr>
              <w:jc w:val="right"/>
              <w:spacing w:after="0"/>
              <w:rPr>
                <w:sz w:val="20"/>
                <w:szCs w:val="20"/>
                <w:color w:val="auto"/>
              </w:rPr>
            </w:pPr>
            <w:r>
              <w:rPr>
                <w:rFonts w:ascii="Arial" w:cs="Arial" w:eastAsia="Arial" w:hAnsi="Arial"/>
                <w:sz w:val="17"/>
                <w:szCs w:val="17"/>
                <w:b w:val="1"/>
                <w:bCs w:val="1"/>
                <w:color w:val="auto"/>
              </w:rPr>
              <w:t>10</w:t>
            </w:r>
          </w:p>
        </w:tc>
        <w:tc>
          <w:tcPr>
            <w:tcW w:w="1440" w:type="dxa"/>
            <w:vAlign w:val="bottom"/>
          </w:tcPr>
          <w:p>
            <w:pPr>
              <w:jc w:val="right"/>
              <w:ind w:right="31"/>
              <w:spacing w:after="0"/>
              <w:rPr>
                <w:sz w:val="20"/>
                <w:szCs w:val="20"/>
                <w:color w:val="auto"/>
              </w:rPr>
            </w:pPr>
            <w:r>
              <w:rPr>
                <w:rFonts w:ascii="Arial" w:cs="Arial" w:eastAsia="Arial" w:hAnsi="Arial"/>
                <w:sz w:val="24"/>
                <w:szCs w:val="24"/>
                <w:b w:val="1"/>
                <w:bCs w:val="1"/>
                <w:color w:val="444867"/>
              </w:rPr>
              <w:t>|</w:t>
            </w:r>
          </w:p>
        </w:tc>
        <w:tc>
          <w:tcPr>
            <w:tcW w:w="9680" w:type="dxa"/>
            <w:vAlign w:val="bottom"/>
          </w:tcPr>
          <w:p>
            <w:pPr>
              <w:ind w:left="40"/>
              <w:spacing w:after="0"/>
              <w:rPr>
                <w:sz w:val="20"/>
                <w:szCs w:val="20"/>
                <w:color w:val="auto"/>
              </w:rPr>
            </w:pPr>
            <w:r>
              <w:rPr>
                <w:rFonts w:ascii="Arial" w:cs="Arial" w:eastAsia="Arial" w:hAnsi="Arial"/>
                <w:sz w:val="17"/>
                <w:szCs w:val="17"/>
                <w:i w:val="1"/>
                <w:iCs w:val="1"/>
                <w:color w:val="auto"/>
              </w:rPr>
              <w:t>2016 Proxy Statement</w:t>
            </w:r>
          </w:p>
        </w:tc>
        <w:tc>
          <w:tcPr>
            <w:tcW w:w="0" w:type="dxa"/>
            <w:vAlign w:val="bottom"/>
          </w:tcPr>
          <w:p>
            <w:pPr>
              <w:spacing w:after="0"/>
              <w:rPr>
                <w:sz w:val="1"/>
                <w:szCs w:val="1"/>
                <w:color w:val="auto"/>
              </w:rPr>
            </w:pPr>
          </w:p>
        </w:tc>
      </w:tr>
      <w:tr>
        <w:trPr>
          <w:trHeight w:val="173"/>
        </w:trPr>
        <w:tc>
          <w:tcPr>
            <w:tcW w:w="300" w:type="dxa"/>
            <w:vAlign w:val="bottom"/>
            <w:tcBorders>
              <w:bottom w:val="single" w:sz="8" w:color="808080"/>
            </w:tcBorders>
          </w:tcPr>
          <w:p>
            <w:pPr>
              <w:spacing w:after="0"/>
              <w:rPr>
                <w:sz w:val="15"/>
                <w:szCs w:val="15"/>
                <w:color w:val="auto"/>
              </w:rPr>
            </w:pPr>
          </w:p>
        </w:tc>
        <w:tc>
          <w:tcPr>
            <w:tcW w:w="1440" w:type="dxa"/>
            <w:vAlign w:val="bottom"/>
            <w:tcBorders>
              <w:bottom w:val="single" w:sz="8" w:color="808080"/>
            </w:tcBorders>
          </w:tcPr>
          <w:p>
            <w:pPr>
              <w:spacing w:after="0"/>
              <w:rPr>
                <w:sz w:val="15"/>
                <w:szCs w:val="15"/>
                <w:color w:val="auto"/>
              </w:rPr>
            </w:pPr>
          </w:p>
        </w:tc>
        <w:tc>
          <w:tcPr>
            <w:tcW w:w="968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-4747260</wp:posOffset>
            </wp:positionV>
            <wp:extent cx="1120140" cy="11201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-2465705</wp:posOffset>
            </wp:positionV>
            <wp:extent cx="1120140" cy="11201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-300355</wp:posOffset>
            </wp:positionV>
            <wp:extent cx="622300" cy="1079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22300" cy="10795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13" w:name="page14"/>
    <w:bookmarkEnd w:id="1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5412105</wp:posOffset>
            </wp:positionH>
            <wp:positionV relativeFrom="paragraph">
              <wp:posOffset>130810</wp:posOffset>
            </wp:positionV>
            <wp:extent cx="1841500" cy="1409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41500" cy="140970"/>
                    </a:xfrm>
                    <a:prstGeom prst="rect">
                      <a:avLst/>
                    </a:prstGeom>
                    <a:noFill/>
                  </pic:spPr>
                </pic:pic>
              </a:graphicData>
            </a:graphic>
          </wp:anchor>
        </w:drawing>
      </w:r>
    </w:p>
    <w:p>
      <w:pPr>
        <w:spacing w:after="0" w:line="224" w:lineRule="exact"/>
        <w:rPr>
          <w:sz w:val="20"/>
          <w:szCs w:val="20"/>
          <w:color w:val="auto"/>
        </w:rPr>
      </w:pPr>
    </w:p>
    <w:p>
      <w:pPr>
        <w:jc w:val="right"/>
        <w:ind w:right="220"/>
        <w:spacing w:after="0"/>
        <w:rPr>
          <w:sz w:val="20"/>
          <w:szCs w:val="20"/>
          <w:color w:val="auto"/>
        </w:rPr>
      </w:pPr>
      <w:r>
        <w:rPr>
          <w:rFonts w:ascii="Arial" w:cs="Arial" w:eastAsia="Arial" w:hAnsi="Arial"/>
          <w:sz w:val="10"/>
          <w:szCs w:val="10"/>
          <w:b w:val="1"/>
          <w:bCs w:val="1"/>
          <w:color w:val="FFFFFE"/>
        </w:rPr>
        <w:t>INFORMATION CONCERNING DIRECTOR NOMINEES</w:t>
      </w:r>
    </w:p>
    <w:p>
      <w:pPr>
        <w:sectPr>
          <w:pgSz w:w="11900" w:h="16838" w:orient="portrait"/>
          <w:cols w:equalWidth="0" w:num="1">
            <w:col w:w="11420"/>
          </w:cols>
          <w:pgMar w:left="240" w:top="143"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-1232535</wp:posOffset>
            </wp:positionV>
            <wp:extent cx="1120140" cy="11201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Audit</w:t>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Compensation</w:t>
      </w:r>
    </w:p>
    <w:p>
      <w:pPr>
        <w:spacing w:after="0" w:line="190"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2013</w:t>
      </w:r>
    </w:p>
    <w:p>
      <w:pPr>
        <w:spacing w:after="0" w:line="21"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Age: 62</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Frederick H. Waddell</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Chairman of the Board and Chief Executive Officer of Northern Trust Corporation and The Northern Trust Company</w:t>
      </w:r>
    </w:p>
    <w:p>
      <w:pPr>
        <w:spacing w:after="0" w:line="19" w:lineRule="exact"/>
        <w:rPr>
          <w:sz w:val="20"/>
          <w:szCs w:val="20"/>
          <w:color w:val="auto"/>
        </w:rPr>
      </w:pPr>
    </w:p>
    <w:p>
      <w:pPr>
        <w:ind w:right="100"/>
        <w:spacing w:after="0" w:line="243" w:lineRule="auto"/>
        <w:rPr>
          <w:sz w:val="20"/>
          <w:szCs w:val="20"/>
          <w:color w:val="auto"/>
        </w:rPr>
      </w:pPr>
      <w:r>
        <w:rPr>
          <w:rFonts w:ascii="Arial" w:cs="Arial" w:eastAsia="Arial" w:hAnsi="Arial"/>
          <w:sz w:val="17"/>
          <w:szCs w:val="17"/>
          <w:color w:val="auto"/>
        </w:rPr>
        <w:t>Mr. Waddell has served as the chief executive officer of Northern Trust Corporation and The Northern Trust Company since January 2008 and as chairman of the board since November 2009. He served as president from February 2006 through September 2011, and as chief operating officer from February 2006 to January 2008. Mr. Waddell served as a board member of Northern Trust from February 2006 to November 2009 prior to becoming the chairman of the board.</w:t>
      </w:r>
    </w:p>
    <w:p>
      <w:pPr>
        <w:spacing w:after="0" w:line="201" w:lineRule="exact"/>
        <w:rPr>
          <w:sz w:val="20"/>
          <w:szCs w:val="20"/>
          <w:color w:val="auto"/>
        </w:rPr>
      </w:pPr>
    </w:p>
    <w:p>
      <w:pPr>
        <w:jc w:val="both"/>
        <w:ind w:right="60"/>
        <w:spacing w:after="0" w:line="245" w:lineRule="auto"/>
        <w:rPr>
          <w:sz w:val="20"/>
          <w:szCs w:val="20"/>
          <w:color w:val="auto"/>
        </w:rPr>
      </w:pPr>
      <w:r>
        <w:rPr>
          <w:rFonts w:ascii="Arial" w:cs="Arial" w:eastAsia="Arial" w:hAnsi="Arial"/>
          <w:sz w:val="17"/>
          <w:szCs w:val="17"/>
          <w:color w:val="auto"/>
        </w:rPr>
        <w:t>Key Contributions to the Board: As chairman and chief executive officer of Northern Trust Corporation and The Northern Trust Company, Mr. Waddell possesses broad financial services experience with a strong record of leadership in a highly regulated industry.</w:t>
      </w:r>
    </w:p>
    <w:p>
      <w:pPr>
        <w:spacing w:after="0" w:line="946" w:lineRule="exact"/>
        <w:rPr>
          <w:sz w:val="20"/>
          <w:szCs w:val="20"/>
          <w:color w:val="auto"/>
        </w:rPr>
      </w:pPr>
    </w:p>
    <w:p>
      <w:pPr>
        <w:sectPr>
          <w:pgSz w:w="11900" w:h="16838" w:orient="portrait"/>
          <w:cols w:equalWidth="0" w:num="2">
            <w:col w:w="1700" w:space="220"/>
            <w:col w:w="9500"/>
          </w:cols>
          <w:pgMar w:left="240" w:top="143" w:right="239" w:bottom="1440" w:gutter="0" w:footer="0" w:header="0"/>
          <w:type w:val="continuous"/>
        </w:sectPr>
      </w:pPr>
    </w:p>
    <w:p>
      <w:pPr>
        <w:spacing w:after="0"/>
        <w:rPr>
          <w:sz w:val="20"/>
          <w:szCs w:val="20"/>
          <w:color w:val="auto"/>
        </w:rPr>
      </w:pPr>
      <w:r>
        <w:rPr>
          <w:rFonts w:ascii="Arial" w:cs="Arial" w:eastAsia="Arial" w:hAnsi="Arial"/>
          <w:sz w:val="20"/>
          <w:szCs w:val="20"/>
          <w:b w:val="1"/>
          <w:bCs w:val="1"/>
          <w:color w:val="444867"/>
        </w:rPr>
        <w:t>Class III—Directors Whose Terms Expire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40640</wp:posOffset>
            </wp:positionV>
            <wp:extent cx="72510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-1232535</wp:posOffset>
            </wp:positionV>
            <wp:extent cx="1120140" cy="11201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Audit</w:t>
      </w:r>
    </w:p>
    <w:p>
      <w:pPr>
        <w:spacing w:after="0" w:line="1" w:lineRule="exact"/>
        <w:rPr>
          <w:sz w:val="20"/>
          <w:szCs w:val="20"/>
          <w:color w:val="auto"/>
        </w:rPr>
      </w:pPr>
    </w:p>
    <w:p>
      <w:pPr>
        <w:jc w:val="center"/>
        <w:ind w:left="80"/>
        <w:spacing w:after="0"/>
        <w:rPr>
          <w:sz w:val="20"/>
          <w:szCs w:val="20"/>
          <w:color w:val="auto"/>
        </w:rPr>
      </w:pPr>
      <w:r>
        <w:rPr>
          <w:rFonts w:ascii="Arial" w:cs="Arial" w:eastAsia="Arial" w:hAnsi="Arial"/>
          <w:sz w:val="17"/>
          <w:szCs w:val="17"/>
          <w:color w:val="auto"/>
        </w:rPr>
        <w:t>Compensation</w:t>
      </w:r>
    </w:p>
    <w:p>
      <w:pPr>
        <w:spacing w:after="0" w:line="190"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Director since: 2013</w:t>
      </w:r>
    </w:p>
    <w:p>
      <w:pPr>
        <w:spacing w:after="0" w:line="21" w:lineRule="exact"/>
        <w:rPr>
          <w:sz w:val="20"/>
          <w:szCs w:val="20"/>
          <w:color w:val="auto"/>
        </w:rPr>
      </w:pPr>
    </w:p>
    <w:p>
      <w:pPr>
        <w:jc w:val="center"/>
        <w:ind w:left="80"/>
        <w:spacing w:after="0"/>
        <w:rPr>
          <w:sz w:val="20"/>
          <w:szCs w:val="20"/>
          <w:color w:val="auto"/>
        </w:rPr>
      </w:pPr>
      <w:r>
        <w:rPr>
          <w:rFonts w:ascii="Arial" w:cs="Arial" w:eastAsia="Arial" w:hAnsi="Arial"/>
          <w:sz w:val="17"/>
          <w:szCs w:val="17"/>
          <w:b w:val="1"/>
          <w:bCs w:val="1"/>
          <w:color w:val="444867"/>
        </w:rPr>
        <w:t>Age: 55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Roxanne S. Austin</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President, Austin Investment Advisors</w:t>
      </w:r>
    </w:p>
    <w:p>
      <w:pPr>
        <w:spacing w:after="0" w:line="19" w:lineRule="exact"/>
        <w:rPr>
          <w:sz w:val="20"/>
          <w:szCs w:val="20"/>
          <w:color w:val="auto"/>
        </w:rPr>
      </w:pPr>
    </w:p>
    <w:p>
      <w:pPr>
        <w:ind w:right="100"/>
        <w:spacing w:after="0" w:line="242" w:lineRule="auto"/>
        <w:rPr>
          <w:sz w:val="20"/>
          <w:szCs w:val="20"/>
          <w:color w:val="auto"/>
        </w:rPr>
      </w:pPr>
      <w:r>
        <w:rPr>
          <w:rFonts w:ascii="Arial" w:cs="Arial" w:eastAsia="Arial" w:hAnsi="Arial"/>
          <w:sz w:val="17"/>
          <w:szCs w:val="17"/>
          <w:color w:val="auto"/>
        </w:rPr>
        <w:t>Ms. Austin is president of Austin Investment Advisors, a private investment and consulting firm, a position she has held since 2004. From July 2009 through July 2010, Ms. Austin also served as the president and chief executive officer of Move Networks, Inc., a provider of Internet television services. Ms. Austin previously served as president and chief operating officer of DIRECTV, Inc. Ms. Austin also previously served as executive vice president and chief financial officer of Hughes Electronics Corporation and as a partner of Deloitte &amp; Touche LLP. Ms. Austin is also a director of Abbott Laboratories, Target Corporation, Teledyne Technologies, Inc. and Telefonaktiebolaget LM Ericsson.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Key Contributions to the Board: Through her extensive management and operating roles, including her financial roles,</w:t>
      </w:r>
    </w:p>
    <w:p>
      <w:pPr>
        <w:spacing w:after="0" w:line="1" w:lineRule="exact"/>
        <w:rPr>
          <w:sz w:val="20"/>
          <w:szCs w:val="20"/>
          <w:color w:val="auto"/>
        </w:rPr>
      </w:pPr>
    </w:p>
    <w:p>
      <w:pPr>
        <w:ind w:right="40"/>
        <w:spacing w:after="0" w:line="250" w:lineRule="auto"/>
        <w:rPr>
          <w:sz w:val="20"/>
          <w:szCs w:val="20"/>
          <w:color w:val="auto"/>
        </w:rPr>
      </w:pPr>
      <w:r>
        <w:rPr>
          <w:rFonts w:ascii="Arial" w:cs="Arial" w:eastAsia="Arial" w:hAnsi="Arial"/>
          <w:sz w:val="17"/>
          <w:szCs w:val="17"/>
          <w:color w:val="auto"/>
        </w:rPr>
        <w:t>Ms. Austin contributes significant oversight and leadership experience, including financial expertise and knowledge of financial statements, corporate finance and accounting matters.</w:t>
      </w:r>
    </w:p>
    <w:p>
      <w:pPr>
        <w:spacing w:after="0" w:line="200" w:lineRule="exact"/>
        <w:rPr>
          <w:sz w:val="20"/>
          <w:szCs w:val="20"/>
          <w:color w:val="auto"/>
        </w:rPr>
      </w:pPr>
    </w:p>
    <w:p>
      <w:pPr>
        <w:spacing w:after="0" w:line="393"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-1217930</wp:posOffset>
            </wp:positionH>
            <wp:positionV relativeFrom="paragraph">
              <wp:posOffset>130810</wp:posOffset>
            </wp:positionV>
            <wp:extent cx="7255510" cy="209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2">
            <w:col w:w="1700" w:space="220"/>
            <w:col w:w="9500"/>
          </w:cols>
          <w:pgMar w:left="240" w:top="143" w:right="239" w:bottom="1440" w:gutter="0" w:footer="0" w:header="0"/>
          <w:type w:val="continuous"/>
        </w:sectPr>
      </w:pPr>
    </w:p>
    <w:bookmarkStart w:id="14" w:name="page15"/>
    <w:bookmarkEnd w:id="1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841500" cy="14097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41500" cy="140970"/>
                    </a:xfrm>
                    <a:prstGeom prst="rect">
                      <a:avLst/>
                    </a:prstGeom>
                    <a:noFill/>
                  </pic:spPr>
                </pic:pic>
              </a:graphicData>
            </a:graphic>
          </wp:anchor>
        </w:drawing>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INFORMATION CONCERNING DIRECTOR NOMINEES</w:t>
      </w:r>
    </w:p>
    <w:p>
      <w:pPr>
        <w:spacing w:after="0" w:line="249" w:lineRule="exact"/>
        <w:rPr>
          <w:sz w:val="20"/>
          <w:szCs w:val="20"/>
          <w:color w:val="auto"/>
        </w:rPr>
      </w:pPr>
    </w:p>
    <w:p>
      <w:pPr>
        <w:ind w:left="1920"/>
        <w:spacing w:after="0"/>
        <w:rPr>
          <w:sz w:val="20"/>
          <w:szCs w:val="20"/>
          <w:color w:val="auto"/>
        </w:rPr>
      </w:pPr>
      <w:r>
        <w:rPr>
          <w:rFonts w:ascii="Arial" w:cs="Arial" w:eastAsia="Arial" w:hAnsi="Arial"/>
          <w:sz w:val="17"/>
          <w:szCs w:val="17"/>
          <w:b w:val="1"/>
          <w:bCs w:val="1"/>
          <w:color w:val="444867"/>
        </w:rPr>
        <w:t>Richard A. Gonzalez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1120140" cy="11201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r>
    </w:p>
    <w:p>
      <w:pPr>
        <w:spacing w:after="0" w:line="192" w:lineRule="exact"/>
        <w:rPr>
          <w:sz w:val="20"/>
          <w:szCs w:val="20"/>
          <w:color w:val="auto"/>
        </w:rPr>
      </w:pPr>
    </w:p>
    <w:p>
      <w:pPr>
        <w:ind w:left="1920"/>
        <w:spacing w:after="0"/>
        <w:rPr>
          <w:sz w:val="20"/>
          <w:szCs w:val="20"/>
          <w:color w:val="auto"/>
        </w:rPr>
      </w:pPr>
      <w:r>
        <w:rPr>
          <w:rFonts w:ascii="Arial" w:cs="Arial" w:eastAsia="Arial" w:hAnsi="Arial"/>
          <w:sz w:val="17"/>
          <w:szCs w:val="17"/>
          <w:i w:val="1"/>
          <w:iCs w:val="1"/>
          <w:color w:val="auto"/>
        </w:rPr>
        <w:t>Chairman of the Board and Chief Executive Officer, AbbVie Inc</w:t>
      </w:r>
      <w:r>
        <w:rPr>
          <w:rFonts w:ascii="Arial" w:cs="Arial" w:eastAsia="Arial" w:hAnsi="Arial"/>
          <w:sz w:val="17"/>
          <w:szCs w:val="17"/>
          <w:color w:val="auto"/>
        </w:rPr>
        <w:t>.</w:t>
      </w:r>
    </w:p>
    <w:p>
      <w:pPr>
        <w:spacing w:after="0" w:line="19" w:lineRule="exact"/>
        <w:rPr>
          <w:sz w:val="20"/>
          <w:szCs w:val="20"/>
          <w:color w:val="auto"/>
        </w:rPr>
      </w:pPr>
    </w:p>
    <w:p>
      <w:pPr>
        <w:ind w:left="1920"/>
        <w:spacing w:after="0" w:line="255" w:lineRule="auto"/>
        <w:rPr>
          <w:sz w:val="20"/>
          <w:szCs w:val="20"/>
          <w:color w:val="auto"/>
        </w:rPr>
      </w:pPr>
      <w:r>
        <w:rPr>
          <w:rFonts w:ascii="Arial" w:cs="Arial" w:eastAsia="Arial" w:hAnsi="Arial"/>
          <w:sz w:val="16"/>
          <w:szCs w:val="16"/>
          <w:color w:val="auto"/>
        </w:rPr>
        <w:t>Mr. Gonzalez is the chairman and chief executive officer of AbbVie. He served as Abbott's executive vice president of the pharmaceutical products group from July 2010 to December 2012, and was responsible for Abbott's worldwide pharmaceutical business, including commercial operations, research and development, and manufacturing. He also served as president, Abbott Ventures Inc., Abbott's medical technology investment arm, from 2009 to 2011. Mr. Gonzalez joined Abbott in 1977 and held various management positions before briefly retiring in 2007, including: Abbott's president and chief operating officer; president, chief operating officer of Abbott's Medical Products Group; senior vice president and president of Abbott's former</w:t>
      </w:r>
    </w:p>
    <w:p>
      <w:pPr>
        <w:spacing w:after="0" w:line="3" w:lineRule="exact"/>
        <w:rPr>
          <w:sz w:val="20"/>
          <w:szCs w:val="20"/>
          <w:color w:val="auto"/>
        </w:rPr>
      </w:pPr>
    </w:p>
    <w:p>
      <w:pPr>
        <w:ind w:left="80"/>
        <w:spacing w:after="0"/>
        <w:tabs>
          <w:tab w:leader="none" w:pos="1900" w:val="left"/>
        </w:tabs>
        <w:rPr>
          <w:sz w:val="20"/>
          <w:szCs w:val="20"/>
          <w:color w:val="auto"/>
        </w:rPr>
      </w:pPr>
      <w:r>
        <w:rPr>
          <w:rFonts w:ascii="Arial" w:cs="Arial" w:eastAsia="Arial" w:hAnsi="Arial"/>
          <w:sz w:val="17"/>
          <w:szCs w:val="17"/>
          <w:b w:val="1"/>
          <w:bCs w:val="1"/>
          <w:color w:val="444867"/>
        </w:rPr>
        <w:t>Director since: 2013</w:t>
      </w:r>
      <w:r>
        <w:rPr>
          <w:sz w:val="20"/>
          <w:szCs w:val="20"/>
          <w:color w:val="auto"/>
        </w:rPr>
        <w:tab/>
      </w:r>
      <w:r>
        <w:rPr>
          <w:rFonts w:ascii="Arial" w:cs="Arial" w:eastAsia="Arial" w:hAnsi="Arial"/>
          <w:sz w:val="16"/>
          <w:szCs w:val="16"/>
          <w:color w:val="auto"/>
        </w:rPr>
        <w:t>Hospital Products Division; vice president and president of Abbott's Health Systems Division; and divisional vice president and</w:t>
      </w:r>
    </w:p>
    <w:p>
      <w:pPr>
        <w:spacing w:after="0" w:line="1" w:lineRule="exact"/>
        <w:rPr>
          <w:sz w:val="20"/>
          <w:szCs w:val="20"/>
          <w:color w:val="auto"/>
        </w:rPr>
      </w:pPr>
    </w:p>
    <w:p>
      <w:pPr>
        <w:ind w:left="580"/>
        <w:spacing w:after="0"/>
        <w:tabs>
          <w:tab w:leader="none" w:pos="1900" w:val="left"/>
        </w:tabs>
        <w:rPr>
          <w:sz w:val="20"/>
          <w:szCs w:val="20"/>
          <w:color w:val="auto"/>
        </w:rPr>
      </w:pPr>
      <w:r>
        <w:rPr>
          <w:rFonts w:ascii="Arial" w:cs="Arial" w:eastAsia="Arial" w:hAnsi="Arial"/>
          <w:sz w:val="17"/>
          <w:szCs w:val="17"/>
          <w:b w:val="1"/>
          <w:bCs w:val="1"/>
          <w:color w:val="444867"/>
        </w:rPr>
        <w:t>Age: 62</w:t>
      </w:r>
      <w:r>
        <w:rPr>
          <w:sz w:val="20"/>
          <w:szCs w:val="20"/>
          <w:color w:val="auto"/>
        </w:rPr>
        <w:tab/>
      </w:r>
      <w:r>
        <w:rPr>
          <w:rFonts w:ascii="Arial" w:cs="Arial" w:eastAsia="Arial" w:hAnsi="Arial"/>
          <w:sz w:val="16"/>
          <w:szCs w:val="16"/>
          <w:color w:val="auto"/>
        </w:rPr>
        <w:t>general manager for Abbott's Diagnostics Operations in the United States and Canada.</w:t>
      </w:r>
    </w:p>
    <w:p>
      <w:pPr>
        <w:spacing w:after="0" w:line="210" w:lineRule="exact"/>
        <w:rPr>
          <w:sz w:val="20"/>
          <w:szCs w:val="20"/>
          <w:color w:val="auto"/>
        </w:rPr>
      </w:pPr>
    </w:p>
    <w:p>
      <w:pPr>
        <w:ind w:left="1920" w:right="140"/>
        <w:spacing w:after="0" w:line="243" w:lineRule="auto"/>
        <w:rPr>
          <w:sz w:val="20"/>
          <w:szCs w:val="20"/>
          <w:color w:val="auto"/>
        </w:rPr>
      </w:pPr>
      <w:r>
        <w:rPr>
          <w:rFonts w:ascii="Arial" w:cs="Arial" w:eastAsia="Arial" w:hAnsi="Arial"/>
          <w:sz w:val="17"/>
          <w:szCs w:val="17"/>
          <w:color w:val="auto"/>
        </w:rPr>
        <w:t>Key Contributions to the Board: As a result of his service as Abbott's executive vice president, Pharmaceutical Products Group, his previous service as Abbott's president and chief operating officer and his more than 30-year career at Abbott, Mr. Gonzalez has developed valuable business, management and leadership experience, as well as extensive knowledge of AbbVie and its global operations. Mr. Gonzalez's experience and knowledge enable him to contribute to AbbVie's board key insights into strategic, management, and operational matters.</w:t>
      </w:r>
    </w:p>
    <w:p>
      <w:pPr>
        <w:spacing w:after="0" w:line="200" w:lineRule="exact"/>
        <w:rPr>
          <w:sz w:val="20"/>
          <w:szCs w:val="20"/>
          <w:color w:val="auto"/>
        </w:rPr>
      </w:pPr>
    </w:p>
    <w:p>
      <w:pPr>
        <w:spacing w:after="0" w:line="201" w:lineRule="exact"/>
        <w:rPr>
          <w:sz w:val="20"/>
          <w:szCs w:val="20"/>
          <w:color w:val="auto"/>
        </w:rPr>
      </w:pPr>
    </w:p>
    <w:p>
      <w:pPr>
        <w:ind w:left="1920"/>
        <w:spacing w:after="0"/>
        <w:rPr>
          <w:sz w:val="20"/>
          <w:szCs w:val="20"/>
          <w:color w:val="auto"/>
        </w:rPr>
      </w:pPr>
      <w:r>
        <w:rPr>
          <w:rFonts w:ascii="Arial" w:cs="Arial" w:eastAsia="Arial" w:hAnsi="Arial"/>
          <w:sz w:val="17"/>
          <w:szCs w:val="17"/>
          <w:b w:val="1"/>
          <w:bCs w:val="1"/>
          <w:color w:val="444867"/>
        </w:rPr>
        <w:t>Glenn F.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-104140</wp:posOffset>
            </wp:positionV>
            <wp:extent cx="1120140" cy="11201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120140" cy="1120140"/>
                    </a:xfrm>
                    <a:prstGeom prst="rect">
                      <a:avLst/>
                    </a:prstGeom>
                    <a:noFill/>
                  </pic:spPr>
                </pic:pic>
              </a:graphicData>
            </a:graphic>
          </wp:anchor>
        </w:drawing>
      </w:r>
    </w:p>
    <w:p>
      <w:pPr>
        <w:spacing w:after="0" w:line="192" w:lineRule="exact"/>
        <w:rPr>
          <w:sz w:val="20"/>
          <w:szCs w:val="20"/>
          <w:color w:val="auto"/>
        </w:rPr>
      </w:pPr>
    </w:p>
    <w:p>
      <w:pPr>
        <w:ind w:left="1920"/>
        <w:spacing w:after="0"/>
        <w:rPr>
          <w:sz w:val="20"/>
          <w:szCs w:val="20"/>
          <w:color w:val="auto"/>
        </w:rPr>
      </w:pPr>
      <w:r>
        <w:rPr>
          <w:rFonts w:ascii="Arial" w:cs="Arial" w:eastAsia="Arial" w:hAnsi="Arial"/>
          <w:sz w:val="17"/>
          <w:szCs w:val="17"/>
          <w:i w:val="1"/>
          <w:iCs w:val="1"/>
          <w:color w:val="auto"/>
        </w:rPr>
        <w:t>Retired Chairman and Chief Executive Officer of the UAL Corporation</w:t>
      </w:r>
    </w:p>
    <w:p>
      <w:pPr>
        <w:spacing w:after="0" w:line="19" w:lineRule="exact"/>
        <w:rPr>
          <w:sz w:val="20"/>
          <w:szCs w:val="20"/>
          <w:color w:val="auto"/>
        </w:rPr>
      </w:pPr>
    </w:p>
    <w:p>
      <w:pPr>
        <w:ind w:left="1920" w:right="20"/>
        <w:spacing w:after="0" w:line="255" w:lineRule="auto"/>
        <w:rPr>
          <w:sz w:val="20"/>
          <w:szCs w:val="20"/>
          <w:color w:val="auto"/>
        </w:rPr>
      </w:pPr>
      <w:r>
        <w:rPr>
          <w:rFonts w:ascii="Arial" w:cs="Arial" w:eastAsia="Arial" w:hAnsi="Arial"/>
          <w:sz w:val="16"/>
          <w:szCs w:val="16"/>
          <w:color w:val="auto"/>
        </w:rPr>
        <w:t>Mr. Tilton was chairman of the Midwest for JPMorgan Chase &amp; Co. from 2011 until his retirement in 2014. From October 2010 to December 2012, Mr. Tilton also served as the non-executive chairman of the board of United Continental Holdings, Inc. From September 2002 to October 2010, he served as chairman, president and chief executive officer of UAL Corporation, and chairman and chief executive officer of United Air Lines, Inc., its wholly owned subsidiary. Prior to becoming the vice chairman of Chevron Texaco following the merger of Texaco Inc. and Chevron Corp., Mr. Tilton enjoyed a 30-year multi-disciplinary career with Texaco Inc., culminating in his election as chairman and chief executive officer. Mr. Tilton is also a director of</w:t>
      </w:r>
    </w:p>
    <w:p>
      <w:pPr>
        <w:spacing w:after="0" w:line="3" w:lineRule="exact"/>
        <w:rPr>
          <w:sz w:val="20"/>
          <w:szCs w:val="20"/>
          <w:color w:val="auto"/>
        </w:rPr>
      </w:pPr>
    </w:p>
    <w:p>
      <w:pPr>
        <w:ind w:left="380"/>
        <w:spacing w:after="0"/>
        <w:tabs>
          <w:tab w:leader="none" w:pos="1900" w:val="left"/>
        </w:tabs>
        <w:rPr>
          <w:sz w:val="20"/>
          <w:szCs w:val="20"/>
          <w:color w:val="auto"/>
        </w:rPr>
      </w:pPr>
      <w:r>
        <w:rPr>
          <w:rFonts w:ascii="Arial" w:cs="Arial" w:eastAsia="Arial" w:hAnsi="Arial"/>
          <w:sz w:val="17"/>
          <w:szCs w:val="17"/>
          <w:b w:val="1"/>
          <w:bCs w:val="1"/>
          <w:color w:val="444867"/>
        </w:rPr>
        <w:t>Committees:</w:t>
      </w:r>
      <w:r>
        <w:rPr>
          <w:sz w:val="20"/>
          <w:szCs w:val="20"/>
          <w:color w:val="auto"/>
        </w:rPr>
        <w:tab/>
      </w:r>
      <w:r>
        <w:rPr>
          <w:rFonts w:ascii="Arial" w:cs="Arial" w:eastAsia="Arial" w:hAnsi="Arial"/>
          <w:sz w:val="17"/>
          <w:szCs w:val="17"/>
          <w:color w:val="auto"/>
        </w:rPr>
        <w:t>Abbott Laboratories and Phillips 66. Mr. Tilton also served on the board of directors of Lincoln National Corporation from 2002</w:t>
      </w:r>
    </w:p>
    <w:p>
      <w:pPr>
        <w:spacing w:after="0" w:line="1" w:lineRule="exact"/>
        <w:rPr>
          <w:sz w:val="20"/>
          <w:szCs w:val="20"/>
          <w:color w:val="auto"/>
        </w:rPr>
      </w:pPr>
    </w:p>
    <w:p>
      <w:pPr>
        <w:ind w:left="340"/>
        <w:spacing w:after="0"/>
        <w:tabs>
          <w:tab w:leader="none" w:pos="1900" w:val="left"/>
        </w:tabs>
        <w:rPr>
          <w:sz w:val="20"/>
          <w:szCs w:val="20"/>
          <w:color w:val="auto"/>
        </w:rPr>
      </w:pPr>
      <w:r>
        <w:rPr>
          <w:rFonts w:ascii="Arial" w:cs="Arial" w:eastAsia="Arial" w:hAnsi="Arial"/>
          <w:sz w:val="17"/>
          <w:szCs w:val="17"/>
          <w:color w:val="auto"/>
        </w:rPr>
        <w:t>Compensation</w:t>
      </w:r>
      <w:r>
        <w:rPr>
          <w:sz w:val="20"/>
          <w:szCs w:val="20"/>
          <w:color w:val="auto"/>
        </w:rPr>
        <w:tab/>
      </w:r>
      <w:r>
        <w:rPr>
          <w:rFonts w:ascii="Arial" w:cs="Arial" w:eastAsia="Arial" w:hAnsi="Arial"/>
          <w:sz w:val="17"/>
          <w:szCs w:val="17"/>
          <w:color w:val="auto"/>
        </w:rPr>
        <w:t>to 2007, of TXU Corporation from 2005 to 2007, of Corning Incorporated from 2010 to 2012, and of United Continental</w:t>
      </w:r>
    </w:p>
    <w:p>
      <w:pPr>
        <w:spacing w:after="0" w:line="1" w:lineRule="exact"/>
        <w:rPr>
          <w:sz w:val="20"/>
          <w:szCs w:val="20"/>
          <w:color w:val="auto"/>
        </w:rPr>
      </w:pPr>
    </w:p>
    <w:p>
      <w:pPr>
        <w:ind w:left="340"/>
        <w:spacing w:after="0"/>
        <w:tabs>
          <w:tab w:leader="none" w:pos="1900" w:val="left"/>
        </w:tabs>
        <w:rPr>
          <w:sz w:val="20"/>
          <w:szCs w:val="20"/>
          <w:color w:val="auto"/>
        </w:rPr>
      </w:pPr>
      <w:r>
        <w:rPr>
          <w:rFonts w:ascii="Arial" w:cs="Arial" w:eastAsia="Arial" w:hAnsi="Arial"/>
          <w:sz w:val="17"/>
          <w:szCs w:val="17"/>
          <w:color w:val="auto"/>
        </w:rPr>
        <w:t>Nominations &amp;</w:t>
      </w:r>
      <w:r>
        <w:rPr>
          <w:sz w:val="20"/>
          <w:szCs w:val="20"/>
          <w:color w:val="auto"/>
        </w:rPr>
        <w:tab/>
      </w:r>
      <w:r>
        <w:rPr>
          <w:rFonts w:ascii="Arial" w:cs="Arial" w:eastAsia="Arial" w:hAnsi="Arial"/>
          <w:sz w:val="16"/>
          <w:szCs w:val="16"/>
          <w:color w:val="auto"/>
        </w:rPr>
        <w:t>Holdings, Inc. from 2010 to 2012.</w:t>
      </w:r>
    </w:p>
    <w:p>
      <w:pPr>
        <w:spacing w:after="0" w:line="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Governance</w:t>
      </w:r>
    </w:p>
    <w:p>
      <w:pPr>
        <w:spacing w:after="0" w:line="14" w:lineRule="exact"/>
        <w:rPr>
          <w:sz w:val="20"/>
          <w:szCs w:val="20"/>
          <w:color w:val="auto"/>
        </w:rPr>
      </w:pPr>
    </w:p>
    <w:p>
      <w:pPr>
        <w:ind w:left="1920"/>
        <w:spacing w:after="0"/>
        <w:rPr>
          <w:sz w:val="20"/>
          <w:szCs w:val="20"/>
          <w:color w:val="auto"/>
        </w:rPr>
      </w:pPr>
      <w:r>
        <w:rPr>
          <w:rFonts w:ascii="Arial" w:cs="Arial" w:eastAsia="Arial" w:hAnsi="Arial"/>
          <w:sz w:val="17"/>
          <w:szCs w:val="17"/>
          <w:color w:val="auto"/>
        </w:rPr>
        <w:t>Key Contributions to the Board: As chairman of the Midwest for JPMorgan Chase &amp; Co. and having previously served as non-</w:t>
      </w:r>
    </w:p>
    <w:p>
      <w:pPr>
        <w:spacing w:after="0" w:line="1" w:lineRule="exact"/>
        <w:rPr>
          <w:sz w:val="20"/>
          <w:szCs w:val="20"/>
          <w:color w:val="auto"/>
        </w:rPr>
      </w:pPr>
    </w:p>
    <w:p>
      <w:pPr>
        <w:ind w:left="80"/>
        <w:spacing w:after="0"/>
        <w:tabs>
          <w:tab w:leader="none" w:pos="1900" w:val="left"/>
        </w:tabs>
        <w:rPr>
          <w:sz w:val="20"/>
          <w:szCs w:val="20"/>
          <w:color w:val="auto"/>
        </w:rPr>
      </w:pPr>
      <w:r>
        <w:rPr>
          <w:rFonts w:ascii="Arial" w:cs="Arial" w:eastAsia="Arial" w:hAnsi="Arial"/>
          <w:sz w:val="17"/>
          <w:szCs w:val="17"/>
          <w:b w:val="1"/>
          <w:bCs w:val="1"/>
          <w:color w:val="444867"/>
        </w:rPr>
        <w:t>Director since: 2013</w:t>
      </w:r>
      <w:r>
        <w:rPr>
          <w:sz w:val="20"/>
          <w:szCs w:val="20"/>
          <w:color w:val="auto"/>
        </w:rPr>
        <w:tab/>
      </w:r>
      <w:r>
        <w:rPr>
          <w:rFonts w:ascii="Arial" w:cs="Arial" w:eastAsia="Arial" w:hAnsi="Arial"/>
          <w:sz w:val="17"/>
          <w:szCs w:val="17"/>
          <w:color w:val="auto"/>
        </w:rPr>
        <w:t>executive chairman of the board of United Continental Holdings, Inc., and chairman, president, and chief executive officer of</w:t>
      </w:r>
    </w:p>
    <w:p>
      <w:pPr>
        <w:spacing w:after="0" w:line="1" w:lineRule="exact"/>
        <w:rPr>
          <w:sz w:val="20"/>
          <w:szCs w:val="20"/>
          <w:color w:val="auto"/>
        </w:rPr>
      </w:pPr>
    </w:p>
    <w:p>
      <w:pPr>
        <w:ind w:left="1920" w:right="220" w:hanging="1345"/>
        <w:spacing w:after="0" w:line="245" w:lineRule="auto"/>
        <w:tabs>
          <w:tab w:leader="none" w:pos="1900" w:val="left"/>
        </w:tabs>
        <w:rPr>
          <w:sz w:val="20"/>
          <w:szCs w:val="20"/>
          <w:color w:val="auto"/>
        </w:rPr>
      </w:pPr>
      <w:r>
        <w:rPr>
          <w:rFonts w:ascii="Arial" w:cs="Arial" w:eastAsia="Arial" w:hAnsi="Arial"/>
          <w:sz w:val="17"/>
          <w:szCs w:val="17"/>
          <w:b w:val="1"/>
          <w:bCs w:val="1"/>
          <w:color w:val="444867"/>
        </w:rPr>
        <w:t>Age: 67</w:t>
      </w:r>
      <w:r>
        <w:rPr>
          <w:sz w:val="20"/>
          <w:szCs w:val="20"/>
          <w:color w:val="auto"/>
        </w:rPr>
        <w:tab/>
      </w:r>
      <w:r>
        <w:rPr>
          <w:rFonts w:ascii="Arial" w:cs="Arial" w:eastAsia="Arial" w:hAnsi="Arial"/>
          <w:sz w:val="17"/>
          <w:szCs w:val="17"/>
          <w:color w:val="auto"/>
        </w:rPr>
        <w:t>UAL Corporation and United Air Lines, vice chairman of Chevron Texaco and as interim chairman of Dynegy, Inc., Mr. Tilton acquired strong management experience overseeing complex multinational businesses operating in highly regulated industries, as well as expertise in finance and capital markets matters.</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12  </w:t>
      </w:r>
      <w:r>
        <w:rPr>
          <w:sz w:val="1"/>
          <w:szCs w:val="1"/>
          <w:color w:val="auto"/>
        </w:rPr>
        <w:drawing>
          <wp:inline distT="0" distB="0" distL="0" distR="0">
            <wp:extent cx="622300" cy="107950"/>
            <wp:effectExtent l="0" t="0" r="0" b="0"/>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15" w:name="page16"/>
    <w:bookmarkEnd w:id="1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60" w:firstLine="657"/>
        <w:spacing w:after="0" w:line="243" w:lineRule="auto"/>
        <w:rPr>
          <w:sz w:val="20"/>
          <w:szCs w:val="20"/>
          <w:color w:val="auto"/>
        </w:rPr>
      </w:pPr>
      <w:r>
        <w:rPr>
          <w:rFonts w:ascii="Arial" w:cs="Arial" w:eastAsia="Arial" w:hAnsi="Arial"/>
          <w:sz w:val="17"/>
          <w:szCs w:val="17"/>
          <w:color w:val="auto"/>
        </w:rPr>
        <w:t>The board of directors held ten meetings in 2015. The average attendance of all incumbent directors at board and committee meetings in 2015 was ninety-five percent and each director attended at least seventy-five percent of the total number of board meetings and meetings of the committees on which he or she served. AbbVie encourages its board members to attend the annual stockholder meeting. All of AbbVie's directors attended the 2015 annual stockholder meeting.</w:t>
      </w:r>
    </w:p>
    <w:p>
      <w:pPr>
        <w:spacing w:after="0" w:line="201" w:lineRule="exact"/>
        <w:rPr>
          <w:sz w:val="20"/>
          <w:szCs w:val="20"/>
          <w:color w:val="auto"/>
        </w:rPr>
      </w:pPr>
    </w:p>
    <w:p>
      <w:pPr>
        <w:ind w:right="80" w:firstLine="657"/>
        <w:spacing w:after="0" w:line="241" w:lineRule="auto"/>
        <w:rPr>
          <w:sz w:val="20"/>
          <w:szCs w:val="20"/>
          <w:color w:val="auto"/>
        </w:rPr>
      </w:pPr>
      <w:r>
        <w:rPr>
          <w:rFonts w:ascii="Arial" w:cs="Arial" w:eastAsia="Arial" w:hAnsi="Arial"/>
          <w:sz w:val="17"/>
          <w:szCs w:val="17"/>
          <w:color w:val="auto"/>
        </w:rPr>
        <w:t>The board has determined that each of the following individuals is independent in accordance with the New York Stock Exchange (NYSE) listing standards: Dr. Alpern, Ms. Austin, Mr. Burnside, Mr. Hart, Mr. Liddy, Mr. Rapp, Mr. Tilton, and Mr. Waddell. In addition, the board also determined that Mr. Roberts, who served on the board during the year, was independent under those standards. To determine independence, the board applied the AbbVie Inc. director independence guidelines. The board also considered whether a director has any other material relationships with AbbVie or its subsidiaries and concluded that none of these directors had a relationship that impaired the director's independence. This included consideration of the fact that some of the directors are officers or serve on boards of companies or entities to which AbbVie sold products or made contributions or from which AbbVie purchased products and services during the year. This also included consideration of the fact that some of the directors serve on the board of Abbott Laboratories (Abbott), AbbVie's former parent. In making its determination, the board relied on both information provided by the directors and information developed internally by AbbVie.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board has risk oversight responsibility for AbbVie and administers this responsibility both directly and with assistance from its committees.</w:t>
      </w:r>
    </w:p>
    <w:p>
      <w:pPr>
        <w:spacing w:after="0" w:line="210" w:lineRule="exact"/>
        <w:rPr>
          <w:sz w:val="20"/>
          <w:szCs w:val="20"/>
          <w:color w:val="auto"/>
        </w:rPr>
      </w:pPr>
    </w:p>
    <w:p>
      <w:pPr>
        <w:ind w:right="100" w:firstLine="657"/>
        <w:spacing w:after="0" w:line="243" w:lineRule="auto"/>
        <w:rPr>
          <w:sz w:val="20"/>
          <w:szCs w:val="20"/>
          <w:color w:val="auto"/>
        </w:rPr>
      </w:pPr>
      <w:r>
        <w:rPr>
          <w:rFonts w:ascii="Arial" w:cs="Arial" w:eastAsia="Arial" w:hAnsi="Arial"/>
          <w:sz w:val="17"/>
          <w:szCs w:val="17"/>
          <w:color w:val="auto"/>
        </w:rPr>
        <w:t>The board has determined that the current leadership structure, in which the offices of chairman of the board and chief executive officer are held by one individual and the chair of the nominations and governance committee is appointed to be the lead director, ensures the appropriate level of oversight, independence, and responsibility is applied to all board decisions, including risk oversight, and is in the best interests of AbbVie and its stockholders. The lead independent director is chosen by and from the independent members of the board of directors.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lead independent director responsibilities include: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130810</wp:posOffset>
            </wp:positionV>
            <wp:extent cx="6885940" cy="398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85940" cy="39814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980" w:right="680" w:hanging="517"/>
        <w:spacing w:after="0" w:line="250"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facilitates communication with the board and presides over regularly conducted executive sessions of the independent directors or sessions where the chairman of the board is not present;</w:t>
      </w:r>
    </w:p>
    <w:p>
      <w:pPr>
        <w:spacing w:after="0" w:line="219" w:lineRule="exact"/>
        <w:rPr>
          <w:rFonts w:ascii="Arial" w:cs="Arial" w:eastAsia="Arial" w:hAnsi="Arial"/>
          <w:sz w:val="17"/>
          <w:szCs w:val="17"/>
          <w:color w:val="auto"/>
        </w:rPr>
      </w:pPr>
    </w:p>
    <w:p>
      <w:pPr>
        <w:ind w:left="980" w:right="260" w:hanging="517"/>
        <w:spacing w:after="0" w:line="250" w:lineRule="auto"/>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reviews and approves matters, such as agenda items, schedule sufficiency, and, where appropriate, information provided to other board members;</w:t>
      </w:r>
    </w:p>
    <w:p>
      <w:pPr>
        <w:spacing w:after="0" w:line="219" w:lineRule="exact"/>
        <w:rPr>
          <w:rFonts w:ascii="Arial" w:cs="Arial" w:eastAsia="Arial" w:hAnsi="Arial"/>
          <w:sz w:val="17"/>
          <w:szCs w:val="17"/>
          <w:color w:val="auto"/>
        </w:rPr>
      </w:pPr>
    </w:p>
    <w:p>
      <w:pPr>
        <w:ind w:left="980" w:hanging="517"/>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serves as the liaison between the chairman of the board and the independent directors;</w:t>
      </w:r>
    </w:p>
    <w:p>
      <w:pPr>
        <w:spacing w:after="0" w:line="235" w:lineRule="exact"/>
        <w:rPr>
          <w:rFonts w:ascii="Arial" w:cs="Arial" w:eastAsia="Arial" w:hAnsi="Arial"/>
          <w:sz w:val="17"/>
          <w:szCs w:val="17"/>
          <w:color w:val="auto"/>
        </w:rPr>
      </w:pPr>
    </w:p>
    <w:p>
      <w:pPr>
        <w:ind w:left="980" w:hanging="517"/>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has the authority to call meetings of the independent directors;</w:t>
      </w:r>
    </w:p>
    <w:p>
      <w:pPr>
        <w:spacing w:after="0" w:line="235" w:lineRule="exact"/>
        <w:rPr>
          <w:rFonts w:ascii="Arial" w:cs="Arial" w:eastAsia="Arial" w:hAnsi="Arial"/>
          <w:sz w:val="17"/>
          <w:szCs w:val="17"/>
          <w:color w:val="auto"/>
        </w:rPr>
      </w:pPr>
    </w:p>
    <w:p>
      <w:pPr>
        <w:ind w:left="980" w:hanging="517"/>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requested by major stockholders, ensures that he or she is available for consultation and direct communication as needed; and</w:t>
      </w:r>
    </w:p>
    <w:p>
      <w:pPr>
        <w:spacing w:after="0" w:line="235" w:lineRule="exact"/>
        <w:rPr>
          <w:rFonts w:ascii="Arial" w:cs="Arial" w:eastAsia="Arial" w:hAnsi="Arial"/>
          <w:sz w:val="17"/>
          <w:szCs w:val="17"/>
          <w:color w:val="auto"/>
        </w:rPr>
      </w:pPr>
    </w:p>
    <w:p>
      <w:pPr>
        <w:ind w:left="980" w:hanging="517"/>
        <w:spacing w:after="0"/>
        <w:tabs>
          <w:tab w:leader="none" w:pos="9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performs such other duties as the board may determine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293370</wp:posOffset>
            </wp:positionH>
            <wp:positionV relativeFrom="paragraph">
              <wp:posOffset>-1096010</wp:posOffset>
            </wp:positionV>
            <wp:extent cx="6885940" cy="2736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85940" cy="273685"/>
                    </a:xfrm>
                    <a:prstGeom prst="rect">
                      <a:avLst/>
                    </a:prstGeom>
                    <a:noFill/>
                  </pic:spPr>
                </pic:pic>
              </a:graphicData>
            </a:graphic>
          </wp:anchor>
        </w:drawing>
        <w:drawing>
          <wp:anchor simplePos="0" relativeHeight="251657728" behindDoc="1" locked="0" layoutInCell="0" allowOverlap="1">
            <wp:simplePos x="0" y="0"/>
            <wp:positionH relativeFrom="column">
              <wp:posOffset>293370</wp:posOffset>
            </wp:positionH>
            <wp:positionV relativeFrom="paragraph">
              <wp:posOffset>-548640</wp:posOffset>
            </wp:positionV>
            <wp:extent cx="6885940" cy="2736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85940" cy="273685"/>
                    </a:xfrm>
                    <a:prstGeom prst="rect">
                      <a:avLst/>
                    </a:prstGeom>
                    <a:noFill/>
                  </pic:spPr>
                </pic:pic>
              </a:graphicData>
            </a:graphic>
          </wp:anchor>
        </w:drawing>
      </w:r>
    </w:p>
    <w:p>
      <w:pPr>
        <w:spacing w:after="0" w:line="197"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6" w:name="page17"/>
    <w:bookmarkEnd w:id="16"/>
    <w:p>
      <w:pPr>
        <w:spacing w:after="0" w:line="197" w:lineRule="auto"/>
        <w:framePr w:w="2680" w:h="95" w:wrap="auto" w:vAnchor="page" w:hAnchor="page" w:x="420" w:y="594"/>
        <w:rPr>
          <w:rFonts w:ascii="Arial" w:cs="Arial" w:eastAsia="Arial" w:hAnsi="Arial"/>
          <w:sz w:val="10"/>
          <w:szCs w:val="10"/>
          <w:b w:val="1"/>
          <w:bCs w:val="1"/>
          <w:color w:val="FFFFFE"/>
        </w:rPr>
      </w:pPr>
      <w:r>
        <w:rPr>
          <w:rFonts w:ascii="Arial" w:cs="Arial" w:eastAsia="Arial" w:hAnsi="Arial"/>
          <w:sz w:val="10"/>
          <w:szCs w:val="10"/>
          <w:b w:val="1"/>
          <w:bCs w:val="1"/>
          <w:color w:val="FFFFFE"/>
        </w:rPr>
        <w:t>THE BOARD OF DIRECTORS AND ITS COMMITTEES</w:t>
      </w: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824990" cy="14097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824990" cy="140970"/>
                    </a:xfrm>
                    <a:prstGeom prst="rect">
                      <a:avLst/>
                    </a:prstGeom>
                    <a:noFill/>
                  </pic:spPr>
                </pic:pic>
              </a:graphicData>
            </a:graphic>
          </wp:anchor>
        </w:drawing>
      </w:r>
    </w:p>
    <w:p>
      <w:pPr>
        <w:spacing w:after="0" w:line="190" w:lineRule="exact"/>
        <w:rPr>
          <w:rFonts w:ascii="Arial" w:cs="Arial" w:eastAsia="Arial" w:hAnsi="Arial"/>
          <w:sz w:val="10"/>
          <w:szCs w:val="10"/>
          <w:b w:val="1"/>
          <w:bCs w:val="1"/>
          <w:color w:val="FFFFFE"/>
        </w:rPr>
      </w:pPr>
    </w:p>
    <w:p>
      <w:pPr>
        <w:ind w:left="2880" w:firstLine="651"/>
        <w:spacing w:after="0" w:line="255" w:lineRule="auto"/>
        <w:rPr>
          <w:sz w:val="20"/>
          <w:szCs w:val="20"/>
          <w:color w:val="auto"/>
        </w:rPr>
      </w:pPr>
      <w:r>
        <w:rPr>
          <w:rFonts w:ascii="Arial" w:cs="Arial" w:eastAsia="Arial" w:hAnsi="Arial"/>
          <w:sz w:val="16"/>
          <w:szCs w:val="16"/>
          <w:color w:val="auto"/>
        </w:rPr>
        <w:t>All directors are encouraged to, and in fact do, consult with the chairman on each of the above topics, as well. The lead director, and each of the other directors, communicates regularly with the chairman of the board</w:t>
      </w:r>
    </w:p>
    <w:p>
      <w:pPr>
        <w:spacing w:after="0" w:line="1"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color w:val="auto"/>
        </w:rPr>
        <w:t>and chief executive officer regarding appropriate agenda topics and other board related matters.</w:t>
      </w:r>
    </w:p>
    <w:p>
      <w:pPr>
        <w:spacing w:after="0" w:line="210" w:lineRule="exact"/>
        <w:rPr>
          <w:rFonts w:ascii="Arial" w:cs="Arial" w:eastAsia="Arial" w:hAnsi="Arial"/>
          <w:sz w:val="10"/>
          <w:szCs w:val="10"/>
          <w:b w:val="1"/>
          <w:bCs w:val="1"/>
          <w:color w:val="FFFFFE"/>
        </w:rPr>
      </w:pPr>
    </w:p>
    <w:p>
      <w:pPr>
        <w:ind w:right="40" w:firstLine="651"/>
        <w:spacing w:after="0" w:line="242" w:lineRule="auto"/>
        <w:rPr>
          <w:sz w:val="20"/>
          <w:szCs w:val="20"/>
          <w:color w:val="auto"/>
        </w:rPr>
      </w:pPr>
      <w:r>
        <w:rPr>
          <w:rFonts w:ascii="Arial" w:cs="Arial" w:eastAsia="Arial" w:hAnsi="Arial"/>
          <w:sz w:val="17"/>
          <w:szCs w:val="17"/>
          <w:color w:val="auto"/>
        </w:rPr>
        <w:t>AbbVie directors have backgrounds that when combined provide a portfolio of experience and knowledge that serve AbbVie's governance and strategic needs. Director nominees are considered based on a range of criteria including broad-based business knowledge and relationships, prominence and excellent reputations in their primary fields of endeavor, as well as a global business perspective and commitment to good corporate citizenship, and ability to commit sufficient time and attention to the activities of the board. They must have demonstrated experience and ability that is relevant to the board's oversight role with respect to AbbVie's business and affairs. They must also be able and willing to represent the stockholders' economic interests and satisfy their fiduciary duties to stockholders without conflicts of interest. For more details on director qualifications, please see Exhibit A to AbbVie's Governance Guidelines.</w:t>
      </w:r>
    </w:p>
    <w:p>
      <w:pPr>
        <w:spacing w:after="0" w:line="201" w:lineRule="exact"/>
        <w:rPr>
          <w:rFonts w:ascii="Arial" w:cs="Arial" w:eastAsia="Arial" w:hAnsi="Arial"/>
          <w:sz w:val="10"/>
          <w:szCs w:val="10"/>
          <w:b w:val="1"/>
          <w:bCs w:val="1"/>
          <w:color w:val="FFFFFE"/>
        </w:rPr>
      </w:pPr>
    </w:p>
    <w:p>
      <w:pPr>
        <w:ind w:right="140" w:firstLine="661"/>
        <w:spacing w:after="0" w:line="250" w:lineRule="auto"/>
        <w:rPr>
          <w:sz w:val="20"/>
          <w:szCs w:val="20"/>
          <w:color w:val="auto"/>
        </w:rPr>
      </w:pPr>
      <w:r>
        <w:rPr>
          <w:rFonts w:ascii="Arial" w:cs="Arial" w:eastAsia="Arial" w:hAnsi="Arial"/>
          <w:sz w:val="17"/>
          <w:szCs w:val="17"/>
          <w:color w:val="auto"/>
        </w:rPr>
        <w:t>In the process of identifying nominees to serve as a member of the board of directors, the nominations and governance committee considers the board's diversity of ethnicity, gender, and geography and assesses the effectiveness of the process in achieving that diversity.</w:t>
      </w:r>
    </w:p>
    <w:p>
      <w:pPr>
        <w:spacing w:after="0" w:line="194" w:lineRule="exact"/>
        <w:rPr>
          <w:rFonts w:ascii="Arial" w:cs="Arial" w:eastAsia="Arial" w:hAnsi="Arial"/>
          <w:sz w:val="10"/>
          <w:szCs w:val="10"/>
          <w:b w:val="1"/>
          <w:bCs w:val="1"/>
          <w:color w:val="FFFFFE"/>
        </w:rPr>
      </w:pPr>
    </w:p>
    <w:p>
      <w:pPr>
        <w:ind w:right="80" w:firstLine="661"/>
        <w:spacing w:after="0" w:line="250" w:lineRule="auto"/>
        <w:rPr>
          <w:sz w:val="20"/>
          <w:szCs w:val="20"/>
          <w:color w:val="auto"/>
        </w:rPr>
      </w:pPr>
      <w:r>
        <w:rPr>
          <w:rFonts w:ascii="Arial" w:cs="Arial" w:eastAsia="Arial" w:hAnsi="Arial"/>
          <w:sz w:val="17"/>
          <w:szCs w:val="17"/>
          <w:color w:val="auto"/>
        </w:rPr>
        <w:t>Each director's biography includes the particular experience and qualifications that led the board to conclude that the director should serve on the board. The directors' biographies are in the section of this proxy statement captioned "Information Concerning Director Nominees."</w:t>
      </w:r>
    </w:p>
    <w:p>
      <w:pPr>
        <w:spacing w:after="0" w:line="194" w:lineRule="exact"/>
        <w:rPr>
          <w:rFonts w:ascii="Arial" w:cs="Arial" w:eastAsia="Arial" w:hAnsi="Arial"/>
          <w:sz w:val="10"/>
          <w:szCs w:val="10"/>
          <w:b w:val="1"/>
          <w:bCs w:val="1"/>
          <w:color w:val="FFFFFE"/>
        </w:rPr>
      </w:pPr>
    </w:p>
    <w:p>
      <w:pPr>
        <w:jc w:val="both"/>
        <w:ind w:right="40" w:firstLine="657"/>
        <w:spacing w:after="0" w:line="245" w:lineRule="auto"/>
        <w:rPr>
          <w:sz w:val="20"/>
          <w:szCs w:val="20"/>
          <w:color w:val="auto"/>
        </w:rPr>
      </w:pPr>
      <w:r>
        <w:rPr>
          <w:rFonts w:ascii="Arial" w:cs="Arial" w:eastAsia="Arial" w:hAnsi="Arial"/>
          <w:sz w:val="17"/>
          <w:szCs w:val="17"/>
          <w:color w:val="auto"/>
        </w:rPr>
        <w:t>The following table highlights our directors' skills and experience. The skills identified below are considered by the Nominations &amp; Governance Committee to be the most relevant to the Board's oversight role with respect to AbbVie's business and affairs and to drive our culture of innovation and responsibility. The specific importance of each skill also is noted.</w:t>
      </w:r>
    </w:p>
    <w:p>
      <w:pPr>
        <w:spacing w:after="0" w:line="198" w:lineRule="exact"/>
        <w:rPr>
          <w:rFonts w:ascii="Arial" w:cs="Arial" w:eastAsia="Arial" w:hAnsi="Arial"/>
          <w:sz w:val="10"/>
          <w:szCs w:val="10"/>
          <w:b w:val="1"/>
          <w:bCs w:val="1"/>
          <w:color w:val="FFFFFE"/>
        </w:rPr>
      </w:pPr>
    </w:p>
    <w:p>
      <w:pPr>
        <w:ind w:left="660"/>
        <w:spacing w:after="0"/>
        <w:rPr>
          <w:sz w:val="20"/>
          <w:szCs w:val="20"/>
          <w:color w:val="auto"/>
        </w:rPr>
      </w:pPr>
      <w:r>
        <w:rPr>
          <w:rFonts w:ascii="Arial" w:cs="Arial" w:eastAsia="Arial" w:hAnsi="Arial"/>
          <w:sz w:val="17"/>
          <w:szCs w:val="17"/>
          <w:color w:val="auto"/>
        </w:rPr>
        <w:t>Such skills include, among others:</w:t>
      </w:r>
    </w:p>
    <w:p>
      <w:pPr>
        <w:spacing w:after="0" w:line="190" w:lineRule="exact"/>
        <w:rPr>
          <w:rFonts w:ascii="Arial" w:cs="Arial" w:eastAsia="Arial" w:hAnsi="Arial"/>
          <w:sz w:val="10"/>
          <w:szCs w:val="10"/>
          <w:b w:val="1"/>
          <w:bCs w:val="1"/>
          <w:color w:val="FFFFFE"/>
        </w:rPr>
      </w:pPr>
    </w:p>
    <w:p>
      <w:pPr>
        <w:ind w:left="1040" w:hanging="513"/>
        <w:spacing w:after="0"/>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Healthcare Industry—</w:t>
      </w:r>
      <w:r>
        <w:rPr>
          <w:rFonts w:ascii="Arial" w:cs="Arial" w:eastAsia="Arial" w:hAnsi="Arial"/>
          <w:sz w:val="17"/>
          <w:szCs w:val="17"/>
          <w:color w:val="auto"/>
        </w:rPr>
        <w:t>Relevant to an industry understanding and review of our business and strategy for continued innovation.</w:t>
      </w:r>
    </w:p>
    <w:p>
      <w:pPr>
        <w:spacing w:after="0" w:line="209" w:lineRule="exact"/>
        <w:rPr>
          <w:rFonts w:ascii="Arial" w:cs="Arial" w:eastAsia="Arial" w:hAnsi="Arial"/>
          <w:sz w:val="17"/>
          <w:szCs w:val="17"/>
          <w:color w:val="auto"/>
        </w:rPr>
      </w:pPr>
    </w:p>
    <w:p>
      <w:pPr>
        <w:ind w:left="1040" w:right="280" w:hanging="513"/>
        <w:spacing w:after="0" w:line="275"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Leadership—</w:t>
      </w:r>
      <w:r>
        <w:rPr>
          <w:rFonts w:ascii="Arial" w:cs="Arial" w:eastAsia="Arial" w:hAnsi="Arial"/>
          <w:sz w:val="17"/>
          <w:szCs w:val="17"/>
          <w:color w:val="auto"/>
        </w:rPr>
        <w:t>For a board that can successfully advise and oversee the company's business performance and represent stockholders</w:t>
      </w:r>
      <w:r>
        <w:rPr>
          <w:rFonts w:ascii="Arial" w:cs="Arial" w:eastAsia="Arial" w:hAnsi="Arial"/>
          <w:sz w:val="17"/>
          <w:szCs w:val="17"/>
          <w:b w:val="1"/>
          <w:bCs w:val="1"/>
          <w:color w:val="auto"/>
        </w:rPr>
        <w:t xml:space="preserve"> </w:t>
      </w:r>
      <w:r>
        <w:rPr>
          <w:rFonts w:ascii="Arial" w:cs="Arial" w:eastAsia="Arial" w:hAnsi="Arial"/>
          <w:sz w:val="17"/>
          <w:szCs w:val="17"/>
          <w:color w:val="auto"/>
        </w:rPr>
        <w:t>interests.</w:t>
      </w:r>
    </w:p>
    <w:p>
      <w:pPr>
        <w:spacing w:after="0" w:line="139" w:lineRule="exact"/>
        <w:rPr>
          <w:rFonts w:ascii="Arial" w:cs="Arial" w:eastAsia="Arial" w:hAnsi="Arial"/>
          <w:sz w:val="17"/>
          <w:szCs w:val="17"/>
          <w:color w:val="auto"/>
        </w:rPr>
      </w:pPr>
    </w:p>
    <w:p>
      <w:pPr>
        <w:ind w:left="1040" w:right="420" w:hanging="513"/>
        <w:spacing w:after="0" w:line="275"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Global Business and Strategy—</w:t>
      </w:r>
      <w:r>
        <w:rPr>
          <w:rFonts w:ascii="Arial" w:cs="Arial" w:eastAsia="Arial" w:hAnsi="Arial"/>
          <w:sz w:val="17"/>
          <w:szCs w:val="17"/>
          <w:color w:val="auto"/>
        </w:rPr>
        <w:t>For oversight of a complex global organization like AbbVie to successfully advise and oversee the</w:t>
      </w:r>
      <w:r>
        <w:rPr>
          <w:rFonts w:ascii="Arial" w:cs="Arial" w:eastAsia="Arial" w:hAnsi="Arial"/>
          <w:sz w:val="17"/>
          <w:szCs w:val="17"/>
          <w:b w:val="1"/>
          <w:bCs w:val="1"/>
          <w:color w:val="auto"/>
        </w:rPr>
        <w:t xml:space="preserve"> </w:t>
      </w:r>
      <w:r>
        <w:rPr>
          <w:rFonts w:ascii="Arial" w:cs="Arial" w:eastAsia="Arial" w:hAnsi="Arial"/>
          <w:sz w:val="17"/>
          <w:szCs w:val="17"/>
          <w:color w:val="auto"/>
        </w:rPr>
        <w:t>strategic development and direction of the company.</w:t>
      </w:r>
    </w:p>
    <w:p>
      <w:pPr>
        <w:spacing w:after="0" w:line="139" w:lineRule="exact"/>
        <w:rPr>
          <w:rFonts w:ascii="Arial" w:cs="Arial" w:eastAsia="Arial" w:hAnsi="Arial"/>
          <w:sz w:val="17"/>
          <w:szCs w:val="17"/>
          <w:color w:val="auto"/>
        </w:rPr>
      </w:pPr>
    </w:p>
    <w:p>
      <w:pPr>
        <w:ind w:left="1040" w:right="240" w:hanging="513"/>
        <w:spacing w:after="0" w:line="275"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Corporate Governance and Public Company Board—</w:t>
      </w:r>
      <w:r>
        <w:rPr>
          <w:rFonts w:ascii="Arial" w:cs="Arial" w:eastAsia="Arial" w:hAnsi="Arial"/>
          <w:sz w:val="17"/>
          <w:szCs w:val="17"/>
          <w:color w:val="auto"/>
        </w:rPr>
        <w:t>Ensuring directors have background and knowledge to perform oversight and</w:t>
      </w:r>
      <w:r>
        <w:rPr>
          <w:rFonts w:ascii="Arial" w:cs="Arial" w:eastAsia="Arial" w:hAnsi="Arial"/>
          <w:sz w:val="17"/>
          <w:szCs w:val="17"/>
          <w:b w:val="1"/>
          <w:bCs w:val="1"/>
          <w:color w:val="auto"/>
        </w:rPr>
        <w:t xml:space="preserve"> </w:t>
      </w:r>
      <w:r>
        <w:rPr>
          <w:rFonts w:ascii="Arial" w:cs="Arial" w:eastAsia="Arial" w:hAnsi="Arial"/>
          <w:sz w:val="17"/>
          <w:szCs w:val="17"/>
          <w:color w:val="auto"/>
        </w:rPr>
        <w:t>governance roles.</w:t>
      </w:r>
    </w:p>
    <w:p>
      <w:pPr>
        <w:spacing w:after="0" w:line="153" w:lineRule="exact"/>
        <w:rPr>
          <w:rFonts w:ascii="Arial" w:cs="Arial" w:eastAsia="Arial" w:hAnsi="Arial"/>
          <w:sz w:val="17"/>
          <w:szCs w:val="17"/>
          <w:color w:val="auto"/>
        </w:rPr>
      </w:pPr>
    </w:p>
    <w:p>
      <w:pPr>
        <w:ind w:left="1040" w:right="20" w:hanging="513"/>
        <w:spacing w:after="0" w:line="275"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Finance or Accounting—</w:t>
      </w:r>
      <w:r>
        <w:rPr>
          <w:rFonts w:ascii="Arial" w:cs="Arial" w:eastAsia="Arial" w:hAnsi="Arial"/>
          <w:sz w:val="17"/>
          <w:szCs w:val="17"/>
          <w:color w:val="auto"/>
        </w:rPr>
        <w:t>Enabling our directors to analyze our financial statements, oversee our capital structure, and consider financial</w:t>
      </w:r>
      <w:r>
        <w:rPr>
          <w:rFonts w:ascii="Arial" w:cs="Arial" w:eastAsia="Arial" w:hAnsi="Arial"/>
          <w:sz w:val="17"/>
          <w:szCs w:val="17"/>
          <w:b w:val="1"/>
          <w:bCs w:val="1"/>
          <w:color w:val="auto"/>
        </w:rPr>
        <w:t xml:space="preserve"> </w:t>
      </w:r>
      <w:r>
        <w:rPr>
          <w:rFonts w:ascii="Arial" w:cs="Arial" w:eastAsia="Arial" w:hAnsi="Arial"/>
          <w:sz w:val="17"/>
          <w:szCs w:val="17"/>
          <w:color w:val="auto"/>
        </w:rPr>
        <w:t>transactions.</w:t>
      </w:r>
    </w:p>
    <w:p>
      <w:pPr>
        <w:spacing w:after="0" w:line="139" w:lineRule="exact"/>
        <w:rPr>
          <w:rFonts w:ascii="Arial" w:cs="Arial" w:eastAsia="Arial" w:hAnsi="Arial"/>
          <w:sz w:val="17"/>
          <w:szCs w:val="17"/>
          <w:color w:val="auto"/>
        </w:rPr>
      </w:pPr>
    </w:p>
    <w:p>
      <w:pPr>
        <w:ind w:left="1040" w:right="140" w:hanging="513"/>
        <w:spacing w:after="0" w:line="275" w:lineRule="auto"/>
        <w:tabs>
          <w:tab w:leader="none" w:pos="1040" w:val="left"/>
        </w:tabs>
        <w:numPr>
          <w:ilvl w:val="0"/>
          <w:numId w:val="13"/>
        </w:numPr>
        <w:rPr>
          <w:rFonts w:ascii="Arial" w:cs="Arial" w:eastAsia="Arial" w:hAnsi="Arial"/>
          <w:sz w:val="17"/>
          <w:szCs w:val="17"/>
          <w:color w:val="auto"/>
        </w:rPr>
      </w:pPr>
      <w:r>
        <w:rPr>
          <w:rFonts w:ascii="Arial" w:cs="Arial" w:eastAsia="Arial" w:hAnsi="Arial"/>
          <w:sz w:val="17"/>
          <w:szCs w:val="17"/>
          <w:b w:val="1"/>
          <w:bCs w:val="1"/>
          <w:color w:val="auto"/>
        </w:rPr>
        <w:t>Government Relations and Regulatory—</w:t>
      </w:r>
      <w:r>
        <w:rPr>
          <w:rFonts w:ascii="Arial" w:cs="Arial" w:eastAsia="Arial" w:hAnsi="Arial"/>
          <w:sz w:val="17"/>
          <w:szCs w:val="17"/>
          <w:color w:val="auto"/>
        </w:rPr>
        <w:t>For an understanding of the complex regulatory and governmental environment in which our</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operates.</w:t>
      </w:r>
    </w:p>
    <w:p>
      <w:pPr>
        <w:spacing w:after="0" w:line="181" w:lineRule="exact"/>
        <w:rPr>
          <w:rFonts w:ascii="Arial" w:cs="Arial" w:eastAsia="Arial" w:hAnsi="Arial"/>
          <w:sz w:val="10"/>
          <w:szCs w:val="10"/>
          <w:b w:val="1"/>
          <w:bCs w:val="1"/>
          <w:color w:val="FFFFFE"/>
        </w:rPr>
      </w:pPr>
    </w:p>
    <w:p>
      <w:pPr>
        <w:ind w:left="60"/>
        <w:spacing w:after="0"/>
        <w:rPr>
          <w:sz w:val="20"/>
          <w:szCs w:val="20"/>
          <w:color w:val="auto"/>
        </w:rPr>
      </w:pPr>
      <w:r>
        <w:rPr>
          <w:rFonts w:ascii="Arial" w:cs="Arial" w:eastAsia="Arial" w:hAnsi="Arial"/>
          <w:sz w:val="17"/>
          <w:szCs w:val="17"/>
          <w:b w:val="1"/>
          <w:bCs w:val="1"/>
          <w:color w:val="auto"/>
        </w:rPr>
        <w:t xml:space="preserve">14  </w:t>
      </w:r>
      <w:r>
        <w:rPr>
          <w:sz w:val="1"/>
          <w:szCs w:val="1"/>
          <w:color w:val="auto"/>
        </w:rPr>
        <w:drawing>
          <wp:inline distT="0" distB="0" distL="0" distR="0">
            <wp:extent cx="622300" cy="107950"/>
            <wp:effectExtent l="0" t="0" r="0" b="0"/>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17" w:name="page18"/>
    <w:bookmarkEnd w:id="1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5428615</wp:posOffset>
            </wp:positionH>
            <wp:positionV relativeFrom="paragraph">
              <wp:posOffset>130810</wp:posOffset>
            </wp:positionV>
            <wp:extent cx="1824990" cy="1409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824990" cy="140970"/>
                    </a:xfrm>
                    <a:prstGeom prst="rect">
                      <a:avLst/>
                    </a:prstGeom>
                    <a:noFill/>
                  </pic:spPr>
                </pic:pic>
              </a:graphicData>
            </a:graphic>
          </wp:anchor>
        </w:drawing>
      </w:r>
    </w:p>
    <w:p>
      <w:pPr>
        <w:spacing w:after="0" w:line="224" w:lineRule="exact"/>
        <w:rPr>
          <w:sz w:val="20"/>
          <w:szCs w:val="20"/>
          <w:color w:val="auto"/>
        </w:rPr>
      </w:pPr>
    </w:p>
    <w:p>
      <w:pPr>
        <w:ind w:left="8600"/>
        <w:spacing w:after="0"/>
        <w:rPr>
          <w:sz w:val="20"/>
          <w:szCs w:val="20"/>
          <w:color w:val="auto"/>
        </w:rPr>
      </w:pPr>
      <w:r>
        <w:rPr>
          <w:rFonts w:ascii="Arial" w:cs="Arial" w:eastAsia="Arial" w:hAnsi="Arial"/>
          <w:sz w:val="10"/>
          <w:szCs w:val="10"/>
          <w:b w:val="1"/>
          <w:bCs w:val="1"/>
          <w:color w:val="FFFFFE"/>
        </w:rPr>
        <w:t>THE BOARD OF DIRECTORS AND ITS COMMITTEES</w:t>
      </w:r>
    </w:p>
    <w:p>
      <w:pPr>
        <w:spacing w:after="0" w:line="38" w:lineRule="exact"/>
        <w:rPr>
          <w:sz w:val="20"/>
          <w:szCs w:val="20"/>
          <w:color w:val="auto"/>
        </w:rPr>
      </w:pPr>
    </w:p>
    <w:p>
      <w:pPr>
        <w:jc w:val="center"/>
        <w:ind w:right="120"/>
        <w:spacing w:after="0"/>
        <w:rPr>
          <w:sz w:val="20"/>
          <w:szCs w:val="20"/>
          <w:color w:val="auto"/>
        </w:rPr>
      </w:pPr>
      <w:r>
        <w:rPr>
          <w:rFonts w:ascii="Arial" w:cs="Arial" w:eastAsia="Arial" w:hAnsi="Arial"/>
          <w:sz w:val="21"/>
          <w:szCs w:val="21"/>
          <w:b w:val="1"/>
          <w:bCs w:val="1"/>
          <w:color w:val="444867"/>
        </w:rPr>
        <w:t>Director Skills, Knowledge and Experience Matrix</w:t>
      </w:r>
    </w:p>
    <w:p>
      <w:pPr>
        <w:spacing w:after="0" w:line="26" w:lineRule="exact"/>
        <w:rPr>
          <w:sz w:val="20"/>
          <w:szCs w:val="20"/>
          <w:color w:val="auto"/>
        </w:rPr>
      </w:pPr>
    </w:p>
    <w:tbl>
      <w:tblPr>
        <w:tblLayout w:type="fixed"/>
        <w:tblInd w:w="1380" w:type="dxa"/>
        <w:tblCellMar>
          <w:top w:w="0" w:type="dxa"/>
          <w:left w:w="0" w:type="dxa"/>
          <w:bottom w:w="0" w:type="dxa"/>
          <w:right w:w="0" w:type="dxa"/>
        </w:tblCellMar>
      </w:tblPr>
      <w:tr>
        <w:trPr>
          <w:trHeight w:val="172"/>
        </w:trPr>
        <w:tc>
          <w:tcPr>
            <w:tcW w:w="1220" w:type="dxa"/>
            <w:vAlign w:val="bottom"/>
            <w:tcBorders>
              <w:top w:val="single" w:sz="8" w:color="444867"/>
            </w:tcBorders>
          </w:tcPr>
          <w:p>
            <w:pPr>
              <w:spacing w:after="0"/>
              <w:rPr>
                <w:sz w:val="14"/>
                <w:szCs w:val="14"/>
                <w:color w:val="auto"/>
              </w:rPr>
            </w:pPr>
          </w:p>
        </w:tc>
        <w:tc>
          <w:tcPr>
            <w:tcW w:w="1220" w:type="dxa"/>
            <w:vAlign w:val="bottom"/>
            <w:tcBorders>
              <w:top w:val="single" w:sz="8" w:color="444867"/>
            </w:tcBorders>
          </w:tcPr>
          <w:p>
            <w:pPr>
              <w:spacing w:after="0"/>
              <w:rPr>
                <w:sz w:val="14"/>
                <w:szCs w:val="14"/>
                <w:color w:val="auto"/>
              </w:rPr>
            </w:pPr>
          </w:p>
        </w:tc>
        <w:tc>
          <w:tcPr>
            <w:tcW w:w="1200" w:type="dxa"/>
            <w:vAlign w:val="bottom"/>
            <w:tcBorders>
              <w:top w:val="single" w:sz="8" w:color="444867"/>
            </w:tcBorders>
          </w:tcPr>
          <w:p>
            <w:pPr>
              <w:spacing w:after="0"/>
              <w:rPr>
                <w:sz w:val="14"/>
                <w:szCs w:val="14"/>
                <w:color w:val="auto"/>
              </w:rPr>
            </w:pPr>
          </w:p>
        </w:tc>
        <w:tc>
          <w:tcPr>
            <w:tcW w:w="1060" w:type="dxa"/>
            <w:vAlign w:val="bottom"/>
            <w:tcBorders>
              <w:top w:val="single" w:sz="8" w:color="444867"/>
            </w:tcBorders>
          </w:tcPr>
          <w:p>
            <w:pPr>
              <w:spacing w:after="0"/>
              <w:rPr>
                <w:sz w:val="14"/>
                <w:szCs w:val="14"/>
                <w:color w:val="auto"/>
              </w:rPr>
            </w:pPr>
          </w:p>
        </w:tc>
        <w:tc>
          <w:tcPr>
            <w:tcW w:w="1280" w:type="dxa"/>
            <w:vAlign w:val="bottom"/>
            <w:tcBorders>
              <w:top w:val="single" w:sz="8" w:color="444867"/>
            </w:tcBorders>
          </w:tcPr>
          <w:p>
            <w:pPr>
              <w:jc w:val="center"/>
              <w:spacing w:after="0" w:line="172" w:lineRule="exact"/>
              <w:rPr>
                <w:sz w:val="20"/>
                <w:szCs w:val="20"/>
                <w:color w:val="auto"/>
              </w:rPr>
            </w:pPr>
            <w:r>
              <w:rPr>
                <w:rFonts w:ascii="Arial" w:cs="Arial" w:eastAsia="Arial" w:hAnsi="Arial"/>
                <w:sz w:val="17"/>
                <w:szCs w:val="17"/>
                <w:b w:val="1"/>
                <w:bCs w:val="1"/>
                <w:color w:val="auto"/>
              </w:rPr>
              <w:t>Corporate</w:t>
            </w:r>
          </w:p>
        </w:tc>
        <w:tc>
          <w:tcPr>
            <w:tcW w:w="1260" w:type="dxa"/>
            <w:vAlign w:val="bottom"/>
            <w:tcBorders>
              <w:top w:val="single" w:sz="8" w:color="444867"/>
            </w:tcBorders>
          </w:tcPr>
          <w:p>
            <w:pPr>
              <w:spacing w:after="0"/>
              <w:rPr>
                <w:sz w:val="14"/>
                <w:szCs w:val="14"/>
                <w:color w:val="auto"/>
              </w:rPr>
            </w:pPr>
          </w:p>
        </w:tc>
        <w:tc>
          <w:tcPr>
            <w:tcW w:w="1320" w:type="dxa"/>
            <w:vAlign w:val="bottom"/>
            <w:tcBorders>
              <w:top w:val="single" w:sz="8" w:color="444867"/>
            </w:tcBorders>
          </w:tcPr>
          <w:p>
            <w:pPr>
              <w:spacing w:after="0"/>
              <w:rPr>
                <w:sz w:val="14"/>
                <w:szCs w:val="14"/>
                <w:color w:val="auto"/>
              </w:rPr>
            </w:pPr>
          </w:p>
        </w:tc>
      </w:tr>
      <w:tr>
        <w:trPr>
          <w:trHeight w:val="196"/>
        </w:trPr>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rPr>
              <w:t>Global</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9"/>
              </w:rPr>
              <w:t>Governance</w:t>
            </w:r>
          </w:p>
        </w:tc>
        <w:tc>
          <w:tcPr>
            <w:tcW w:w="126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rPr>
              <w:t>Business</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w w:val="99"/>
              </w:rPr>
              <w:t>and Public</w:t>
            </w:r>
          </w:p>
        </w:tc>
        <w:tc>
          <w:tcPr>
            <w:tcW w:w="1260" w:type="dxa"/>
            <w:vAlign w:val="bottom"/>
          </w:tcPr>
          <w:p>
            <w:pPr>
              <w:spacing w:after="0"/>
              <w:rPr>
                <w:sz w:val="17"/>
                <w:szCs w:val="17"/>
                <w:color w:val="auto"/>
              </w:rPr>
            </w:pPr>
          </w:p>
        </w:tc>
        <w:tc>
          <w:tcPr>
            <w:tcW w:w="1320" w:type="dxa"/>
            <w:vAlign w:val="bottom"/>
          </w:tcPr>
          <w:p>
            <w:pPr>
              <w:jc w:val="center"/>
              <w:spacing w:after="0"/>
              <w:rPr>
                <w:sz w:val="20"/>
                <w:szCs w:val="20"/>
                <w:color w:val="auto"/>
              </w:rPr>
            </w:pPr>
            <w:r>
              <w:rPr>
                <w:rFonts w:ascii="Arial" w:cs="Arial" w:eastAsia="Arial" w:hAnsi="Arial"/>
                <w:sz w:val="17"/>
                <w:szCs w:val="17"/>
                <w:b w:val="1"/>
                <w:bCs w:val="1"/>
                <w:color w:val="auto"/>
                <w:w w:val="99"/>
              </w:rPr>
              <w:t>Government</w:t>
            </w:r>
          </w:p>
        </w:tc>
      </w:tr>
      <w:tr>
        <w:trPr>
          <w:trHeight w:val="196"/>
        </w:trPr>
        <w:tc>
          <w:tcPr>
            <w:tcW w:w="1220" w:type="dxa"/>
            <w:vAlign w:val="bottom"/>
          </w:tcPr>
          <w:p>
            <w:pPr>
              <w:spacing w:after="0"/>
              <w:rPr>
                <w:sz w:val="17"/>
                <w:szCs w:val="17"/>
                <w:color w:val="auto"/>
              </w:rPr>
            </w:pPr>
          </w:p>
        </w:tc>
        <w:tc>
          <w:tcPr>
            <w:tcW w:w="1220" w:type="dxa"/>
            <w:vAlign w:val="bottom"/>
          </w:tcPr>
          <w:p>
            <w:pPr>
              <w:jc w:val="center"/>
              <w:spacing w:after="0"/>
              <w:rPr>
                <w:sz w:val="20"/>
                <w:szCs w:val="20"/>
                <w:color w:val="auto"/>
              </w:rPr>
            </w:pPr>
            <w:r>
              <w:rPr>
                <w:rFonts w:ascii="Arial" w:cs="Arial" w:eastAsia="Arial" w:hAnsi="Arial"/>
                <w:sz w:val="17"/>
                <w:szCs w:val="17"/>
                <w:b w:val="1"/>
                <w:bCs w:val="1"/>
                <w:color w:val="auto"/>
              </w:rPr>
              <w:t>Healthcare</w:t>
            </w:r>
          </w:p>
        </w:tc>
        <w:tc>
          <w:tcPr>
            <w:tcW w:w="1200" w:type="dxa"/>
            <w:vAlign w:val="bottom"/>
          </w:tcPr>
          <w:p>
            <w:pPr>
              <w:spacing w:after="0"/>
              <w:rPr>
                <w:sz w:val="17"/>
                <w:szCs w:val="17"/>
                <w:color w:val="auto"/>
              </w:rPr>
            </w:pPr>
          </w:p>
        </w:tc>
        <w:tc>
          <w:tcPr>
            <w:tcW w:w="1060" w:type="dxa"/>
            <w:vAlign w:val="bottom"/>
          </w:tcPr>
          <w:p>
            <w:pPr>
              <w:jc w:val="center"/>
              <w:spacing w:after="0"/>
              <w:rPr>
                <w:sz w:val="20"/>
                <w:szCs w:val="20"/>
                <w:color w:val="auto"/>
              </w:rPr>
            </w:pPr>
            <w:r>
              <w:rPr>
                <w:rFonts w:ascii="Arial" w:cs="Arial" w:eastAsia="Arial" w:hAnsi="Arial"/>
                <w:sz w:val="17"/>
                <w:szCs w:val="17"/>
                <w:b w:val="1"/>
                <w:bCs w:val="1"/>
                <w:color w:val="auto"/>
                <w:w w:val="99"/>
              </w:rPr>
              <w:t>and</w:t>
            </w:r>
          </w:p>
        </w:tc>
        <w:tc>
          <w:tcPr>
            <w:tcW w:w="1280" w:type="dxa"/>
            <w:vAlign w:val="bottom"/>
          </w:tcPr>
          <w:p>
            <w:pPr>
              <w:jc w:val="center"/>
              <w:spacing w:after="0"/>
              <w:rPr>
                <w:sz w:val="20"/>
                <w:szCs w:val="20"/>
                <w:color w:val="auto"/>
              </w:rPr>
            </w:pPr>
            <w:r>
              <w:rPr>
                <w:rFonts w:ascii="Arial" w:cs="Arial" w:eastAsia="Arial" w:hAnsi="Arial"/>
                <w:sz w:val="17"/>
                <w:szCs w:val="17"/>
                <w:b w:val="1"/>
                <w:bCs w:val="1"/>
                <w:color w:val="auto"/>
              </w:rPr>
              <w:t>Company</w:t>
            </w:r>
          </w:p>
        </w:tc>
        <w:tc>
          <w:tcPr>
            <w:tcW w:w="1260" w:type="dxa"/>
            <w:vAlign w:val="bottom"/>
          </w:tcPr>
          <w:p>
            <w:pPr>
              <w:jc w:val="center"/>
              <w:spacing w:after="0"/>
              <w:rPr>
                <w:sz w:val="20"/>
                <w:szCs w:val="20"/>
                <w:color w:val="auto"/>
              </w:rPr>
            </w:pPr>
            <w:r>
              <w:rPr>
                <w:rFonts w:ascii="Arial" w:cs="Arial" w:eastAsia="Arial" w:hAnsi="Arial"/>
                <w:sz w:val="17"/>
                <w:szCs w:val="17"/>
                <w:b w:val="1"/>
                <w:bCs w:val="1"/>
                <w:color w:val="auto"/>
                <w:w w:val="99"/>
              </w:rPr>
              <w:t>Finance or</w:t>
            </w:r>
          </w:p>
        </w:tc>
        <w:tc>
          <w:tcPr>
            <w:tcW w:w="1320" w:type="dxa"/>
            <w:vAlign w:val="bottom"/>
          </w:tcPr>
          <w:p>
            <w:pPr>
              <w:jc w:val="center"/>
              <w:ind w:left="15"/>
              <w:spacing w:after="0"/>
              <w:rPr>
                <w:sz w:val="20"/>
                <w:szCs w:val="20"/>
                <w:color w:val="auto"/>
              </w:rPr>
            </w:pPr>
            <w:r>
              <w:rPr>
                <w:rFonts w:ascii="Arial" w:cs="Arial" w:eastAsia="Arial" w:hAnsi="Arial"/>
                <w:sz w:val="17"/>
                <w:szCs w:val="17"/>
                <w:b w:val="1"/>
                <w:bCs w:val="1"/>
                <w:color w:val="auto"/>
                <w:w w:val="98"/>
              </w:rPr>
              <w:t>Relations and</w:t>
            </w:r>
          </w:p>
        </w:tc>
      </w:tr>
      <w:tr>
        <w:trPr>
          <w:trHeight w:val="213"/>
        </w:trPr>
        <w:tc>
          <w:tcPr>
            <w:tcW w:w="12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Industry</w:t>
            </w: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Leadership</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Strategy</w:t>
            </w:r>
          </w:p>
        </w:tc>
        <w:tc>
          <w:tcPr>
            <w:tcW w:w="12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Board</w:t>
            </w: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8"/>
              </w:rPr>
              <w:t>Accounting</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99"/>
              </w:rPr>
              <w:t>Regulatory</w:t>
            </w:r>
          </w:p>
        </w:tc>
      </w:tr>
      <w:tr>
        <w:trPr>
          <w:trHeight w:val="202"/>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Dr. Alpern</w:t>
            </w:r>
          </w:p>
        </w:tc>
        <w:tc>
          <w:tcPr>
            <w:tcW w:w="122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0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shd w:val="clear" w:color="auto" w:fill="E7E7E8"/>
          </w:tcPr>
          <w:p>
            <w:pPr>
              <w:spacing w:after="0"/>
              <w:rPr>
                <w:sz w:val="17"/>
                <w:szCs w:val="17"/>
                <w:color w:val="auto"/>
              </w:rPr>
            </w:pPr>
          </w:p>
        </w:tc>
        <w:tc>
          <w:tcPr>
            <w:tcW w:w="1320" w:type="dxa"/>
            <w:vAlign w:val="bottom"/>
            <w:shd w:val="clear" w:color="auto" w:fill="E7E7E8"/>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tcPr>
          <w:p>
            <w:pPr>
              <w:spacing w:after="0"/>
              <w:rPr>
                <w:sz w:val="20"/>
                <w:szCs w:val="20"/>
                <w:color w:val="auto"/>
              </w:rPr>
            </w:pPr>
            <w:r>
              <w:rPr>
                <w:rFonts w:ascii="Arial" w:cs="Arial" w:eastAsia="Arial" w:hAnsi="Arial"/>
                <w:sz w:val="17"/>
                <w:szCs w:val="17"/>
                <w:color w:val="auto"/>
              </w:rPr>
              <w:t>Ms. Austin</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Mr. Gonzalez</w:t>
            </w:r>
          </w:p>
        </w:tc>
        <w:tc>
          <w:tcPr>
            <w:tcW w:w="122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0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320" w:type="dxa"/>
            <w:vAlign w:val="bottom"/>
            <w:shd w:val="clear" w:color="auto" w:fill="E7E7E8"/>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tcPr>
          <w:p>
            <w:pPr>
              <w:spacing w:after="0"/>
              <w:rPr>
                <w:sz w:val="20"/>
                <w:szCs w:val="20"/>
                <w:color w:val="auto"/>
              </w:rPr>
            </w:pPr>
            <w:r>
              <w:rPr>
                <w:rFonts w:ascii="Arial" w:cs="Arial" w:eastAsia="Arial" w:hAnsi="Arial"/>
                <w:sz w:val="17"/>
                <w:szCs w:val="17"/>
                <w:color w:val="auto"/>
              </w:rPr>
              <w:t>Mr. Burnside</w:t>
            </w:r>
          </w:p>
        </w:tc>
        <w:tc>
          <w:tcPr>
            <w:tcW w:w="1220" w:type="dxa"/>
            <w:vAlign w:val="bottom"/>
          </w:tcPr>
          <w:p>
            <w:pPr>
              <w:spacing w:after="0"/>
              <w:rPr>
                <w:sz w:val="18"/>
                <w:szCs w:val="18"/>
                <w:color w:val="auto"/>
              </w:rPr>
            </w:pPr>
          </w:p>
        </w:tc>
        <w:tc>
          <w:tcPr>
            <w:tcW w:w="12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Mr. Hart</w:t>
            </w:r>
          </w:p>
        </w:tc>
        <w:tc>
          <w:tcPr>
            <w:tcW w:w="1220" w:type="dxa"/>
            <w:vAlign w:val="bottom"/>
            <w:shd w:val="clear" w:color="auto" w:fill="E7E7E8"/>
          </w:tcPr>
          <w:p>
            <w:pPr>
              <w:spacing w:after="0"/>
              <w:rPr>
                <w:sz w:val="18"/>
                <w:szCs w:val="18"/>
                <w:color w:val="auto"/>
              </w:rPr>
            </w:pPr>
          </w:p>
        </w:tc>
        <w:tc>
          <w:tcPr>
            <w:tcW w:w="120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shd w:val="clear" w:color="auto" w:fill="E7E7E8"/>
          </w:tcPr>
          <w:p>
            <w:pPr>
              <w:spacing w:after="0"/>
              <w:rPr>
                <w:sz w:val="18"/>
                <w:szCs w:val="18"/>
                <w:color w:val="auto"/>
              </w:rPr>
            </w:pPr>
          </w:p>
        </w:tc>
        <w:tc>
          <w:tcPr>
            <w:tcW w:w="1320" w:type="dxa"/>
            <w:vAlign w:val="bottom"/>
            <w:shd w:val="clear" w:color="auto" w:fill="E7E7E8"/>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tcPr>
          <w:p>
            <w:pPr>
              <w:spacing w:after="0"/>
              <w:rPr>
                <w:sz w:val="20"/>
                <w:szCs w:val="20"/>
                <w:color w:val="auto"/>
              </w:rPr>
            </w:pPr>
            <w:r>
              <w:rPr>
                <w:rFonts w:ascii="Arial" w:cs="Arial" w:eastAsia="Arial" w:hAnsi="Arial"/>
                <w:sz w:val="17"/>
                <w:szCs w:val="17"/>
                <w:color w:val="auto"/>
              </w:rPr>
              <w:t>Mr. Liddy</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Mr. Rapp</w:t>
            </w:r>
          </w:p>
        </w:tc>
        <w:tc>
          <w:tcPr>
            <w:tcW w:w="1220" w:type="dxa"/>
            <w:vAlign w:val="bottom"/>
            <w:shd w:val="clear" w:color="auto" w:fill="E7E7E8"/>
          </w:tcPr>
          <w:p>
            <w:pPr>
              <w:spacing w:after="0"/>
              <w:rPr>
                <w:sz w:val="18"/>
                <w:szCs w:val="18"/>
                <w:color w:val="auto"/>
              </w:rPr>
            </w:pPr>
          </w:p>
        </w:tc>
        <w:tc>
          <w:tcPr>
            <w:tcW w:w="120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shd w:val="clear" w:color="auto" w:fill="E7E7E8"/>
          </w:tcPr>
          <w:p>
            <w:pPr>
              <w:spacing w:after="0"/>
              <w:rPr>
                <w:sz w:val="18"/>
                <w:szCs w:val="18"/>
                <w:color w:val="auto"/>
              </w:rPr>
            </w:pPr>
          </w:p>
        </w:tc>
        <w:tc>
          <w:tcPr>
            <w:tcW w:w="12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320" w:type="dxa"/>
            <w:vAlign w:val="bottom"/>
            <w:shd w:val="clear" w:color="auto" w:fill="E7E7E8"/>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tcPr>
          <w:p>
            <w:pPr>
              <w:spacing w:after="0"/>
              <w:rPr>
                <w:sz w:val="20"/>
                <w:szCs w:val="20"/>
                <w:color w:val="auto"/>
              </w:rPr>
            </w:pPr>
            <w:r>
              <w:rPr>
                <w:rFonts w:ascii="Arial" w:cs="Arial" w:eastAsia="Arial" w:hAnsi="Arial"/>
                <w:sz w:val="17"/>
                <w:szCs w:val="17"/>
                <w:color w:val="auto"/>
              </w:rPr>
              <w:t>Mr. Tilton</w:t>
            </w:r>
          </w:p>
        </w:tc>
        <w:tc>
          <w:tcPr>
            <w:tcW w:w="122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0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tcPr>
          <w:p>
            <w:pPr>
              <w:jc w:val="center"/>
              <w:spacing w:after="0"/>
              <w:rPr>
                <w:sz w:val="20"/>
                <w:szCs w:val="20"/>
                <w:color w:val="auto"/>
              </w:rPr>
            </w:pPr>
            <w:r>
              <w:rPr>
                <w:rFonts w:ascii="Arial" w:cs="Arial" w:eastAsia="Arial" w:hAnsi="Arial"/>
                <w:sz w:val="17"/>
                <w:szCs w:val="17"/>
                <w:color w:val="auto"/>
                <w:w w:val="84"/>
              </w:rPr>
              <w:t>ü</w:t>
            </w:r>
          </w:p>
        </w:tc>
        <w:tc>
          <w:tcPr>
            <w:tcW w:w="1320" w:type="dxa"/>
            <w:vAlign w:val="bottom"/>
          </w:tcPr>
          <w:p>
            <w:pPr>
              <w:jc w:val="center"/>
              <w:ind w:left="15"/>
              <w:spacing w:after="0"/>
              <w:rPr>
                <w:sz w:val="20"/>
                <w:szCs w:val="20"/>
                <w:color w:val="auto"/>
              </w:rPr>
            </w:pPr>
            <w:r>
              <w:rPr>
                <w:rFonts w:ascii="Arial" w:cs="Arial" w:eastAsia="Arial" w:hAnsi="Arial"/>
                <w:sz w:val="17"/>
                <w:szCs w:val="17"/>
                <w:color w:val="auto"/>
              </w:rPr>
              <w:t>ü</w:t>
            </w:r>
          </w:p>
        </w:tc>
      </w:tr>
      <w:tr>
        <w:trPr>
          <w:trHeight w:val="209"/>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Mr. Waddell</w:t>
            </w:r>
          </w:p>
        </w:tc>
        <w:tc>
          <w:tcPr>
            <w:tcW w:w="1220" w:type="dxa"/>
            <w:vAlign w:val="bottom"/>
            <w:shd w:val="clear" w:color="auto" w:fill="E7E7E8"/>
          </w:tcPr>
          <w:p>
            <w:pPr>
              <w:spacing w:after="0"/>
              <w:rPr>
                <w:sz w:val="18"/>
                <w:szCs w:val="18"/>
                <w:color w:val="auto"/>
              </w:rPr>
            </w:pPr>
          </w:p>
        </w:tc>
        <w:tc>
          <w:tcPr>
            <w:tcW w:w="120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0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8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260" w:type="dxa"/>
            <w:vAlign w:val="bottom"/>
            <w:shd w:val="clear" w:color="auto" w:fill="E7E7E8"/>
          </w:tcPr>
          <w:p>
            <w:pPr>
              <w:jc w:val="center"/>
              <w:spacing w:after="0"/>
              <w:rPr>
                <w:sz w:val="20"/>
                <w:szCs w:val="20"/>
                <w:color w:val="auto"/>
              </w:rPr>
            </w:pPr>
            <w:r>
              <w:rPr>
                <w:rFonts w:ascii="Arial" w:cs="Arial" w:eastAsia="Arial" w:hAnsi="Arial"/>
                <w:sz w:val="17"/>
                <w:szCs w:val="17"/>
                <w:color w:val="auto"/>
                <w:w w:val="84"/>
              </w:rPr>
              <w:t>ü</w:t>
            </w:r>
          </w:p>
        </w:tc>
        <w:tc>
          <w:tcPr>
            <w:tcW w:w="1320" w:type="dxa"/>
            <w:vAlign w:val="bottom"/>
            <w:shd w:val="clear" w:color="auto" w:fill="E7E7E8"/>
          </w:tcPr>
          <w:p>
            <w:pPr>
              <w:jc w:val="center"/>
              <w:ind w:left="15"/>
              <w:spacing w:after="0"/>
              <w:rPr>
                <w:sz w:val="20"/>
                <w:szCs w:val="20"/>
                <w:color w:val="auto"/>
              </w:rPr>
            </w:pPr>
            <w:r>
              <w:rPr>
                <w:rFonts w:ascii="Arial" w:cs="Arial" w:eastAsia="Arial" w:hAnsi="Arial"/>
                <w:sz w:val="17"/>
                <w:szCs w:val="17"/>
                <w:color w:val="auto"/>
              </w:rPr>
              <w:t>ü</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Committees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160" w:firstLine="657"/>
        <w:spacing w:after="0" w:line="245" w:lineRule="auto"/>
        <w:rPr>
          <w:sz w:val="20"/>
          <w:szCs w:val="20"/>
          <w:color w:val="auto"/>
        </w:rPr>
      </w:pPr>
      <w:r>
        <w:rPr>
          <w:rFonts w:ascii="Arial" w:cs="Arial" w:eastAsia="Arial" w:hAnsi="Arial"/>
          <w:sz w:val="17"/>
          <w:szCs w:val="17"/>
          <w:color w:val="auto"/>
        </w:rPr>
        <w:t>The board of directors has five committees established in AbbVie's By-Laws: the audit committee, compensation committee, nominations and governance committee, public policy committee, and executive committee. Each of the members of the audit committee, compensation committee, nominations and governance committee, and public policy committee is independent.</w:t>
      </w:r>
    </w:p>
    <w:p>
      <w:pPr>
        <w:spacing w:after="0" w:line="371"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3340" w:type="dxa"/>
            <w:vAlign w:val="bottom"/>
            <w:tcBorders>
              <w:top w:val="single" w:sz="8" w:color="444867"/>
            </w:tcBorders>
          </w:tcPr>
          <w:p>
            <w:pPr>
              <w:spacing w:after="0"/>
              <w:rPr>
                <w:sz w:val="16"/>
                <w:szCs w:val="16"/>
                <w:color w:val="auto"/>
              </w:rPr>
            </w:pPr>
          </w:p>
        </w:tc>
        <w:tc>
          <w:tcPr>
            <w:tcW w:w="1780" w:type="dxa"/>
            <w:vAlign w:val="bottom"/>
            <w:tcBorders>
              <w:top w:val="single" w:sz="8" w:color="444867"/>
            </w:tcBorders>
          </w:tcPr>
          <w:p>
            <w:pPr>
              <w:spacing w:after="0"/>
              <w:rPr>
                <w:sz w:val="16"/>
                <w:szCs w:val="16"/>
                <w:color w:val="auto"/>
              </w:rPr>
            </w:pPr>
          </w:p>
        </w:tc>
        <w:tc>
          <w:tcPr>
            <w:tcW w:w="1960" w:type="dxa"/>
            <w:vAlign w:val="bottom"/>
            <w:tcBorders>
              <w:top w:val="single" w:sz="8" w:color="444867"/>
            </w:tcBorders>
          </w:tcPr>
          <w:p>
            <w:pPr>
              <w:jc w:val="center"/>
              <w:spacing w:after="0" w:line="192" w:lineRule="exact"/>
              <w:rPr>
                <w:sz w:val="20"/>
                <w:szCs w:val="20"/>
                <w:color w:val="auto"/>
              </w:rPr>
            </w:pPr>
            <w:r>
              <w:rPr>
                <w:rFonts w:ascii="Arial" w:cs="Arial" w:eastAsia="Arial" w:hAnsi="Arial"/>
                <w:sz w:val="17"/>
                <w:szCs w:val="17"/>
                <w:b w:val="1"/>
                <w:bCs w:val="1"/>
                <w:color w:val="auto"/>
              </w:rPr>
              <w:t>Nominations and</w:t>
            </w:r>
          </w:p>
        </w:tc>
        <w:tc>
          <w:tcPr>
            <w:tcW w:w="1480" w:type="dxa"/>
            <w:vAlign w:val="bottom"/>
            <w:tcBorders>
              <w:top w:val="single" w:sz="8" w:color="444867"/>
            </w:tcBorders>
          </w:tcPr>
          <w:p>
            <w:pPr>
              <w:spacing w:after="0"/>
              <w:rPr>
                <w:sz w:val="16"/>
                <w:szCs w:val="16"/>
                <w:color w:val="auto"/>
              </w:rPr>
            </w:pPr>
          </w:p>
        </w:tc>
      </w:tr>
      <w:tr>
        <w:trPr>
          <w:trHeight w:val="196"/>
        </w:trPr>
        <w:tc>
          <w:tcPr>
            <w:tcW w:w="3340" w:type="dxa"/>
            <w:vAlign w:val="bottom"/>
          </w:tcPr>
          <w:p>
            <w:pPr>
              <w:jc w:val="center"/>
              <w:ind w:left="1775"/>
              <w:spacing w:after="0"/>
              <w:rPr>
                <w:sz w:val="20"/>
                <w:szCs w:val="20"/>
                <w:color w:val="auto"/>
              </w:rPr>
            </w:pPr>
            <w:r>
              <w:rPr>
                <w:rFonts w:ascii="Arial" w:cs="Arial" w:eastAsia="Arial" w:hAnsi="Arial"/>
                <w:sz w:val="17"/>
                <w:szCs w:val="17"/>
                <w:b w:val="1"/>
                <w:bCs w:val="1"/>
                <w:color w:val="auto"/>
              </w:rPr>
              <w:t>Audit</w:t>
            </w:r>
          </w:p>
        </w:tc>
        <w:tc>
          <w:tcPr>
            <w:tcW w:w="1780" w:type="dxa"/>
            <w:vAlign w:val="bottom"/>
          </w:tcPr>
          <w:p>
            <w:pPr>
              <w:jc w:val="center"/>
              <w:spacing w:after="0"/>
              <w:rPr>
                <w:sz w:val="20"/>
                <w:szCs w:val="20"/>
                <w:color w:val="auto"/>
              </w:rPr>
            </w:pPr>
            <w:r>
              <w:rPr>
                <w:rFonts w:ascii="Arial" w:cs="Arial" w:eastAsia="Arial" w:hAnsi="Arial"/>
                <w:sz w:val="17"/>
                <w:szCs w:val="17"/>
                <w:b w:val="1"/>
                <w:bCs w:val="1"/>
                <w:color w:val="auto"/>
                <w:w w:val="99"/>
              </w:rPr>
              <w:t>Compensation</w:t>
            </w:r>
          </w:p>
        </w:tc>
        <w:tc>
          <w:tcPr>
            <w:tcW w:w="1960" w:type="dxa"/>
            <w:vAlign w:val="bottom"/>
          </w:tcPr>
          <w:p>
            <w:pPr>
              <w:jc w:val="center"/>
              <w:spacing w:after="0"/>
              <w:rPr>
                <w:sz w:val="20"/>
                <w:szCs w:val="20"/>
                <w:color w:val="auto"/>
              </w:rPr>
            </w:pPr>
            <w:r>
              <w:rPr>
                <w:rFonts w:ascii="Arial" w:cs="Arial" w:eastAsia="Arial" w:hAnsi="Arial"/>
                <w:sz w:val="17"/>
                <w:szCs w:val="17"/>
                <w:b w:val="1"/>
                <w:bCs w:val="1"/>
                <w:color w:val="auto"/>
                <w:w w:val="99"/>
              </w:rPr>
              <w:t>Governance</w:t>
            </w:r>
          </w:p>
        </w:tc>
        <w:tc>
          <w:tcPr>
            <w:tcW w:w="1480" w:type="dxa"/>
            <w:vAlign w:val="bottom"/>
          </w:tcPr>
          <w:p>
            <w:pPr>
              <w:jc w:val="center"/>
              <w:ind w:left="135"/>
              <w:spacing w:after="0"/>
              <w:rPr>
                <w:sz w:val="20"/>
                <w:szCs w:val="20"/>
                <w:color w:val="auto"/>
              </w:rPr>
            </w:pPr>
            <w:r>
              <w:rPr>
                <w:rFonts w:ascii="Arial" w:cs="Arial" w:eastAsia="Arial" w:hAnsi="Arial"/>
                <w:sz w:val="17"/>
                <w:szCs w:val="17"/>
                <w:b w:val="1"/>
                <w:bCs w:val="1"/>
                <w:color w:val="auto"/>
              </w:rPr>
              <w:t>Public Policy</w:t>
            </w:r>
          </w:p>
        </w:tc>
      </w:tr>
      <w:tr>
        <w:trPr>
          <w:trHeight w:val="213"/>
        </w:trPr>
        <w:tc>
          <w:tcPr>
            <w:tcW w:w="3340" w:type="dxa"/>
            <w:vAlign w:val="bottom"/>
            <w:tcBorders>
              <w:bottom w:val="single" w:sz="8" w:color="auto"/>
            </w:tcBorders>
          </w:tcPr>
          <w:p>
            <w:pPr>
              <w:jc w:val="center"/>
              <w:ind w:left="1775"/>
              <w:spacing w:after="0"/>
              <w:rPr>
                <w:sz w:val="20"/>
                <w:szCs w:val="20"/>
                <w:color w:val="auto"/>
              </w:rPr>
            </w:pPr>
            <w:r>
              <w:rPr>
                <w:rFonts w:ascii="Arial" w:cs="Arial" w:eastAsia="Arial" w:hAnsi="Arial"/>
                <w:sz w:val="17"/>
                <w:szCs w:val="17"/>
                <w:b w:val="1"/>
                <w:bCs w:val="1"/>
                <w:color w:val="auto"/>
              </w:rPr>
              <w:t>Committee</w:t>
            </w: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Committee</w:t>
            </w: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rPr>
              <w:t>Committee</w:t>
            </w:r>
          </w:p>
        </w:tc>
        <w:tc>
          <w:tcPr>
            <w:tcW w:w="1480" w:type="dxa"/>
            <w:vAlign w:val="bottom"/>
            <w:tcBorders>
              <w:bottom w:val="single" w:sz="8" w:color="auto"/>
            </w:tcBorders>
          </w:tcPr>
          <w:p>
            <w:pPr>
              <w:jc w:val="center"/>
              <w:ind w:left="75"/>
              <w:spacing w:after="0"/>
              <w:rPr>
                <w:sz w:val="20"/>
                <w:szCs w:val="20"/>
                <w:color w:val="auto"/>
              </w:rPr>
            </w:pPr>
            <w:r>
              <w:rPr>
                <w:rFonts w:ascii="Arial" w:cs="Arial" w:eastAsia="Arial" w:hAnsi="Arial"/>
                <w:sz w:val="17"/>
                <w:szCs w:val="17"/>
                <w:b w:val="1"/>
                <w:bCs w:val="1"/>
                <w:color w:val="auto"/>
              </w:rPr>
              <w:t>Committee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0</wp:posOffset>
            </wp:positionV>
            <wp:extent cx="5434330" cy="14922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434330" cy="149225"/>
                    </a:xfrm>
                    <a:prstGeom prst="rect">
                      <a:avLst/>
                    </a:prstGeom>
                    <a:noFill/>
                  </pic:spPr>
                </pic:pic>
              </a:graphicData>
            </a:graphic>
          </wp:anchor>
        </w:drawing>
      </w:r>
    </w:p>
    <w:p>
      <w:pPr>
        <w:spacing w:after="0" w:line="2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R. Alpern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1454785</wp:posOffset>
            </wp:positionH>
            <wp:positionV relativeFrom="paragraph">
              <wp:posOffset>147955</wp:posOffset>
            </wp:positionV>
            <wp:extent cx="99695" cy="14922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99695" cy="149225"/>
                    </a:xfrm>
                    <a:prstGeom prst="rect">
                      <a:avLst/>
                    </a:prstGeom>
                    <a:noFill/>
                  </pic:spPr>
                </pic:pic>
              </a:graphicData>
            </a:graphic>
          </wp:anchor>
        </w:drawing>
        <w:drawing>
          <wp:anchor simplePos="0" relativeHeight="251657728" behindDoc="1" locked="0" layoutInCell="0" allowOverlap="1">
            <wp:simplePos x="0" y="0"/>
            <wp:positionH relativeFrom="column">
              <wp:posOffset>2483485</wp:posOffset>
            </wp:positionH>
            <wp:positionV relativeFrom="paragraph">
              <wp:posOffset>172720</wp:posOffset>
            </wp:positionV>
            <wp:extent cx="83185" cy="1492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3185" cy="14922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172720</wp:posOffset>
            </wp:positionV>
            <wp:extent cx="83185" cy="14922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3185" cy="149225"/>
                    </a:xfrm>
                    <a:prstGeom prst="rect">
                      <a:avLst/>
                    </a:prstGeom>
                    <a:noFill/>
                  </pic:spPr>
                </pic:pic>
              </a:graphicData>
            </a:graphic>
          </wp:anchor>
        </w:drawing>
      </w:r>
    </w:p>
    <w:p>
      <w:pPr>
        <w:spacing w:after="0" w:line="29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R. Austin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-1270</wp:posOffset>
            </wp:positionV>
            <wp:extent cx="5434330" cy="2984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434330" cy="298450"/>
                    </a:xfrm>
                    <a:prstGeom prst="rect">
                      <a:avLst/>
                    </a:prstGeom>
                    <a:noFill/>
                  </pic:spPr>
                </pic:pic>
              </a:graphicData>
            </a:graphic>
          </wp:anchor>
        </w:drawing>
      </w:r>
    </w:p>
    <w:p>
      <w:pPr>
        <w:spacing w:after="0" w:line="25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W. Burnside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3528695</wp:posOffset>
            </wp:positionH>
            <wp:positionV relativeFrom="paragraph">
              <wp:posOffset>147955</wp:posOffset>
            </wp:positionV>
            <wp:extent cx="83185" cy="14922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3185" cy="14922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147955</wp:posOffset>
            </wp:positionV>
            <wp:extent cx="83185" cy="14922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3185" cy="149225"/>
                    </a:xfrm>
                    <a:prstGeom prst="rect">
                      <a:avLst/>
                    </a:prstGeom>
                    <a:noFill/>
                  </pic:spPr>
                </pic:pic>
              </a:graphicData>
            </a:graphic>
          </wp:anchor>
        </w:drawing>
      </w:r>
    </w:p>
    <w:p>
      <w:pPr>
        <w:spacing w:after="0" w:line="25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E. Liddy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-1270</wp:posOffset>
            </wp:positionV>
            <wp:extent cx="5434330" cy="298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434330" cy="298450"/>
                    </a:xfrm>
                    <a:prstGeom prst="rect">
                      <a:avLst/>
                    </a:prstGeom>
                    <a:noFill/>
                  </pic:spPr>
                </pic:pic>
              </a:graphicData>
            </a:graphic>
          </wp:anchor>
        </w:drawing>
      </w:r>
    </w:p>
    <w:p>
      <w:pPr>
        <w:spacing w:after="0" w:line="25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E. Rapp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873760</wp:posOffset>
            </wp:positionH>
            <wp:positionV relativeFrom="paragraph">
              <wp:posOffset>147955</wp:posOffset>
            </wp:positionV>
            <wp:extent cx="5434330" cy="47307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434330" cy="473075"/>
                    </a:xfrm>
                    <a:prstGeom prst="rect">
                      <a:avLst/>
                    </a:prstGeom>
                    <a:noFill/>
                  </pic:spPr>
                </pic:pic>
              </a:graphicData>
            </a:graphic>
          </wp:anchor>
        </w:drawing>
      </w:r>
    </w:p>
    <w:p>
      <w:pPr>
        <w:spacing w:after="0" w:line="255"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R. Roberts</w:t>
      </w:r>
    </w:p>
    <w:p>
      <w:pPr>
        <w:spacing w:after="0" w:line="314"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G. Tilton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2483485</wp:posOffset>
            </wp:positionH>
            <wp:positionV relativeFrom="paragraph">
              <wp:posOffset>147955</wp:posOffset>
            </wp:positionV>
            <wp:extent cx="83185" cy="14922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3185" cy="149225"/>
                    </a:xfrm>
                    <a:prstGeom prst="rect">
                      <a:avLst/>
                    </a:prstGeom>
                    <a:noFill/>
                  </pic:spPr>
                </pic:pic>
              </a:graphicData>
            </a:graphic>
          </wp:anchor>
        </w:drawing>
        <w:drawing>
          <wp:anchor simplePos="0" relativeHeight="251657728" behindDoc="1" locked="0" layoutInCell="0" allowOverlap="1">
            <wp:simplePos x="0" y="0"/>
            <wp:positionH relativeFrom="column">
              <wp:posOffset>3528695</wp:posOffset>
            </wp:positionH>
            <wp:positionV relativeFrom="paragraph">
              <wp:posOffset>147955</wp:posOffset>
            </wp:positionV>
            <wp:extent cx="83185" cy="14922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3185" cy="149225"/>
                    </a:xfrm>
                    <a:prstGeom prst="rect">
                      <a:avLst/>
                    </a:prstGeom>
                    <a:noFill/>
                  </pic:spPr>
                </pic:pic>
              </a:graphicData>
            </a:graphic>
          </wp:anchor>
        </w:drawing>
      </w:r>
    </w:p>
    <w:p>
      <w:pPr>
        <w:spacing w:after="0" w:line="252" w:lineRule="exact"/>
        <w:rPr>
          <w:sz w:val="20"/>
          <w:szCs w:val="20"/>
          <w:color w:val="auto"/>
        </w:rPr>
      </w:pPr>
    </w:p>
    <w:p>
      <w:pPr>
        <w:ind w:left="1380"/>
        <w:spacing w:after="0"/>
        <w:rPr>
          <w:sz w:val="20"/>
          <w:szCs w:val="20"/>
          <w:color w:val="auto"/>
        </w:rPr>
      </w:pPr>
      <w:r>
        <w:rPr>
          <w:rFonts w:ascii="Arial" w:cs="Arial" w:eastAsia="Arial" w:hAnsi="Arial"/>
          <w:sz w:val="17"/>
          <w:szCs w:val="17"/>
          <w:color w:val="auto"/>
        </w:rPr>
        <w:t>F. Waddell</w:t>
      </w:r>
    </w:p>
    <w:p>
      <w:pPr>
        <w:spacing w:after="0" w:line="20" w:lineRule="exact"/>
        <w:rPr>
          <w:sz w:val="20"/>
          <w:szCs w:val="20"/>
          <w:color w:val="auto"/>
        </w:rPr>
      </w:pPr>
    </w:p>
    <w:tbl>
      <w:tblPr>
        <w:tblLayout w:type="fixed"/>
        <w:tblInd w:w="1380" w:type="dxa"/>
        <w:tblCellMar>
          <w:top w:w="0" w:type="dxa"/>
          <w:left w:w="0" w:type="dxa"/>
          <w:bottom w:w="0" w:type="dxa"/>
          <w:right w:w="0" w:type="dxa"/>
        </w:tblCellMar>
      </w:tblPr>
      <w:tr>
        <w:trPr>
          <w:trHeight w:val="411"/>
        </w:trPr>
        <w:tc>
          <w:tcPr>
            <w:tcW w:w="2040" w:type="dxa"/>
            <w:vAlign w:val="bottom"/>
            <w:shd w:val="clear" w:color="auto" w:fill="E7E7E8"/>
          </w:tcPr>
          <w:p>
            <w:pPr>
              <w:spacing w:after="0"/>
              <w:rPr>
                <w:sz w:val="20"/>
                <w:szCs w:val="20"/>
                <w:color w:val="auto"/>
              </w:rPr>
            </w:pPr>
            <w:r>
              <w:rPr>
                <w:rFonts w:ascii="Arial" w:cs="Arial" w:eastAsia="Arial" w:hAnsi="Arial"/>
                <w:sz w:val="17"/>
                <w:szCs w:val="17"/>
                <w:color w:val="auto"/>
              </w:rPr>
              <w:t>Number of meetings</w:t>
            </w:r>
          </w:p>
        </w:tc>
        <w:tc>
          <w:tcPr>
            <w:tcW w:w="1380" w:type="dxa"/>
            <w:vAlign w:val="bottom"/>
            <w:shd w:val="clear" w:color="auto" w:fill="E7E7E8"/>
          </w:tcPr>
          <w:p>
            <w:pPr>
              <w:jc w:val="right"/>
              <w:ind w:right="695"/>
              <w:spacing w:after="0"/>
              <w:rPr>
                <w:sz w:val="20"/>
                <w:szCs w:val="20"/>
                <w:color w:val="auto"/>
              </w:rPr>
            </w:pPr>
            <w:r>
              <w:rPr>
                <w:rFonts w:ascii="Arial" w:cs="Arial" w:eastAsia="Arial" w:hAnsi="Arial"/>
                <w:sz w:val="17"/>
                <w:szCs w:val="17"/>
                <w:color w:val="auto"/>
              </w:rPr>
              <w:t>6</w:t>
            </w:r>
          </w:p>
        </w:tc>
        <w:tc>
          <w:tcPr>
            <w:tcW w:w="1740" w:type="dxa"/>
            <w:vAlign w:val="bottom"/>
            <w:shd w:val="clear" w:color="auto" w:fill="E7E7E8"/>
          </w:tcPr>
          <w:p>
            <w:pPr>
              <w:jc w:val="right"/>
              <w:ind w:right="775"/>
              <w:spacing w:after="0"/>
              <w:rPr>
                <w:sz w:val="20"/>
                <w:szCs w:val="20"/>
                <w:color w:val="auto"/>
              </w:rPr>
            </w:pPr>
            <w:r>
              <w:rPr>
                <w:rFonts w:ascii="Arial" w:cs="Arial" w:eastAsia="Arial" w:hAnsi="Arial"/>
                <w:sz w:val="17"/>
                <w:szCs w:val="17"/>
                <w:color w:val="auto"/>
              </w:rPr>
              <w:t>4</w:t>
            </w:r>
          </w:p>
        </w:tc>
        <w:tc>
          <w:tcPr>
            <w:tcW w:w="1840" w:type="dxa"/>
            <w:vAlign w:val="bottom"/>
            <w:shd w:val="clear" w:color="auto" w:fill="E7E7E8"/>
          </w:tcPr>
          <w:p>
            <w:pPr>
              <w:jc w:val="right"/>
              <w:ind w:right="775"/>
              <w:spacing w:after="0"/>
              <w:rPr>
                <w:sz w:val="20"/>
                <w:szCs w:val="20"/>
                <w:color w:val="auto"/>
              </w:rPr>
            </w:pPr>
            <w:r>
              <w:rPr>
                <w:rFonts w:ascii="Arial" w:cs="Arial" w:eastAsia="Arial" w:hAnsi="Arial"/>
                <w:sz w:val="17"/>
                <w:szCs w:val="17"/>
                <w:color w:val="auto"/>
              </w:rPr>
              <w:t>5</w:t>
            </w:r>
          </w:p>
        </w:tc>
        <w:tc>
          <w:tcPr>
            <w:tcW w:w="1560" w:type="dxa"/>
            <w:vAlign w:val="bottom"/>
            <w:shd w:val="clear" w:color="auto" w:fill="E7E7E8"/>
          </w:tcPr>
          <w:p>
            <w:pPr>
              <w:jc w:val="right"/>
              <w:ind w:right="495"/>
              <w:spacing w:after="0"/>
              <w:rPr>
                <w:sz w:val="20"/>
                <w:szCs w:val="20"/>
                <w:color w:val="auto"/>
              </w:rPr>
            </w:pPr>
            <w:r>
              <w:rPr>
                <w:rFonts w:ascii="Arial" w:cs="Arial" w:eastAsia="Arial" w:hAnsi="Arial"/>
                <w:sz w:val="17"/>
                <w:szCs w:val="17"/>
                <w:color w:val="auto"/>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1744980</wp:posOffset>
            </wp:positionH>
            <wp:positionV relativeFrom="paragraph">
              <wp:posOffset>389890</wp:posOffset>
            </wp:positionV>
            <wp:extent cx="83185" cy="14922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3185" cy="149225"/>
                    </a:xfrm>
                    <a:prstGeom prst="rect">
                      <a:avLst/>
                    </a:prstGeom>
                    <a:noFill/>
                  </pic:spPr>
                </pic:pic>
              </a:graphicData>
            </a:graphic>
          </wp:anchor>
        </w:drawing>
        <w:drawing>
          <wp:anchor simplePos="0" relativeHeight="251657728" behindDoc="1" locked="0" layoutInCell="0" allowOverlap="1">
            <wp:simplePos x="0" y="0"/>
            <wp:positionH relativeFrom="column">
              <wp:posOffset>2964815</wp:posOffset>
            </wp:positionH>
            <wp:positionV relativeFrom="paragraph">
              <wp:posOffset>389890</wp:posOffset>
            </wp:positionV>
            <wp:extent cx="83185" cy="14922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3185" cy="149225"/>
                    </a:xfrm>
                    <a:prstGeom prst="rect">
                      <a:avLst/>
                    </a:prstGeom>
                    <a:noFill/>
                  </pic:spPr>
                </pic:pic>
              </a:graphicData>
            </a:graphic>
          </wp:anchor>
        </w:drawing>
        <w:drawing>
          <wp:anchor simplePos="0" relativeHeight="251657728" behindDoc="1" locked="0" layoutInCell="0" allowOverlap="1">
            <wp:simplePos x="0" y="0"/>
            <wp:positionH relativeFrom="column">
              <wp:posOffset>4184015</wp:posOffset>
            </wp:positionH>
            <wp:positionV relativeFrom="paragraph">
              <wp:posOffset>389890</wp:posOffset>
            </wp:positionV>
            <wp:extent cx="83185" cy="14922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3185" cy="149225"/>
                    </a:xfrm>
                    <a:prstGeom prst="rect">
                      <a:avLst/>
                    </a:prstGeom>
                    <a:noFill/>
                  </pic:spPr>
                </pic:pic>
              </a:graphicData>
            </a:graphic>
          </wp:anchor>
        </w:drawing>
        <w:drawing>
          <wp:anchor simplePos="0" relativeHeight="251657728" behindDoc="1" locked="0" layoutInCell="0" allowOverlap="1">
            <wp:simplePos x="0" y="0"/>
            <wp:positionH relativeFrom="column">
              <wp:posOffset>5395595</wp:posOffset>
            </wp:positionH>
            <wp:positionV relativeFrom="paragraph">
              <wp:posOffset>389890</wp:posOffset>
            </wp:positionV>
            <wp:extent cx="99695" cy="14922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99695" cy="149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2320"/>
        <w:spacing w:after="0"/>
        <w:tabs>
          <w:tab w:leader="none" w:pos="4280" w:val="left"/>
          <w:tab w:leader="none" w:pos="6340" w:val="left"/>
          <w:tab w:leader="none" w:pos="7960" w:val="left"/>
        </w:tabs>
        <w:rPr>
          <w:sz w:val="20"/>
          <w:szCs w:val="20"/>
          <w:color w:val="auto"/>
        </w:rPr>
      </w:pPr>
      <w:r>
        <w:rPr>
          <w:rFonts w:ascii="Arial" w:cs="Arial" w:eastAsia="Arial" w:hAnsi="Arial"/>
          <w:sz w:val="17"/>
          <w:szCs w:val="17"/>
          <w:color w:val="auto"/>
        </w:rPr>
        <w:t>Lead Director</w:t>
      </w:r>
      <w:r>
        <w:rPr>
          <w:sz w:val="20"/>
          <w:szCs w:val="20"/>
          <w:color w:val="auto"/>
        </w:rPr>
        <w:tab/>
      </w:r>
      <w:r>
        <w:rPr>
          <w:rFonts w:ascii="Arial" w:cs="Arial" w:eastAsia="Arial" w:hAnsi="Arial"/>
          <w:sz w:val="17"/>
          <w:szCs w:val="17"/>
          <w:color w:val="auto"/>
        </w:rPr>
        <w:t>Chairperson</w:t>
      </w:r>
      <w:r>
        <w:rPr>
          <w:sz w:val="20"/>
          <w:szCs w:val="20"/>
          <w:color w:val="auto"/>
        </w:rPr>
        <w:tab/>
      </w:r>
      <w:r>
        <w:rPr>
          <w:rFonts w:ascii="Arial" w:cs="Arial" w:eastAsia="Arial" w:hAnsi="Arial"/>
          <w:sz w:val="17"/>
          <w:szCs w:val="17"/>
          <w:color w:val="auto"/>
        </w:rPr>
        <w:t>Member</w:t>
      </w:r>
      <w:r>
        <w:rPr>
          <w:sz w:val="20"/>
          <w:szCs w:val="20"/>
          <w:color w:val="auto"/>
        </w:rPr>
        <w:tab/>
      </w:r>
      <w:r>
        <w:rPr>
          <w:rFonts w:ascii="Arial" w:cs="Arial" w:eastAsia="Arial" w:hAnsi="Arial"/>
          <w:sz w:val="17"/>
          <w:szCs w:val="17"/>
          <w:color w:val="auto"/>
        </w:rPr>
        <w:t>Financial Expert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Audit Committee</w:t>
      </w:r>
    </w:p>
    <w:p>
      <w:pPr>
        <w:spacing w:after="0" w:line="230" w:lineRule="exact"/>
        <w:rPr>
          <w:sz w:val="20"/>
          <w:szCs w:val="20"/>
          <w:color w:val="auto"/>
        </w:rPr>
      </w:pPr>
    </w:p>
    <w:p>
      <w:pPr>
        <w:ind w:right="140" w:firstLine="657"/>
        <w:spacing w:after="0" w:line="243" w:lineRule="auto"/>
        <w:rPr>
          <w:sz w:val="20"/>
          <w:szCs w:val="20"/>
          <w:color w:val="auto"/>
        </w:rPr>
      </w:pPr>
      <w:r>
        <w:rPr>
          <w:rFonts w:ascii="Arial" w:cs="Arial" w:eastAsia="Arial" w:hAnsi="Arial"/>
          <w:sz w:val="17"/>
          <w:szCs w:val="17"/>
          <w:color w:val="auto"/>
        </w:rPr>
        <w:t>The audit committee is governed by a written charter. This committee assists the board of directors in fulfilling its oversight responsibility with respect to AbbVie's accounting and financial reporting practices and the audit process, the quality and integrity of AbbVie's financial statements, the independent auditors' qualifications, independence, and performance, the performance of AbbVie's internal audit function and internal auditors, certain areas of legal and regulatory compliance, and enterprise risk management. Each of the members of the audit committee is financially</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18" w:name="page19"/>
    <w:bookmarkEnd w:id="18"/>
    <w:p>
      <w:pPr>
        <w:spacing w:after="0" w:line="197" w:lineRule="auto"/>
        <w:framePr w:w="2680" w:h="95" w:wrap="auto" w:vAnchor="page" w:hAnchor="page" w:x="420" w:y="594"/>
        <w:rPr>
          <w:rFonts w:ascii="Arial" w:cs="Arial" w:eastAsia="Arial" w:hAnsi="Arial"/>
          <w:sz w:val="10"/>
          <w:szCs w:val="10"/>
          <w:b w:val="1"/>
          <w:bCs w:val="1"/>
          <w:color w:val="FFFFFE"/>
        </w:rPr>
      </w:pPr>
      <w:r>
        <w:rPr>
          <w:rFonts w:ascii="Arial" w:cs="Arial" w:eastAsia="Arial" w:hAnsi="Arial"/>
          <w:sz w:val="10"/>
          <w:szCs w:val="10"/>
          <w:b w:val="1"/>
          <w:bCs w:val="1"/>
          <w:color w:val="FFFFFE"/>
        </w:rPr>
        <w:t>THE BOARD OF DIRECTORS AND ITS COMMITTEES</w:t>
      </w: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824990" cy="14097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24990" cy="140970"/>
                    </a:xfrm>
                    <a:prstGeom prst="rect">
                      <a:avLst/>
                    </a:prstGeom>
                    <a:noFill/>
                  </pic:spPr>
                </pic:pic>
              </a:graphicData>
            </a:graphic>
          </wp:anchor>
        </w:drawing>
      </w:r>
    </w:p>
    <w:p>
      <w:pPr>
        <w:spacing w:after="0" w:line="190" w:lineRule="exact"/>
        <w:rPr>
          <w:rFonts w:ascii="Arial" w:cs="Arial" w:eastAsia="Arial" w:hAnsi="Arial"/>
          <w:sz w:val="10"/>
          <w:szCs w:val="10"/>
          <w:b w:val="1"/>
          <w:bCs w:val="1"/>
          <w:color w:val="FFFFFE"/>
        </w:rPr>
      </w:pPr>
    </w:p>
    <w:p>
      <w:pPr>
        <w:ind w:left="2880" w:right="140"/>
        <w:spacing w:after="0"/>
        <w:rPr>
          <w:sz w:val="20"/>
          <w:szCs w:val="20"/>
          <w:color w:val="auto"/>
        </w:rPr>
      </w:pPr>
      <w:r>
        <w:rPr>
          <w:rFonts w:ascii="Arial" w:cs="Arial" w:eastAsia="Arial" w:hAnsi="Arial"/>
          <w:sz w:val="17"/>
          <w:szCs w:val="17"/>
          <w:color w:val="auto"/>
        </w:rPr>
        <w:t>literate, as required of audit committee members by the NYSE, and the independence requirements set forth in Section 10A(m)(3) of the Securities Exchange Act of 1934, as amended (the "Exchange Act"). The board of</w:t>
      </w:r>
    </w:p>
    <w:p>
      <w:pPr>
        <w:spacing w:after="0" w:line="1"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color w:val="auto"/>
        </w:rPr>
        <w:t>directors has determined that Ms. Austin, the committee's chairperson, is an "audit committee financial expert."</w:t>
      </w:r>
    </w:p>
    <w:p>
      <w:pPr>
        <w:spacing w:after="0" w:line="190"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b w:val="1"/>
          <w:bCs w:val="1"/>
          <w:color w:val="444867"/>
        </w:rPr>
        <w:t>Compensation Committee</w:t>
      </w:r>
    </w:p>
    <w:p>
      <w:pPr>
        <w:spacing w:after="0" w:line="230" w:lineRule="exact"/>
        <w:rPr>
          <w:rFonts w:ascii="Arial" w:cs="Arial" w:eastAsia="Arial" w:hAnsi="Arial"/>
          <w:sz w:val="10"/>
          <w:szCs w:val="10"/>
          <w:b w:val="1"/>
          <w:bCs w:val="1"/>
          <w:color w:val="FFFFFE"/>
        </w:rPr>
      </w:pPr>
    </w:p>
    <w:p>
      <w:pPr>
        <w:ind w:right="40" w:firstLine="657"/>
        <w:spacing w:after="0" w:line="241" w:lineRule="auto"/>
        <w:rPr>
          <w:sz w:val="20"/>
          <w:szCs w:val="20"/>
          <w:color w:val="auto"/>
        </w:rPr>
      </w:pPr>
      <w:r>
        <w:rPr>
          <w:rFonts w:ascii="Arial" w:cs="Arial" w:eastAsia="Arial" w:hAnsi="Arial"/>
          <w:sz w:val="17"/>
          <w:szCs w:val="17"/>
          <w:color w:val="auto"/>
        </w:rPr>
        <w:t>The compensation committee is governed by a written charter. This committee assists the board of directors in carrying out the board's responsibilities relating to the compensation of AbbVie's executive officers and directors. The compensation committee annually reviews the compensation paid to the directors and gives its recommendations to the full board regarding both the amount of director compensation that should be paid and the allocation of that compensation between equity-based awards and cash. In recommending director compensation, the compensation committee takes into account director fees paid by companies in AbbVie's Health Care Peer Group and reviews any arrangement that could be viewed as indirect director compensation. The processes and procedures used for the consideration and determination of executive compensation are described in the "Compensation Discussion and Analysis" section of this proxy statement. The committee also reviews, approves, and administers the incentive compensation plans in which the AbbVie executive officers participate and all of AbbVie's equity-based plans. It may delegate the responsibility to administer and make grants under these plans to management, except to the extent that such delegation would be inconsistent with applicable law or regulations or with the listing rules of the New York Stock Exchange. The compensation committee has the sole authority, under its charter, to select, retain and/or terminate independent advisors who may assist the committee in carrying out its responsibilities. The compensation committee reviews and discusses with management and its independent compensation advisor potential risks associated with AbbVie's compensation policies and practices as discussed in the "Compensation Risk Assessment" section of this proxy statement. Each member of the committee qualifies as a "non-employee director" for purposes of Rule 16b-3 under the Exchange Act and as an "outside director" for purposes of Internal Revenue Code Section 162(m).</w:t>
      </w:r>
    </w:p>
    <w:p>
      <w:pPr>
        <w:spacing w:after="0" w:line="204" w:lineRule="exact"/>
        <w:rPr>
          <w:rFonts w:ascii="Arial" w:cs="Arial" w:eastAsia="Arial" w:hAnsi="Arial"/>
          <w:sz w:val="10"/>
          <w:szCs w:val="10"/>
          <w:b w:val="1"/>
          <w:bCs w:val="1"/>
          <w:color w:val="FFFFFE"/>
        </w:rPr>
      </w:pPr>
    </w:p>
    <w:p>
      <w:pPr>
        <w:ind w:right="40" w:firstLine="657"/>
        <w:spacing w:after="0" w:line="242" w:lineRule="auto"/>
        <w:rPr>
          <w:sz w:val="20"/>
          <w:szCs w:val="20"/>
          <w:color w:val="auto"/>
        </w:rPr>
      </w:pPr>
      <w:r>
        <w:rPr>
          <w:rFonts w:ascii="Arial" w:cs="Arial" w:eastAsia="Arial" w:hAnsi="Arial"/>
          <w:sz w:val="17"/>
          <w:szCs w:val="17"/>
          <w:color w:val="auto"/>
        </w:rPr>
        <w:t>The committee has engaged Compensation Advisory Partners (CAP) as its independent compensation consultant. The independent compensation consultant provides counsel and advice to the committee on executive and non-employee director compensation matters. CAP, and its principal, report directly to the chair of the committee. The principal meets regularly, and as needed, with the committee in executive sessions, and has direct access to the chair during and between meetings. The committee determines what variables it will instruct CAP to consider, including: peer groups against which performance and pay should be examined, metrics to be used in incentive plans to assess AbbVie's performance, competitive short- and long-term incentive practices in the marketplace, and compensation levels relative to market benchmarks. The committee negotiates and approves all fees paid to CAP for these services. AbbVie did not engage CAP to perform any other services during 2015.</w:t>
      </w:r>
    </w:p>
    <w:p>
      <w:pPr>
        <w:spacing w:after="0" w:line="201" w:lineRule="exact"/>
        <w:rPr>
          <w:rFonts w:ascii="Arial" w:cs="Arial" w:eastAsia="Arial" w:hAnsi="Arial"/>
          <w:sz w:val="10"/>
          <w:szCs w:val="10"/>
          <w:b w:val="1"/>
          <w:bCs w:val="1"/>
          <w:color w:val="FFFFFE"/>
        </w:rPr>
      </w:pPr>
    </w:p>
    <w:p>
      <w:pPr>
        <w:ind w:right="60" w:firstLine="661"/>
        <w:spacing w:after="0" w:line="245" w:lineRule="auto"/>
        <w:rPr>
          <w:sz w:val="20"/>
          <w:szCs w:val="20"/>
          <w:color w:val="auto"/>
        </w:rPr>
      </w:pPr>
      <w:r>
        <w:rPr>
          <w:rFonts w:ascii="Arial" w:cs="Arial" w:eastAsia="Arial" w:hAnsi="Arial"/>
          <w:sz w:val="17"/>
          <w:szCs w:val="17"/>
          <w:color w:val="auto"/>
        </w:rPr>
        <w:t>Based on an assessment of internally developed information and information provided by CAP, the committee has determined that its independent compensation advisor does not have a conflict of interest. A copy of the compensation committee report is included in the "Compensation Committee Report" section of this proxy statement.</w:t>
      </w:r>
    </w:p>
    <w:p>
      <w:pPr>
        <w:spacing w:after="0" w:line="178"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b w:val="1"/>
          <w:bCs w:val="1"/>
          <w:color w:val="444867"/>
        </w:rPr>
        <w:t>Nominations and Governance Committee</w:t>
      </w:r>
    </w:p>
    <w:p>
      <w:pPr>
        <w:spacing w:after="0" w:line="230" w:lineRule="exact"/>
        <w:rPr>
          <w:rFonts w:ascii="Arial" w:cs="Arial" w:eastAsia="Arial" w:hAnsi="Arial"/>
          <w:sz w:val="10"/>
          <w:szCs w:val="10"/>
          <w:b w:val="1"/>
          <w:bCs w:val="1"/>
          <w:color w:val="FFFFFE"/>
        </w:rPr>
      </w:pPr>
    </w:p>
    <w:p>
      <w:pPr>
        <w:ind w:firstLine="657"/>
        <w:spacing w:after="0" w:line="242" w:lineRule="auto"/>
        <w:rPr>
          <w:sz w:val="20"/>
          <w:szCs w:val="20"/>
          <w:color w:val="auto"/>
        </w:rPr>
      </w:pPr>
      <w:r>
        <w:rPr>
          <w:rFonts w:ascii="Arial" w:cs="Arial" w:eastAsia="Arial" w:hAnsi="Arial"/>
          <w:sz w:val="17"/>
          <w:szCs w:val="17"/>
          <w:color w:val="auto"/>
        </w:rPr>
        <w:t>The nominations and governance committee is governed by a written charter. This committee assists the board of directors in identifying individuals qualified to become board members and recommends to the board the nominees for election as directors at the next annual meeting of stockholders, recommends to the board the persons to be elected as executive officers of AbbVie, recommends to the board the corporate governance guidelines applicable to AbbVie, oversees the evaluation of the board and management, and serves in an advisory capacity to the board and the chairman of the board on matters of organization, management succession plans, major changes in the organizational structure of AbbVie, and the conduct of board activities. The process used by this committee to identify a nominee to serve as a member of the board of directors depends on the qualities being sought, as described on pages 13-14. From time to time, AbbVie engages an executive search firm to assist the committee in identifying individuals qualified to be board members.</w:t>
      </w:r>
    </w:p>
    <w:p>
      <w:pPr>
        <w:spacing w:after="0" w:line="208" w:lineRule="exact"/>
        <w:rPr>
          <w:rFonts w:ascii="Arial" w:cs="Arial" w:eastAsia="Arial" w:hAnsi="Arial"/>
          <w:sz w:val="10"/>
          <w:szCs w:val="10"/>
          <w:b w:val="1"/>
          <w:bCs w:val="1"/>
          <w:color w:val="FFFFFE"/>
        </w:rPr>
      </w:pPr>
    </w:p>
    <w:p>
      <w:pPr>
        <w:ind w:left="60"/>
        <w:spacing w:after="0"/>
        <w:rPr>
          <w:sz w:val="20"/>
          <w:szCs w:val="20"/>
          <w:color w:val="auto"/>
        </w:rPr>
      </w:pPr>
      <w:r>
        <w:rPr>
          <w:rFonts w:ascii="Arial" w:cs="Arial" w:eastAsia="Arial" w:hAnsi="Arial"/>
          <w:sz w:val="17"/>
          <w:szCs w:val="17"/>
          <w:b w:val="1"/>
          <w:bCs w:val="1"/>
          <w:color w:val="auto"/>
        </w:rPr>
        <w:t xml:space="preserve">16  </w:t>
      </w:r>
      <w:r>
        <w:rPr>
          <w:sz w:val="1"/>
          <w:szCs w:val="1"/>
          <w:color w:val="auto"/>
        </w:rPr>
        <w:drawing>
          <wp:inline distT="0" distB="0" distL="0" distR="0">
            <wp:extent cx="622300" cy="107950"/>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19" w:name="page20"/>
    <w:bookmarkEnd w:id="1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444867"/>
        </w:rPr>
        <w:t>Public Policy Committee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0"/>
          <w:szCs w:val="10"/>
          <w:b w:val="1"/>
          <w:bCs w:val="1"/>
          <w:color w:val="FFFFFE"/>
        </w:rPr>
        <w:t>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-31750</wp:posOffset>
            </wp:positionH>
            <wp:positionV relativeFrom="paragraph">
              <wp:posOffset>-95885</wp:posOffset>
            </wp:positionV>
            <wp:extent cx="1824990" cy="1409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824990" cy="14097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7880" w:space="720"/>
            <w:col w:w="2820"/>
          </w:cols>
          <w:pgMar w:left="240" w:top="143" w:right="239" w:bottom="1440" w:gutter="0" w:footer="0" w:header="0"/>
        </w:sectPr>
      </w:pPr>
    </w:p>
    <w:p>
      <w:pPr>
        <w:spacing w:after="0" w:line="41" w:lineRule="exact"/>
        <w:rPr>
          <w:sz w:val="20"/>
          <w:szCs w:val="20"/>
          <w:color w:val="auto"/>
        </w:rPr>
      </w:pPr>
    </w:p>
    <w:p>
      <w:pPr>
        <w:ind w:right="20" w:firstLine="657"/>
        <w:spacing w:after="0" w:line="245" w:lineRule="auto"/>
        <w:rPr>
          <w:sz w:val="20"/>
          <w:szCs w:val="20"/>
          <w:color w:val="auto"/>
        </w:rPr>
      </w:pPr>
      <w:r>
        <w:rPr>
          <w:rFonts w:ascii="Arial" w:cs="Arial" w:eastAsia="Arial" w:hAnsi="Arial"/>
          <w:sz w:val="17"/>
          <w:szCs w:val="17"/>
          <w:color w:val="auto"/>
        </w:rPr>
        <w:t>The public policy committee is governed by a written charter. This committee assists the board of directors in fulfilling its oversight responsibility with respect to AbbVie's public policy, certain areas of legal and regulatory compliance, and governmental affairs and health care compliance matters that affect AbbVie by discharging the responsibilities set forth in its charter.</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Executive Committee</w:t>
      </w:r>
    </w:p>
    <w:p>
      <w:pPr>
        <w:spacing w:after="0" w:line="230" w:lineRule="exact"/>
        <w:rPr>
          <w:sz w:val="20"/>
          <w:szCs w:val="20"/>
          <w:color w:val="auto"/>
        </w:rPr>
      </w:pPr>
    </w:p>
    <w:p>
      <w:pPr>
        <w:ind w:right="80" w:firstLine="657"/>
        <w:spacing w:after="0" w:line="250" w:lineRule="auto"/>
        <w:rPr>
          <w:sz w:val="20"/>
          <w:szCs w:val="20"/>
          <w:color w:val="auto"/>
        </w:rPr>
      </w:pPr>
      <w:r>
        <w:rPr>
          <w:rFonts w:ascii="Arial" w:cs="Arial" w:eastAsia="Arial" w:hAnsi="Arial"/>
          <w:sz w:val="17"/>
          <w:szCs w:val="17"/>
          <w:color w:val="auto"/>
        </w:rPr>
        <w:t>The executive committee members are Mr. Gonzalez, chair, Ms. Austin, Mr. Liddy, Mr. Roberts, and Mr. Tilton. This committee may exercise all of the authority of the board in the management of AbbVie, except for matters expressly reserved by law for board action.</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Communicating with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200" w:firstLine="661"/>
        <w:spacing w:after="0" w:line="243" w:lineRule="auto"/>
        <w:rPr>
          <w:sz w:val="20"/>
          <w:szCs w:val="20"/>
          <w:color w:val="auto"/>
        </w:rPr>
      </w:pPr>
      <w:r>
        <w:rPr>
          <w:rFonts w:ascii="Arial" w:cs="Arial" w:eastAsia="Arial" w:hAnsi="Arial"/>
          <w:sz w:val="17"/>
          <w:szCs w:val="17"/>
          <w:color w:val="auto"/>
        </w:rPr>
        <w:t>Stockholders and other interested parties may communicate with the board of directors by writing a letter to the chairman of the board, to the lead director, or to the independent directors c/o AbbVie Inc., 1 North Waukegan Road, AP34, North Chicago, Illinois 60064, Attention: corporate secretary. The corporate secretary regularly forwards to the addressee all letters other than mass mailings, advertisements, and other materials not relevant to AbbVie's business. In addition, directors regularly receive a log of all correspondence received by the company that is addressed to a member of the board and may request any correspondence on that log.</w:t>
      </w:r>
    </w:p>
    <w:p>
      <w:pPr>
        <w:spacing w:after="0" w:line="207"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20" w:name="page21"/>
    <w:bookmarkEnd w:id="2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6305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80" w:firstLine="651"/>
        <w:spacing w:after="0" w:line="250" w:lineRule="auto"/>
        <w:rPr>
          <w:sz w:val="20"/>
          <w:szCs w:val="20"/>
          <w:color w:val="auto"/>
        </w:rPr>
      </w:pPr>
      <w:r>
        <w:rPr>
          <w:rFonts w:ascii="Arial" w:cs="Arial" w:eastAsia="Arial" w:hAnsi="Arial"/>
          <w:sz w:val="17"/>
          <w:szCs w:val="17"/>
          <w:color w:val="auto"/>
        </w:rPr>
        <w:t>AbbVie employees are not compensated for serving on the board or board committees. AbbVie's non-employee directors are compensated for their service under the AbbVie Non-Employee Directors' Fee Plan and the AbbVie 2013 Incentive Stock Program.</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sets forth the non-employee directors' 2015 compensation.</w:t>
      </w:r>
    </w:p>
    <w:p>
      <w:pPr>
        <w:spacing w:after="0" w:line="190" w:lineRule="exact"/>
        <w:rPr>
          <w:sz w:val="20"/>
          <w:szCs w:val="20"/>
          <w:color w:val="auto"/>
        </w:rPr>
      </w:pPr>
    </w:p>
    <w:tbl>
      <w:tblPr>
        <w:tblLayout w:type="fixed"/>
        <w:tblInd w:w="1380" w:type="dxa"/>
        <w:tblCellMar>
          <w:top w:w="0" w:type="dxa"/>
          <w:left w:w="0" w:type="dxa"/>
          <w:bottom w:w="0" w:type="dxa"/>
          <w:right w:w="0" w:type="dxa"/>
        </w:tblCellMar>
      </w:tblPr>
      <w:tr>
        <w:trPr>
          <w:trHeight w:val="196"/>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jc w:val="right"/>
              <w:ind w:right="155"/>
              <w:spacing w:after="0"/>
              <w:rPr>
                <w:sz w:val="20"/>
                <w:szCs w:val="20"/>
                <w:color w:val="auto"/>
              </w:rPr>
            </w:pPr>
            <w:r>
              <w:rPr>
                <w:rFonts w:ascii="Arial" w:cs="Arial" w:eastAsia="Arial" w:hAnsi="Arial"/>
                <w:sz w:val="17"/>
                <w:szCs w:val="17"/>
                <w:b w:val="1"/>
                <w:bCs w:val="1"/>
                <w:color w:val="444867"/>
              </w:rPr>
              <w:t>Change in</w:t>
            </w: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jc w:val="right"/>
              <w:ind w:right="155"/>
              <w:spacing w:after="0"/>
              <w:rPr>
                <w:sz w:val="20"/>
                <w:szCs w:val="20"/>
                <w:color w:val="auto"/>
              </w:rPr>
            </w:pPr>
            <w:r>
              <w:rPr>
                <w:rFonts w:ascii="Arial" w:cs="Arial" w:eastAsia="Arial" w:hAnsi="Arial"/>
                <w:sz w:val="17"/>
                <w:szCs w:val="17"/>
                <w:b w:val="1"/>
                <w:bCs w:val="1"/>
                <w:color w:val="444867"/>
              </w:rPr>
              <w:t>Pension Value</w:t>
            </w: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jc w:val="right"/>
              <w:ind w:right="155"/>
              <w:spacing w:after="0"/>
              <w:rPr>
                <w:sz w:val="20"/>
                <w:szCs w:val="20"/>
                <w:color w:val="auto"/>
              </w:rPr>
            </w:pPr>
            <w:r>
              <w:rPr>
                <w:rFonts w:ascii="Arial" w:cs="Arial" w:eastAsia="Arial" w:hAnsi="Arial"/>
                <w:sz w:val="17"/>
                <w:szCs w:val="17"/>
                <w:b w:val="1"/>
                <w:bCs w:val="1"/>
                <w:color w:val="444867"/>
              </w:rPr>
              <w:t>and</w:t>
            </w: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444867"/>
              </w:rPr>
              <w:t>Fees</w:t>
            </w:r>
          </w:p>
        </w:tc>
        <w:tc>
          <w:tcPr>
            <w:tcW w:w="10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500" w:type="dxa"/>
            <w:vAlign w:val="bottom"/>
          </w:tcPr>
          <w:p>
            <w:pPr>
              <w:jc w:val="right"/>
              <w:ind w:right="155"/>
              <w:spacing w:after="0"/>
              <w:rPr>
                <w:sz w:val="20"/>
                <w:szCs w:val="20"/>
                <w:color w:val="auto"/>
              </w:rPr>
            </w:pPr>
            <w:r>
              <w:rPr>
                <w:rFonts w:ascii="Arial" w:cs="Arial" w:eastAsia="Arial" w:hAnsi="Arial"/>
                <w:sz w:val="17"/>
                <w:szCs w:val="17"/>
                <w:b w:val="1"/>
                <w:bCs w:val="1"/>
                <w:color w:val="444867"/>
              </w:rPr>
              <w:t>Nonqualified</w:t>
            </w: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444867"/>
              </w:rPr>
              <w:t>Earned or</w:t>
            </w:r>
          </w:p>
        </w:tc>
        <w:tc>
          <w:tcPr>
            <w:tcW w:w="1060" w:type="dxa"/>
            <w:vAlign w:val="bottom"/>
          </w:tcPr>
          <w:p>
            <w:pPr>
              <w:jc w:val="right"/>
              <w:ind w:right="55"/>
              <w:spacing w:after="0"/>
              <w:rPr>
                <w:sz w:val="20"/>
                <w:szCs w:val="20"/>
                <w:color w:val="auto"/>
              </w:rPr>
            </w:pPr>
            <w:r>
              <w:rPr>
                <w:rFonts w:ascii="Arial" w:cs="Arial" w:eastAsia="Arial" w:hAnsi="Arial"/>
                <w:sz w:val="17"/>
                <w:szCs w:val="17"/>
                <w:b w:val="1"/>
                <w:bCs w:val="1"/>
                <w:color w:val="444867"/>
              </w:rPr>
              <w:t>Restricted</w:t>
            </w:r>
          </w:p>
        </w:tc>
        <w:tc>
          <w:tcPr>
            <w:tcW w:w="840" w:type="dxa"/>
            <w:vAlign w:val="bottom"/>
          </w:tcPr>
          <w:p>
            <w:pPr>
              <w:spacing w:after="0"/>
              <w:rPr>
                <w:sz w:val="17"/>
                <w:szCs w:val="17"/>
                <w:color w:val="auto"/>
              </w:rPr>
            </w:pPr>
          </w:p>
        </w:tc>
        <w:tc>
          <w:tcPr>
            <w:tcW w:w="1500" w:type="dxa"/>
            <w:vAlign w:val="bottom"/>
          </w:tcPr>
          <w:p>
            <w:pPr>
              <w:jc w:val="right"/>
              <w:ind w:right="155"/>
              <w:spacing w:after="0"/>
              <w:rPr>
                <w:sz w:val="20"/>
                <w:szCs w:val="20"/>
                <w:color w:val="auto"/>
              </w:rPr>
            </w:pPr>
            <w:r>
              <w:rPr>
                <w:rFonts w:ascii="Arial" w:cs="Arial" w:eastAsia="Arial" w:hAnsi="Arial"/>
                <w:sz w:val="17"/>
                <w:szCs w:val="17"/>
                <w:b w:val="1"/>
                <w:bCs w:val="1"/>
                <w:color w:val="444867"/>
              </w:rPr>
              <w:t>Deferred</w:t>
            </w:r>
          </w:p>
        </w:tc>
        <w:tc>
          <w:tcPr>
            <w:tcW w:w="16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444867"/>
              </w:rPr>
              <w:t>Paid in</w:t>
            </w:r>
          </w:p>
        </w:tc>
        <w:tc>
          <w:tcPr>
            <w:tcW w:w="1060" w:type="dxa"/>
            <w:vAlign w:val="bottom"/>
          </w:tcPr>
          <w:p>
            <w:pPr>
              <w:jc w:val="right"/>
              <w:ind w:right="55"/>
              <w:spacing w:after="0"/>
              <w:rPr>
                <w:sz w:val="20"/>
                <w:szCs w:val="20"/>
                <w:color w:val="auto"/>
              </w:rPr>
            </w:pPr>
            <w:r>
              <w:rPr>
                <w:rFonts w:ascii="Arial" w:cs="Arial" w:eastAsia="Arial" w:hAnsi="Arial"/>
                <w:sz w:val="17"/>
                <w:szCs w:val="17"/>
                <w:b w:val="1"/>
                <w:bCs w:val="1"/>
                <w:color w:val="444867"/>
              </w:rPr>
              <w:t>Stock Unit</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444867"/>
              </w:rPr>
              <w:t>Option</w:t>
            </w:r>
          </w:p>
        </w:tc>
        <w:tc>
          <w:tcPr>
            <w:tcW w:w="1500" w:type="dxa"/>
            <w:vAlign w:val="bottom"/>
          </w:tcPr>
          <w:p>
            <w:pPr>
              <w:jc w:val="right"/>
              <w:ind w:right="155"/>
              <w:spacing w:after="0"/>
              <w:rPr>
                <w:sz w:val="20"/>
                <w:szCs w:val="20"/>
                <w:color w:val="auto"/>
              </w:rPr>
            </w:pPr>
            <w:r>
              <w:rPr>
                <w:rFonts w:ascii="Arial" w:cs="Arial" w:eastAsia="Arial" w:hAnsi="Arial"/>
                <w:sz w:val="17"/>
                <w:szCs w:val="17"/>
                <w:b w:val="1"/>
                <w:bCs w:val="1"/>
                <w:color w:val="444867"/>
              </w:rPr>
              <w:t>Compensation</w:t>
            </w:r>
          </w:p>
        </w:tc>
        <w:tc>
          <w:tcPr>
            <w:tcW w:w="1660" w:type="dxa"/>
            <w:vAlign w:val="bottom"/>
          </w:tcPr>
          <w:p>
            <w:pPr>
              <w:jc w:val="right"/>
              <w:ind w:right="155"/>
              <w:spacing w:after="0"/>
              <w:rPr>
                <w:sz w:val="20"/>
                <w:szCs w:val="20"/>
                <w:color w:val="auto"/>
              </w:rPr>
            </w:pPr>
            <w:r>
              <w:rPr>
                <w:rFonts w:ascii="Arial" w:cs="Arial" w:eastAsia="Arial" w:hAnsi="Arial"/>
                <w:sz w:val="17"/>
                <w:szCs w:val="17"/>
                <w:b w:val="1"/>
                <w:bCs w:val="1"/>
                <w:color w:val="444867"/>
              </w:rPr>
              <w:t>All Other</w:t>
            </w:r>
          </w:p>
        </w:tc>
        <w:tc>
          <w:tcPr>
            <w:tcW w:w="940" w:type="dxa"/>
            <w:vAlign w:val="bottom"/>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7"/>
                <w:szCs w:val="17"/>
                <w:b w:val="1"/>
                <w:bCs w:val="1"/>
                <w:color w:val="444867"/>
              </w:rPr>
              <w:t>Cash</w:t>
            </w:r>
          </w:p>
        </w:tc>
        <w:tc>
          <w:tcPr>
            <w:tcW w:w="1060" w:type="dxa"/>
            <w:vAlign w:val="bottom"/>
          </w:tcPr>
          <w:p>
            <w:pPr>
              <w:jc w:val="right"/>
              <w:ind w:right="55"/>
              <w:spacing w:after="0"/>
              <w:rPr>
                <w:sz w:val="20"/>
                <w:szCs w:val="20"/>
                <w:color w:val="auto"/>
              </w:rPr>
            </w:pPr>
            <w:r>
              <w:rPr>
                <w:rFonts w:ascii="Arial" w:cs="Arial" w:eastAsia="Arial" w:hAnsi="Arial"/>
                <w:sz w:val="17"/>
                <w:szCs w:val="17"/>
                <w:b w:val="1"/>
                <w:bCs w:val="1"/>
                <w:color w:val="444867"/>
              </w:rPr>
              <w:t>Awards</w:t>
            </w:r>
          </w:p>
        </w:tc>
        <w:tc>
          <w:tcPr>
            <w:tcW w:w="840" w:type="dxa"/>
            <w:vAlign w:val="bottom"/>
          </w:tcPr>
          <w:p>
            <w:pPr>
              <w:jc w:val="right"/>
              <w:spacing w:after="0"/>
              <w:rPr>
                <w:sz w:val="20"/>
                <w:szCs w:val="20"/>
                <w:color w:val="auto"/>
              </w:rPr>
            </w:pPr>
            <w:r>
              <w:rPr>
                <w:rFonts w:ascii="Arial" w:cs="Arial" w:eastAsia="Arial" w:hAnsi="Arial"/>
                <w:sz w:val="17"/>
                <w:szCs w:val="17"/>
                <w:b w:val="1"/>
                <w:bCs w:val="1"/>
                <w:color w:val="444867"/>
              </w:rPr>
              <w:t>Awards</w:t>
            </w:r>
          </w:p>
        </w:tc>
        <w:tc>
          <w:tcPr>
            <w:tcW w:w="1500" w:type="dxa"/>
            <w:vAlign w:val="bottom"/>
          </w:tcPr>
          <w:p>
            <w:pPr>
              <w:jc w:val="right"/>
              <w:ind w:right="155"/>
              <w:spacing w:after="0"/>
              <w:rPr>
                <w:sz w:val="20"/>
                <w:szCs w:val="20"/>
                <w:color w:val="auto"/>
              </w:rPr>
            </w:pPr>
            <w:r>
              <w:rPr>
                <w:rFonts w:ascii="Arial" w:cs="Arial" w:eastAsia="Arial" w:hAnsi="Arial"/>
                <w:sz w:val="17"/>
                <w:szCs w:val="17"/>
                <w:b w:val="1"/>
                <w:bCs w:val="1"/>
                <w:color w:val="444867"/>
              </w:rPr>
              <w:t>Earnings</w:t>
            </w:r>
          </w:p>
        </w:tc>
        <w:tc>
          <w:tcPr>
            <w:tcW w:w="1660" w:type="dxa"/>
            <w:vAlign w:val="bottom"/>
          </w:tcPr>
          <w:p>
            <w:pPr>
              <w:jc w:val="right"/>
              <w:ind w:right="155"/>
              <w:spacing w:after="0"/>
              <w:rPr>
                <w:sz w:val="20"/>
                <w:szCs w:val="20"/>
                <w:color w:val="auto"/>
              </w:rPr>
            </w:pPr>
            <w:r>
              <w:rPr>
                <w:rFonts w:ascii="Arial" w:cs="Arial" w:eastAsia="Arial" w:hAnsi="Arial"/>
                <w:sz w:val="17"/>
                <w:szCs w:val="17"/>
                <w:b w:val="1"/>
                <w:bCs w:val="1"/>
                <w:color w:val="444867"/>
              </w:rPr>
              <w:t>Compensation</w:t>
            </w:r>
          </w:p>
        </w:tc>
        <w:tc>
          <w:tcPr>
            <w:tcW w:w="940" w:type="dxa"/>
            <w:vAlign w:val="bottom"/>
          </w:tcPr>
          <w:p>
            <w:pPr>
              <w:jc w:val="right"/>
              <w:spacing w:after="0"/>
              <w:rPr>
                <w:sz w:val="20"/>
                <w:szCs w:val="20"/>
                <w:color w:val="auto"/>
              </w:rPr>
            </w:pPr>
            <w:r>
              <w:rPr>
                <w:rFonts w:ascii="Arial" w:cs="Arial" w:eastAsia="Arial" w:hAnsi="Arial"/>
                <w:sz w:val="17"/>
                <w:szCs w:val="17"/>
                <w:b w:val="1"/>
                <w:bCs w:val="1"/>
                <w:color w:val="444867"/>
              </w:rPr>
              <w:t>Total</w:t>
            </w:r>
          </w:p>
        </w:tc>
      </w:tr>
      <w:tr>
        <w:trPr>
          <w:trHeight w:val="213"/>
        </w:trPr>
        <w:tc>
          <w:tcPr>
            <w:tcW w:w="122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444867"/>
              </w:rPr>
              <w:t>Name</w:t>
            </w:r>
          </w:p>
        </w:tc>
        <w:tc>
          <w:tcPr>
            <w:tcW w:w="118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7"/>
                <w:szCs w:val="17"/>
                <w:b w:val="1"/>
                <w:bCs w:val="1"/>
                <w:color w:val="444867"/>
              </w:rPr>
              <w:t>($)(1)</w:t>
            </w:r>
          </w:p>
        </w:tc>
        <w:tc>
          <w:tcPr>
            <w:tcW w:w="10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444867"/>
              </w:rPr>
              <w:t>($)(2)</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($)(3)</w:t>
            </w:r>
          </w:p>
        </w:tc>
        <w:tc>
          <w:tcPr>
            <w:tcW w:w="150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444867"/>
              </w:rPr>
              <w:t>($)(4)</w:t>
            </w:r>
          </w:p>
        </w:tc>
        <w:tc>
          <w:tcPr>
            <w:tcW w:w="1660" w:type="dxa"/>
            <w:vAlign w:val="bottom"/>
            <w:tcBorders>
              <w:bottom w:val="single" w:sz="8" w:color="auto"/>
            </w:tcBorders>
          </w:tcPr>
          <w:p>
            <w:pPr>
              <w:jc w:val="right"/>
              <w:ind w:right="155"/>
              <w:spacing w:after="0"/>
              <w:rPr>
                <w:sz w:val="20"/>
                <w:szCs w:val="20"/>
                <w:color w:val="auto"/>
              </w:rPr>
            </w:pPr>
            <w:r>
              <w:rPr>
                <w:rFonts w:ascii="Arial" w:cs="Arial" w:eastAsia="Arial" w:hAnsi="Arial"/>
                <w:sz w:val="17"/>
                <w:szCs w:val="17"/>
                <w:b w:val="1"/>
                <w:bCs w:val="1"/>
                <w:color w:val="444867"/>
              </w:rPr>
              <w:t>($)(5)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w:t>
            </w:r>
          </w:p>
        </w:tc>
      </w:tr>
      <w:tr>
        <w:trPr>
          <w:trHeight w:val="189"/>
        </w:trPr>
        <w:tc>
          <w:tcPr>
            <w:tcW w:w="122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R. Alpern</w:t>
            </w:r>
          </w:p>
        </w:tc>
        <w:tc>
          <w:tcPr>
            <w:tcW w:w="1180" w:type="dxa"/>
            <w:vAlign w:val="bottom"/>
            <w:gridSpan w:val="2"/>
            <w:shd w:val="clear" w:color="auto" w:fill="E7E7E8"/>
          </w:tcPr>
          <w:p>
            <w:pPr>
              <w:jc w:val="right"/>
              <w:ind w:right="80"/>
              <w:spacing w:after="0" w:line="189" w:lineRule="exact"/>
              <w:rPr>
                <w:sz w:val="20"/>
                <w:szCs w:val="20"/>
                <w:color w:val="auto"/>
              </w:rPr>
            </w:pPr>
            <w:r>
              <w:rPr>
                <w:rFonts w:ascii="Arial" w:cs="Arial" w:eastAsia="Arial" w:hAnsi="Arial"/>
                <w:sz w:val="17"/>
                <w:szCs w:val="17"/>
                <w:color w:val="auto"/>
              </w:rPr>
              <w:t>$126,000</w:t>
            </w:r>
          </w:p>
        </w:tc>
        <w:tc>
          <w:tcPr>
            <w:tcW w:w="1060" w:type="dxa"/>
            <w:vAlign w:val="bottom"/>
            <w:shd w:val="clear" w:color="auto" w:fill="E7E7E8"/>
          </w:tcPr>
          <w:p>
            <w:pPr>
              <w:jc w:val="right"/>
              <w:ind w:right="55"/>
              <w:spacing w:after="0" w:line="189" w:lineRule="exact"/>
              <w:rPr>
                <w:sz w:val="20"/>
                <w:szCs w:val="20"/>
                <w:color w:val="auto"/>
              </w:rPr>
            </w:pPr>
            <w:r>
              <w:rPr>
                <w:rFonts w:ascii="Arial" w:cs="Arial" w:eastAsia="Arial" w:hAnsi="Arial"/>
                <w:sz w:val="17"/>
                <w:szCs w:val="17"/>
                <w:color w:val="auto"/>
              </w:rPr>
              <w:t>$142,920</w:t>
            </w:r>
          </w:p>
        </w:tc>
        <w:tc>
          <w:tcPr>
            <w:tcW w:w="84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$0</w:t>
            </w:r>
          </w:p>
        </w:tc>
        <w:tc>
          <w:tcPr>
            <w:tcW w:w="1500" w:type="dxa"/>
            <w:vAlign w:val="bottom"/>
            <w:shd w:val="clear" w:color="auto" w:fill="E7E7E8"/>
          </w:tcPr>
          <w:p>
            <w:pPr>
              <w:jc w:val="right"/>
              <w:ind w:right="155"/>
              <w:spacing w:after="0" w:line="189" w:lineRule="exact"/>
              <w:rPr>
                <w:sz w:val="20"/>
                <w:szCs w:val="20"/>
                <w:color w:val="auto"/>
              </w:rPr>
            </w:pPr>
            <w:r>
              <w:rPr>
                <w:rFonts w:ascii="Arial" w:cs="Arial" w:eastAsia="Arial" w:hAnsi="Arial"/>
                <w:sz w:val="17"/>
                <w:szCs w:val="17"/>
                <w:color w:val="auto"/>
              </w:rPr>
              <w:t>$9,109</w:t>
            </w:r>
          </w:p>
        </w:tc>
        <w:tc>
          <w:tcPr>
            <w:tcW w:w="1660" w:type="dxa"/>
            <w:vAlign w:val="bottom"/>
            <w:shd w:val="clear" w:color="auto" w:fill="E7E7E8"/>
          </w:tcPr>
          <w:p>
            <w:pPr>
              <w:jc w:val="right"/>
              <w:ind w:right="155"/>
              <w:spacing w:after="0" w:line="189" w:lineRule="exact"/>
              <w:rPr>
                <w:sz w:val="20"/>
                <w:szCs w:val="20"/>
                <w:color w:val="auto"/>
              </w:rPr>
            </w:pPr>
            <w:r>
              <w:rPr>
                <w:rFonts w:ascii="Arial" w:cs="Arial" w:eastAsia="Arial" w:hAnsi="Arial"/>
                <w:sz w:val="17"/>
                <w:szCs w:val="17"/>
                <w:color w:val="auto"/>
              </w:rPr>
              <w:t>$0</w:t>
            </w:r>
          </w:p>
        </w:tc>
        <w:tc>
          <w:tcPr>
            <w:tcW w:w="94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$278,029</w:t>
            </w:r>
          </w:p>
        </w:tc>
      </w:tr>
      <w:tr>
        <w:trPr>
          <w:trHeight w:val="196"/>
        </w:trPr>
        <w:tc>
          <w:tcPr>
            <w:tcW w:w="1220" w:type="dxa"/>
            <w:vAlign w:val="bottom"/>
          </w:tcPr>
          <w:p>
            <w:pPr>
              <w:spacing w:after="0"/>
              <w:rPr>
                <w:sz w:val="20"/>
                <w:szCs w:val="20"/>
                <w:color w:val="auto"/>
              </w:rPr>
            </w:pPr>
            <w:r>
              <w:rPr>
                <w:rFonts w:ascii="Arial" w:cs="Arial" w:eastAsia="Arial" w:hAnsi="Arial"/>
                <w:sz w:val="17"/>
                <w:szCs w:val="17"/>
                <w:color w:val="auto"/>
              </w:rPr>
              <w:t>R. Austin</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144,000</w:t>
            </w: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142,920</w:t>
            </w:r>
          </w:p>
        </w:tc>
        <w:tc>
          <w:tcPr>
            <w:tcW w:w="840" w:type="dxa"/>
            <w:vAlign w:val="bottom"/>
          </w:tcPr>
          <w:p>
            <w:pPr>
              <w:jc w:val="right"/>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155"/>
              <w:spacing w:after="0"/>
              <w:rPr>
                <w:sz w:val="20"/>
                <w:szCs w:val="20"/>
                <w:color w:val="auto"/>
              </w:rPr>
            </w:pPr>
            <w:r>
              <w:rPr>
                <w:rFonts w:ascii="Arial" w:cs="Arial" w:eastAsia="Arial" w:hAnsi="Arial"/>
                <w:sz w:val="17"/>
                <w:szCs w:val="17"/>
                <w:color w:val="auto"/>
              </w:rPr>
              <w:t>0</w:t>
            </w:r>
          </w:p>
        </w:tc>
        <w:tc>
          <w:tcPr>
            <w:tcW w:w="1660" w:type="dxa"/>
            <w:vAlign w:val="bottom"/>
          </w:tcPr>
          <w:p>
            <w:pPr>
              <w:jc w:val="right"/>
              <w:ind w:right="155"/>
              <w:spacing w:after="0"/>
              <w:rPr>
                <w:sz w:val="20"/>
                <w:szCs w:val="20"/>
                <w:color w:val="auto"/>
              </w:rPr>
            </w:pPr>
            <w:r>
              <w:rPr>
                <w:rFonts w:ascii="Arial" w:cs="Arial" w:eastAsia="Arial" w:hAnsi="Arial"/>
                <w:sz w:val="17"/>
                <w:szCs w:val="17"/>
                <w:color w:val="auto"/>
              </w:rPr>
              <w:t>0</w:t>
            </w:r>
          </w:p>
        </w:tc>
        <w:tc>
          <w:tcPr>
            <w:tcW w:w="940" w:type="dxa"/>
            <w:vAlign w:val="bottom"/>
          </w:tcPr>
          <w:p>
            <w:pPr>
              <w:jc w:val="right"/>
              <w:spacing w:after="0"/>
              <w:rPr>
                <w:sz w:val="20"/>
                <w:szCs w:val="20"/>
                <w:color w:val="auto"/>
              </w:rPr>
            </w:pPr>
            <w:r>
              <w:rPr>
                <w:rFonts w:ascii="Arial" w:cs="Arial" w:eastAsia="Arial" w:hAnsi="Arial"/>
                <w:sz w:val="17"/>
                <w:szCs w:val="17"/>
                <w:color w:val="auto"/>
              </w:rPr>
              <w:t>286,920</w:t>
            </w:r>
          </w:p>
        </w:tc>
      </w:tr>
      <w:tr>
        <w:trPr>
          <w:trHeight w:val="196"/>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W. Burnside</w:t>
            </w:r>
          </w:p>
        </w:tc>
        <w:tc>
          <w:tcPr>
            <w:tcW w:w="1180" w:type="dxa"/>
            <w:vAlign w:val="bottom"/>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132,000</w:t>
            </w:r>
          </w:p>
        </w:tc>
        <w:tc>
          <w:tcPr>
            <w:tcW w:w="10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142,920</w:t>
            </w:r>
          </w:p>
        </w:tc>
        <w:tc>
          <w:tcPr>
            <w:tcW w:w="8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w:t>
            </w:r>
          </w:p>
        </w:tc>
        <w:tc>
          <w:tcPr>
            <w:tcW w:w="1500" w:type="dxa"/>
            <w:vAlign w:val="bottom"/>
            <w:shd w:val="clear" w:color="auto" w:fill="E7E7E8"/>
          </w:tcPr>
          <w:p>
            <w:pPr>
              <w:jc w:val="right"/>
              <w:ind w:right="155"/>
              <w:spacing w:after="0"/>
              <w:rPr>
                <w:sz w:val="20"/>
                <w:szCs w:val="20"/>
                <w:color w:val="auto"/>
              </w:rPr>
            </w:pPr>
            <w:r>
              <w:rPr>
                <w:rFonts w:ascii="Arial" w:cs="Arial" w:eastAsia="Arial" w:hAnsi="Arial"/>
                <w:sz w:val="17"/>
                <w:szCs w:val="17"/>
                <w:color w:val="auto"/>
              </w:rPr>
              <w:t>0</w:t>
            </w:r>
          </w:p>
        </w:tc>
        <w:tc>
          <w:tcPr>
            <w:tcW w:w="1660" w:type="dxa"/>
            <w:vAlign w:val="bottom"/>
            <w:shd w:val="clear" w:color="auto" w:fill="E7E7E8"/>
          </w:tcPr>
          <w:p>
            <w:pPr>
              <w:jc w:val="right"/>
              <w:ind w:right="155"/>
              <w:spacing w:after="0"/>
              <w:rPr>
                <w:sz w:val="20"/>
                <w:szCs w:val="20"/>
                <w:color w:val="auto"/>
              </w:rPr>
            </w:pPr>
            <w:r>
              <w:rPr>
                <w:rFonts w:ascii="Arial" w:cs="Arial" w:eastAsia="Arial" w:hAnsi="Arial"/>
                <w:sz w:val="17"/>
                <w:szCs w:val="17"/>
                <w:color w:val="auto"/>
              </w:rPr>
              <w:t>25,000</w:t>
            </w:r>
          </w:p>
        </w:tc>
        <w:tc>
          <w:tcPr>
            <w:tcW w:w="9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299,920</w:t>
            </w:r>
          </w:p>
        </w:tc>
      </w:tr>
      <w:tr>
        <w:trPr>
          <w:trHeight w:val="196"/>
        </w:trPr>
        <w:tc>
          <w:tcPr>
            <w:tcW w:w="1220" w:type="dxa"/>
            <w:vAlign w:val="bottom"/>
          </w:tcPr>
          <w:p>
            <w:pPr>
              <w:spacing w:after="0"/>
              <w:rPr>
                <w:sz w:val="20"/>
                <w:szCs w:val="20"/>
                <w:color w:val="auto"/>
              </w:rPr>
            </w:pPr>
            <w:r>
              <w:rPr>
                <w:rFonts w:ascii="Arial" w:cs="Arial" w:eastAsia="Arial" w:hAnsi="Arial"/>
                <w:sz w:val="17"/>
                <w:szCs w:val="17"/>
                <w:color w:val="auto"/>
              </w:rPr>
              <w:t>E. Liddy</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138,000</w:t>
            </w: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142,920</w:t>
            </w:r>
          </w:p>
        </w:tc>
        <w:tc>
          <w:tcPr>
            <w:tcW w:w="840" w:type="dxa"/>
            <w:vAlign w:val="bottom"/>
          </w:tcPr>
          <w:p>
            <w:pPr>
              <w:jc w:val="right"/>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155"/>
              <w:spacing w:after="0"/>
              <w:rPr>
                <w:sz w:val="20"/>
                <w:szCs w:val="20"/>
                <w:color w:val="auto"/>
              </w:rPr>
            </w:pPr>
            <w:r>
              <w:rPr>
                <w:rFonts w:ascii="Arial" w:cs="Arial" w:eastAsia="Arial" w:hAnsi="Arial"/>
                <w:sz w:val="17"/>
                <w:szCs w:val="17"/>
                <w:color w:val="auto"/>
              </w:rPr>
              <w:t>0</w:t>
            </w:r>
          </w:p>
        </w:tc>
        <w:tc>
          <w:tcPr>
            <w:tcW w:w="1660" w:type="dxa"/>
            <w:vAlign w:val="bottom"/>
          </w:tcPr>
          <w:p>
            <w:pPr>
              <w:jc w:val="right"/>
              <w:ind w:right="155"/>
              <w:spacing w:after="0"/>
              <w:rPr>
                <w:sz w:val="20"/>
                <w:szCs w:val="20"/>
                <w:color w:val="auto"/>
              </w:rPr>
            </w:pPr>
            <w:r>
              <w:rPr>
                <w:rFonts w:ascii="Arial" w:cs="Arial" w:eastAsia="Arial" w:hAnsi="Arial"/>
                <w:sz w:val="17"/>
                <w:szCs w:val="17"/>
                <w:color w:val="auto"/>
              </w:rPr>
              <w:t>2,500</w:t>
            </w:r>
          </w:p>
        </w:tc>
        <w:tc>
          <w:tcPr>
            <w:tcW w:w="940" w:type="dxa"/>
            <w:vAlign w:val="bottom"/>
          </w:tcPr>
          <w:p>
            <w:pPr>
              <w:jc w:val="right"/>
              <w:spacing w:after="0"/>
              <w:rPr>
                <w:sz w:val="20"/>
                <w:szCs w:val="20"/>
                <w:color w:val="auto"/>
              </w:rPr>
            </w:pPr>
            <w:r>
              <w:rPr>
                <w:rFonts w:ascii="Arial" w:cs="Arial" w:eastAsia="Arial" w:hAnsi="Arial"/>
                <w:sz w:val="17"/>
                <w:szCs w:val="17"/>
                <w:color w:val="auto"/>
              </w:rPr>
              <w:t>283,420</w:t>
            </w:r>
          </w:p>
        </w:tc>
      </w:tr>
      <w:tr>
        <w:trPr>
          <w:trHeight w:val="196"/>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E. Rapp</w:t>
            </w:r>
          </w:p>
        </w:tc>
        <w:tc>
          <w:tcPr>
            <w:tcW w:w="1180" w:type="dxa"/>
            <w:vAlign w:val="bottom"/>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132,000</w:t>
            </w:r>
          </w:p>
        </w:tc>
        <w:tc>
          <w:tcPr>
            <w:tcW w:w="10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142,920</w:t>
            </w:r>
          </w:p>
        </w:tc>
        <w:tc>
          <w:tcPr>
            <w:tcW w:w="8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w:t>
            </w:r>
          </w:p>
        </w:tc>
        <w:tc>
          <w:tcPr>
            <w:tcW w:w="1500" w:type="dxa"/>
            <w:vAlign w:val="bottom"/>
            <w:shd w:val="clear" w:color="auto" w:fill="E7E7E8"/>
          </w:tcPr>
          <w:p>
            <w:pPr>
              <w:jc w:val="right"/>
              <w:ind w:right="155"/>
              <w:spacing w:after="0"/>
              <w:rPr>
                <w:sz w:val="20"/>
                <w:szCs w:val="20"/>
                <w:color w:val="auto"/>
              </w:rPr>
            </w:pPr>
            <w:r>
              <w:rPr>
                <w:rFonts w:ascii="Arial" w:cs="Arial" w:eastAsia="Arial" w:hAnsi="Arial"/>
                <w:sz w:val="17"/>
                <w:szCs w:val="17"/>
                <w:color w:val="auto"/>
              </w:rPr>
              <w:t>0</w:t>
            </w:r>
          </w:p>
        </w:tc>
        <w:tc>
          <w:tcPr>
            <w:tcW w:w="1660" w:type="dxa"/>
            <w:vAlign w:val="bottom"/>
            <w:shd w:val="clear" w:color="auto" w:fill="E7E7E8"/>
          </w:tcPr>
          <w:p>
            <w:pPr>
              <w:jc w:val="right"/>
              <w:ind w:right="155"/>
              <w:spacing w:after="0"/>
              <w:rPr>
                <w:sz w:val="20"/>
                <w:szCs w:val="20"/>
                <w:color w:val="auto"/>
              </w:rPr>
            </w:pPr>
            <w:r>
              <w:rPr>
                <w:rFonts w:ascii="Arial" w:cs="Arial" w:eastAsia="Arial" w:hAnsi="Arial"/>
                <w:sz w:val="17"/>
                <w:szCs w:val="17"/>
                <w:color w:val="auto"/>
              </w:rPr>
              <w:t>25,000</w:t>
            </w:r>
          </w:p>
        </w:tc>
        <w:tc>
          <w:tcPr>
            <w:tcW w:w="9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299,920</w:t>
            </w:r>
          </w:p>
        </w:tc>
      </w:tr>
      <w:tr>
        <w:trPr>
          <w:trHeight w:val="196"/>
        </w:trPr>
        <w:tc>
          <w:tcPr>
            <w:tcW w:w="1220" w:type="dxa"/>
            <w:vAlign w:val="bottom"/>
          </w:tcPr>
          <w:p>
            <w:pPr>
              <w:spacing w:after="0"/>
              <w:rPr>
                <w:sz w:val="20"/>
                <w:szCs w:val="20"/>
                <w:color w:val="auto"/>
              </w:rPr>
            </w:pPr>
            <w:r>
              <w:rPr>
                <w:rFonts w:ascii="Arial" w:cs="Arial" w:eastAsia="Arial" w:hAnsi="Arial"/>
                <w:sz w:val="17"/>
                <w:szCs w:val="17"/>
                <w:color w:val="auto"/>
              </w:rPr>
              <w:t>R. Roberts</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138,000</w:t>
            </w: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142,920</w:t>
            </w:r>
          </w:p>
        </w:tc>
        <w:tc>
          <w:tcPr>
            <w:tcW w:w="840" w:type="dxa"/>
            <w:vAlign w:val="bottom"/>
          </w:tcPr>
          <w:p>
            <w:pPr>
              <w:jc w:val="right"/>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155"/>
              <w:spacing w:after="0"/>
              <w:rPr>
                <w:sz w:val="20"/>
                <w:szCs w:val="20"/>
                <w:color w:val="auto"/>
              </w:rPr>
            </w:pPr>
            <w:r>
              <w:rPr>
                <w:rFonts w:ascii="Arial" w:cs="Arial" w:eastAsia="Arial" w:hAnsi="Arial"/>
                <w:sz w:val="17"/>
                <w:szCs w:val="17"/>
                <w:color w:val="auto"/>
              </w:rPr>
              <w:t>0</w:t>
            </w:r>
          </w:p>
        </w:tc>
        <w:tc>
          <w:tcPr>
            <w:tcW w:w="1660" w:type="dxa"/>
            <w:vAlign w:val="bottom"/>
          </w:tcPr>
          <w:p>
            <w:pPr>
              <w:jc w:val="right"/>
              <w:ind w:right="155"/>
              <w:spacing w:after="0"/>
              <w:rPr>
                <w:sz w:val="20"/>
                <w:szCs w:val="20"/>
                <w:color w:val="auto"/>
              </w:rPr>
            </w:pPr>
            <w:r>
              <w:rPr>
                <w:rFonts w:ascii="Arial" w:cs="Arial" w:eastAsia="Arial" w:hAnsi="Arial"/>
                <w:sz w:val="17"/>
                <w:szCs w:val="17"/>
                <w:color w:val="auto"/>
              </w:rPr>
              <w:t>28,457</w:t>
            </w:r>
          </w:p>
        </w:tc>
        <w:tc>
          <w:tcPr>
            <w:tcW w:w="940" w:type="dxa"/>
            <w:vAlign w:val="bottom"/>
          </w:tcPr>
          <w:p>
            <w:pPr>
              <w:jc w:val="right"/>
              <w:spacing w:after="0"/>
              <w:rPr>
                <w:sz w:val="20"/>
                <w:szCs w:val="20"/>
                <w:color w:val="auto"/>
              </w:rPr>
            </w:pPr>
            <w:r>
              <w:rPr>
                <w:rFonts w:ascii="Arial" w:cs="Arial" w:eastAsia="Arial" w:hAnsi="Arial"/>
                <w:sz w:val="17"/>
                <w:szCs w:val="17"/>
                <w:color w:val="auto"/>
              </w:rPr>
              <w:t>309,377</w:t>
            </w:r>
          </w:p>
        </w:tc>
      </w:tr>
      <w:tr>
        <w:trPr>
          <w:trHeight w:val="196"/>
        </w:trPr>
        <w:tc>
          <w:tcPr>
            <w:tcW w:w="1220" w:type="dxa"/>
            <w:vAlign w:val="bottom"/>
            <w:shd w:val="clear" w:color="auto" w:fill="E7E7E8"/>
          </w:tcPr>
          <w:p>
            <w:pPr>
              <w:spacing w:after="0"/>
              <w:rPr>
                <w:sz w:val="20"/>
                <w:szCs w:val="20"/>
                <w:color w:val="auto"/>
              </w:rPr>
            </w:pPr>
            <w:r>
              <w:rPr>
                <w:rFonts w:ascii="Arial" w:cs="Arial" w:eastAsia="Arial" w:hAnsi="Arial"/>
                <w:sz w:val="17"/>
                <w:szCs w:val="17"/>
                <w:color w:val="auto"/>
              </w:rPr>
              <w:t>G. Tilton</w:t>
            </w:r>
          </w:p>
        </w:tc>
        <w:tc>
          <w:tcPr>
            <w:tcW w:w="1180" w:type="dxa"/>
            <w:vAlign w:val="bottom"/>
            <w:gridSpan w:val="2"/>
            <w:shd w:val="clear" w:color="auto" w:fill="E7E7E8"/>
          </w:tcPr>
          <w:p>
            <w:pPr>
              <w:jc w:val="right"/>
              <w:ind w:right="80"/>
              <w:spacing w:after="0"/>
              <w:rPr>
                <w:sz w:val="20"/>
                <w:szCs w:val="20"/>
                <w:color w:val="auto"/>
              </w:rPr>
            </w:pPr>
            <w:r>
              <w:rPr>
                <w:rFonts w:ascii="Arial" w:cs="Arial" w:eastAsia="Arial" w:hAnsi="Arial"/>
                <w:sz w:val="17"/>
                <w:szCs w:val="17"/>
                <w:color w:val="auto"/>
              </w:rPr>
              <w:t>138,000</w:t>
            </w:r>
          </w:p>
        </w:tc>
        <w:tc>
          <w:tcPr>
            <w:tcW w:w="10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142,920</w:t>
            </w:r>
          </w:p>
        </w:tc>
        <w:tc>
          <w:tcPr>
            <w:tcW w:w="8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w:t>
            </w:r>
          </w:p>
        </w:tc>
        <w:tc>
          <w:tcPr>
            <w:tcW w:w="1500" w:type="dxa"/>
            <w:vAlign w:val="bottom"/>
            <w:shd w:val="clear" w:color="auto" w:fill="E7E7E8"/>
          </w:tcPr>
          <w:p>
            <w:pPr>
              <w:jc w:val="right"/>
              <w:ind w:right="155"/>
              <w:spacing w:after="0"/>
              <w:rPr>
                <w:sz w:val="20"/>
                <w:szCs w:val="20"/>
                <w:color w:val="auto"/>
              </w:rPr>
            </w:pPr>
            <w:r>
              <w:rPr>
                <w:rFonts w:ascii="Arial" w:cs="Arial" w:eastAsia="Arial" w:hAnsi="Arial"/>
                <w:sz w:val="17"/>
                <w:szCs w:val="17"/>
                <w:color w:val="auto"/>
              </w:rPr>
              <w:t>0</w:t>
            </w:r>
          </w:p>
        </w:tc>
        <w:tc>
          <w:tcPr>
            <w:tcW w:w="1660" w:type="dxa"/>
            <w:vAlign w:val="bottom"/>
            <w:shd w:val="clear" w:color="auto" w:fill="E7E7E8"/>
          </w:tcPr>
          <w:p>
            <w:pPr>
              <w:jc w:val="right"/>
              <w:ind w:right="155"/>
              <w:spacing w:after="0"/>
              <w:rPr>
                <w:sz w:val="20"/>
                <w:szCs w:val="20"/>
                <w:color w:val="auto"/>
              </w:rPr>
            </w:pPr>
            <w:r>
              <w:rPr>
                <w:rFonts w:ascii="Arial" w:cs="Arial" w:eastAsia="Arial" w:hAnsi="Arial"/>
                <w:sz w:val="17"/>
                <w:szCs w:val="17"/>
                <w:color w:val="auto"/>
              </w:rPr>
              <w:t>25,000</w:t>
            </w:r>
          </w:p>
        </w:tc>
        <w:tc>
          <w:tcPr>
            <w:tcW w:w="9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305,920</w:t>
            </w:r>
          </w:p>
        </w:tc>
      </w:tr>
      <w:tr>
        <w:trPr>
          <w:trHeight w:val="207"/>
        </w:trPr>
        <w:tc>
          <w:tcPr>
            <w:tcW w:w="1220" w:type="dxa"/>
            <w:vAlign w:val="bottom"/>
          </w:tcPr>
          <w:p>
            <w:pPr>
              <w:spacing w:after="0"/>
              <w:rPr>
                <w:sz w:val="20"/>
                <w:szCs w:val="20"/>
                <w:color w:val="auto"/>
              </w:rPr>
            </w:pPr>
            <w:r>
              <w:rPr>
                <w:rFonts w:ascii="Arial" w:cs="Arial" w:eastAsia="Arial" w:hAnsi="Arial"/>
                <w:sz w:val="17"/>
                <w:szCs w:val="17"/>
                <w:color w:val="auto"/>
              </w:rPr>
              <w:t>F. Waddell</w:t>
            </w:r>
          </w:p>
        </w:tc>
        <w:tc>
          <w:tcPr>
            <w:tcW w:w="1180" w:type="dxa"/>
            <w:vAlign w:val="bottom"/>
            <w:gridSpan w:val="2"/>
          </w:tcPr>
          <w:p>
            <w:pPr>
              <w:jc w:val="right"/>
              <w:ind w:right="80"/>
              <w:spacing w:after="0"/>
              <w:rPr>
                <w:sz w:val="20"/>
                <w:szCs w:val="20"/>
                <w:color w:val="auto"/>
              </w:rPr>
            </w:pPr>
            <w:r>
              <w:rPr>
                <w:rFonts w:ascii="Arial" w:cs="Arial" w:eastAsia="Arial" w:hAnsi="Arial"/>
                <w:sz w:val="17"/>
                <w:szCs w:val="17"/>
                <w:color w:val="auto"/>
              </w:rPr>
              <w:t>132,000</w:t>
            </w:r>
          </w:p>
        </w:tc>
        <w:tc>
          <w:tcPr>
            <w:tcW w:w="1060" w:type="dxa"/>
            <w:vAlign w:val="bottom"/>
          </w:tcPr>
          <w:p>
            <w:pPr>
              <w:jc w:val="right"/>
              <w:ind w:right="55"/>
              <w:spacing w:after="0"/>
              <w:rPr>
                <w:sz w:val="20"/>
                <w:szCs w:val="20"/>
                <w:color w:val="auto"/>
              </w:rPr>
            </w:pPr>
            <w:r>
              <w:rPr>
                <w:rFonts w:ascii="Arial" w:cs="Arial" w:eastAsia="Arial" w:hAnsi="Arial"/>
                <w:sz w:val="17"/>
                <w:szCs w:val="17"/>
                <w:color w:val="auto"/>
              </w:rPr>
              <w:t>142,920</w:t>
            </w:r>
          </w:p>
        </w:tc>
        <w:tc>
          <w:tcPr>
            <w:tcW w:w="840" w:type="dxa"/>
            <w:vAlign w:val="bottom"/>
          </w:tcPr>
          <w:p>
            <w:pPr>
              <w:jc w:val="right"/>
              <w:spacing w:after="0"/>
              <w:rPr>
                <w:sz w:val="20"/>
                <w:szCs w:val="20"/>
                <w:color w:val="auto"/>
              </w:rPr>
            </w:pPr>
            <w:r>
              <w:rPr>
                <w:rFonts w:ascii="Arial" w:cs="Arial" w:eastAsia="Arial" w:hAnsi="Arial"/>
                <w:sz w:val="17"/>
                <w:szCs w:val="17"/>
                <w:color w:val="auto"/>
              </w:rPr>
              <w:t>0</w:t>
            </w:r>
          </w:p>
        </w:tc>
        <w:tc>
          <w:tcPr>
            <w:tcW w:w="1500" w:type="dxa"/>
            <w:vAlign w:val="bottom"/>
          </w:tcPr>
          <w:p>
            <w:pPr>
              <w:jc w:val="right"/>
              <w:ind w:right="155"/>
              <w:spacing w:after="0"/>
              <w:rPr>
                <w:sz w:val="20"/>
                <w:szCs w:val="20"/>
                <w:color w:val="auto"/>
              </w:rPr>
            </w:pPr>
            <w:r>
              <w:rPr>
                <w:rFonts w:ascii="Arial" w:cs="Arial" w:eastAsia="Arial" w:hAnsi="Arial"/>
                <w:sz w:val="17"/>
                <w:szCs w:val="17"/>
                <w:color w:val="auto"/>
              </w:rPr>
              <w:t>0</w:t>
            </w:r>
          </w:p>
        </w:tc>
        <w:tc>
          <w:tcPr>
            <w:tcW w:w="1660" w:type="dxa"/>
            <w:vAlign w:val="bottom"/>
          </w:tcPr>
          <w:p>
            <w:pPr>
              <w:jc w:val="right"/>
              <w:ind w:right="155"/>
              <w:spacing w:after="0"/>
              <w:rPr>
                <w:sz w:val="20"/>
                <w:szCs w:val="20"/>
                <w:color w:val="auto"/>
              </w:rPr>
            </w:pPr>
            <w:r>
              <w:rPr>
                <w:rFonts w:ascii="Arial" w:cs="Arial" w:eastAsia="Arial" w:hAnsi="Arial"/>
                <w:sz w:val="17"/>
                <w:szCs w:val="17"/>
                <w:color w:val="auto"/>
              </w:rPr>
              <w:t>25,000</w:t>
            </w:r>
          </w:p>
        </w:tc>
        <w:tc>
          <w:tcPr>
            <w:tcW w:w="940" w:type="dxa"/>
            <w:vAlign w:val="bottom"/>
          </w:tcPr>
          <w:p>
            <w:pPr>
              <w:jc w:val="right"/>
              <w:spacing w:after="0"/>
              <w:rPr>
                <w:sz w:val="20"/>
                <w:szCs w:val="20"/>
                <w:color w:val="auto"/>
              </w:rPr>
            </w:pPr>
            <w:r>
              <w:rPr>
                <w:rFonts w:ascii="Arial" w:cs="Arial" w:eastAsia="Arial" w:hAnsi="Arial"/>
                <w:sz w:val="17"/>
                <w:szCs w:val="17"/>
                <w:color w:val="auto"/>
              </w:rPr>
              <w:t>299,920</w:t>
            </w:r>
          </w:p>
        </w:tc>
      </w:tr>
      <w:tr>
        <w:trPr>
          <w:trHeight w:val="94"/>
        </w:trPr>
        <w:tc>
          <w:tcPr>
            <w:tcW w:w="122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500" w:type="dxa"/>
            <w:vAlign w:val="bottom"/>
          </w:tcPr>
          <w:p>
            <w:pPr>
              <w:spacing w:after="0"/>
              <w:rPr>
                <w:sz w:val="8"/>
                <w:szCs w:val="8"/>
                <w:color w:val="auto"/>
              </w:rPr>
            </w:pPr>
          </w:p>
        </w:tc>
        <w:tc>
          <w:tcPr>
            <w:tcW w:w="1660" w:type="dxa"/>
            <w:vAlign w:val="bottom"/>
          </w:tcPr>
          <w:p>
            <w:pPr>
              <w:spacing w:after="0"/>
              <w:rPr>
                <w:sz w:val="8"/>
                <w:szCs w:val="8"/>
                <w:color w:val="auto"/>
              </w:rPr>
            </w:pPr>
          </w:p>
        </w:tc>
        <w:tc>
          <w:tcPr>
            <w:tcW w:w="940" w:type="dxa"/>
            <w:vAlign w:val="bottom"/>
          </w:tcPr>
          <w:p>
            <w:pPr>
              <w:spacing w:after="0"/>
              <w:rPr>
                <w:sz w:val="8"/>
                <w:szCs w:val="8"/>
                <w:color w:val="auto"/>
              </w:rPr>
            </w:pPr>
          </w:p>
        </w:tc>
      </w:tr>
    </w:tbl>
    <w:p>
      <w:pPr>
        <w:spacing w:after="0" w:line="212" w:lineRule="exact"/>
        <w:rPr>
          <w:sz w:val="20"/>
          <w:szCs w:val="20"/>
          <w:color w:val="auto"/>
        </w:rPr>
      </w:pPr>
    </w:p>
    <w:p>
      <w:pPr>
        <w:ind w:left="1900" w:hanging="525"/>
        <w:spacing w:after="0" w:line="243" w:lineRule="auto"/>
        <w:tabs>
          <w:tab w:leader="none" w:pos="1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Under the AbbVie Non-Employee Directors' Fee Plan as in effect during 2015, non-employee directors earned $10,500 for each month of service as a director and $1,000 for each month of service as a chair of a board committee, other than the chair of the audit committee. The chair of the audit committee receives $1,500 for each month of service as a chair of that committee and the other members of the audit committee receive $500 for each month of service as a committee member.</w:t>
      </w:r>
    </w:p>
    <w:p>
      <w:pPr>
        <w:spacing w:after="0" w:line="201" w:lineRule="exact"/>
        <w:rPr>
          <w:rFonts w:ascii="Arial" w:cs="Arial" w:eastAsia="Arial" w:hAnsi="Arial"/>
          <w:sz w:val="17"/>
          <w:szCs w:val="17"/>
          <w:color w:val="auto"/>
        </w:rPr>
      </w:pPr>
    </w:p>
    <w:p>
      <w:pPr>
        <w:ind w:left="1900" w:right="80"/>
        <w:spacing w:after="0" w:line="242" w:lineRule="auto"/>
        <w:rPr>
          <w:rFonts w:ascii="Arial" w:cs="Arial" w:eastAsia="Arial" w:hAnsi="Arial"/>
          <w:sz w:val="17"/>
          <w:szCs w:val="17"/>
          <w:color w:val="auto"/>
        </w:rPr>
      </w:pPr>
      <w:r>
        <w:rPr>
          <w:rFonts w:ascii="Arial" w:cs="Arial" w:eastAsia="Arial" w:hAnsi="Arial"/>
          <w:sz w:val="17"/>
          <w:szCs w:val="17"/>
          <w:color w:val="auto"/>
        </w:rPr>
        <w:t>Fees earned under the AbbVie Non-Employee Directors' Fee Plan are, at the director's election, paid in cash, delivered in the form of vested non-qualified stock options (based on an independent appraisal of their fair value), deferred until retirement (as an unfunded AbbVie obligation), or paid currently into an individual grantor trust established by the director. The distribution of deferred fees and amounts held in a director's grantor trust generally commences at the later of when the director reaches age 65 or upon retirement from the board of directors. Fees deposited in a trust may be credited to a stock equivalent account that earns the same return as if the fees were invested in AbbVie stock or to a guaranteed interest account. If necessary, AbbVie contributes funds to a director's trust so that as of year-end the stock equivalent account balance (net of taxes) is not less than seventy-five percent of the market value of the related AbbVie common stock at year end.</w:t>
      </w:r>
    </w:p>
    <w:p>
      <w:pPr>
        <w:spacing w:after="0" w:line="213" w:lineRule="exact"/>
        <w:rPr>
          <w:rFonts w:ascii="Arial" w:cs="Arial" w:eastAsia="Arial" w:hAnsi="Arial"/>
          <w:sz w:val="17"/>
          <w:szCs w:val="17"/>
          <w:color w:val="auto"/>
        </w:rPr>
      </w:pPr>
    </w:p>
    <w:p>
      <w:pPr>
        <w:ind w:left="1900" w:hanging="525"/>
        <w:spacing w:after="0" w:line="243" w:lineRule="auto"/>
        <w:tabs>
          <w:tab w:leader="none" w:pos="190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amounts in this column represent the aggregate grant date fair value of the restricted stock unit awards granted during 2015, determined in accordance with Financial Accounting Standards Board (FASB) Accounting Standards Codification (ASC) Topic 718. AbbVie determines the grant date fair value of the awards by multiplying the number of units granted by the average of the high and low market prices of one share of AbbVie common stock on the award grant date.</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18  </w:t>
      </w:r>
      <w:r>
        <w:rPr>
          <w:sz w:val="1"/>
          <w:szCs w:val="1"/>
          <w:color w:val="auto"/>
        </w:rPr>
        <w:drawing>
          <wp:inline distT="0" distB="0" distL="0" distR="0">
            <wp:extent cx="622300" cy="107950"/>
            <wp:effectExtent l="0" t="0" r="0" b="0"/>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1" w:name="page22"/>
    <w:bookmarkEnd w:id="21"/>
    <w:p>
      <w:pPr>
        <w:spacing w:after="0" w:line="197" w:lineRule="auto"/>
        <w:framePr w:w="1480" w:h="95" w:wrap="auto" w:vAnchor="page" w:hAnchor="page" w:x="10000" w:y="594"/>
        <w:rPr>
          <w:rFonts w:ascii="Arial" w:cs="Arial" w:eastAsia="Arial" w:hAnsi="Arial"/>
          <w:sz w:val="10"/>
          <w:szCs w:val="10"/>
          <w:b w:val="1"/>
          <w:bCs w:val="1"/>
          <w:color w:val="FFFFFE"/>
        </w:rPr>
      </w:pPr>
      <w:r>
        <w:rPr>
          <w:rFonts w:ascii="Arial" w:cs="Arial" w:eastAsia="Arial" w:hAnsi="Arial"/>
          <w:sz w:val="10"/>
          <w:szCs w:val="10"/>
          <w:b w:val="1"/>
          <w:bCs w:val="1"/>
          <w:color w:val="FFFFFE"/>
        </w:rPr>
        <w:t>DIRECTOR COMPENSATION</w:t>
      </w: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6183630</wp:posOffset>
            </wp:positionH>
            <wp:positionV relativeFrom="paragraph">
              <wp:posOffset>130810</wp:posOffset>
            </wp:positionV>
            <wp:extent cx="1069975" cy="14097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69975" cy="140970"/>
                    </a:xfrm>
                    <a:prstGeom prst="rect">
                      <a:avLst/>
                    </a:prstGeom>
                    <a:noFill/>
                  </pic:spPr>
                </pic:pic>
              </a:graphicData>
            </a:graphic>
          </wp:anchor>
        </w:drawing>
      </w:r>
    </w:p>
    <w:p>
      <w:pPr>
        <w:spacing w:after="0" w:line="190" w:lineRule="exact"/>
        <w:rPr>
          <w:rFonts w:ascii="Arial" w:cs="Arial" w:eastAsia="Arial" w:hAnsi="Arial"/>
          <w:sz w:val="10"/>
          <w:szCs w:val="10"/>
          <w:b w:val="1"/>
          <w:bCs w:val="1"/>
          <w:color w:val="FFFFFE"/>
        </w:rPr>
      </w:pPr>
    </w:p>
    <w:p>
      <w:pPr>
        <w:ind w:left="1900" w:right="1720"/>
        <w:spacing w:after="0" w:line="255" w:lineRule="auto"/>
        <w:rPr>
          <w:sz w:val="20"/>
          <w:szCs w:val="20"/>
          <w:color w:val="auto"/>
        </w:rPr>
      </w:pPr>
      <w:r>
        <w:rPr>
          <w:rFonts w:ascii="Arial" w:cs="Arial" w:eastAsia="Arial" w:hAnsi="Arial"/>
          <w:sz w:val="16"/>
          <w:szCs w:val="16"/>
          <w:color w:val="auto"/>
        </w:rPr>
        <w:t>In addition to the fees described in footnote (1), each non-employee director elected to or serving on the board of directors at the 2015 annual stockholder meeting received under the AbbVie 2013 Incentive</w:t>
      </w:r>
    </w:p>
    <w:p>
      <w:pPr>
        <w:spacing w:after="0" w:line="1" w:lineRule="exact"/>
        <w:rPr>
          <w:rFonts w:ascii="Arial" w:cs="Arial" w:eastAsia="Arial" w:hAnsi="Arial"/>
          <w:sz w:val="10"/>
          <w:szCs w:val="10"/>
          <w:b w:val="1"/>
          <w:bCs w:val="1"/>
          <w:color w:val="FFFFFE"/>
        </w:rPr>
      </w:pPr>
    </w:p>
    <w:p>
      <w:pPr>
        <w:ind w:left="1900" w:right="100"/>
        <w:spacing w:after="0" w:line="242" w:lineRule="auto"/>
        <w:rPr>
          <w:sz w:val="20"/>
          <w:szCs w:val="20"/>
          <w:color w:val="auto"/>
        </w:rPr>
      </w:pPr>
      <w:r>
        <w:rPr>
          <w:rFonts w:ascii="Arial" w:cs="Arial" w:eastAsia="Arial" w:hAnsi="Arial"/>
          <w:sz w:val="17"/>
          <w:szCs w:val="17"/>
          <w:color w:val="auto"/>
        </w:rPr>
        <w:t>Stock Program vested restricted stock units with a target grant date value of $143,000. In 2015, this equated to 2,187 restricted stock units (after rounding the award down to the nearest whole unit), with a reportable value of $142,920. The non-employee directors receive cash payments equal to the dividends paid on the shares covered by the units at the same rate as other stockholders, but do not otherwise have access to the restricted stock units during their board service. Upon termination or retirement from the board, death, or a change in control of the company, a non-employee director will receive one common share for each restricted stock unit outstanding under the Incentive Stock Program.</w:t>
      </w:r>
    </w:p>
    <w:p>
      <w:pPr>
        <w:spacing w:after="0" w:line="202" w:lineRule="exact"/>
        <w:rPr>
          <w:rFonts w:ascii="Arial" w:cs="Arial" w:eastAsia="Arial" w:hAnsi="Arial"/>
          <w:sz w:val="10"/>
          <w:szCs w:val="10"/>
          <w:b w:val="1"/>
          <w:bCs w:val="1"/>
          <w:color w:val="FFFFFE"/>
        </w:rPr>
      </w:pPr>
    </w:p>
    <w:p>
      <w:pPr>
        <w:ind w:left="1900" w:right="100"/>
        <w:spacing w:after="0" w:line="243" w:lineRule="auto"/>
        <w:rPr>
          <w:sz w:val="20"/>
          <w:szCs w:val="20"/>
          <w:color w:val="auto"/>
        </w:rPr>
      </w:pPr>
      <w:r>
        <w:rPr>
          <w:rFonts w:ascii="Arial" w:cs="Arial" w:eastAsia="Arial" w:hAnsi="Arial"/>
          <w:sz w:val="17"/>
          <w:szCs w:val="17"/>
          <w:color w:val="auto"/>
        </w:rPr>
        <w:t>The following AbbVie restricted stock units were outstanding as of December 31, 2015: R. Alpern, 16,045; R. Austin, 23,708; W. Burnside, 7,486; E. Liddy, 11,472; E. Rapp, 7,486; R. Roberts, 7,486; G. Tilton, 19,692; F. Waddell, 7,486. These numbers include, where applicable, AbbVie restricted stock units issued with respect to Abbott Laboratories restricted stock units outstanding when AbbVie separated from Abbott on January 1, 2013.</w:t>
      </w:r>
    </w:p>
    <w:p>
      <w:pPr>
        <w:spacing w:after="0" w:line="201" w:lineRule="exact"/>
        <w:rPr>
          <w:rFonts w:ascii="Arial" w:cs="Arial" w:eastAsia="Arial" w:hAnsi="Arial"/>
          <w:sz w:val="10"/>
          <w:szCs w:val="10"/>
          <w:b w:val="1"/>
          <w:bCs w:val="1"/>
          <w:color w:val="FFFFFE"/>
        </w:rPr>
      </w:pPr>
    </w:p>
    <w:p>
      <w:pPr>
        <w:ind w:left="1900" w:hanging="525"/>
        <w:spacing w:after="0"/>
        <w:tabs>
          <w:tab w:leader="none" w:pos="1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No AbbVie stock options were outstanding as of December 31, 2015.</w:t>
      </w:r>
    </w:p>
    <w:p>
      <w:pPr>
        <w:spacing w:after="0" w:line="209" w:lineRule="exact"/>
        <w:rPr>
          <w:rFonts w:ascii="Arial" w:cs="Arial" w:eastAsia="Arial" w:hAnsi="Arial"/>
          <w:sz w:val="17"/>
          <w:szCs w:val="17"/>
          <w:color w:val="auto"/>
        </w:rPr>
      </w:pPr>
    </w:p>
    <w:p>
      <w:pPr>
        <w:ind w:left="1900" w:hanging="525"/>
        <w:spacing w:after="0"/>
        <w:tabs>
          <w:tab w:leader="none" w:pos="1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totals in this column include reportable interest credited under the AbbVie Non-Employee Directors' Fee Plan during 2015.</w:t>
      </w:r>
    </w:p>
    <w:p>
      <w:pPr>
        <w:spacing w:after="0" w:line="196" w:lineRule="exact"/>
        <w:rPr>
          <w:rFonts w:ascii="Arial" w:cs="Arial" w:eastAsia="Arial" w:hAnsi="Arial"/>
          <w:sz w:val="17"/>
          <w:szCs w:val="17"/>
          <w:color w:val="auto"/>
        </w:rPr>
      </w:pPr>
    </w:p>
    <w:p>
      <w:pPr>
        <w:ind w:left="1900" w:right="300" w:hanging="525"/>
        <w:spacing w:after="0" w:line="255" w:lineRule="auto"/>
        <w:tabs>
          <w:tab w:leader="none" w:pos="1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Charitable contributions made by AbbVie's non-employee directors are eligible for a matching contribution (up to $25,000 annually). For 2015 contributions, the AbbVie Foundation made charitable matching contributions on behalf of the following AbbVie directors: W. Burnside, $25,000; E. Liddy, $2,500; E. Rapp, $25,000; R. Roberts, $25,000; G. Tilton, $25,000;</w:t>
      </w:r>
    </w:p>
    <w:p>
      <w:pPr>
        <w:spacing w:after="0" w:line="1" w:lineRule="exact"/>
        <w:rPr>
          <w:rFonts w:ascii="Arial" w:cs="Arial" w:eastAsia="Arial" w:hAnsi="Arial"/>
          <w:sz w:val="16"/>
          <w:szCs w:val="16"/>
          <w:color w:val="auto"/>
        </w:rPr>
      </w:pPr>
    </w:p>
    <w:p>
      <w:pPr>
        <w:ind w:left="1900"/>
        <w:spacing w:after="0"/>
        <w:rPr>
          <w:rFonts w:ascii="Arial" w:cs="Arial" w:eastAsia="Arial" w:hAnsi="Arial"/>
          <w:sz w:val="16"/>
          <w:szCs w:val="16"/>
          <w:color w:val="auto"/>
        </w:rPr>
      </w:pPr>
      <w:r>
        <w:rPr>
          <w:rFonts w:ascii="Arial" w:cs="Arial" w:eastAsia="Arial" w:hAnsi="Arial"/>
          <w:sz w:val="17"/>
          <w:szCs w:val="17"/>
          <w:color w:val="auto"/>
        </w:rPr>
        <w:t>F. Waddell, $25,000. This column also includes reimbursement for certain taxes.</w:t>
      </w:r>
    </w:p>
    <w:p>
      <w:pPr>
        <w:spacing w:after="0" w:line="217" w:lineRule="exact"/>
        <w:rPr>
          <w:rFonts w:ascii="Arial" w:cs="Arial" w:eastAsia="Arial" w:hAnsi="Arial"/>
          <w:sz w:val="10"/>
          <w:szCs w:val="10"/>
          <w:b w:val="1"/>
          <w:bCs w:val="1"/>
          <w:color w:val="FFFFFE"/>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19</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2" w:name="page23"/>
    <w:bookmarkEnd w:id="2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6305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Securities Ownership of Executive Officers and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firstLine="657"/>
        <w:spacing w:after="0" w:line="243" w:lineRule="auto"/>
        <w:rPr>
          <w:sz w:val="20"/>
          <w:szCs w:val="20"/>
          <w:color w:val="auto"/>
        </w:rPr>
      </w:pPr>
      <w:r>
        <w:rPr>
          <w:rFonts w:ascii="Arial" w:cs="Arial" w:eastAsia="Arial" w:hAnsi="Arial"/>
          <w:sz w:val="17"/>
          <w:szCs w:val="17"/>
          <w:color w:val="auto"/>
        </w:rPr>
        <w:t>The table below reflects the number of shares of AbbVie common stock beneficially owned as of January 31, 2016, by each director, the chief executive officer, the chief financial officer, and the three other most highly paid executive officers (NEOs), and by all directors and executive officers of AbbVie as a group. It also reflects the number of stock equivalent units and restricted stock units held by non-employee directors under the AbbVie Non-Employee Directors' Fee Plan.</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980" w:type="dxa"/>
            <w:vAlign w:val="bottom"/>
          </w:tcPr>
          <w:p>
            <w:pPr>
              <w:spacing w:after="0"/>
              <w:rPr>
                <w:sz w:val="17"/>
                <w:szCs w:val="17"/>
                <w:color w:val="auto"/>
              </w:rPr>
            </w:pPr>
          </w:p>
        </w:tc>
        <w:tc>
          <w:tcPr>
            <w:tcW w:w="2360" w:type="dxa"/>
            <w:vAlign w:val="bottom"/>
          </w:tcPr>
          <w:p>
            <w:pPr>
              <w:jc w:val="right"/>
              <w:ind w:right="235"/>
              <w:spacing w:after="0"/>
              <w:rPr>
                <w:sz w:val="20"/>
                <w:szCs w:val="20"/>
                <w:color w:val="auto"/>
              </w:rPr>
            </w:pPr>
            <w:r>
              <w:rPr>
                <w:rFonts w:ascii="Arial" w:cs="Arial" w:eastAsia="Arial" w:hAnsi="Arial"/>
                <w:sz w:val="17"/>
                <w:szCs w:val="17"/>
                <w:b w:val="1"/>
                <w:bCs w:val="1"/>
                <w:color w:val="444867"/>
              </w:rPr>
              <w:t>Stock Options</w:t>
            </w:r>
          </w:p>
        </w:tc>
        <w:tc>
          <w:tcPr>
            <w:tcW w:w="1160" w:type="dxa"/>
            <w:vAlign w:val="bottom"/>
          </w:tcPr>
          <w:p>
            <w:pPr>
              <w:spacing w:after="0"/>
              <w:rPr>
                <w:sz w:val="17"/>
                <w:szCs w:val="17"/>
                <w:color w:val="auto"/>
              </w:rPr>
            </w:pPr>
          </w:p>
        </w:tc>
      </w:tr>
      <w:tr>
        <w:trPr>
          <w:trHeight w:val="196"/>
        </w:trPr>
        <w:tc>
          <w:tcPr>
            <w:tcW w:w="26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980" w:type="dxa"/>
            <w:vAlign w:val="bottom"/>
          </w:tcPr>
          <w:p>
            <w:pPr>
              <w:jc w:val="right"/>
              <w:ind w:right="395"/>
              <w:spacing w:after="0"/>
              <w:rPr>
                <w:sz w:val="20"/>
                <w:szCs w:val="20"/>
                <w:color w:val="auto"/>
              </w:rPr>
            </w:pPr>
            <w:r>
              <w:rPr>
                <w:rFonts w:ascii="Arial" w:cs="Arial" w:eastAsia="Arial" w:hAnsi="Arial"/>
                <w:sz w:val="17"/>
                <w:szCs w:val="17"/>
                <w:b w:val="1"/>
                <w:bCs w:val="1"/>
                <w:color w:val="444867"/>
              </w:rPr>
              <w:t>Shares</w:t>
            </w:r>
          </w:p>
        </w:tc>
        <w:tc>
          <w:tcPr>
            <w:tcW w:w="2360" w:type="dxa"/>
            <w:vAlign w:val="bottom"/>
          </w:tcPr>
          <w:p>
            <w:pPr>
              <w:jc w:val="right"/>
              <w:ind w:right="235"/>
              <w:spacing w:after="0"/>
              <w:rPr>
                <w:sz w:val="20"/>
                <w:szCs w:val="20"/>
                <w:color w:val="auto"/>
              </w:rPr>
            </w:pPr>
            <w:r>
              <w:rPr>
                <w:rFonts w:ascii="Arial" w:cs="Arial" w:eastAsia="Arial" w:hAnsi="Arial"/>
                <w:sz w:val="17"/>
                <w:szCs w:val="17"/>
                <w:b w:val="1"/>
                <w:bCs w:val="1"/>
                <w:color w:val="444867"/>
              </w:rPr>
              <w:t>Exercisable</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444867"/>
              </w:rPr>
              <w:t>Stock</w:t>
            </w:r>
          </w:p>
        </w:tc>
      </w:tr>
      <w:tr>
        <w:trPr>
          <w:trHeight w:val="196"/>
        </w:trPr>
        <w:tc>
          <w:tcPr>
            <w:tcW w:w="26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2980" w:type="dxa"/>
            <w:vAlign w:val="bottom"/>
          </w:tcPr>
          <w:p>
            <w:pPr>
              <w:jc w:val="right"/>
              <w:ind w:right="395"/>
              <w:spacing w:after="0"/>
              <w:rPr>
                <w:sz w:val="20"/>
                <w:szCs w:val="20"/>
                <w:color w:val="auto"/>
              </w:rPr>
            </w:pPr>
            <w:r>
              <w:rPr>
                <w:rFonts w:ascii="Arial" w:cs="Arial" w:eastAsia="Arial" w:hAnsi="Arial"/>
                <w:sz w:val="17"/>
                <w:szCs w:val="17"/>
                <w:b w:val="1"/>
                <w:bCs w:val="1"/>
                <w:color w:val="444867"/>
              </w:rPr>
              <w:t>Beneficially</w:t>
            </w:r>
          </w:p>
        </w:tc>
        <w:tc>
          <w:tcPr>
            <w:tcW w:w="2360" w:type="dxa"/>
            <w:vAlign w:val="bottom"/>
          </w:tcPr>
          <w:p>
            <w:pPr>
              <w:jc w:val="right"/>
              <w:ind w:right="235"/>
              <w:spacing w:after="0"/>
              <w:rPr>
                <w:sz w:val="20"/>
                <w:szCs w:val="20"/>
                <w:color w:val="auto"/>
              </w:rPr>
            </w:pPr>
            <w:r>
              <w:rPr>
                <w:rFonts w:ascii="Arial" w:cs="Arial" w:eastAsia="Arial" w:hAnsi="Arial"/>
                <w:sz w:val="17"/>
                <w:szCs w:val="17"/>
                <w:b w:val="1"/>
                <w:bCs w:val="1"/>
                <w:color w:val="444867"/>
              </w:rPr>
              <w:t>within 60 days</w:t>
            </w:r>
          </w:p>
        </w:tc>
        <w:tc>
          <w:tcPr>
            <w:tcW w:w="1160" w:type="dxa"/>
            <w:vAlign w:val="bottom"/>
          </w:tcPr>
          <w:p>
            <w:pPr>
              <w:jc w:val="right"/>
              <w:spacing w:after="0"/>
              <w:rPr>
                <w:sz w:val="20"/>
                <w:szCs w:val="20"/>
                <w:color w:val="auto"/>
              </w:rPr>
            </w:pPr>
            <w:r>
              <w:rPr>
                <w:rFonts w:ascii="Arial" w:cs="Arial" w:eastAsia="Arial" w:hAnsi="Arial"/>
                <w:sz w:val="17"/>
                <w:szCs w:val="17"/>
                <w:b w:val="1"/>
                <w:bCs w:val="1"/>
                <w:color w:val="444867"/>
              </w:rPr>
              <w:t>Equivalent</w:t>
            </w:r>
          </w:p>
        </w:tc>
      </w:tr>
      <w:tr>
        <w:trPr>
          <w:trHeight w:val="213"/>
        </w:trPr>
        <w:tc>
          <w:tcPr>
            <w:tcW w:w="4920" w:type="dxa"/>
            <w:vAlign w:val="bottom"/>
            <w:tcBorders>
              <w:bottom w:val="single" w:sz="8" w:color="auto"/>
            </w:tcBorders>
            <w:gridSpan w:val="2"/>
          </w:tcPr>
          <w:p>
            <w:pPr>
              <w:spacing w:after="0"/>
              <w:rPr>
                <w:sz w:val="20"/>
                <w:szCs w:val="20"/>
                <w:color w:val="auto"/>
              </w:rPr>
            </w:pPr>
            <w:r>
              <w:rPr>
                <w:rFonts w:ascii="Arial" w:cs="Arial" w:eastAsia="Arial" w:hAnsi="Arial"/>
                <w:sz w:val="17"/>
                <w:szCs w:val="17"/>
                <w:b w:val="1"/>
                <w:bCs w:val="1"/>
                <w:color w:val="444867"/>
              </w:rPr>
              <w:t>Name</w:t>
            </w:r>
          </w:p>
        </w:tc>
        <w:tc>
          <w:tcPr>
            <w:tcW w:w="2980" w:type="dxa"/>
            <w:vAlign w:val="bottom"/>
            <w:tcBorders>
              <w:bottom w:val="single" w:sz="8" w:color="auto"/>
            </w:tcBorders>
          </w:tcPr>
          <w:p>
            <w:pPr>
              <w:jc w:val="right"/>
              <w:ind w:right="395"/>
              <w:spacing w:after="0"/>
              <w:rPr>
                <w:sz w:val="20"/>
                <w:szCs w:val="20"/>
                <w:color w:val="auto"/>
              </w:rPr>
            </w:pPr>
            <w:r>
              <w:rPr>
                <w:rFonts w:ascii="Arial" w:cs="Arial" w:eastAsia="Arial" w:hAnsi="Arial"/>
                <w:sz w:val="17"/>
                <w:szCs w:val="17"/>
                <w:b w:val="1"/>
                <w:bCs w:val="1"/>
                <w:color w:val="444867"/>
              </w:rPr>
              <w:t>Owned(1)(2)(3)</w:t>
            </w:r>
          </w:p>
        </w:tc>
        <w:tc>
          <w:tcPr>
            <w:tcW w:w="2360" w:type="dxa"/>
            <w:vAlign w:val="bottom"/>
            <w:tcBorders>
              <w:bottom w:val="single" w:sz="8" w:color="auto"/>
            </w:tcBorders>
          </w:tcPr>
          <w:p>
            <w:pPr>
              <w:jc w:val="right"/>
              <w:ind w:right="235"/>
              <w:spacing w:after="0"/>
              <w:rPr>
                <w:sz w:val="20"/>
                <w:szCs w:val="20"/>
                <w:color w:val="auto"/>
              </w:rPr>
            </w:pPr>
            <w:r>
              <w:rPr>
                <w:rFonts w:ascii="Arial" w:cs="Arial" w:eastAsia="Arial" w:hAnsi="Arial"/>
                <w:sz w:val="17"/>
                <w:szCs w:val="17"/>
                <w:b w:val="1"/>
                <w:bCs w:val="1"/>
                <w:color w:val="444867"/>
              </w:rPr>
              <w:t>of January 31, 2016</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Units</w:t>
            </w:r>
          </w:p>
        </w:tc>
      </w:tr>
      <w:tr>
        <w:trPr>
          <w:trHeight w:val="189"/>
        </w:trPr>
        <w:tc>
          <w:tcPr>
            <w:tcW w:w="4920" w:type="dxa"/>
            <w:vAlign w:val="bottom"/>
            <w:gridSpan w:val="2"/>
            <w:shd w:val="clear" w:color="auto" w:fill="E6E6E6"/>
          </w:tcPr>
          <w:p>
            <w:pPr>
              <w:spacing w:after="0" w:line="189" w:lineRule="exact"/>
              <w:rPr>
                <w:sz w:val="20"/>
                <w:szCs w:val="20"/>
                <w:color w:val="auto"/>
              </w:rPr>
            </w:pPr>
            <w:r>
              <w:rPr>
                <w:rFonts w:ascii="Arial" w:cs="Arial" w:eastAsia="Arial" w:hAnsi="Arial"/>
                <w:sz w:val="17"/>
                <w:szCs w:val="17"/>
                <w:color w:val="auto"/>
              </w:rPr>
              <w:t>R. Gonzalez</w:t>
            </w:r>
          </w:p>
        </w:tc>
        <w:tc>
          <w:tcPr>
            <w:tcW w:w="2980" w:type="dxa"/>
            <w:vAlign w:val="bottom"/>
            <w:shd w:val="clear" w:color="auto" w:fill="E6E6E6"/>
          </w:tcPr>
          <w:p>
            <w:pPr>
              <w:jc w:val="right"/>
              <w:ind w:right="395"/>
              <w:spacing w:after="0" w:line="189" w:lineRule="exact"/>
              <w:rPr>
                <w:sz w:val="20"/>
                <w:szCs w:val="20"/>
                <w:color w:val="auto"/>
              </w:rPr>
            </w:pPr>
            <w:r>
              <w:rPr>
                <w:rFonts w:ascii="Arial" w:cs="Arial" w:eastAsia="Arial" w:hAnsi="Arial"/>
                <w:sz w:val="17"/>
                <w:szCs w:val="17"/>
                <w:color w:val="auto"/>
              </w:rPr>
              <w:t>471,782</w:t>
            </w:r>
          </w:p>
        </w:tc>
        <w:tc>
          <w:tcPr>
            <w:tcW w:w="2360" w:type="dxa"/>
            <w:vAlign w:val="bottom"/>
            <w:shd w:val="clear" w:color="auto" w:fill="E6E6E6"/>
          </w:tcPr>
          <w:p>
            <w:pPr>
              <w:jc w:val="right"/>
              <w:ind w:right="235"/>
              <w:spacing w:after="0" w:line="189" w:lineRule="exact"/>
              <w:rPr>
                <w:sz w:val="20"/>
                <w:szCs w:val="20"/>
                <w:color w:val="auto"/>
              </w:rPr>
            </w:pPr>
            <w:r>
              <w:rPr>
                <w:rFonts w:ascii="Arial" w:cs="Arial" w:eastAsia="Arial" w:hAnsi="Arial"/>
                <w:sz w:val="17"/>
                <w:szCs w:val="17"/>
                <w:color w:val="auto"/>
              </w:rPr>
              <w:t>654,419</w:t>
            </w:r>
          </w:p>
        </w:tc>
        <w:tc>
          <w:tcPr>
            <w:tcW w:w="1160" w:type="dxa"/>
            <w:vAlign w:val="bottom"/>
            <w:shd w:val="clear" w:color="auto" w:fill="E6E6E6"/>
          </w:tcPr>
          <w:p>
            <w:pPr>
              <w:jc w:val="right"/>
              <w:spacing w:after="0" w:line="189" w:lineRule="exact"/>
              <w:rPr>
                <w:sz w:val="20"/>
                <w:szCs w:val="20"/>
                <w:color w:val="auto"/>
              </w:rPr>
            </w:pPr>
            <w:r>
              <w:rPr>
                <w:rFonts w:ascii="Arial" w:cs="Arial" w:eastAsia="Arial" w:hAnsi="Arial"/>
                <w:sz w:val="17"/>
                <w:szCs w:val="17"/>
                <w:color w:val="auto"/>
              </w:rPr>
              <w:t>0</w:t>
            </w:r>
          </w:p>
        </w:tc>
      </w:tr>
      <w:tr>
        <w:trPr>
          <w:trHeight w:val="196"/>
        </w:trPr>
        <w:tc>
          <w:tcPr>
            <w:tcW w:w="4920" w:type="dxa"/>
            <w:vAlign w:val="bottom"/>
            <w:gridSpan w:val="2"/>
          </w:tcPr>
          <w:p>
            <w:pPr>
              <w:spacing w:after="0"/>
              <w:rPr>
                <w:sz w:val="20"/>
                <w:szCs w:val="20"/>
                <w:color w:val="auto"/>
              </w:rPr>
            </w:pPr>
            <w:r>
              <w:rPr>
                <w:rFonts w:ascii="Arial" w:cs="Arial" w:eastAsia="Arial" w:hAnsi="Arial"/>
                <w:sz w:val="17"/>
                <w:szCs w:val="17"/>
                <w:color w:val="auto"/>
              </w:rPr>
              <w:t>R. Alpern</w:t>
            </w:r>
          </w:p>
        </w:tc>
        <w:tc>
          <w:tcPr>
            <w:tcW w:w="2980" w:type="dxa"/>
            <w:vAlign w:val="bottom"/>
          </w:tcPr>
          <w:p>
            <w:pPr>
              <w:jc w:val="right"/>
              <w:ind w:right="395"/>
              <w:spacing w:after="0"/>
              <w:rPr>
                <w:sz w:val="20"/>
                <w:szCs w:val="20"/>
                <w:color w:val="auto"/>
              </w:rPr>
            </w:pPr>
            <w:r>
              <w:rPr>
                <w:rFonts w:ascii="Arial" w:cs="Arial" w:eastAsia="Arial" w:hAnsi="Arial"/>
                <w:sz w:val="17"/>
                <w:szCs w:val="17"/>
                <w:color w:val="auto"/>
              </w:rPr>
              <w:t>16,045</w:t>
            </w:r>
          </w:p>
        </w:tc>
        <w:tc>
          <w:tcPr>
            <w:tcW w:w="23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1160" w:type="dxa"/>
            <w:vAlign w:val="bottom"/>
          </w:tcPr>
          <w:p>
            <w:pPr>
              <w:jc w:val="right"/>
              <w:spacing w:after="0"/>
              <w:rPr>
                <w:sz w:val="20"/>
                <w:szCs w:val="20"/>
                <w:color w:val="auto"/>
              </w:rPr>
            </w:pPr>
            <w:r>
              <w:rPr>
                <w:rFonts w:ascii="Arial" w:cs="Arial" w:eastAsia="Arial" w:hAnsi="Arial"/>
                <w:sz w:val="17"/>
                <w:szCs w:val="17"/>
                <w:color w:val="auto"/>
              </w:rPr>
              <w:t>4,549</w:t>
            </w:r>
          </w:p>
        </w:tc>
      </w:tr>
      <w:tr>
        <w:trPr>
          <w:trHeight w:val="196"/>
        </w:trPr>
        <w:tc>
          <w:tcPr>
            <w:tcW w:w="4920" w:type="dxa"/>
            <w:vAlign w:val="bottom"/>
            <w:gridSpan w:val="2"/>
            <w:shd w:val="clear" w:color="auto" w:fill="E6E6E6"/>
          </w:tcPr>
          <w:p>
            <w:pPr>
              <w:spacing w:after="0"/>
              <w:rPr>
                <w:sz w:val="20"/>
                <w:szCs w:val="20"/>
                <w:color w:val="auto"/>
              </w:rPr>
            </w:pPr>
            <w:r>
              <w:rPr>
                <w:rFonts w:ascii="Arial" w:cs="Arial" w:eastAsia="Arial" w:hAnsi="Arial"/>
                <w:sz w:val="17"/>
                <w:szCs w:val="17"/>
                <w:color w:val="auto"/>
              </w:rPr>
              <w:t>R. Austin</w:t>
            </w:r>
          </w:p>
        </w:tc>
        <w:tc>
          <w:tcPr>
            <w:tcW w:w="2980" w:type="dxa"/>
            <w:vAlign w:val="bottom"/>
            <w:shd w:val="clear" w:color="auto" w:fill="E6E6E6"/>
          </w:tcPr>
          <w:p>
            <w:pPr>
              <w:jc w:val="right"/>
              <w:ind w:right="395"/>
              <w:spacing w:after="0"/>
              <w:rPr>
                <w:sz w:val="20"/>
                <w:szCs w:val="20"/>
                <w:color w:val="auto"/>
              </w:rPr>
            </w:pPr>
            <w:r>
              <w:rPr>
                <w:rFonts w:ascii="Arial" w:cs="Arial" w:eastAsia="Arial" w:hAnsi="Arial"/>
                <w:sz w:val="17"/>
                <w:szCs w:val="17"/>
                <w:color w:val="auto"/>
              </w:rPr>
              <w:t>30,552</w:t>
            </w:r>
          </w:p>
        </w:tc>
        <w:tc>
          <w:tcPr>
            <w:tcW w:w="2360" w:type="dxa"/>
            <w:vAlign w:val="bottom"/>
            <w:shd w:val="clear" w:color="auto" w:fill="E6E6E6"/>
          </w:tcPr>
          <w:p>
            <w:pPr>
              <w:jc w:val="right"/>
              <w:ind w:right="235"/>
              <w:spacing w:after="0"/>
              <w:rPr>
                <w:sz w:val="20"/>
                <w:szCs w:val="20"/>
                <w:color w:val="auto"/>
              </w:rPr>
            </w:pPr>
            <w:r>
              <w:rPr>
                <w:rFonts w:ascii="Arial" w:cs="Arial" w:eastAsia="Arial" w:hAnsi="Arial"/>
                <w:sz w:val="17"/>
                <w:szCs w:val="17"/>
                <w:color w:val="auto"/>
              </w:rPr>
              <w:t>0</w:t>
            </w:r>
          </w:p>
        </w:tc>
        <w:tc>
          <w:tcPr>
            <w:tcW w:w="11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4920" w:type="dxa"/>
            <w:vAlign w:val="bottom"/>
            <w:gridSpan w:val="2"/>
          </w:tcPr>
          <w:p>
            <w:pPr>
              <w:spacing w:after="0"/>
              <w:rPr>
                <w:sz w:val="20"/>
                <w:szCs w:val="20"/>
                <w:color w:val="auto"/>
              </w:rPr>
            </w:pPr>
            <w:r>
              <w:rPr>
                <w:rFonts w:ascii="Arial" w:cs="Arial" w:eastAsia="Arial" w:hAnsi="Arial"/>
                <w:sz w:val="17"/>
                <w:szCs w:val="17"/>
                <w:color w:val="auto"/>
              </w:rPr>
              <w:t>W. Burnside</w:t>
            </w:r>
          </w:p>
        </w:tc>
        <w:tc>
          <w:tcPr>
            <w:tcW w:w="2980" w:type="dxa"/>
            <w:vAlign w:val="bottom"/>
          </w:tcPr>
          <w:p>
            <w:pPr>
              <w:jc w:val="right"/>
              <w:ind w:right="395"/>
              <w:spacing w:after="0"/>
              <w:rPr>
                <w:sz w:val="20"/>
                <w:szCs w:val="20"/>
                <w:color w:val="auto"/>
              </w:rPr>
            </w:pPr>
            <w:r>
              <w:rPr>
                <w:rFonts w:ascii="Arial" w:cs="Arial" w:eastAsia="Arial" w:hAnsi="Arial"/>
                <w:sz w:val="17"/>
                <w:szCs w:val="17"/>
                <w:color w:val="auto"/>
              </w:rPr>
              <w:t>7,486</w:t>
            </w:r>
          </w:p>
        </w:tc>
        <w:tc>
          <w:tcPr>
            <w:tcW w:w="23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11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4920" w:type="dxa"/>
            <w:vAlign w:val="bottom"/>
            <w:gridSpan w:val="2"/>
            <w:shd w:val="clear" w:color="auto" w:fill="E6E6E6"/>
          </w:tcPr>
          <w:p>
            <w:pPr>
              <w:spacing w:after="0"/>
              <w:rPr>
                <w:sz w:val="20"/>
                <w:szCs w:val="20"/>
                <w:color w:val="auto"/>
              </w:rPr>
            </w:pPr>
            <w:r>
              <w:rPr>
                <w:rFonts w:ascii="Arial" w:cs="Arial" w:eastAsia="Arial" w:hAnsi="Arial"/>
                <w:sz w:val="17"/>
                <w:szCs w:val="17"/>
                <w:color w:val="auto"/>
              </w:rPr>
              <w:t>B. Hart</w:t>
            </w:r>
          </w:p>
        </w:tc>
        <w:tc>
          <w:tcPr>
            <w:tcW w:w="2980" w:type="dxa"/>
            <w:vAlign w:val="bottom"/>
            <w:shd w:val="clear" w:color="auto" w:fill="E6E6E6"/>
          </w:tcPr>
          <w:p>
            <w:pPr>
              <w:jc w:val="right"/>
              <w:ind w:right="395"/>
              <w:spacing w:after="0"/>
              <w:rPr>
                <w:sz w:val="20"/>
                <w:szCs w:val="20"/>
                <w:color w:val="auto"/>
              </w:rPr>
            </w:pPr>
            <w:r>
              <w:rPr>
                <w:rFonts w:ascii="Arial" w:cs="Arial" w:eastAsia="Arial" w:hAnsi="Arial"/>
                <w:sz w:val="17"/>
                <w:szCs w:val="17"/>
                <w:color w:val="auto"/>
              </w:rPr>
              <w:t>0</w:t>
            </w:r>
          </w:p>
        </w:tc>
        <w:tc>
          <w:tcPr>
            <w:tcW w:w="2360" w:type="dxa"/>
            <w:vAlign w:val="bottom"/>
            <w:shd w:val="clear" w:color="auto" w:fill="E6E6E6"/>
          </w:tcPr>
          <w:p>
            <w:pPr>
              <w:jc w:val="right"/>
              <w:ind w:right="235"/>
              <w:spacing w:after="0"/>
              <w:rPr>
                <w:sz w:val="20"/>
                <w:szCs w:val="20"/>
                <w:color w:val="auto"/>
              </w:rPr>
            </w:pPr>
            <w:r>
              <w:rPr>
                <w:rFonts w:ascii="Arial" w:cs="Arial" w:eastAsia="Arial" w:hAnsi="Arial"/>
                <w:sz w:val="17"/>
                <w:szCs w:val="17"/>
                <w:color w:val="auto"/>
              </w:rPr>
              <w:t>0</w:t>
            </w:r>
          </w:p>
        </w:tc>
        <w:tc>
          <w:tcPr>
            <w:tcW w:w="11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4920" w:type="dxa"/>
            <w:vAlign w:val="bottom"/>
            <w:gridSpan w:val="2"/>
          </w:tcPr>
          <w:p>
            <w:pPr>
              <w:spacing w:after="0"/>
              <w:rPr>
                <w:sz w:val="20"/>
                <w:szCs w:val="20"/>
                <w:color w:val="auto"/>
              </w:rPr>
            </w:pPr>
            <w:r>
              <w:rPr>
                <w:rFonts w:ascii="Arial" w:cs="Arial" w:eastAsia="Arial" w:hAnsi="Arial"/>
                <w:sz w:val="17"/>
                <w:szCs w:val="17"/>
                <w:color w:val="auto"/>
              </w:rPr>
              <w:t>E. Liddy</w:t>
            </w:r>
          </w:p>
        </w:tc>
        <w:tc>
          <w:tcPr>
            <w:tcW w:w="2980" w:type="dxa"/>
            <w:vAlign w:val="bottom"/>
          </w:tcPr>
          <w:p>
            <w:pPr>
              <w:jc w:val="right"/>
              <w:ind w:right="395"/>
              <w:spacing w:after="0"/>
              <w:rPr>
                <w:sz w:val="20"/>
                <w:szCs w:val="20"/>
                <w:color w:val="auto"/>
              </w:rPr>
            </w:pPr>
            <w:r>
              <w:rPr>
                <w:rFonts w:ascii="Arial" w:cs="Arial" w:eastAsia="Arial" w:hAnsi="Arial"/>
                <w:sz w:val="17"/>
                <w:szCs w:val="17"/>
                <w:color w:val="auto"/>
              </w:rPr>
              <w:t>12,607</w:t>
            </w:r>
          </w:p>
        </w:tc>
        <w:tc>
          <w:tcPr>
            <w:tcW w:w="23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1160" w:type="dxa"/>
            <w:vAlign w:val="bottom"/>
          </w:tcPr>
          <w:p>
            <w:pPr>
              <w:jc w:val="right"/>
              <w:spacing w:after="0"/>
              <w:rPr>
                <w:sz w:val="20"/>
                <w:szCs w:val="20"/>
                <w:color w:val="auto"/>
              </w:rPr>
            </w:pPr>
            <w:r>
              <w:rPr>
                <w:rFonts w:ascii="Arial" w:cs="Arial" w:eastAsia="Arial" w:hAnsi="Arial"/>
                <w:sz w:val="17"/>
                <w:szCs w:val="17"/>
                <w:color w:val="auto"/>
              </w:rPr>
              <w:t>14,698</w:t>
            </w:r>
          </w:p>
        </w:tc>
      </w:tr>
      <w:tr>
        <w:trPr>
          <w:trHeight w:val="196"/>
        </w:trPr>
        <w:tc>
          <w:tcPr>
            <w:tcW w:w="4920" w:type="dxa"/>
            <w:vAlign w:val="bottom"/>
            <w:gridSpan w:val="2"/>
            <w:shd w:val="clear" w:color="auto" w:fill="E6E6E6"/>
          </w:tcPr>
          <w:p>
            <w:pPr>
              <w:spacing w:after="0"/>
              <w:rPr>
                <w:sz w:val="20"/>
                <w:szCs w:val="20"/>
                <w:color w:val="auto"/>
              </w:rPr>
            </w:pPr>
            <w:r>
              <w:rPr>
                <w:rFonts w:ascii="Arial" w:cs="Arial" w:eastAsia="Arial" w:hAnsi="Arial"/>
                <w:sz w:val="17"/>
                <w:szCs w:val="17"/>
                <w:color w:val="auto"/>
              </w:rPr>
              <w:t>E. Rapp</w:t>
            </w:r>
          </w:p>
        </w:tc>
        <w:tc>
          <w:tcPr>
            <w:tcW w:w="2980" w:type="dxa"/>
            <w:vAlign w:val="bottom"/>
            <w:shd w:val="clear" w:color="auto" w:fill="E6E6E6"/>
          </w:tcPr>
          <w:p>
            <w:pPr>
              <w:jc w:val="right"/>
              <w:ind w:right="395"/>
              <w:spacing w:after="0"/>
              <w:rPr>
                <w:sz w:val="20"/>
                <w:szCs w:val="20"/>
                <w:color w:val="auto"/>
              </w:rPr>
            </w:pPr>
            <w:r>
              <w:rPr>
                <w:rFonts w:ascii="Arial" w:cs="Arial" w:eastAsia="Arial" w:hAnsi="Arial"/>
                <w:sz w:val="17"/>
                <w:szCs w:val="17"/>
                <w:color w:val="auto"/>
              </w:rPr>
              <w:t>9,986</w:t>
            </w:r>
          </w:p>
        </w:tc>
        <w:tc>
          <w:tcPr>
            <w:tcW w:w="2360" w:type="dxa"/>
            <w:vAlign w:val="bottom"/>
            <w:shd w:val="clear" w:color="auto" w:fill="E6E6E6"/>
          </w:tcPr>
          <w:p>
            <w:pPr>
              <w:jc w:val="right"/>
              <w:ind w:right="235"/>
              <w:spacing w:after="0"/>
              <w:rPr>
                <w:sz w:val="20"/>
                <w:szCs w:val="20"/>
                <w:color w:val="auto"/>
              </w:rPr>
            </w:pPr>
            <w:r>
              <w:rPr>
                <w:rFonts w:ascii="Arial" w:cs="Arial" w:eastAsia="Arial" w:hAnsi="Arial"/>
                <w:sz w:val="17"/>
                <w:szCs w:val="17"/>
                <w:color w:val="auto"/>
              </w:rPr>
              <w:t>0</w:t>
            </w:r>
          </w:p>
        </w:tc>
        <w:tc>
          <w:tcPr>
            <w:tcW w:w="11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7,853</w:t>
            </w:r>
          </w:p>
        </w:tc>
      </w:tr>
      <w:tr>
        <w:trPr>
          <w:trHeight w:val="196"/>
        </w:trPr>
        <w:tc>
          <w:tcPr>
            <w:tcW w:w="4920" w:type="dxa"/>
            <w:vAlign w:val="bottom"/>
            <w:gridSpan w:val="2"/>
          </w:tcPr>
          <w:p>
            <w:pPr>
              <w:spacing w:after="0"/>
              <w:rPr>
                <w:sz w:val="20"/>
                <w:szCs w:val="20"/>
                <w:color w:val="auto"/>
              </w:rPr>
            </w:pPr>
            <w:r>
              <w:rPr>
                <w:rFonts w:ascii="Arial" w:cs="Arial" w:eastAsia="Arial" w:hAnsi="Arial"/>
                <w:sz w:val="17"/>
                <w:szCs w:val="17"/>
                <w:color w:val="auto"/>
              </w:rPr>
              <w:t>R. Roberts</w:t>
            </w:r>
          </w:p>
        </w:tc>
        <w:tc>
          <w:tcPr>
            <w:tcW w:w="2980" w:type="dxa"/>
            <w:vAlign w:val="bottom"/>
          </w:tcPr>
          <w:p>
            <w:pPr>
              <w:jc w:val="right"/>
              <w:ind w:right="395"/>
              <w:spacing w:after="0"/>
              <w:rPr>
                <w:sz w:val="20"/>
                <w:szCs w:val="20"/>
                <w:color w:val="auto"/>
              </w:rPr>
            </w:pPr>
            <w:r>
              <w:rPr>
                <w:rFonts w:ascii="Arial" w:cs="Arial" w:eastAsia="Arial" w:hAnsi="Arial"/>
                <w:sz w:val="17"/>
                <w:szCs w:val="17"/>
                <w:color w:val="auto"/>
              </w:rPr>
              <w:t>27,486</w:t>
            </w:r>
          </w:p>
        </w:tc>
        <w:tc>
          <w:tcPr>
            <w:tcW w:w="23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11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4920" w:type="dxa"/>
            <w:vAlign w:val="bottom"/>
            <w:gridSpan w:val="2"/>
            <w:shd w:val="clear" w:color="auto" w:fill="E6E6E6"/>
          </w:tcPr>
          <w:p>
            <w:pPr>
              <w:spacing w:after="0"/>
              <w:rPr>
                <w:sz w:val="20"/>
                <w:szCs w:val="20"/>
                <w:color w:val="auto"/>
              </w:rPr>
            </w:pPr>
            <w:r>
              <w:rPr>
                <w:rFonts w:ascii="Arial" w:cs="Arial" w:eastAsia="Arial" w:hAnsi="Arial"/>
                <w:sz w:val="17"/>
                <w:szCs w:val="17"/>
                <w:color w:val="auto"/>
              </w:rPr>
              <w:t>G. Tilton</w:t>
            </w:r>
          </w:p>
        </w:tc>
        <w:tc>
          <w:tcPr>
            <w:tcW w:w="2980" w:type="dxa"/>
            <w:vAlign w:val="bottom"/>
            <w:shd w:val="clear" w:color="auto" w:fill="E6E6E6"/>
          </w:tcPr>
          <w:p>
            <w:pPr>
              <w:jc w:val="right"/>
              <w:ind w:right="395"/>
              <w:spacing w:after="0"/>
              <w:rPr>
                <w:sz w:val="20"/>
                <w:szCs w:val="20"/>
                <w:color w:val="auto"/>
              </w:rPr>
            </w:pPr>
            <w:r>
              <w:rPr>
                <w:rFonts w:ascii="Arial" w:cs="Arial" w:eastAsia="Arial" w:hAnsi="Arial"/>
                <w:sz w:val="17"/>
                <w:szCs w:val="17"/>
                <w:color w:val="auto"/>
              </w:rPr>
              <w:t>27,042</w:t>
            </w:r>
          </w:p>
        </w:tc>
        <w:tc>
          <w:tcPr>
            <w:tcW w:w="2360" w:type="dxa"/>
            <w:vAlign w:val="bottom"/>
            <w:shd w:val="clear" w:color="auto" w:fill="E6E6E6"/>
          </w:tcPr>
          <w:p>
            <w:pPr>
              <w:jc w:val="right"/>
              <w:ind w:right="235"/>
              <w:spacing w:after="0"/>
              <w:rPr>
                <w:sz w:val="20"/>
                <w:szCs w:val="20"/>
                <w:color w:val="auto"/>
              </w:rPr>
            </w:pPr>
            <w:r>
              <w:rPr>
                <w:rFonts w:ascii="Arial" w:cs="Arial" w:eastAsia="Arial" w:hAnsi="Arial"/>
                <w:sz w:val="17"/>
                <w:szCs w:val="17"/>
                <w:color w:val="auto"/>
              </w:rPr>
              <w:t>0</w:t>
            </w:r>
          </w:p>
        </w:tc>
        <w:tc>
          <w:tcPr>
            <w:tcW w:w="11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23,067</w:t>
            </w:r>
          </w:p>
        </w:tc>
      </w:tr>
      <w:tr>
        <w:trPr>
          <w:trHeight w:val="196"/>
        </w:trPr>
        <w:tc>
          <w:tcPr>
            <w:tcW w:w="4920" w:type="dxa"/>
            <w:vAlign w:val="bottom"/>
            <w:gridSpan w:val="2"/>
          </w:tcPr>
          <w:p>
            <w:pPr>
              <w:spacing w:after="0"/>
              <w:rPr>
                <w:sz w:val="20"/>
                <w:szCs w:val="20"/>
                <w:color w:val="auto"/>
              </w:rPr>
            </w:pPr>
            <w:r>
              <w:rPr>
                <w:rFonts w:ascii="Arial" w:cs="Arial" w:eastAsia="Arial" w:hAnsi="Arial"/>
                <w:sz w:val="17"/>
                <w:szCs w:val="17"/>
                <w:color w:val="auto"/>
              </w:rPr>
              <w:t>F. Waddell</w:t>
            </w:r>
          </w:p>
        </w:tc>
        <w:tc>
          <w:tcPr>
            <w:tcW w:w="2980" w:type="dxa"/>
            <w:vAlign w:val="bottom"/>
          </w:tcPr>
          <w:p>
            <w:pPr>
              <w:jc w:val="right"/>
              <w:ind w:right="395"/>
              <w:spacing w:after="0"/>
              <w:rPr>
                <w:sz w:val="20"/>
                <w:szCs w:val="20"/>
                <w:color w:val="auto"/>
              </w:rPr>
            </w:pPr>
            <w:r>
              <w:rPr>
                <w:rFonts w:ascii="Arial" w:cs="Arial" w:eastAsia="Arial" w:hAnsi="Arial"/>
                <w:sz w:val="17"/>
                <w:szCs w:val="17"/>
                <w:color w:val="auto"/>
              </w:rPr>
              <w:t>9,486</w:t>
            </w:r>
          </w:p>
        </w:tc>
        <w:tc>
          <w:tcPr>
            <w:tcW w:w="2360" w:type="dxa"/>
            <w:vAlign w:val="bottom"/>
          </w:tcPr>
          <w:p>
            <w:pPr>
              <w:jc w:val="right"/>
              <w:ind w:right="235"/>
              <w:spacing w:after="0"/>
              <w:rPr>
                <w:sz w:val="20"/>
                <w:szCs w:val="20"/>
                <w:color w:val="auto"/>
              </w:rPr>
            </w:pPr>
            <w:r>
              <w:rPr>
                <w:rFonts w:ascii="Arial" w:cs="Arial" w:eastAsia="Arial" w:hAnsi="Arial"/>
                <w:sz w:val="17"/>
                <w:szCs w:val="17"/>
                <w:color w:val="auto"/>
              </w:rPr>
              <w:t>0</w:t>
            </w:r>
          </w:p>
        </w:tc>
        <w:tc>
          <w:tcPr>
            <w:tcW w:w="11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4920" w:type="dxa"/>
            <w:vAlign w:val="bottom"/>
            <w:gridSpan w:val="2"/>
            <w:shd w:val="clear" w:color="auto" w:fill="E6E6E6"/>
          </w:tcPr>
          <w:p>
            <w:pPr>
              <w:spacing w:after="0"/>
              <w:rPr>
                <w:sz w:val="20"/>
                <w:szCs w:val="20"/>
                <w:color w:val="auto"/>
              </w:rPr>
            </w:pPr>
            <w:r>
              <w:rPr>
                <w:rFonts w:ascii="Arial" w:cs="Arial" w:eastAsia="Arial" w:hAnsi="Arial"/>
                <w:sz w:val="17"/>
                <w:szCs w:val="17"/>
                <w:color w:val="auto"/>
              </w:rPr>
              <w:t>C. Alban</w:t>
            </w:r>
          </w:p>
        </w:tc>
        <w:tc>
          <w:tcPr>
            <w:tcW w:w="2980" w:type="dxa"/>
            <w:vAlign w:val="bottom"/>
            <w:shd w:val="clear" w:color="auto" w:fill="E6E6E6"/>
          </w:tcPr>
          <w:p>
            <w:pPr>
              <w:jc w:val="right"/>
              <w:ind w:right="395"/>
              <w:spacing w:after="0"/>
              <w:rPr>
                <w:sz w:val="20"/>
                <w:szCs w:val="20"/>
                <w:color w:val="auto"/>
              </w:rPr>
            </w:pPr>
            <w:r>
              <w:rPr>
                <w:rFonts w:ascii="Arial" w:cs="Arial" w:eastAsia="Arial" w:hAnsi="Arial"/>
                <w:sz w:val="17"/>
                <w:szCs w:val="17"/>
                <w:color w:val="auto"/>
              </w:rPr>
              <w:t>277,254</w:t>
            </w:r>
          </w:p>
        </w:tc>
        <w:tc>
          <w:tcPr>
            <w:tcW w:w="2360" w:type="dxa"/>
            <w:vAlign w:val="bottom"/>
            <w:shd w:val="clear" w:color="auto" w:fill="E6E6E6"/>
          </w:tcPr>
          <w:p>
            <w:pPr>
              <w:jc w:val="right"/>
              <w:ind w:right="235"/>
              <w:spacing w:after="0"/>
              <w:rPr>
                <w:sz w:val="20"/>
                <w:szCs w:val="20"/>
                <w:color w:val="auto"/>
              </w:rPr>
            </w:pPr>
            <w:r>
              <w:rPr>
                <w:rFonts w:ascii="Arial" w:cs="Arial" w:eastAsia="Arial" w:hAnsi="Arial"/>
                <w:sz w:val="17"/>
                <w:szCs w:val="17"/>
                <w:color w:val="auto"/>
              </w:rPr>
              <w:t>298,050</w:t>
            </w:r>
          </w:p>
        </w:tc>
        <w:tc>
          <w:tcPr>
            <w:tcW w:w="11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4920" w:type="dxa"/>
            <w:vAlign w:val="bottom"/>
            <w:gridSpan w:val="2"/>
          </w:tcPr>
          <w:p>
            <w:pPr>
              <w:spacing w:after="0"/>
              <w:rPr>
                <w:sz w:val="20"/>
                <w:szCs w:val="20"/>
                <w:color w:val="auto"/>
              </w:rPr>
            </w:pPr>
            <w:r>
              <w:rPr>
                <w:rFonts w:ascii="Arial" w:cs="Arial" w:eastAsia="Arial" w:hAnsi="Arial"/>
                <w:sz w:val="17"/>
                <w:szCs w:val="17"/>
                <w:color w:val="auto"/>
              </w:rPr>
              <w:t>W. Chase</w:t>
            </w:r>
          </w:p>
        </w:tc>
        <w:tc>
          <w:tcPr>
            <w:tcW w:w="2980" w:type="dxa"/>
            <w:vAlign w:val="bottom"/>
          </w:tcPr>
          <w:p>
            <w:pPr>
              <w:jc w:val="right"/>
              <w:ind w:right="395"/>
              <w:spacing w:after="0"/>
              <w:rPr>
                <w:sz w:val="20"/>
                <w:szCs w:val="20"/>
                <w:color w:val="auto"/>
              </w:rPr>
            </w:pPr>
            <w:r>
              <w:rPr>
                <w:rFonts w:ascii="Arial" w:cs="Arial" w:eastAsia="Arial" w:hAnsi="Arial"/>
                <w:sz w:val="17"/>
                <w:szCs w:val="17"/>
                <w:color w:val="auto"/>
              </w:rPr>
              <w:t>218,529</w:t>
            </w:r>
          </w:p>
        </w:tc>
        <w:tc>
          <w:tcPr>
            <w:tcW w:w="2360" w:type="dxa"/>
            <w:vAlign w:val="bottom"/>
          </w:tcPr>
          <w:p>
            <w:pPr>
              <w:jc w:val="right"/>
              <w:ind w:right="235"/>
              <w:spacing w:after="0"/>
              <w:rPr>
                <w:sz w:val="20"/>
                <w:szCs w:val="20"/>
                <w:color w:val="auto"/>
              </w:rPr>
            </w:pPr>
            <w:r>
              <w:rPr>
                <w:rFonts w:ascii="Arial" w:cs="Arial" w:eastAsia="Arial" w:hAnsi="Arial"/>
                <w:sz w:val="17"/>
                <w:szCs w:val="17"/>
                <w:color w:val="auto"/>
              </w:rPr>
              <w:t>311,481</w:t>
            </w:r>
          </w:p>
        </w:tc>
        <w:tc>
          <w:tcPr>
            <w:tcW w:w="11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4920" w:type="dxa"/>
            <w:vAlign w:val="bottom"/>
            <w:gridSpan w:val="2"/>
            <w:shd w:val="clear" w:color="auto" w:fill="E6E6E6"/>
          </w:tcPr>
          <w:p>
            <w:pPr>
              <w:spacing w:after="0"/>
              <w:rPr>
                <w:sz w:val="20"/>
                <w:szCs w:val="20"/>
                <w:color w:val="auto"/>
              </w:rPr>
            </w:pPr>
            <w:r>
              <w:rPr>
                <w:rFonts w:ascii="Arial" w:cs="Arial" w:eastAsia="Arial" w:hAnsi="Arial"/>
                <w:sz w:val="17"/>
                <w:szCs w:val="17"/>
                <w:color w:val="auto"/>
              </w:rPr>
              <w:t>L. Schumacher</w:t>
            </w:r>
          </w:p>
        </w:tc>
        <w:tc>
          <w:tcPr>
            <w:tcW w:w="2980" w:type="dxa"/>
            <w:vAlign w:val="bottom"/>
            <w:shd w:val="clear" w:color="auto" w:fill="E6E6E6"/>
          </w:tcPr>
          <w:p>
            <w:pPr>
              <w:jc w:val="right"/>
              <w:ind w:right="395"/>
              <w:spacing w:after="0"/>
              <w:rPr>
                <w:sz w:val="20"/>
                <w:szCs w:val="20"/>
                <w:color w:val="auto"/>
              </w:rPr>
            </w:pPr>
            <w:r>
              <w:rPr>
                <w:rFonts w:ascii="Arial" w:cs="Arial" w:eastAsia="Arial" w:hAnsi="Arial"/>
                <w:sz w:val="17"/>
                <w:szCs w:val="17"/>
                <w:color w:val="auto"/>
              </w:rPr>
              <w:t>273,316</w:t>
            </w:r>
          </w:p>
        </w:tc>
        <w:tc>
          <w:tcPr>
            <w:tcW w:w="2360" w:type="dxa"/>
            <w:vAlign w:val="bottom"/>
            <w:shd w:val="clear" w:color="auto" w:fill="E6E6E6"/>
          </w:tcPr>
          <w:p>
            <w:pPr>
              <w:jc w:val="right"/>
              <w:ind w:right="235"/>
              <w:spacing w:after="0"/>
              <w:rPr>
                <w:sz w:val="20"/>
                <w:szCs w:val="20"/>
                <w:color w:val="auto"/>
              </w:rPr>
            </w:pPr>
            <w:r>
              <w:rPr>
                <w:rFonts w:ascii="Arial" w:cs="Arial" w:eastAsia="Arial" w:hAnsi="Arial"/>
                <w:sz w:val="17"/>
                <w:szCs w:val="17"/>
                <w:color w:val="auto"/>
              </w:rPr>
              <w:t>508,583</w:t>
            </w:r>
          </w:p>
        </w:tc>
        <w:tc>
          <w:tcPr>
            <w:tcW w:w="11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0</w:t>
            </w:r>
          </w:p>
        </w:tc>
      </w:tr>
      <w:tr>
        <w:trPr>
          <w:trHeight w:val="196"/>
        </w:trPr>
        <w:tc>
          <w:tcPr>
            <w:tcW w:w="4920" w:type="dxa"/>
            <w:vAlign w:val="bottom"/>
            <w:gridSpan w:val="2"/>
          </w:tcPr>
          <w:p>
            <w:pPr>
              <w:spacing w:after="0"/>
              <w:rPr>
                <w:sz w:val="20"/>
                <w:szCs w:val="20"/>
                <w:color w:val="auto"/>
              </w:rPr>
            </w:pPr>
            <w:r>
              <w:rPr>
                <w:rFonts w:ascii="Arial" w:cs="Arial" w:eastAsia="Arial" w:hAnsi="Arial"/>
                <w:sz w:val="17"/>
                <w:szCs w:val="17"/>
                <w:color w:val="auto"/>
              </w:rPr>
              <w:t>M. Severino</w:t>
            </w:r>
          </w:p>
        </w:tc>
        <w:tc>
          <w:tcPr>
            <w:tcW w:w="2980" w:type="dxa"/>
            <w:vAlign w:val="bottom"/>
          </w:tcPr>
          <w:p>
            <w:pPr>
              <w:jc w:val="right"/>
              <w:ind w:right="395"/>
              <w:spacing w:after="0"/>
              <w:rPr>
                <w:sz w:val="20"/>
                <w:szCs w:val="20"/>
                <w:color w:val="auto"/>
              </w:rPr>
            </w:pPr>
            <w:r>
              <w:rPr>
                <w:rFonts w:ascii="Arial" w:cs="Arial" w:eastAsia="Arial" w:hAnsi="Arial"/>
                <w:sz w:val="17"/>
                <w:szCs w:val="17"/>
                <w:color w:val="auto"/>
              </w:rPr>
              <w:t>172,909</w:t>
            </w:r>
          </w:p>
        </w:tc>
        <w:tc>
          <w:tcPr>
            <w:tcW w:w="2360" w:type="dxa"/>
            <w:vAlign w:val="bottom"/>
          </w:tcPr>
          <w:p>
            <w:pPr>
              <w:jc w:val="right"/>
              <w:ind w:right="235"/>
              <w:spacing w:after="0"/>
              <w:rPr>
                <w:sz w:val="20"/>
                <w:szCs w:val="20"/>
                <w:color w:val="auto"/>
              </w:rPr>
            </w:pPr>
            <w:r>
              <w:rPr>
                <w:rFonts w:ascii="Arial" w:cs="Arial" w:eastAsia="Arial" w:hAnsi="Arial"/>
                <w:sz w:val="17"/>
                <w:szCs w:val="17"/>
                <w:color w:val="auto"/>
              </w:rPr>
              <w:t>59,597</w:t>
            </w:r>
          </w:p>
        </w:tc>
        <w:tc>
          <w:tcPr>
            <w:tcW w:w="1160" w:type="dxa"/>
            <w:vAlign w:val="bottom"/>
          </w:tcPr>
          <w:p>
            <w:pPr>
              <w:jc w:val="right"/>
              <w:spacing w:after="0"/>
              <w:rPr>
                <w:sz w:val="20"/>
                <w:szCs w:val="20"/>
                <w:color w:val="auto"/>
              </w:rPr>
            </w:pPr>
            <w:r>
              <w:rPr>
                <w:rFonts w:ascii="Arial" w:cs="Arial" w:eastAsia="Arial" w:hAnsi="Arial"/>
                <w:sz w:val="17"/>
                <w:szCs w:val="17"/>
                <w:color w:val="auto"/>
              </w:rPr>
              <w:t>0</w:t>
            </w:r>
          </w:p>
        </w:tc>
      </w:tr>
      <w:tr>
        <w:trPr>
          <w:trHeight w:val="235"/>
        </w:trPr>
        <w:tc>
          <w:tcPr>
            <w:tcW w:w="4920" w:type="dxa"/>
            <w:vAlign w:val="bottom"/>
            <w:gridSpan w:val="2"/>
            <w:shd w:val="clear" w:color="auto" w:fill="E6E6E6"/>
          </w:tcPr>
          <w:p>
            <w:pPr>
              <w:spacing w:after="0" w:line="235" w:lineRule="exact"/>
              <w:rPr>
                <w:sz w:val="20"/>
                <w:szCs w:val="20"/>
                <w:color w:val="auto"/>
              </w:rPr>
            </w:pPr>
            <w:r>
              <w:rPr>
                <w:rFonts w:ascii="Arial" w:cs="Arial" w:eastAsia="Arial" w:hAnsi="Arial"/>
                <w:sz w:val="16"/>
                <w:szCs w:val="16"/>
                <w:color w:val="auto"/>
              </w:rPr>
              <w:t>All directors and executive officers as a group</w:t>
            </w:r>
            <w:r>
              <w:rPr>
                <w:rFonts w:ascii="Arial" w:cs="Arial" w:eastAsia="Arial" w:hAnsi="Arial"/>
                <w:sz w:val="27"/>
                <w:szCs w:val="27"/>
                <w:color w:val="auto"/>
                <w:vertAlign w:val="superscript"/>
              </w:rPr>
              <w:t>(4)</w:t>
            </w:r>
          </w:p>
        </w:tc>
        <w:tc>
          <w:tcPr>
            <w:tcW w:w="2980" w:type="dxa"/>
            <w:vAlign w:val="bottom"/>
            <w:shd w:val="clear" w:color="auto" w:fill="E6E6E6"/>
          </w:tcPr>
          <w:p>
            <w:pPr>
              <w:jc w:val="right"/>
              <w:ind w:right="395"/>
              <w:spacing w:after="0"/>
              <w:rPr>
                <w:sz w:val="20"/>
                <w:szCs w:val="20"/>
                <w:color w:val="auto"/>
              </w:rPr>
            </w:pPr>
            <w:r>
              <w:rPr>
                <w:rFonts w:ascii="Arial" w:cs="Arial" w:eastAsia="Arial" w:hAnsi="Arial"/>
                <w:sz w:val="17"/>
                <w:szCs w:val="17"/>
                <w:color w:val="auto"/>
              </w:rPr>
              <w:t>1,856,074</w:t>
            </w:r>
          </w:p>
        </w:tc>
        <w:tc>
          <w:tcPr>
            <w:tcW w:w="2360" w:type="dxa"/>
            <w:vAlign w:val="bottom"/>
            <w:shd w:val="clear" w:color="auto" w:fill="E6E6E6"/>
          </w:tcPr>
          <w:p>
            <w:pPr>
              <w:jc w:val="right"/>
              <w:ind w:right="235"/>
              <w:spacing w:after="0"/>
              <w:rPr>
                <w:sz w:val="20"/>
                <w:szCs w:val="20"/>
                <w:color w:val="auto"/>
              </w:rPr>
            </w:pPr>
            <w:r>
              <w:rPr>
                <w:rFonts w:ascii="Arial" w:cs="Arial" w:eastAsia="Arial" w:hAnsi="Arial"/>
                <w:sz w:val="17"/>
                <w:szCs w:val="17"/>
                <w:color w:val="auto"/>
              </w:rPr>
              <w:t>2,119,418</w:t>
            </w:r>
          </w:p>
        </w:tc>
        <w:tc>
          <w:tcPr>
            <w:tcW w:w="1160" w:type="dxa"/>
            <w:vAlign w:val="bottom"/>
            <w:shd w:val="clear" w:color="auto" w:fill="E6E6E6"/>
          </w:tcPr>
          <w:p>
            <w:pPr>
              <w:jc w:val="right"/>
              <w:spacing w:after="0"/>
              <w:rPr>
                <w:sz w:val="20"/>
                <w:szCs w:val="20"/>
                <w:color w:val="auto"/>
              </w:rPr>
            </w:pPr>
            <w:r>
              <w:rPr>
                <w:rFonts w:ascii="Arial" w:cs="Arial" w:eastAsia="Arial" w:hAnsi="Arial"/>
                <w:sz w:val="17"/>
                <w:szCs w:val="17"/>
                <w:color w:val="auto"/>
              </w:rPr>
              <w:t>50,167</w:t>
            </w:r>
          </w:p>
        </w:tc>
      </w:tr>
      <w:tr>
        <w:trPr>
          <w:trHeight w:val="105"/>
        </w:trPr>
        <w:tc>
          <w:tcPr>
            <w:tcW w:w="2660" w:type="dxa"/>
            <w:vAlign w:val="bottom"/>
            <w:tcBorders>
              <w:bottom w:val="single" w:sz="8" w:color="auto"/>
            </w:tcBorders>
          </w:tcPr>
          <w:p>
            <w:pPr>
              <w:spacing w:after="0"/>
              <w:rPr>
                <w:sz w:val="9"/>
                <w:szCs w:val="9"/>
                <w:color w:val="auto"/>
              </w:rPr>
            </w:pPr>
          </w:p>
        </w:tc>
        <w:tc>
          <w:tcPr>
            <w:tcW w:w="2260" w:type="dxa"/>
            <w:vAlign w:val="bottom"/>
          </w:tcPr>
          <w:p>
            <w:pPr>
              <w:spacing w:after="0"/>
              <w:rPr>
                <w:sz w:val="9"/>
                <w:szCs w:val="9"/>
                <w:color w:val="auto"/>
              </w:rPr>
            </w:pPr>
          </w:p>
        </w:tc>
        <w:tc>
          <w:tcPr>
            <w:tcW w:w="2980" w:type="dxa"/>
            <w:vAlign w:val="bottom"/>
          </w:tcPr>
          <w:p>
            <w:pPr>
              <w:spacing w:after="0"/>
              <w:rPr>
                <w:sz w:val="9"/>
                <w:szCs w:val="9"/>
                <w:color w:val="auto"/>
              </w:rPr>
            </w:pPr>
          </w:p>
        </w:tc>
        <w:tc>
          <w:tcPr>
            <w:tcW w:w="2360" w:type="dxa"/>
            <w:vAlign w:val="bottom"/>
          </w:tcPr>
          <w:p>
            <w:pPr>
              <w:spacing w:after="0"/>
              <w:rPr>
                <w:sz w:val="9"/>
                <w:szCs w:val="9"/>
                <w:color w:val="auto"/>
              </w:rPr>
            </w:pPr>
          </w:p>
        </w:tc>
        <w:tc>
          <w:tcPr>
            <w:tcW w:w="1160" w:type="dxa"/>
            <w:vAlign w:val="bottom"/>
          </w:tcPr>
          <w:p>
            <w:pPr>
              <w:spacing w:after="0"/>
              <w:rPr>
                <w:sz w:val="9"/>
                <w:szCs w:val="9"/>
                <w:color w:val="auto"/>
              </w:rPr>
            </w:pPr>
          </w:p>
        </w:tc>
      </w:tr>
    </w:tbl>
    <w:p>
      <w:pPr>
        <w:spacing w:after="0" w:line="212" w:lineRule="exact"/>
        <w:rPr>
          <w:sz w:val="20"/>
          <w:szCs w:val="20"/>
          <w:color w:val="auto"/>
        </w:rPr>
      </w:pPr>
    </w:p>
    <w:p>
      <w:pPr>
        <w:ind w:left="520" w:right="80" w:hanging="515"/>
        <w:spacing w:after="0" w:line="250"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table includes shares held in the executive officers' accounts in the AbbVie Savings Plan as follows: all executive officers as a group, 1,884. Each executive officer has shared voting power and sole investment power with respect to the shares held in his or her account.</w:t>
      </w:r>
    </w:p>
    <w:p>
      <w:pPr>
        <w:spacing w:after="0" w:line="193" w:lineRule="exact"/>
        <w:rPr>
          <w:rFonts w:ascii="Arial" w:cs="Arial" w:eastAsia="Arial" w:hAnsi="Arial"/>
          <w:sz w:val="17"/>
          <w:szCs w:val="17"/>
          <w:color w:val="auto"/>
        </w:rPr>
      </w:pPr>
    </w:p>
    <w:p>
      <w:pPr>
        <w:ind w:left="520" w:hanging="515"/>
        <w:spacing w:after="0"/>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table includes restricted stock units held by the non-employee directors. The directors' units are payable in stock as described in footnote</w:t>
      </w:r>
    </w:p>
    <w:p>
      <w:pPr>
        <w:ind w:left="520"/>
        <w:spacing w:after="0"/>
        <w:rPr>
          <w:rFonts w:ascii="Arial" w:cs="Arial" w:eastAsia="Arial" w:hAnsi="Arial"/>
          <w:sz w:val="17"/>
          <w:szCs w:val="17"/>
          <w:color w:val="auto"/>
        </w:rPr>
      </w:pPr>
      <w:r>
        <w:rPr>
          <w:rFonts w:ascii="Arial" w:cs="Arial" w:eastAsia="Arial" w:hAnsi="Arial"/>
          <w:sz w:val="17"/>
          <w:szCs w:val="17"/>
          <w:color w:val="auto"/>
        </w:rPr>
        <w:t>(2) to the Director Compensation table.</w:t>
      </w:r>
    </w:p>
    <w:p>
      <w:pPr>
        <w:spacing w:after="0" w:line="196" w:lineRule="exact"/>
        <w:rPr>
          <w:rFonts w:ascii="Arial" w:cs="Arial" w:eastAsia="Arial" w:hAnsi="Arial"/>
          <w:sz w:val="17"/>
          <w:szCs w:val="17"/>
          <w:color w:val="auto"/>
        </w:rPr>
      </w:pPr>
    </w:p>
    <w:p>
      <w:pPr>
        <w:ind w:left="520" w:right="500" w:hanging="515"/>
        <w:spacing w:after="0" w:line="250" w:lineRule="auto"/>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table includes shared voting and/or investment power over shares as follows: R. Gonzalez, 5,050; G. Tilton, 350; C. Alban, 40,442; W. Chase, 501; and all directors and executive officers as a group, 48,086.</w:t>
      </w:r>
    </w:p>
    <w:p>
      <w:pPr>
        <w:spacing w:after="0" w:line="180" w:lineRule="exact"/>
        <w:rPr>
          <w:rFonts w:ascii="Arial" w:cs="Arial" w:eastAsia="Arial" w:hAnsi="Arial"/>
          <w:sz w:val="17"/>
          <w:szCs w:val="17"/>
          <w:color w:val="auto"/>
        </w:rPr>
      </w:pPr>
    </w:p>
    <w:p>
      <w:pPr>
        <w:ind w:left="520" w:hanging="515"/>
        <w:spacing w:after="0"/>
        <w:tabs>
          <w:tab w:leader="none" w:pos="5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directors and executive officers as a group own less than one percent of the outstanding shares of AbbVie.</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20  </w:t>
      </w:r>
      <w:r>
        <w:rPr>
          <w:sz w:val="1"/>
          <w:szCs w:val="1"/>
          <w:color w:val="auto"/>
        </w:rPr>
        <w:drawing>
          <wp:inline distT="0" distB="0" distL="0" distR="0">
            <wp:extent cx="622300" cy="107950"/>
            <wp:effectExtent l="0" t="0" r="0" b="0"/>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3" w:name="page24"/>
    <w:bookmarkEnd w:id="2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6258560</wp:posOffset>
            </wp:positionH>
            <wp:positionV relativeFrom="paragraph">
              <wp:posOffset>130810</wp:posOffset>
            </wp:positionV>
            <wp:extent cx="995680" cy="1409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95680" cy="140970"/>
                    </a:xfrm>
                    <a:prstGeom prst="rect">
                      <a:avLst/>
                    </a:prstGeom>
                    <a:noFill/>
                  </pic:spPr>
                </pic:pic>
              </a:graphicData>
            </a:graphic>
          </wp:anchor>
        </w:drawing>
      </w:r>
    </w:p>
    <w:p>
      <w:pPr>
        <w:spacing w:after="0" w:line="224" w:lineRule="exact"/>
        <w:rPr>
          <w:sz w:val="20"/>
          <w:szCs w:val="20"/>
          <w:color w:val="auto"/>
        </w:rPr>
      </w:pPr>
    </w:p>
    <w:p>
      <w:pPr>
        <w:ind w:left="9900"/>
        <w:spacing w:after="0"/>
        <w:rPr>
          <w:sz w:val="20"/>
          <w:szCs w:val="20"/>
          <w:color w:val="auto"/>
        </w:rPr>
      </w:pPr>
      <w:r>
        <w:rPr>
          <w:rFonts w:ascii="Arial" w:cs="Arial" w:eastAsia="Arial" w:hAnsi="Arial"/>
          <w:sz w:val="10"/>
          <w:szCs w:val="10"/>
          <w:b w:val="1"/>
          <w:bCs w:val="1"/>
          <w:color w:val="FFFFFE"/>
        </w:rPr>
        <w:t>SECURITIES OWNERSHIP</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Securities Ownership of Principal Stockholders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80" w:firstLine="657"/>
        <w:spacing w:after="0" w:line="242" w:lineRule="auto"/>
        <w:rPr>
          <w:sz w:val="20"/>
          <w:szCs w:val="20"/>
          <w:color w:val="auto"/>
        </w:rPr>
      </w:pPr>
      <w:r>
        <w:rPr>
          <w:rFonts w:ascii="Arial" w:cs="Arial" w:eastAsia="Arial" w:hAnsi="Arial"/>
          <w:sz w:val="17"/>
          <w:szCs w:val="17"/>
          <w:color w:val="auto"/>
        </w:rPr>
        <w:t>The table below reports the number of shares of AbbVie common stock beneficially owned as of December 31, 2015 by BlackRock, Inc. and The Vanguard Group (directly or through subsidiaries), respectively, the only persons known to AbbVie to own beneficially more than 5% of AbbVie's outstanding common stock. It is based on information contained in Schedules 13G filed with the Securities and Exchange Commission by BlackRock, Inc. on February 10, 2016, and by The Vanguard Group on February 10, 2016. BlackRock, Inc. reported that it had sole voting power with respect to 84,605,586 shares, shared voting power with respect to 20,990 shares, sole dispositive power with respect to 99,570,589 shares and shared dispositive power with respect to 20,990 shares. The Vanguard Group reported that it had sole voting power with respect to 3,059,030 shares, shared voting power with respect to 169,300 shares, sole dispositive power with respect to 96,367,531 shares and shared dispositive power with respect to 3,252,090 shares.</w:t>
      </w:r>
    </w:p>
    <w:p>
      <w:pPr>
        <w:spacing w:after="0" w:line="180" w:lineRule="exact"/>
        <w:rPr>
          <w:sz w:val="20"/>
          <w:szCs w:val="20"/>
          <w:color w:val="auto"/>
        </w:rPr>
      </w:pPr>
    </w:p>
    <w:tbl>
      <w:tblPr>
        <w:tblLayout w:type="fixed"/>
        <w:tblInd w:w="1380" w:type="dxa"/>
        <w:tblCellMar>
          <w:top w:w="0" w:type="dxa"/>
          <w:left w:w="0" w:type="dxa"/>
          <w:bottom w:w="0" w:type="dxa"/>
          <w:right w:w="0" w:type="dxa"/>
        </w:tblCellMar>
      </w:tblPr>
      <w:tr>
        <w:trPr>
          <w:trHeight w:val="213"/>
        </w:trPr>
        <w:tc>
          <w:tcPr>
            <w:tcW w:w="388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444867"/>
              </w:rPr>
              <w:t>Name and Address of Beneficial Owner</w:t>
            </w:r>
          </w:p>
        </w:tc>
        <w:tc>
          <w:tcPr>
            <w:tcW w:w="31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b w:val="1"/>
                <w:bCs w:val="1"/>
                <w:color w:val="444867"/>
              </w:rPr>
              <w:t>Shares Beneficially Owned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Percent of Class</w:t>
            </w:r>
          </w:p>
        </w:tc>
      </w:tr>
      <w:tr>
        <w:trPr>
          <w:trHeight w:val="192"/>
        </w:trPr>
        <w:tc>
          <w:tcPr>
            <w:tcW w:w="3880" w:type="dxa"/>
            <w:vAlign w:val="bottom"/>
            <w:shd w:val="clear" w:color="auto" w:fill="E6E6E6"/>
          </w:tcPr>
          <w:p>
            <w:pPr>
              <w:spacing w:after="0" w:line="192" w:lineRule="exact"/>
              <w:rPr>
                <w:sz w:val="20"/>
                <w:szCs w:val="20"/>
                <w:color w:val="auto"/>
              </w:rPr>
            </w:pPr>
            <w:r>
              <w:rPr>
                <w:rFonts w:ascii="Arial" w:cs="Arial" w:eastAsia="Arial" w:hAnsi="Arial"/>
                <w:sz w:val="17"/>
                <w:szCs w:val="17"/>
                <w:color w:val="auto"/>
              </w:rPr>
              <w:t>BlackRock, Inc.</w:t>
            </w:r>
          </w:p>
        </w:tc>
        <w:tc>
          <w:tcPr>
            <w:tcW w:w="3100" w:type="dxa"/>
            <w:vAlign w:val="bottom"/>
            <w:shd w:val="clear" w:color="auto" w:fill="E6E6E6"/>
          </w:tcPr>
          <w:p>
            <w:pPr>
              <w:jc w:val="right"/>
              <w:ind w:right="135"/>
              <w:spacing w:after="0" w:line="192" w:lineRule="exact"/>
              <w:rPr>
                <w:sz w:val="20"/>
                <w:szCs w:val="20"/>
                <w:color w:val="auto"/>
              </w:rPr>
            </w:pPr>
            <w:r>
              <w:rPr>
                <w:rFonts w:ascii="Arial" w:cs="Arial" w:eastAsia="Arial" w:hAnsi="Arial"/>
                <w:sz w:val="17"/>
                <w:szCs w:val="17"/>
                <w:color w:val="auto"/>
              </w:rPr>
              <w:t>99,591,579</w:t>
            </w:r>
          </w:p>
        </w:tc>
        <w:tc>
          <w:tcPr>
            <w:tcW w:w="1580" w:type="dxa"/>
            <w:vAlign w:val="bottom"/>
            <w:shd w:val="clear" w:color="auto" w:fill="E6E6E6"/>
          </w:tcPr>
          <w:p>
            <w:pPr>
              <w:jc w:val="right"/>
              <w:spacing w:after="0" w:line="192" w:lineRule="exact"/>
              <w:rPr>
                <w:sz w:val="20"/>
                <w:szCs w:val="20"/>
                <w:color w:val="auto"/>
              </w:rPr>
            </w:pPr>
            <w:r>
              <w:rPr>
                <w:rFonts w:ascii="Arial" w:cs="Arial" w:eastAsia="Arial" w:hAnsi="Arial"/>
                <w:sz w:val="17"/>
                <w:szCs w:val="17"/>
                <w:color w:val="auto"/>
              </w:rPr>
              <w:t>6.1%</w:t>
            </w:r>
          </w:p>
        </w:tc>
      </w:tr>
      <w:tr>
        <w:trPr>
          <w:trHeight w:val="196"/>
        </w:trPr>
        <w:tc>
          <w:tcPr>
            <w:tcW w:w="3880" w:type="dxa"/>
            <w:vAlign w:val="bottom"/>
            <w:shd w:val="clear" w:color="auto" w:fill="E6E6E6"/>
          </w:tcPr>
          <w:p>
            <w:pPr>
              <w:ind w:left="180"/>
              <w:spacing w:after="0"/>
              <w:rPr>
                <w:sz w:val="20"/>
                <w:szCs w:val="20"/>
                <w:color w:val="auto"/>
              </w:rPr>
            </w:pPr>
            <w:r>
              <w:rPr>
                <w:rFonts w:ascii="Arial" w:cs="Arial" w:eastAsia="Arial" w:hAnsi="Arial"/>
                <w:sz w:val="17"/>
                <w:szCs w:val="17"/>
                <w:color w:val="auto"/>
              </w:rPr>
              <w:t>40 East 52nd Street</w:t>
            </w:r>
          </w:p>
        </w:tc>
        <w:tc>
          <w:tcPr>
            <w:tcW w:w="3100" w:type="dxa"/>
            <w:vAlign w:val="bottom"/>
            <w:shd w:val="clear" w:color="auto" w:fill="E6E6E6"/>
          </w:tcPr>
          <w:p>
            <w:pPr>
              <w:spacing w:after="0"/>
              <w:rPr>
                <w:sz w:val="17"/>
                <w:szCs w:val="17"/>
                <w:color w:val="auto"/>
              </w:rPr>
            </w:pPr>
          </w:p>
        </w:tc>
        <w:tc>
          <w:tcPr>
            <w:tcW w:w="1580" w:type="dxa"/>
            <w:vAlign w:val="bottom"/>
            <w:shd w:val="clear" w:color="auto" w:fill="E6E6E6"/>
          </w:tcPr>
          <w:p>
            <w:pPr>
              <w:spacing w:after="0"/>
              <w:rPr>
                <w:sz w:val="17"/>
                <w:szCs w:val="17"/>
                <w:color w:val="auto"/>
              </w:rPr>
            </w:pPr>
          </w:p>
        </w:tc>
      </w:tr>
      <w:tr>
        <w:trPr>
          <w:trHeight w:val="193"/>
        </w:trPr>
        <w:tc>
          <w:tcPr>
            <w:tcW w:w="3880" w:type="dxa"/>
            <w:vAlign w:val="bottom"/>
            <w:shd w:val="clear" w:color="auto" w:fill="E6E6E6"/>
          </w:tcPr>
          <w:p>
            <w:pPr>
              <w:ind w:left="180"/>
              <w:spacing w:after="0" w:line="193" w:lineRule="exact"/>
              <w:rPr>
                <w:sz w:val="20"/>
                <w:szCs w:val="20"/>
                <w:color w:val="auto"/>
              </w:rPr>
            </w:pPr>
            <w:r>
              <w:rPr>
                <w:rFonts w:ascii="Arial" w:cs="Arial" w:eastAsia="Arial" w:hAnsi="Arial"/>
                <w:sz w:val="17"/>
                <w:szCs w:val="17"/>
                <w:color w:val="auto"/>
              </w:rPr>
              <w:t>New York, NY 10022</w:t>
            </w:r>
          </w:p>
        </w:tc>
        <w:tc>
          <w:tcPr>
            <w:tcW w:w="3100" w:type="dxa"/>
            <w:vAlign w:val="bottom"/>
            <w:shd w:val="clear" w:color="auto" w:fill="E6E6E6"/>
          </w:tcPr>
          <w:p>
            <w:pPr>
              <w:spacing w:after="0"/>
              <w:rPr>
                <w:sz w:val="16"/>
                <w:szCs w:val="16"/>
                <w:color w:val="auto"/>
              </w:rPr>
            </w:pPr>
          </w:p>
        </w:tc>
        <w:tc>
          <w:tcPr>
            <w:tcW w:w="1580" w:type="dxa"/>
            <w:vAlign w:val="bottom"/>
            <w:shd w:val="clear" w:color="auto" w:fill="E6E6E6"/>
          </w:tcPr>
          <w:p>
            <w:pPr>
              <w:spacing w:after="0"/>
              <w:rPr>
                <w:sz w:val="16"/>
                <w:szCs w:val="16"/>
                <w:color w:val="auto"/>
              </w:rPr>
            </w:pPr>
          </w:p>
        </w:tc>
      </w:tr>
      <w:tr>
        <w:trPr>
          <w:trHeight w:val="199"/>
        </w:trPr>
        <w:tc>
          <w:tcPr>
            <w:tcW w:w="3880" w:type="dxa"/>
            <w:vAlign w:val="bottom"/>
          </w:tcPr>
          <w:p>
            <w:pPr>
              <w:spacing w:after="0"/>
              <w:rPr>
                <w:sz w:val="20"/>
                <w:szCs w:val="20"/>
                <w:color w:val="auto"/>
              </w:rPr>
            </w:pPr>
            <w:r>
              <w:rPr>
                <w:rFonts w:ascii="Arial" w:cs="Arial" w:eastAsia="Arial" w:hAnsi="Arial"/>
                <w:sz w:val="17"/>
                <w:szCs w:val="17"/>
                <w:color w:val="auto"/>
              </w:rPr>
              <w:t>The Vanguard Group</w:t>
            </w:r>
          </w:p>
        </w:tc>
        <w:tc>
          <w:tcPr>
            <w:tcW w:w="3100" w:type="dxa"/>
            <w:vAlign w:val="bottom"/>
          </w:tcPr>
          <w:p>
            <w:pPr>
              <w:jc w:val="right"/>
              <w:ind w:right="135"/>
              <w:spacing w:after="0"/>
              <w:rPr>
                <w:sz w:val="20"/>
                <w:szCs w:val="20"/>
                <w:color w:val="auto"/>
              </w:rPr>
            </w:pPr>
            <w:r>
              <w:rPr>
                <w:rFonts w:ascii="Arial" w:cs="Arial" w:eastAsia="Arial" w:hAnsi="Arial"/>
                <w:sz w:val="17"/>
                <w:szCs w:val="17"/>
                <w:color w:val="auto"/>
              </w:rPr>
              <w:t>99,619,621</w:t>
            </w:r>
          </w:p>
        </w:tc>
        <w:tc>
          <w:tcPr>
            <w:tcW w:w="1580" w:type="dxa"/>
            <w:vAlign w:val="bottom"/>
          </w:tcPr>
          <w:p>
            <w:pPr>
              <w:jc w:val="right"/>
              <w:spacing w:after="0"/>
              <w:rPr>
                <w:sz w:val="20"/>
                <w:szCs w:val="20"/>
                <w:color w:val="auto"/>
              </w:rPr>
            </w:pPr>
            <w:r>
              <w:rPr>
                <w:rFonts w:ascii="Arial" w:cs="Arial" w:eastAsia="Arial" w:hAnsi="Arial"/>
                <w:sz w:val="17"/>
                <w:szCs w:val="17"/>
                <w:color w:val="auto"/>
              </w:rPr>
              <w:t>6.09%</w:t>
            </w:r>
          </w:p>
        </w:tc>
      </w:tr>
      <w:tr>
        <w:trPr>
          <w:trHeight w:val="196"/>
        </w:trPr>
        <w:tc>
          <w:tcPr>
            <w:tcW w:w="3880" w:type="dxa"/>
            <w:vAlign w:val="bottom"/>
          </w:tcPr>
          <w:p>
            <w:pPr>
              <w:ind w:left="180"/>
              <w:spacing w:after="0"/>
              <w:rPr>
                <w:sz w:val="20"/>
                <w:szCs w:val="20"/>
                <w:color w:val="auto"/>
              </w:rPr>
            </w:pPr>
            <w:r>
              <w:rPr>
                <w:rFonts w:ascii="Arial" w:cs="Arial" w:eastAsia="Arial" w:hAnsi="Arial"/>
                <w:sz w:val="17"/>
                <w:szCs w:val="17"/>
                <w:color w:val="auto"/>
              </w:rPr>
              <w:t>100 Vanguard Boulevard</w:t>
            </w:r>
          </w:p>
        </w:tc>
        <w:tc>
          <w:tcPr>
            <w:tcW w:w="310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193"/>
        </w:trPr>
        <w:tc>
          <w:tcPr>
            <w:tcW w:w="3880" w:type="dxa"/>
            <w:vAlign w:val="bottom"/>
            <w:tcBorders>
              <w:bottom w:val="single" w:sz="8" w:color="444867"/>
            </w:tcBorders>
          </w:tcPr>
          <w:p>
            <w:pPr>
              <w:ind w:left="180"/>
              <w:spacing w:after="0" w:line="193" w:lineRule="exact"/>
              <w:rPr>
                <w:sz w:val="20"/>
                <w:szCs w:val="20"/>
                <w:color w:val="auto"/>
              </w:rPr>
            </w:pPr>
            <w:r>
              <w:rPr>
                <w:rFonts w:ascii="Arial" w:cs="Arial" w:eastAsia="Arial" w:hAnsi="Arial"/>
                <w:sz w:val="17"/>
                <w:szCs w:val="17"/>
                <w:color w:val="auto"/>
              </w:rPr>
              <w:t>Malvern, PA 19355</w:t>
            </w:r>
          </w:p>
        </w:tc>
        <w:tc>
          <w:tcPr>
            <w:tcW w:w="3100" w:type="dxa"/>
            <w:vAlign w:val="bottom"/>
            <w:tcBorders>
              <w:bottom w:val="single" w:sz="8" w:color="444867"/>
            </w:tcBorders>
          </w:tcPr>
          <w:p>
            <w:pPr>
              <w:spacing w:after="0"/>
              <w:rPr>
                <w:sz w:val="16"/>
                <w:szCs w:val="16"/>
                <w:color w:val="auto"/>
              </w:rPr>
            </w:pPr>
          </w:p>
        </w:tc>
        <w:tc>
          <w:tcPr>
            <w:tcW w:w="1580" w:type="dxa"/>
            <w:vAlign w:val="bottom"/>
            <w:tcBorders>
              <w:bottom w:val="single" w:sz="8" w:color="444867"/>
            </w:tcBorders>
          </w:tcPr>
          <w:p>
            <w:pPr>
              <w:spacing w:after="0"/>
              <w:rPr>
                <w:sz w:val="16"/>
                <w:szCs w:val="16"/>
                <w:color w:val="auto"/>
              </w:rPr>
            </w:pPr>
          </w:p>
        </w:tc>
      </w:tr>
    </w:tbl>
    <w:p>
      <w:pPr>
        <w:spacing w:after="0" w:line="22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4" w:name="page25"/>
    <w:bookmarkEnd w:id="2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6305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100" w:firstLine="657"/>
        <w:spacing w:after="0" w:line="245" w:lineRule="auto"/>
        <w:rPr>
          <w:sz w:val="20"/>
          <w:szCs w:val="20"/>
          <w:color w:val="auto"/>
        </w:rPr>
      </w:pPr>
      <w:r>
        <w:rPr>
          <w:rFonts w:ascii="Arial" w:cs="Arial" w:eastAsia="Arial" w:hAnsi="Arial"/>
          <w:sz w:val="17"/>
          <w:szCs w:val="17"/>
          <w:color w:val="auto"/>
        </w:rPr>
        <w:t>This Compensation Discussion and Analysis (CD&amp;A) describes the pay philosophy established for AbbVie's named executive officers (NEOs), the design of our compensation programs, the process used to examine performance in the context of executive pay decisions, and the performance goals and results for each NEO:</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1860" w:type="dxa"/>
            <w:vAlign w:val="bottom"/>
            <w:tcBorders>
              <w:top w:val="single" w:sz="8" w:color="auto"/>
            </w:tcBorders>
            <w:shd w:val="clear" w:color="auto" w:fill="E6E6E6"/>
          </w:tcPr>
          <w:p>
            <w:pPr>
              <w:spacing w:after="0"/>
              <w:rPr>
                <w:sz w:val="20"/>
                <w:szCs w:val="20"/>
                <w:color w:val="auto"/>
              </w:rPr>
            </w:pPr>
            <w:r>
              <w:rPr>
                <w:rFonts w:ascii="Arial" w:cs="Arial" w:eastAsia="Arial" w:hAnsi="Arial"/>
                <w:sz w:val="17"/>
                <w:szCs w:val="17"/>
                <w:b w:val="1"/>
                <w:bCs w:val="1"/>
                <w:color w:val="auto"/>
              </w:rPr>
              <w:t>Richard A. Gonzalez</w:t>
            </w:r>
          </w:p>
        </w:tc>
        <w:tc>
          <w:tcPr>
            <w:tcW w:w="9560" w:type="dxa"/>
            <w:vAlign w:val="bottom"/>
            <w:tcBorders>
              <w:top w:val="single" w:sz="8" w:color="auto"/>
            </w:tcBorders>
            <w:shd w:val="clear" w:color="auto" w:fill="E6E6E6"/>
          </w:tcPr>
          <w:p>
            <w:pPr>
              <w:ind w:left="120"/>
              <w:spacing w:after="0"/>
              <w:rPr>
                <w:sz w:val="20"/>
                <w:szCs w:val="20"/>
                <w:color w:val="auto"/>
              </w:rPr>
            </w:pPr>
            <w:r>
              <w:rPr>
                <w:rFonts w:ascii="Arial" w:cs="Arial" w:eastAsia="Arial" w:hAnsi="Arial"/>
                <w:sz w:val="17"/>
                <w:szCs w:val="17"/>
                <w:color w:val="auto"/>
              </w:rPr>
              <w:t>Chairman of the Board and Chief Executive Officer</w:t>
            </w:r>
          </w:p>
        </w:tc>
      </w:tr>
      <w:tr>
        <w:trPr>
          <w:trHeight w:val="196"/>
        </w:trPr>
        <w:tc>
          <w:tcPr>
            <w:tcW w:w="1860" w:type="dxa"/>
            <w:vAlign w:val="bottom"/>
          </w:tcPr>
          <w:p>
            <w:pPr>
              <w:spacing w:after="0"/>
              <w:rPr>
                <w:sz w:val="20"/>
                <w:szCs w:val="20"/>
                <w:color w:val="auto"/>
              </w:rPr>
            </w:pPr>
            <w:r>
              <w:rPr>
                <w:rFonts w:ascii="Arial" w:cs="Arial" w:eastAsia="Arial" w:hAnsi="Arial"/>
                <w:sz w:val="17"/>
                <w:szCs w:val="17"/>
                <w:b w:val="1"/>
                <w:bCs w:val="1"/>
                <w:color w:val="auto"/>
              </w:rPr>
              <w:t>William J. Chase</w:t>
            </w:r>
          </w:p>
        </w:tc>
        <w:tc>
          <w:tcPr>
            <w:tcW w:w="9560" w:type="dxa"/>
            <w:vAlign w:val="bottom"/>
          </w:tcPr>
          <w:p>
            <w:pPr>
              <w:ind w:left="120"/>
              <w:spacing w:after="0"/>
              <w:rPr>
                <w:sz w:val="20"/>
                <w:szCs w:val="20"/>
                <w:color w:val="auto"/>
              </w:rPr>
            </w:pPr>
            <w:r>
              <w:rPr>
                <w:rFonts w:ascii="Arial" w:cs="Arial" w:eastAsia="Arial" w:hAnsi="Arial"/>
                <w:sz w:val="17"/>
                <w:szCs w:val="17"/>
                <w:color w:val="auto"/>
              </w:rPr>
              <w:t>Executive Vice President, Chief Financial Officer</w:t>
            </w:r>
          </w:p>
        </w:tc>
      </w:tr>
      <w:tr>
        <w:trPr>
          <w:trHeight w:val="196"/>
        </w:trPr>
        <w:tc>
          <w:tcPr>
            <w:tcW w:w="1860" w:type="dxa"/>
            <w:vAlign w:val="bottom"/>
            <w:shd w:val="clear" w:color="auto" w:fill="E6E6E6"/>
          </w:tcPr>
          <w:p>
            <w:pPr>
              <w:spacing w:after="0"/>
              <w:rPr>
                <w:sz w:val="20"/>
                <w:szCs w:val="20"/>
                <w:color w:val="auto"/>
              </w:rPr>
            </w:pPr>
            <w:r>
              <w:rPr>
                <w:rFonts w:ascii="Arial" w:cs="Arial" w:eastAsia="Arial" w:hAnsi="Arial"/>
                <w:sz w:val="17"/>
                <w:szCs w:val="17"/>
                <w:b w:val="1"/>
                <w:bCs w:val="1"/>
                <w:color w:val="auto"/>
              </w:rPr>
              <w:t>Laura J. Schumacher</w:t>
            </w:r>
          </w:p>
        </w:tc>
        <w:tc>
          <w:tcPr>
            <w:tcW w:w="9560" w:type="dxa"/>
            <w:vAlign w:val="bottom"/>
            <w:shd w:val="clear" w:color="auto" w:fill="E6E6E6"/>
          </w:tcPr>
          <w:p>
            <w:pPr>
              <w:ind w:left="120"/>
              <w:spacing w:after="0"/>
              <w:rPr>
                <w:sz w:val="20"/>
                <w:szCs w:val="20"/>
                <w:color w:val="auto"/>
              </w:rPr>
            </w:pPr>
            <w:r>
              <w:rPr>
                <w:rFonts w:ascii="Arial" w:cs="Arial" w:eastAsia="Arial" w:hAnsi="Arial"/>
                <w:sz w:val="17"/>
                <w:szCs w:val="17"/>
                <w:color w:val="auto"/>
              </w:rPr>
              <w:t>Executive Vice President, External Affairs, General Counsel and Corporate Secretary</w:t>
            </w:r>
          </w:p>
        </w:tc>
      </w:tr>
      <w:tr>
        <w:trPr>
          <w:trHeight w:val="196"/>
        </w:trPr>
        <w:tc>
          <w:tcPr>
            <w:tcW w:w="1860" w:type="dxa"/>
            <w:vAlign w:val="bottom"/>
          </w:tcPr>
          <w:p>
            <w:pPr>
              <w:spacing w:after="0"/>
              <w:rPr>
                <w:sz w:val="20"/>
                <w:szCs w:val="20"/>
                <w:color w:val="auto"/>
              </w:rPr>
            </w:pPr>
            <w:r>
              <w:rPr>
                <w:rFonts w:ascii="Arial" w:cs="Arial" w:eastAsia="Arial" w:hAnsi="Arial"/>
                <w:sz w:val="17"/>
                <w:szCs w:val="17"/>
                <w:b w:val="1"/>
                <w:bCs w:val="1"/>
                <w:color w:val="auto"/>
              </w:rPr>
              <w:t>Carlos Alban</w:t>
            </w:r>
          </w:p>
        </w:tc>
        <w:tc>
          <w:tcPr>
            <w:tcW w:w="9560" w:type="dxa"/>
            <w:vAlign w:val="bottom"/>
          </w:tcPr>
          <w:p>
            <w:pPr>
              <w:ind w:left="120"/>
              <w:spacing w:after="0"/>
              <w:rPr>
                <w:sz w:val="20"/>
                <w:szCs w:val="20"/>
                <w:color w:val="auto"/>
              </w:rPr>
            </w:pPr>
            <w:r>
              <w:rPr>
                <w:rFonts w:ascii="Arial" w:cs="Arial" w:eastAsia="Arial" w:hAnsi="Arial"/>
                <w:sz w:val="17"/>
                <w:szCs w:val="17"/>
                <w:color w:val="auto"/>
              </w:rPr>
              <w:t>Executive Vice President, Commercial Operations</w:t>
            </w:r>
          </w:p>
        </w:tc>
      </w:tr>
      <w:tr>
        <w:trPr>
          <w:trHeight w:val="196"/>
        </w:trPr>
        <w:tc>
          <w:tcPr>
            <w:tcW w:w="1860" w:type="dxa"/>
            <w:vAlign w:val="bottom"/>
            <w:tcBorders>
              <w:bottom w:val="single" w:sz="8" w:color="auto"/>
            </w:tcBorders>
            <w:shd w:val="clear" w:color="auto" w:fill="E6E6E6"/>
          </w:tcPr>
          <w:p>
            <w:pPr>
              <w:spacing w:after="0"/>
              <w:rPr>
                <w:sz w:val="20"/>
                <w:szCs w:val="20"/>
                <w:color w:val="auto"/>
              </w:rPr>
            </w:pPr>
            <w:r>
              <w:rPr>
                <w:rFonts w:ascii="Arial" w:cs="Arial" w:eastAsia="Arial" w:hAnsi="Arial"/>
                <w:sz w:val="17"/>
                <w:szCs w:val="17"/>
                <w:b w:val="1"/>
                <w:bCs w:val="1"/>
                <w:color w:val="auto"/>
              </w:rPr>
              <w:t>Michael E. Severino</w:t>
            </w:r>
          </w:p>
        </w:tc>
        <w:tc>
          <w:tcPr>
            <w:tcW w:w="9560" w:type="dxa"/>
            <w:vAlign w:val="bottom"/>
            <w:tcBorders>
              <w:bottom w:val="single" w:sz="8" w:color="auto"/>
            </w:tcBorders>
            <w:shd w:val="clear" w:color="auto" w:fill="E6E6E6"/>
          </w:tcPr>
          <w:p>
            <w:pPr>
              <w:ind w:left="120"/>
              <w:spacing w:after="0"/>
              <w:rPr>
                <w:sz w:val="20"/>
                <w:szCs w:val="20"/>
                <w:color w:val="auto"/>
              </w:rPr>
            </w:pPr>
            <w:r>
              <w:rPr>
                <w:rFonts w:ascii="Arial" w:cs="Arial" w:eastAsia="Arial" w:hAnsi="Arial"/>
                <w:sz w:val="17"/>
                <w:szCs w:val="17"/>
                <w:color w:val="auto"/>
              </w:rPr>
              <w:t>Executive Vice President, Research &amp; Development and Chief Scientific Officer</w:t>
            </w:r>
          </w:p>
        </w:tc>
      </w:tr>
    </w:tbl>
    <w:p>
      <w:pPr>
        <w:spacing w:after="0" w:line="212" w:lineRule="exact"/>
        <w:rPr>
          <w:sz w:val="20"/>
          <w:szCs w:val="20"/>
          <w:color w:val="auto"/>
        </w:rPr>
      </w:pPr>
    </w:p>
    <w:p>
      <w:pPr>
        <w:ind w:right="340" w:firstLine="651"/>
        <w:spacing w:after="0" w:line="250" w:lineRule="auto"/>
        <w:rPr>
          <w:sz w:val="20"/>
          <w:szCs w:val="20"/>
          <w:color w:val="auto"/>
        </w:rPr>
      </w:pPr>
      <w:r>
        <w:rPr>
          <w:rFonts w:ascii="Arial" w:cs="Arial" w:eastAsia="Arial" w:hAnsi="Arial"/>
          <w:sz w:val="17"/>
          <w:szCs w:val="17"/>
          <w:color w:val="auto"/>
        </w:rPr>
        <w:t>Although we describe our programs in the context of the NEOs, it is important to note that our programs generally have broad eligibility and therefore in most cases apply to employee populations outside the NEO group as well.</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CD&amp;A Table of Contents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60" w:type="dxa"/>
            <w:vAlign w:val="bottom"/>
          </w:tcPr>
          <w:p>
            <w:pPr>
              <w:spacing w:after="0"/>
              <w:rPr>
                <w:sz w:val="17"/>
                <w:szCs w:val="17"/>
                <w:color w:val="auto"/>
              </w:rPr>
            </w:pPr>
          </w:p>
        </w:tc>
        <w:tc>
          <w:tcPr>
            <w:tcW w:w="5160" w:type="dxa"/>
            <w:vAlign w:val="bottom"/>
            <w:gridSpan w:val="26"/>
          </w:tcPr>
          <w:p>
            <w:pPr>
              <w:ind w:left="200"/>
              <w:spacing w:after="0"/>
              <w:rPr>
                <w:sz w:val="20"/>
                <w:szCs w:val="20"/>
                <w:color w:val="auto"/>
              </w:rPr>
            </w:pPr>
            <w:r>
              <w:rPr>
                <w:rFonts w:ascii="Arial" w:cs="Arial" w:eastAsia="Arial" w:hAnsi="Arial"/>
                <w:sz w:val="17"/>
                <w:szCs w:val="17"/>
                <w:color w:val="auto"/>
              </w:rPr>
              <w:t>The CD&amp;A is organized as follows:</w:t>
            </w:r>
          </w:p>
        </w:tc>
        <w:tc>
          <w:tcPr>
            <w:tcW w:w="4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368"/>
        </w:trPr>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gridSpan w:val="5"/>
          </w:tcPr>
          <w:p>
            <w:pPr>
              <w:spacing w:after="0"/>
              <w:rPr>
                <w:rFonts w:ascii="Arial" w:cs="Arial" w:eastAsia="Arial" w:hAnsi="Arial"/>
                <w:sz w:val="17"/>
                <w:szCs w:val="17"/>
                <w:color w:val="0000EE"/>
                <w:w w:val="99"/>
              </w:rPr>
            </w:pPr>
            <w:hyperlink w:anchor="page26">
              <w:r>
                <w:rPr>
                  <w:rFonts w:ascii="Arial" w:cs="Arial" w:eastAsia="Arial" w:hAnsi="Arial"/>
                  <w:sz w:val="17"/>
                  <w:szCs w:val="17"/>
                  <w:color w:val="0000EE"/>
                  <w:w w:val="99"/>
                </w:rPr>
                <w:t>I. Executive Summary</w:t>
              </w:r>
            </w:hyperlink>
          </w:p>
        </w:tc>
        <w:tc>
          <w:tcPr>
            <w:tcW w:w="2820" w:type="dxa"/>
            <w:vAlign w:val="bottom"/>
            <w:gridSpan w:val="20"/>
          </w:tcPr>
          <w:p>
            <w:pPr>
              <w:spacing w:after="0"/>
              <w:rPr>
                <w:sz w:val="24"/>
                <w:szCs w:val="24"/>
                <w:color w:val="auto"/>
              </w:rPr>
            </w:pPr>
          </w:p>
        </w:tc>
        <w:tc>
          <w:tcPr>
            <w:tcW w:w="5800" w:type="dxa"/>
            <w:vAlign w:val="bottom"/>
            <w:gridSpan w:val="3"/>
          </w:tcPr>
          <w:p>
            <w:pPr>
              <w:jc w:val="right"/>
              <w:ind w:right="1140"/>
              <w:spacing w:after="0"/>
              <w:rPr>
                <w:rFonts w:ascii="Arial" w:cs="Arial" w:eastAsia="Arial" w:hAnsi="Arial"/>
                <w:sz w:val="17"/>
                <w:szCs w:val="17"/>
                <w:color w:val="0000EE"/>
              </w:rPr>
            </w:pPr>
            <w:hyperlink w:anchor="page26">
              <w:r>
                <w:rPr>
                  <w:rFonts w:ascii="Arial" w:cs="Arial" w:eastAsia="Arial" w:hAnsi="Arial"/>
                  <w:sz w:val="17"/>
                  <w:szCs w:val="17"/>
                  <w:color w:val="0000EE"/>
                </w:rPr>
                <w:t>23</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4"/>
          </w:tcPr>
          <w:p>
            <w:pPr>
              <w:spacing w:after="0" w:line="176" w:lineRule="exact"/>
              <w:rPr>
                <w:rFonts w:ascii="Arial" w:cs="Arial" w:eastAsia="Arial" w:hAnsi="Arial"/>
                <w:sz w:val="17"/>
                <w:szCs w:val="17"/>
                <w:color w:val="0000EE"/>
              </w:rPr>
            </w:pPr>
            <w:hyperlink w:anchor="page26">
              <w:r>
                <w:rPr>
                  <w:rFonts w:ascii="Arial" w:cs="Arial" w:eastAsia="Arial" w:hAnsi="Arial"/>
                  <w:sz w:val="17"/>
                  <w:szCs w:val="17"/>
                  <w:color w:val="0000EE"/>
                </w:rPr>
                <w:t>Compensation Philosophy</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26">
              <w:r>
                <w:rPr>
                  <w:rFonts w:ascii="Arial" w:cs="Arial" w:eastAsia="Arial" w:hAnsi="Arial"/>
                  <w:sz w:val="17"/>
                  <w:szCs w:val="17"/>
                  <w:color w:val="0000EE"/>
                </w:rPr>
                <w:t>23</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40" w:type="dxa"/>
            <w:vAlign w:val="bottom"/>
            <w:gridSpan w:val="6"/>
          </w:tcPr>
          <w:p>
            <w:pPr>
              <w:spacing w:after="0" w:line="176" w:lineRule="exact"/>
              <w:rPr>
                <w:rFonts w:ascii="Arial" w:cs="Arial" w:eastAsia="Arial" w:hAnsi="Arial"/>
                <w:sz w:val="17"/>
                <w:szCs w:val="17"/>
                <w:color w:val="0000EE"/>
                <w:w w:val="98"/>
              </w:rPr>
            </w:pPr>
            <w:hyperlink w:anchor="page26">
              <w:r>
                <w:rPr>
                  <w:rFonts w:ascii="Arial" w:cs="Arial" w:eastAsia="Arial" w:hAnsi="Arial"/>
                  <w:sz w:val="17"/>
                  <w:szCs w:val="17"/>
                  <w:color w:val="0000EE"/>
                  <w:w w:val="98"/>
                </w:rPr>
                <w:t>Business Overview</w:t>
              </w:r>
            </w:hyperlink>
          </w:p>
        </w:tc>
        <w:tc>
          <w:tcPr>
            <w:tcW w:w="460" w:type="dxa"/>
            <w:vAlign w:val="bottom"/>
            <w:gridSpan w:val="4"/>
          </w:tcPr>
          <w:p>
            <w:pPr>
              <w:spacing w:after="0"/>
              <w:rPr>
                <w:sz w:val="15"/>
                <w:szCs w:val="15"/>
                <w:color w:val="auto"/>
              </w:rPr>
            </w:pPr>
          </w:p>
        </w:tc>
        <w:tc>
          <w:tcPr>
            <w:tcW w:w="1940" w:type="dxa"/>
            <w:vAlign w:val="bottom"/>
            <w:gridSpan w:val="14"/>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26">
              <w:r>
                <w:rPr>
                  <w:rFonts w:ascii="Arial" w:cs="Arial" w:eastAsia="Arial" w:hAnsi="Arial"/>
                  <w:sz w:val="17"/>
                  <w:szCs w:val="17"/>
                  <w:color w:val="0000EE"/>
                </w:rPr>
                <w:t>23</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500" w:type="dxa"/>
            <w:vAlign w:val="bottom"/>
            <w:gridSpan w:val="17"/>
          </w:tcPr>
          <w:p>
            <w:pPr>
              <w:spacing w:after="0" w:line="176" w:lineRule="exact"/>
              <w:rPr>
                <w:rFonts w:ascii="Arial" w:cs="Arial" w:eastAsia="Arial" w:hAnsi="Arial"/>
                <w:sz w:val="17"/>
                <w:szCs w:val="17"/>
                <w:color w:val="0000EE"/>
                <w:w w:val="99"/>
              </w:rPr>
            </w:pPr>
            <w:hyperlink w:anchor="page27">
              <w:r>
                <w:rPr>
                  <w:rFonts w:ascii="Arial" w:cs="Arial" w:eastAsia="Arial" w:hAnsi="Arial"/>
                  <w:sz w:val="17"/>
                  <w:szCs w:val="17"/>
                  <w:color w:val="0000EE"/>
                  <w:w w:val="99"/>
                </w:rPr>
                <w:t>Business Performance Highlights</w:t>
              </w:r>
            </w:hyperlink>
          </w:p>
        </w:tc>
        <w:tc>
          <w:tcPr>
            <w:tcW w:w="1340" w:type="dxa"/>
            <w:vAlign w:val="bottom"/>
            <w:gridSpan w:val="7"/>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27">
              <w:r>
                <w:rPr>
                  <w:rFonts w:ascii="Arial" w:cs="Arial" w:eastAsia="Arial" w:hAnsi="Arial"/>
                  <w:sz w:val="17"/>
                  <w:szCs w:val="17"/>
                  <w:color w:val="0000EE"/>
                </w:rPr>
                <w:t>24</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80" w:type="dxa"/>
            <w:vAlign w:val="bottom"/>
            <w:gridSpan w:val="21"/>
          </w:tcPr>
          <w:p>
            <w:pPr>
              <w:spacing w:after="0" w:line="176" w:lineRule="exact"/>
              <w:rPr>
                <w:rFonts w:ascii="Arial" w:cs="Arial" w:eastAsia="Arial" w:hAnsi="Arial"/>
                <w:sz w:val="17"/>
                <w:szCs w:val="17"/>
                <w:color w:val="0000EE"/>
                <w:w w:val="99"/>
              </w:rPr>
            </w:pPr>
            <w:hyperlink w:anchor="page30">
              <w:r>
                <w:rPr>
                  <w:rFonts w:ascii="Arial" w:cs="Arial" w:eastAsia="Arial" w:hAnsi="Arial"/>
                  <w:sz w:val="17"/>
                  <w:szCs w:val="17"/>
                  <w:color w:val="0000EE"/>
                  <w:w w:val="99"/>
                </w:rPr>
                <w:t>Components of our Compensation Program</w:t>
              </w:r>
            </w:hyperlink>
          </w:p>
        </w:tc>
        <w:tc>
          <w:tcPr>
            <w:tcW w:w="560" w:type="dxa"/>
            <w:vAlign w:val="bottom"/>
            <w:gridSpan w:val="3"/>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0">
              <w:r>
                <w:rPr>
                  <w:rFonts w:ascii="Arial" w:cs="Arial" w:eastAsia="Arial" w:hAnsi="Arial"/>
                  <w:sz w:val="17"/>
                  <w:szCs w:val="17"/>
                  <w:color w:val="0000EE"/>
                </w:rPr>
                <w:t>27</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80" w:type="dxa"/>
            <w:vAlign w:val="bottom"/>
            <w:gridSpan w:val="21"/>
          </w:tcPr>
          <w:p>
            <w:pPr>
              <w:spacing w:after="0" w:line="176" w:lineRule="exact"/>
              <w:rPr>
                <w:rFonts w:ascii="Arial" w:cs="Arial" w:eastAsia="Arial" w:hAnsi="Arial"/>
                <w:sz w:val="17"/>
                <w:szCs w:val="17"/>
                <w:color w:val="0000EE"/>
              </w:rPr>
            </w:pPr>
            <w:hyperlink w:anchor="page31">
              <w:r>
                <w:rPr>
                  <w:rFonts w:ascii="Arial" w:cs="Arial" w:eastAsia="Arial" w:hAnsi="Arial"/>
                  <w:sz w:val="17"/>
                  <w:szCs w:val="17"/>
                  <w:color w:val="0000EE"/>
                </w:rPr>
                <w:t>2015 Performance Results</w:t>
              </w:r>
            </w:hyperlink>
          </w:p>
        </w:tc>
        <w:tc>
          <w:tcPr>
            <w:tcW w:w="560" w:type="dxa"/>
            <w:vAlign w:val="bottom"/>
            <w:gridSpan w:val="3"/>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1">
              <w:r>
                <w:rPr>
                  <w:rFonts w:ascii="Arial" w:cs="Arial" w:eastAsia="Arial" w:hAnsi="Arial"/>
                  <w:sz w:val="17"/>
                  <w:szCs w:val="17"/>
                  <w:color w:val="0000EE"/>
                </w:rPr>
                <w:t>28</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gridSpan w:val="10"/>
          </w:tcPr>
          <w:p>
            <w:pPr>
              <w:spacing w:after="0" w:line="176" w:lineRule="exact"/>
              <w:rPr>
                <w:rFonts w:ascii="Arial" w:cs="Arial" w:eastAsia="Arial" w:hAnsi="Arial"/>
                <w:sz w:val="17"/>
                <w:szCs w:val="17"/>
                <w:color w:val="0000EE"/>
                <w:w w:val="97"/>
              </w:rPr>
            </w:pPr>
            <w:hyperlink w:anchor="page32">
              <w:r>
                <w:rPr>
                  <w:rFonts w:ascii="Arial" w:cs="Arial" w:eastAsia="Arial" w:hAnsi="Arial"/>
                  <w:sz w:val="17"/>
                  <w:szCs w:val="17"/>
                  <w:color w:val="0000EE"/>
                  <w:w w:val="97"/>
                </w:rPr>
                <w:t>Stockholder Engagement</w:t>
              </w:r>
            </w:hyperlink>
          </w:p>
        </w:tc>
        <w:tc>
          <w:tcPr>
            <w:tcW w:w="100" w:type="dxa"/>
            <w:vAlign w:val="bottom"/>
          </w:tcPr>
          <w:p>
            <w:pPr>
              <w:spacing w:after="0"/>
              <w:rPr>
                <w:sz w:val="15"/>
                <w:szCs w:val="15"/>
                <w:color w:val="auto"/>
              </w:rPr>
            </w:pPr>
          </w:p>
        </w:tc>
        <w:tc>
          <w:tcPr>
            <w:tcW w:w="1840" w:type="dxa"/>
            <w:vAlign w:val="bottom"/>
            <w:gridSpan w:val="13"/>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2">
              <w:r>
                <w:rPr>
                  <w:rFonts w:ascii="Arial" w:cs="Arial" w:eastAsia="Arial" w:hAnsi="Arial"/>
                  <w:sz w:val="17"/>
                  <w:szCs w:val="17"/>
                  <w:color w:val="0000EE"/>
                </w:rPr>
                <w:t>29</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4"/>
          </w:tcPr>
          <w:p>
            <w:pPr>
              <w:spacing w:after="0" w:line="176" w:lineRule="exact"/>
              <w:rPr>
                <w:rFonts w:ascii="Arial" w:cs="Arial" w:eastAsia="Arial" w:hAnsi="Arial"/>
                <w:sz w:val="17"/>
                <w:szCs w:val="17"/>
                <w:color w:val="0000EE"/>
                <w:w w:val="98"/>
              </w:rPr>
            </w:pPr>
            <w:hyperlink w:anchor="page32">
              <w:r>
                <w:rPr>
                  <w:rFonts w:ascii="Arial" w:cs="Arial" w:eastAsia="Arial" w:hAnsi="Arial"/>
                  <w:sz w:val="17"/>
                  <w:szCs w:val="17"/>
                  <w:color w:val="0000EE"/>
                  <w:w w:val="98"/>
                </w:rPr>
                <w:t>Executive Compensation Program Updates in 2016</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2">
              <w:r>
                <w:rPr>
                  <w:rFonts w:ascii="Arial" w:cs="Arial" w:eastAsia="Arial" w:hAnsi="Arial"/>
                  <w:sz w:val="17"/>
                  <w:szCs w:val="17"/>
                  <w:color w:val="0000EE"/>
                </w:rPr>
                <w:t>29</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480" w:type="dxa"/>
            <w:vAlign w:val="bottom"/>
            <w:tcBorders>
              <w:left w:val="single" w:sz="8" w:color="0000EE"/>
            </w:tcBorders>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540" w:type="dxa"/>
            <w:vAlign w:val="bottom"/>
            <w:gridSpan w:val="23"/>
          </w:tcPr>
          <w:p>
            <w:pPr>
              <w:spacing w:after="0" w:line="176" w:lineRule="exact"/>
              <w:rPr>
                <w:rFonts w:ascii="Arial" w:cs="Arial" w:eastAsia="Arial" w:hAnsi="Arial"/>
                <w:sz w:val="17"/>
                <w:szCs w:val="17"/>
                <w:color w:val="0000EE"/>
                <w:w w:val="99"/>
              </w:rPr>
            </w:pPr>
            <w:hyperlink w:anchor="page34">
              <w:r>
                <w:rPr>
                  <w:rFonts w:ascii="Arial" w:cs="Arial" w:eastAsia="Arial" w:hAnsi="Arial"/>
                  <w:sz w:val="17"/>
                  <w:szCs w:val="17"/>
                  <w:color w:val="0000EE"/>
                  <w:w w:val="99"/>
                </w:rPr>
                <w:t>Compensation Program Governance Summary</w:t>
              </w:r>
            </w:hyperlink>
          </w:p>
        </w:tc>
        <w:tc>
          <w:tcPr>
            <w:tcW w:w="300" w:type="dxa"/>
            <w:vAlign w:val="bottom"/>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4">
              <w:r>
                <w:rPr>
                  <w:rFonts w:ascii="Arial" w:cs="Arial" w:eastAsia="Arial" w:hAnsi="Arial"/>
                  <w:sz w:val="17"/>
                  <w:szCs w:val="17"/>
                  <w:color w:val="0000EE"/>
                </w:rPr>
                <w:t>31</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740" w:type="dxa"/>
            <w:vAlign w:val="bottom"/>
            <w:gridSpan w:val="13"/>
          </w:tcPr>
          <w:p>
            <w:pPr>
              <w:spacing w:after="0" w:line="176" w:lineRule="exact"/>
              <w:rPr>
                <w:rFonts w:ascii="Arial" w:cs="Arial" w:eastAsia="Arial" w:hAnsi="Arial"/>
                <w:sz w:val="17"/>
                <w:szCs w:val="17"/>
                <w:color w:val="0000EE"/>
                <w:w w:val="99"/>
              </w:rPr>
            </w:pPr>
            <w:hyperlink w:anchor="page35">
              <w:r>
                <w:rPr>
                  <w:rFonts w:ascii="Arial" w:cs="Arial" w:eastAsia="Arial" w:hAnsi="Arial"/>
                  <w:sz w:val="17"/>
                  <w:szCs w:val="17"/>
                  <w:color w:val="0000EE"/>
                  <w:w w:val="99"/>
                </w:rPr>
                <w:t>II. Executive Compensation Process</w:t>
              </w:r>
            </w:hyperlink>
          </w:p>
        </w:tc>
        <w:tc>
          <w:tcPr>
            <w:tcW w:w="1740" w:type="dxa"/>
            <w:vAlign w:val="bottom"/>
            <w:gridSpan w:val="12"/>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5">
              <w:r>
                <w:rPr>
                  <w:rFonts w:ascii="Arial" w:cs="Arial" w:eastAsia="Arial" w:hAnsi="Arial"/>
                  <w:sz w:val="17"/>
                  <w:szCs w:val="17"/>
                  <w:color w:val="0000EE"/>
                </w:rPr>
                <w:t>32</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320" w:type="dxa"/>
            <w:vAlign w:val="bottom"/>
            <w:gridSpan w:val="22"/>
          </w:tcPr>
          <w:p>
            <w:pPr>
              <w:spacing w:after="0" w:line="176" w:lineRule="exact"/>
              <w:rPr>
                <w:rFonts w:ascii="Arial" w:cs="Arial" w:eastAsia="Arial" w:hAnsi="Arial"/>
                <w:sz w:val="17"/>
                <w:szCs w:val="17"/>
                <w:color w:val="0000EE"/>
                <w:w w:val="99"/>
              </w:rPr>
            </w:pPr>
            <w:hyperlink w:anchor="page35">
              <w:r>
                <w:rPr>
                  <w:rFonts w:ascii="Arial" w:cs="Arial" w:eastAsia="Arial" w:hAnsi="Arial"/>
                  <w:sz w:val="17"/>
                  <w:szCs w:val="17"/>
                  <w:color w:val="0000EE"/>
                  <w:w w:val="99"/>
                </w:rPr>
                <w:t>Commitment to Performance-Based Awards</w:t>
              </w:r>
            </w:hyperlink>
          </w:p>
        </w:tc>
        <w:tc>
          <w:tcPr>
            <w:tcW w:w="520" w:type="dxa"/>
            <w:vAlign w:val="bottom"/>
            <w:gridSpan w:val="2"/>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5">
              <w:r>
                <w:rPr>
                  <w:rFonts w:ascii="Arial" w:cs="Arial" w:eastAsia="Arial" w:hAnsi="Arial"/>
                  <w:sz w:val="17"/>
                  <w:szCs w:val="17"/>
                  <w:color w:val="0000EE"/>
                </w:rPr>
                <w:t>32</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4"/>
          </w:tcPr>
          <w:p>
            <w:pPr>
              <w:spacing w:after="0" w:line="176" w:lineRule="exact"/>
              <w:rPr>
                <w:rFonts w:ascii="Arial" w:cs="Arial" w:eastAsia="Arial" w:hAnsi="Arial"/>
                <w:sz w:val="17"/>
                <w:szCs w:val="17"/>
                <w:color w:val="0000EE"/>
                <w:w w:val="98"/>
              </w:rPr>
            </w:pPr>
            <w:hyperlink w:anchor="page35">
              <w:r>
                <w:rPr>
                  <w:rFonts w:ascii="Arial" w:cs="Arial" w:eastAsia="Arial" w:hAnsi="Arial"/>
                  <w:sz w:val="17"/>
                  <w:szCs w:val="17"/>
                  <w:color w:val="0000EE"/>
                  <w:w w:val="98"/>
                </w:rPr>
                <w:t>Committee Process for Setting Total Compensation</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5">
              <w:r>
                <w:rPr>
                  <w:rFonts w:ascii="Arial" w:cs="Arial" w:eastAsia="Arial" w:hAnsi="Arial"/>
                  <w:sz w:val="17"/>
                  <w:szCs w:val="17"/>
                  <w:color w:val="0000EE"/>
                </w:rPr>
                <w:t>32</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40" w:type="dxa"/>
            <w:vAlign w:val="bottom"/>
            <w:gridSpan w:val="4"/>
            <w:shd w:val="clear" w:color="auto" w:fill="0000EE"/>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4"/>
          </w:tcPr>
          <w:p>
            <w:pPr>
              <w:spacing w:after="0" w:line="176" w:lineRule="exact"/>
              <w:rPr>
                <w:rFonts w:ascii="Arial" w:cs="Arial" w:eastAsia="Arial" w:hAnsi="Arial"/>
                <w:sz w:val="17"/>
                <w:szCs w:val="17"/>
                <w:color w:val="0000EE"/>
              </w:rPr>
            </w:pPr>
            <w:hyperlink w:anchor="page35">
              <w:r>
                <w:rPr>
                  <w:rFonts w:ascii="Arial" w:cs="Arial" w:eastAsia="Arial" w:hAnsi="Arial"/>
                  <w:sz w:val="17"/>
                  <w:szCs w:val="17"/>
                  <w:color w:val="0000EE"/>
                </w:rPr>
                <w:t>Compensation Benchmarking</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5">
              <w:r>
                <w:rPr>
                  <w:rFonts w:ascii="Arial" w:cs="Arial" w:eastAsia="Arial" w:hAnsi="Arial"/>
                  <w:sz w:val="17"/>
                  <w:szCs w:val="17"/>
                  <w:color w:val="0000EE"/>
                </w:rPr>
                <w:t>32</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80" w:type="dxa"/>
            <w:vAlign w:val="bottom"/>
            <w:gridSpan w:val="18"/>
          </w:tcPr>
          <w:p>
            <w:pPr>
              <w:spacing w:after="0" w:line="176" w:lineRule="exact"/>
              <w:rPr>
                <w:rFonts w:ascii="Arial" w:cs="Arial" w:eastAsia="Arial" w:hAnsi="Arial"/>
                <w:sz w:val="17"/>
                <w:szCs w:val="17"/>
                <w:color w:val="0000EE"/>
                <w:w w:val="96"/>
              </w:rPr>
            </w:pPr>
            <w:hyperlink w:anchor="page36">
              <w:r>
                <w:rPr>
                  <w:rFonts w:ascii="Arial" w:cs="Arial" w:eastAsia="Arial" w:hAnsi="Arial"/>
                  <w:sz w:val="17"/>
                  <w:szCs w:val="17"/>
                  <w:color w:val="0000EE"/>
                  <w:w w:val="96"/>
                </w:rPr>
                <w:t>Role of the Compensation Consultant</w:t>
              </w:r>
            </w:hyperlink>
          </w:p>
        </w:tc>
        <w:tc>
          <w:tcPr>
            <w:tcW w:w="1060" w:type="dxa"/>
            <w:vAlign w:val="bottom"/>
            <w:gridSpan w:val="6"/>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6">
              <w:r>
                <w:rPr>
                  <w:rFonts w:ascii="Arial" w:cs="Arial" w:eastAsia="Arial" w:hAnsi="Arial"/>
                  <w:sz w:val="17"/>
                  <w:szCs w:val="17"/>
                  <w:color w:val="0000EE"/>
                </w:rPr>
                <w:t>33</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80" w:type="dxa"/>
            <w:vAlign w:val="bottom"/>
            <w:gridSpan w:val="18"/>
          </w:tcPr>
          <w:p>
            <w:pPr>
              <w:spacing w:after="0" w:line="176" w:lineRule="exact"/>
              <w:rPr>
                <w:rFonts w:ascii="Arial" w:cs="Arial" w:eastAsia="Arial" w:hAnsi="Arial"/>
                <w:sz w:val="17"/>
                <w:szCs w:val="17"/>
                <w:color w:val="0000EE"/>
              </w:rPr>
            </w:pPr>
            <w:hyperlink w:anchor="page36">
              <w:r>
                <w:rPr>
                  <w:rFonts w:ascii="Arial" w:cs="Arial" w:eastAsia="Arial" w:hAnsi="Arial"/>
                  <w:sz w:val="17"/>
                  <w:szCs w:val="17"/>
                  <w:color w:val="0000EE"/>
                </w:rPr>
                <w:t>Compensation Risk Oversight</w:t>
              </w:r>
            </w:hyperlink>
          </w:p>
        </w:tc>
        <w:tc>
          <w:tcPr>
            <w:tcW w:w="1060" w:type="dxa"/>
            <w:vAlign w:val="bottom"/>
            <w:gridSpan w:val="6"/>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6">
              <w:r>
                <w:rPr>
                  <w:rFonts w:ascii="Arial" w:cs="Arial" w:eastAsia="Arial" w:hAnsi="Arial"/>
                  <w:sz w:val="17"/>
                  <w:szCs w:val="17"/>
                  <w:color w:val="0000EE"/>
                </w:rPr>
                <w:t>33</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80" w:type="dxa"/>
            <w:vAlign w:val="bottom"/>
            <w:gridSpan w:val="25"/>
          </w:tcPr>
          <w:p>
            <w:pPr>
              <w:spacing w:after="0" w:line="176" w:lineRule="exact"/>
              <w:rPr>
                <w:rFonts w:ascii="Arial" w:cs="Arial" w:eastAsia="Arial" w:hAnsi="Arial"/>
                <w:sz w:val="17"/>
                <w:szCs w:val="17"/>
                <w:color w:val="0000EE"/>
              </w:rPr>
            </w:pPr>
            <w:hyperlink w:anchor="page36">
              <w:r>
                <w:rPr>
                  <w:rFonts w:ascii="Arial" w:cs="Arial" w:eastAsia="Arial" w:hAnsi="Arial"/>
                  <w:sz w:val="17"/>
                  <w:szCs w:val="17"/>
                  <w:color w:val="0000EE"/>
                </w:rPr>
                <w:t>III. Compensation Plan Elements</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6">
              <w:r>
                <w:rPr>
                  <w:rFonts w:ascii="Arial" w:cs="Arial" w:eastAsia="Arial" w:hAnsi="Arial"/>
                  <w:sz w:val="17"/>
                  <w:szCs w:val="17"/>
                  <w:color w:val="0000EE"/>
                </w:rPr>
                <w:t>33</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20" w:type="dxa"/>
            <w:vAlign w:val="bottom"/>
            <w:gridSpan w:val="3"/>
          </w:tcPr>
          <w:p>
            <w:pPr>
              <w:spacing w:after="0" w:line="176" w:lineRule="exact"/>
              <w:rPr>
                <w:rFonts w:ascii="Arial" w:cs="Arial" w:eastAsia="Arial" w:hAnsi="Arial"/>
                <w:sz w:val="17"/>
                <w:szCs w:val="17"/>
                <w:color w:val="0000EE"/>
                <w:w w:val="98"/>
              </w:rPr>
            </w:pPr>
            <w:hyperlink w:anchor="page36">
              <w:r>
                <w:rPr>
                  <w:rFonts w:ascii="Arial" w:cs="Arial" w:eastAsia="Arial" w:hAnsi="Arial"/>
                  <w:sz w:val="17"/>
                  <w:szCs w:val="17"/>
                  <w:color w:val="0000EE"/>
                  <w:w w:val="98"/>
                </w:rPr>
                <w:t>Base Salary</w:t>
              </w:r>
            </w:hyperlink>
          </w:p>
        </w:tc>
        <w:tc>
          <w:tcPr>
            <w:tcW w:w="920" w:type="dxa"/>
            <w:vAlign w:val="bottom"/>
            <w:gridSpan w:val="6"/>
          </w:tcPr>
          <w:p>
            <w:pPr>
              <w:spacing w:after="0"/>
              <w:rPr>
                <w:sz w:val="15"/>
                <w:szCs w:val="15"/>
                <w:color w:val="auto"/>
              </w:rPr>
            </w:pPr>
          </w:p>
        </w:tc>
        <w:tc>
          <w:tcPr>
            <w:tcW w:w="2000" w:type="dxa"/>
            <w:vAlign w:val="bottom"/>
            <w:gridSpan w:val="15"/>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6">
              <w:r>
                <w:rPr>
                  <w:rFonts w:ascii="Arial" w:cs="Arial" w:eastAsia="Arial" w:hAnsi="Arial"/>
                  <w:sz w:val="17"/>
                  <w:szCs w:val="17"/>
                  <w:color w:val="0000EE"/>
                </w:rPr>
                <w:t>33</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4"/>
          </w:tcPr>
          <w:p>
            <w:pPr>
              <w:spacing w:after="0" w:line="176" w:lineRule="exact"/>
              <w:rPr>
                <w:rFonts w:ascii="Arial" w:cs="Arial" w:eastAsia="Arial" w:hAnsi="Arial"/>
                <w:sz w:val="17"/>
                <w:szCs w:val="17"/>
                <w:color w:val="0000EE"/>
              </w:rPr>
            </w:pPr>
            <w:hyperlink w:anchor="page37">
              <w:r>
                <w:rPr>
                  <w:rFonts w:ascii="Arial" w:cs="Arial" w:eastAsia="Arial" w:hAnsi="Arial"/>
                  <w:sz w:val="17"/>
                  <w:szCs w:val="17"/>
                  <w:color w:val="0000EE"/>
                </w:rPr>
                <w:t>Short-Term Incentives</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7">
              <w:r>
                <w:rPr>
                  <w:rFonts w:ascii="Arial" w:cs="Arial" w:eastAsia="Arial" w:hAnsi="Arial"/>
                  <w:sz w:val="17"/>
                  <w:szCs w:val="17"/>
                  <w:color w:val="0000EE"/>
                </w:rPr>
                <w:t>34</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780" w:type="dxa"/>
            <w:vAlign w:val="bottom"/>
            <w:gridSpan w:val="18"/>
          </w:tcPr>
          <w:p>
            <w:pPr>
              <w:spacing w:after="0" w:line="176" w:lineRule="exact"/>
              <w:rPr>
                <w:rFonts w:ascii="Arial" w:cs="Arial" w:eastAsia="Arial" w:hAnsi="Arial"/>
                <w:sz w:val="17"/>
                <w:szCs w:val="17"/>
                <w:color w:val="0000EE"/>
                <w:w w:val="97"/>
              </w:rPr>
            </w:pPr>
            <w:hyperlink w:anchor="page38">
              <w:r>
                <w:rPr>
                  <w:rFonts w:ascii="Arial" w:cs="Arial" w:eastAsia="Arial" w:hAnsi="Arial"/>
                  <w:sz w:val="17"/>
                  <w:szCs w:val="17"/>
                  <w:color w:val="0000EE"/>
                  <w:w w:val="97"/>
                </w:rPr>
                <w:t>Long-Term Incentives—2015 Awards</w:t>
              </w:r>
            </w:hyperlink>
          </w:p>
        </w:tc>
        <w:tc>
          <w:tcPr>
            <w:tcW w:w="1060" w:type="dxa"/>
            <w:vAlign w:val="bottom"/>
            <w:gridSpan w:val="6"/>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38">
              <w:r>
                <w:rPr>
                  <w:rFonts w:ascii="Arial" w:cs="Arial" w:eastAsia="Arial" w:hAnsi="Arial"/>
                  <w:sz w:val="17"/>
                  <w:szCs w:val="17"/>
                  <w:color w:val="0000EE"/>
                </w:rPr>
                <w:t>35</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40" w:type="dxa"/>
            <w:vAlign w:val="bottom"/>
            <w:gridSpan w:val="19"/>
          </w:tcPr>
          <w:p>
            <w:pPr>
              <w:spacing w:after="0" w:line="176" w:lineRule="exact"/>
              <w:rPr>
                <w:rFonts w:ascii="Arial" w:cs="Arial" w:eastAsia="Arial" w:hAnsi="Arial"/>
                <w:sz w:val="17"/>
                <w:szCs w:val="17"/>
                <w:color w:val="0000EE"/>
                <w:w w:val="98"/>
              </w:rPr>
            </w:pPr>
            <w:hyperlink w:anchor="page40">
              <w:r>
                <w:rPr>
                  <w:rFonts w:ascii="Arial" w:cs="Arial" w:eastAsia="Arial" w:hAnsi="Arial"/>
                  <w:sz w:val="17"/>
                  <w:szCs w:val="17"/>
                  <w:color w:val="0000EE"/>
                  <w:w w:val="98"/>
                </w:rPr>
                <w:t>Long-Term Incentives—2016 Redesign</w:t>
              </w:r>
            </w:hyperlink>
          </w:p>
        </w:tc>
        <w:tc>
          <w:tcPr>
            <w:tcW w:w="900" w:type="dxa"/>
            <w:vAlign w:val="bottom"/>
            <w:gridSpan w:val="5"/>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0">
              <w:r>
                <w:rPr>
                  <w:rFonts w:ascii="Arial" w:cs="Arial" w:eastAsia="Arial" w:hAnsi="Arial"/>
                  <w:sz w:val="17"/>
                  <w:szCs w:val="17"/>
                  <w:color w:val="0000EE"/>
                </w:rPr>
                <w:t>37</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tcBorders>
              <w:left w:val="single" w:sz="8" w:color="0000EE"/>
            </w:tcBorders>
            <w:gridSpan w:val="3"/>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940" w:type="dxa"/>
            <w:vAlign w:val="bottom"/>
            <w:gridSpan w:val="19"/>
          </w:tcPr>
          <w:p>
            <w:pPr>
              <w:spacing w:after="0" w:line="176" w:lineRule="exact"/>
              <w:rPr>
                <w:rFonts w:ascii="Arial" w:cs="Arial" w:eastAsia="Arial" w:hAnsi="Arial"/>
                <w:sz w:val="17"/>
                <w:szCs w:val="17"/>
                <w:color w:val="0000EE"/>
              </w:rPr>
            </w:pPr>
            <w:hyperlink w:anchor="page40">
              <w:r>
                <w:rPr>
                  <w:rFonts w:ascii="Arial" w:cs="Arial" w:eastAsia="Arial" w:hAnsi="Arial"/>
                  <w:sz w:val="17"/>
                  <w:szCs w:val="17"/>
                  <w:color w:val="0000EE"/>
                </w:rPr>
                <w:t>Benefits</w:t>
              </w:r>
            </w:hyperlink>
          </w:p>
        </w:tc>
        <w:tc>
          <w:tcPr>
            <w:tcW w:w="900" w:type="dxa"/>
            <w:vAlign w:val="bottom"/>
            <w:gridSpan w:val="5"/>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0">
              <w:r>
                <w:rPr>
                  <w:rFonts w:ascii="Arial" w:cs="Arial" w:eastAsia="Arial" w:hAnsi="Arial"/>
                  <w:sz w:val="17"/>
                  <w:szCs w:val="17"/>
                  <w:color w:val="0000EE"/>
                </w:rPr>
                <w:t>37</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4"/>
          </w:tcPr>
          <w:p>
            <w:pPr>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Employment Agreements</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39</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900" w:type="dxa"/>
            <w:vAlign w:val="bottom"/>
            <w:gridSpan w:val="10"/>
          </w:tcPr>
          <w:p>
            <w:pPr>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Excise Tax Gross-Ups</w:t>
              </w:r>
            </w:hyperlink>
          </w:p>
        </w:tc>
        <w:tc>
          <w:tcPr>
            <w:tcW w:w="1940" w:type="dxa"/>
            <w:vAlign w:val="bottom"/>
            <w:gridSpan w:val="14"/>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39</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60" w:type="dxa"/>
            <w:vAlign w:val="bottom"/>
            <w:gridSpan w:val="5"/>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4"/>
          </w:tcPr>
          <w:p>
            <w:pPr>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Change in Control Agreements</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39</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200" w:type="dxa"/>
            <w:vAlign w:val="bottom"/>
            <w:gridSpan w:val="3"/>
            <w:shd w:val="clear" w:color="auto" w:fill="0000EE"/>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80" w:type="dxa"/>
            <w:vAlign w:val="bottom"/>
            <w:gridSpan w:val="25"/>
          </w:tcPr>
          <w:p>
            <w:pPr>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IV. Other Matters</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39</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64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880" w:type="dxa"/>
            <w:vAlign w:val="bottom"/>
            <w:gridSpan w:val="8"/>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840" w:type="dxa"/>
            <w:vAlign w:val="bottom"/>
            <w:gridSpan w:val="24"/>
          </w:tcPr>
          <w:p>
            <w:pPr>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Stock Ownership Guidelines</w:t>
              </w:r>
            </w:hyperlink>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2">
              <w:r>
                <w:rPr>
                  <w:rFonts w:ascii="Arial" w:cs="Arial" w:eastAsia="Arial" w:hAnsi="Arial"/>
                  <w:sz w:val="17"/>
                  <w:szCs w:val="17"/>
                  <w:color w:val="0000EE"/>
                </w:rPr>
                <w:t>39</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880" w:type="dxa"/>
            <w:vAlign w:val="bottom"/>
            <w:gridSpan w:val="8"/>
            <w:shd w:val="clear" w:color="auto" w:fill="0000EE"/>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40" w:type="dxa"/>
            <w:vAlign w:val="bottom"/>
            <w:gridSpan w:val="5"/>
          </w:tcPr>
          <w:p>
            <w:pPr>
              <w:spacing w:after="0" w:line="176" w:lineRule="exact"/>
              <w:rPr>
                <w:rFonts w:ascii="Arial" w:cs="Arial" w:eastAsia="Arial" w:hAnsi="Arial"/>
                <w:sz w:val="17"/>
                <w:szCs w:val="17"/>
                <w:color w:val="0000EE"/>
                <w:w w:val="98"/>
              </w:rPr>
            </w:pPr>
            <w:hyperlink w:anchor="page43">
              <w:r>
                <w:rPr>
                  <w:rFonts w:ascii="Arial" w:cs="Arial" w:eastAsia="Arial" w:hAnsi="Arial"/>
                  <w:sz w:val="17"/>
                  <w:szCs w:val="17"/>
                  <w:color w:val="0000EE"/>
                  <w:w w:val="98"/>
                </w:rPr>
                <w:t>Clawback Policy</w:t>
              </w:r>
            </w:hyperlink>
          </w:p>
        </w:tc>
        <w:tc>
          <w:tcPr>
            <w:tcW w:w="880" w:type="dxa"/>
            <w:vAlign w:val="bottom"/>
            <w:gridSpan w:val="8"/>
          </w:tcPr>
          <w:p>
            <w:pPr>
              <w:spacing w:after="0"/>
              <w:rPr>
                <w:sz w:val="15"/>
                <w:szCs w:val="15"/>
                <w:color w:val="auto"/>
              </w:rPr>
            </w:pPr>
          </w:p>
        </w:tc>
        <w:tc>
          <w:tcPr>
            <w:tcW w:w="1720" w:type="dxa"/>
            <w:vAlign w:val="bottom"/>
            <w:gridSpan w:val="11"/>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3">
              <w:r>
                <w:rPr>
                  <w:rFonts w:ascii="Arial" w:cs="Arial" w:eastAsia="Arial" w:hAnsi="Arial"/>
                  <w:sz w:val="17"/>
                  <w:szCs w:val="17"/>
                  <w:color w:val="0000EE"/>
                </w:rPr>
                <w:t>40</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gridSpan w:val="5"/>
            <w:shd w:val="clear" w:color="auto" w:fill="0000EE"/>
          </w:tcPr>
          <w:p>
            <w:pPr>
              <w:spacing w:after="0" w:line="20" w:lineRule="exact"/>
              <w:rPr>
                <w:sz w:val="1"/>
                <w:szCs w:val="1"/>
                <w:color w:val="auto"/>
              </w:rPr>
            </w:pPr>
          </w:p>
        </w:tc>
        <w:tc>
          <w:tcPr>
            <w:tcW w:w="1760" w:type="dxa"/>
            <w:vAlign w:val="bottom"/>
            <w:gridSpan w:val="1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76"/>
        </w:trPr>
        <w:tc>
          <w:tcPr>
            <w:tcW w:w="4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000" w:type="dxa"/>
            <w:vAlign w:val="bottom"/>
            <w:gridSpan w:val="20"/>
          </w:tcPr>
          <w:p>
            <w:pPr>
              <w:spacing w:after="0" w:line="176" w:lineRule="exact"/>
              <w:rPr>
                <w:rFonts w:ascii="Arial" w:cs="Arial" w:eastAsia="Arial" w:hAnsi="Arial"/>
                <w:sz w:val="17"/>
                <w:szCs w:val="17"/>
                <w:color w:val="0000EE"/>
                <w:w w:val="99"/>
              </w:rPr>
            </w:pPr>
            <w:hyperlink w:anchor="page43">
              <w:r>
                <w:rPr>
                  <w:rFonts w:ascii="Arial" w:cs="Arial" w:eastAsia="Arial" w:hAnsi="Arial"/>
                  <w:sz w:val="17"/>
                  <w:szCs w:val="17"/>
                  <w:color w:val="0000EE"/>
                  <w:w w:val="99"/>
                </w:rPr>
                <w:t>Anti-Hedging and Anti-Pledging Policies</w:t>
              </w:r>
            </w:hyperlink>
          </w:p>
        </w:tc>
        <w:tc>
          <w:tcPr>
            <w:tcW w:w="840" w:type="dxa"/>
            <w:vAlign w:val="bottom"/>
            <w:gridSpan w:val="4"/>
          </w:tcPr>
          <w:p>
            <w:pPr>
              <w:spacing w:after="0"/>
              <w:rPr>
                <w:sz w:val="15"/>
                <w:szCs w:val="15"/>
                <w:color w:val="auto"/>
              </w:rPr>
            </w:pPr>
          </w:p>
        </w:tc>
        <w:tc>
          <w:tcPr>
            <w:tcW w:w="5800" w:type="dxa"/>
            <w:vAlign w:val="bottom"/>
            <w:gridSpan w:val="3"/>
          </w:tcPr>
          <w:p>
            <w:pPr>
              <w:jc w:val="right"/>
              <w:ind w:right="1140"/>
              <w:spacing w:after="0" w:line="176" w:lineRule="exact"/>
              <w:rPr>
                <w:rFonts w:ascii="Arial" w:cs="Arial" w:eastAsia="Arial" w:hAnsi="Arial"/>
                <w:sz w:val="17"/>
                <w:szCs w:val="17"/>
                <w:color w:val="0000EE"/>
              </w:rPr>
            </w:pPr>
            <w:hyperlink w:anchor="page43">
              <w:r>
                <w:rPr>
                  <w:rFonts w:ascii="Arial" w:cs="Arial" w:eastAsia="Arial" w:hAnsi="Arial"/>
                  <w:sz w:val="17"/>
                  <w:szCs w:val="17"/>
                  <w:color w:val="0000EE"/>
                </w:rPr>
                <w:t>40</w:t>
              </w:r>
            </w:hyperlink>
          </w:p>
        </w:tc>
      </w:tr>
      <w:tr>
        <w:trPr>
          <w:trHeight w:val="20"/>
        </w:trPr>
        <w:tc>
          <w:tcPr>
            <w:tcW w:w="4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000" w:type="dxa"/>
            <w:vAlign w:val="bottom"/>
            <w:gridSpan w:val="20"/>
            <w:shd w:val="clear" w:color="auto" w:fill="0000EE"/>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44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548"/>
        </w:trPr>
        <w:tc>
          <w:tcPr>
            <w:tcW w:w="460" w:type="dxa"/>
            <w:vAlign w:val="bottom"/>
          </w:tcPr>
          <w:p>
            <w:pPr>
              <w:jc w:val="right"/>
              <w:ind w:right="115"/>
              <w:spacing w:after="0"/>
              <w:rPr>
                <w:sz w:val="20"/>
                <w:szCs w:val="20"/>
                <w:color w:val="auto"/>
              </w:rPr>
            </w:pPr>
            <w:r>
              <w:rPr>
                <w:rFonts w:ascii="Arial" w:cs="Arial" w:eastAsia="Arial" w:hAnsi="Arial"/>
                <w:sz w:val="17"/>
                <w:szCs w:val="17"/>
                <w:b w:val="1"/>
                <w:bCs w:val="1"/>
                <w:color w:val="auto"/>
              </w:rPr>
              <w:t>22</w:t>
            </w:r>
          </w:p>
        </w:tc>
        <w:tc>
          <w:tcPr>
            <w:tcW w:w="680" w:type="dxa"/>
            <w:vAlign w:val="bottom"/>
          </w:tcPr>
          <w:p>
            <w:pPr>
              <w:spacing w:after="0"/>
              <w:rPr>
                <w:sz w:val="24"/>
                <w:szCs w:val="24"/>
                <w:color w:val="auto"/>
              </w:rPr>
            </w:pPr>
          </w:p>
        </w:tc>
        <w:tc>
          <w:tcPr>
            <w:tcW w:w="4480" w:type="dxa"/>
            <w:vAlign w:val="bottom"/>
            <w:gridSpan w:val="25"/>
          </w:tcPr>
          <w:p>
            <w:pPr>
              <w:ind w:left="420"/>
              <w:spacing w:after="0"/>
              <w:rPr>
                <w:sz w:val="20"/>
                <w:szCs w:val="20"/>
                <w:color w:val="auto"/>
              </w:rPr>
            </w:pPr>
            <w:r>
              <w:rPr>
                <w:rFonts w:ascii="Arial" w:cs="Arial" w:eastAsia="Arial" w:hAnsi="Arial"/>
                <w:sz w:val="24"/>
                <w:szCs w:val="24"/>
                <w:b w:val="1"/>
                <w:bCs w:val="1"/>
                <w:color w:val="444867"/>
              </w:rPr>
              <w:t xml:space="preserve">| </w:t>
            </w:r>
            <w:r>
              <w:rPr>
                <w:rFonts w:ascii="Arial" w:cs="Arial" w:eastAsia="Arial" w:hAnsi="Arial"/>
                <w:sz w:val="16"/>
                <w:szCs w:val="16"/>
                <w:i w:val="1"/>
                <w:iCs w:val="1"/>
                <w:color w:val="000000"/>
              </w:rPr>
              <w:t>2016 Proxy Statement</w:t>
            </w:r>
          </w:p>
        </w:tc>
        <w:tc>
          <w:tcPr>
            <w:tcW w:w="4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73"/>
        </w:trPr>
        <w:tc>
          <w:tcPr>
            <w:tcW w:w="460" w:type="dxa"/>
            <w:vAlign w:val="bottom"/>
            <w:tcBorders>
              <w:bottom w:val="single" w:sz="8" w:color="808080"/>
            </w:tcBorders>
          </w:tcPr>
          <w:p>
            <w:pPr>
              <w:spacing w:after="0"/>
              <w:rPr>
                <w:sz w:val="15"/>
                <w:szCs w:val="15"/>
                <w:color w:val="auto"/>
              </w:rPr>
            </w:pPr>
          </w:p>
        </w:tc>
        <w:tc>
          <w:tcPr>
            <w:tcW w:w="680" w:type="dxa"/>
            <w:vAlign w:val="bottom"/>
            <w:tcBorders>
              <w:bottom w:val="single" w:sz="8" w:color="808080"/>
            </w:tcBorders>
          </w:tcPr>
          <w:p>
            <w:pPr>
              <w:spacing w:after="0"/>
              <w:rPr>
                <w:sz w:val="15"/>
                <w:szCs w:val="15"/>
                <w:color w:val="auto"/>
              </w:rPr>
            </w:pPr>
          </w:p>
        </w:tc>
        <w:tc>
          <w:tcPr>
            <w:tcW w:w="640" w:type="dxa"/>
            <w:vAlign w:val="bottom"/>
            <w:tcBorders>
              <w:bottom w:val="single" w:sz="8" w:color="808080"/>
            </w:tcBorders>
          </w:tcPr>
          <w:p>
            <w:pPr>
              <w:spacing w:after="0"/>
              <w:rPr>
                <w:sz w:val="15"/>
                <w:szCs w:val="15"/>
                <w:color w:val="auto"/>
              </w:rPr>
            </w:pPr>
          </w:p>
        </w:tc>
        <w:tc>
          <w:tcPr>
            <w:tcW w:w="60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20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100" w:type="dxa"/>
            <w:vAlign w:val="bottom"/>
            <w:tcBorders>
              <w:bottom w:val="single" w:sz="8" w:color="808080"/>
            </w:tcBorders>
          </w:tcPr>
          <w:p>
            <w:pPr>
              <w:spacing w:after="0"/>
              <w:rPr>
                <w:sz w:val="15"/>
                <w:szCs w:val="15"/>
                <w:color w:val="auto"/>
              </w:rPr>
            </w:pPr>
          </w:p>
        </w:tc>
        <w:tc>
          <w:tcPr>
            <w:tcW w:w="20" w:type="dxa"/>
            <w:vAlign w:val="bottom"/>
            <w:tcBorders>
              <w:bottom w:val="single" w:sz="8" w:color="808080"/>
            </w:tcBorders>
          </w:tcPr>
          <w:p>
            <w:pPr>
              <w:spacing w:after="0"/>
              <w:rPr>
                <w:sz w:val="15"/>
                <w:szCs w:val="15"/>
                <w:color w:val="auto"/>
              </w:rPr>
            </w:pPr>
          </w:p>
        </w:tc>
        <w:tc>
          <w:tcPr>
            <w:tcW w:w="8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16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2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220" w:type="dxa"/>
            <w:vAlign w:val="bottom"/>
            <w:tcBorders>
              <w:bottom w:val="single" w:sz="8" w:color="808080"/>
            </w:tcBorders>
          </w:tcPr>
          <w:p>
            <w:pPr>
              <w:spacing w:after="0"/>
              <w:rPr>
                <w:sz w:val="15"/>
                <w:szCs w:val="15"/>
                <w:color w:val="auto"/>
              </w:rPr>
            </w:pPr>
          </w:p>
        </w:tc>
        <w:tc>
          <w:tcPr>
            <w:tcW w:w="300" w:type="dxa"/>
            <w:vAlign w:val="bottom"/>
            <w:tcBorders>
              <w:bottom w:val="single" w:sz="8" w:color="808080"/>
            </w:tcBorders>
          </w:tcPr>
          <w:p>
            <w:pPr>
              <w:spacing w:after="0"/>
              <w:rPr>
                <w:sz w:val="15"/>
                <w:szCs w:val="15"/>
                <w:color w:val="auto"/>
              </w:rPr>
            </w:pPr>
          </w:p>
        </w:tc>
        <w:tc>
          <w:tcPr>
            <w:tcW w:w="4480" w:type="dxa"/>
            <w:vAlign w:val="bottom"/>
            <w:tcBorders>
              <w:bottom w:val="single" w:sz="8" w:color="808080"/>
            </w:tcBorders>
          </w:tcPr>
          <w:p>
            <w:pPr>
              <w:spacing w:after="0"/>
              <w:rPr>
                <w:sz w:val="15"/>
                <w:szCs w:val="15"/>
                <w:color w:val="auto"/>
              </w:rPr>
            </w:pPr>
          </w:p>
        </w:tc>
        <w:tc>
          <w:tcPr>
            <w:tcW w:w="180" w:type="dxa"/>
            <w:vAlign w:val="bottom"/>
            <w:tcBorders>
              <w:bottom w:val="single" w:sz="8" w:color="808080"/>
            </w:tcBorders>
          </w:tcPr>
          <w:p>
            <w:pPr>
              <w:spacing w:after="0"/>
              <w:rPr>
                <w:sz w:val="15"/>
                <w:szCs w:val="15"/>
                <w:color w:val="auto"/>
              </w:rPr>
            </w:pPr>
          </w:p>
        </w:tc>
        <w:tc>
          <w:tcPr>
            <w:tcW w:w="114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251460</wp:posOffset>
            </wp:positionH>
            <wp:positionV relativeFrom="paragraph">
              <wp:posOffset>-300355</wp:posOffset>
            </wp:positionV>
            <wp:extent cx="622300" cy="1079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22300" cy="10795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5" w:name="page26"/>
    <w:bookmarkEnd w:id="2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74" w:lineRule="exact"/>
        <w:rPr>
          <w:sz w:val="20"/>
          <w:szCs w:val="20"/>
          <w:color w:val="auto"/>
        </w:rPr>
      </w:pPr>
    </w:p>
    <w:p>
      <w:pPr>
        <w:ind w:left="360" w:hanging="355"/>
        <w:spacing w:after="0"/>
        <w:tabs>
          <w:tab w:leader="none" w:pos="360" w:val="left"/>
        </w:tabs>
        <w:numPr>
          <w:ilvl w:val="0"/>
          <w:numId w:val="17"/>
        </w:numPr>
        <w:rPr>
          <w:rFonts w:ascii="Arial" w:cs="Arial" w:eastAsia="Arial" w:hAnsi="Arial"/>
          <w:sz w:val="20"/>
          <w:szCs w:val="20"/>
          <w:b w:val="1"/>
          <w:bCs w:val="1"/>
          <w:color w:val="000F68"/>
        </w:rPr>
      </w:pPr>
      <w:r>
        <w:rPr>
          <w:rFonts w:ascii="Arial" w:cs="Arial" w:eastAsia="Arial" w:hAnsi="Arial"/>
          <w:sz w:val="20"/>
          <w:szCs w:val="20"/>
          <w:b w:val="1"/>
          <w:bCs w:val="1"/>
          <w:color w:val="000F68"/>
        </w:rPr>
        <w:t>Executive Summary</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Compensation Philosophy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0"/>
          <w:szCs w:val="10"/>
          <w:b w:val="1"/>
          <w:bCs w:val="1"/>
          <w:color w:val="FFFFF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-95885</wp:posOffset>
            </wp:positionV>
            <wp:extent cx="1103630" cy="14097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670" w:lineRule="exact"/>
        <w:rPr>
          <w:sz w:val="20"/>
          <w:szCs w:val="20"/>
          <w:color w:val="auto"/>
        </w:rPr>
      </w:pPr>
    </w:p>
    <w:p>
      <w:pPr>
        <w:sectPr>
          <w:pgSz w:w="11900" w:h="16838" w:orient="portrait"/>
          <w:cols w:equalWidth="0" w:num="2">
            <w:col w:w="9020" w:space="720"/>
            <w:col w:w="1680"/>
          </w:cols>
          <w:pgMar w:left="240" w:top="143" w:right="239" w:bottom="1440" w:gutter="0" w:footer="0" w:header="0"/>
        </w:sectPr>
      </w:pPr>
    </w:p>
    <w:p>
      <w:pPr>
        <w:spacing w:after="0" w:line="30" w:lineRule="exact"/>
        <w:rPr>
          <w:sz w:val="20"/>
          <w:szCs w:val="20"/>
          <w:color w:val="auto"/>
        </w:rPr>
      </w:pPr>
    </w:p>
    <w:p>
      <w:pPr>
        <w:ind w:right="20" w:firstLine="651"/>
        <w:spacing w:after="0" w:line="243" w:lineRule="auto"/>
        <w:rPr>
          <w:sz w:val="20"/>
          <w:szCs w:val="20"/>
          <w:color w:val="auto"/>
        </w:rPr>
      </w:pPr>
      <w:r>
        <w:rPr>
          <w:rFonts w:ascii="Arial" w:cs="Arial" w:eastAsia="Arial" w:hAnsi="Arial"/>
          <w:sz w:val="17"/>
          <w:szCs w:val="17"/>
          <w:color w:val="auto"/>
        </w:rPr>
        <w:t>At AbbVie, the board of directors and management believe a well-designed compensation program should align executive interests with the drivers of stockholder returns and profitable growth, support achievement of the company's primary business goals, and attract and retain world-class executives whose talents and contributions sustain the growth in long-term stockholder value. The board believes it has implemented a compensation program that appropriately balances short- and long-term strategic objectives and directly links compensation to stockholder value with more than three-fourths of the total direct compensation paid to NEOs tied to performance.</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Business Overview</w:t>
      </w:r>
    </w:p>
    <w:p>
      <w:pPr>
        <w:spacing w:after="0" w:line="230" w:lineRule="exact"/>
        <w:rPr>
          <w:sz w:val="20"/>
          <w:szCs w:val="20"/>
          <w:color w:val="auto"/>
        </w:rPr>
      </w:pPr>
    </w:p>
    <w:p>
      <w:pPr>
        <w:ind w:right="140" w:firstLine="651"/>
        <w:spacing w:after="0" w:line="243" w:lineRule="auto"/>
        <w:rPr>
          <w:sz w:val="20"/>
          <w:szCs w:val="20"/>
          <w:color w:val="auto"/>
        </w:rPr>
      </w:pPr>
      <w:r>
        <w:rPr>
          <w:rFonts w:ascii="Arial" w:cs="Arial" w:eastAsia="Arial" w:hAnsi="Arial"/>
          <w:sz w:val="17"/>
          <w:szCs w:val="17"/>
          <w:color w:val="auto"/>
        </w:rPr>
        <w:t>AbbVie was created in 2013 following separation from Abbott Laboratories. Our products support the treatment of conditions such as chronic autoimmune diseases in rheumatology, gastroenterology and dermatology; oncology, including a leadership position in the treatment of blood cancers; virology, including hepatitis C virus (HCV) and human immunodeficiency virus (HIV); neurological disorders, such as Parkinson's disease; metabolic diseases, including thyroid disease and complications associated with cystic fibrosis; as well as other serious health conditions.</w:t>
      </w:r>
    </w:p>
    <w:p>
      <w:pPr>
        <w:spacing w:after="0" w:line="201" w:lineRule="exact"/>
        <w:rPr>
          <w:sz w:val="20"/>
          <w:szCs w:val="20"/>
          <w:color w:val="auto"/>
        </w:rPr>
      </w:pPr>
    </w:p>
    <w:p>
      <w:pPr>
        <w:ind w:right="540" w:firstLine="661"/>
        <w:spacing w:after="0" w:line="250" w:lineRule="auto"/>
        <w:rPr>
          <w:sz w:val="20"/>
          <w:szCs w:val="20"/>
          <w:color w:val="auto"/>
        </w:rPr>
      </w:pPr>
      <w:r>
        <w:rPr>
          <w:rFonts w:ascii="Arial" w:cs="Arial" w:eastAsia="Arial" w:hAnsi="Arial"/>
          <w:sz w:val="17"/>
          <w:szCs w:val="17"/>
          <w:color w:val="auto"/>
        </w:rPr>
        <w:t>Our pipeline includes more than 50 compounds or indications in development across important medical specialties such as immunology, oncology, virology/liver disease, neurological diseases and women's health.</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26" w:name="page27"/>
    <w:bookmarkEnd w:id="2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90"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 xml:space="preserve">EXECUTIVE COMPENSATION </w:t>
      </w:r>
      <w:r>
        <w:rPr>
          <w:rFonts w:ascii="Arial" w:cs="Arial" w:eastAsia="Arial" w:hAnsi="Arial"/>
          <w:sz w:val="16"/>
          <w:szCs w:val="16"/>
          <w:b w:val="1"/>
          <w:bCs w:val="1"/>
          <w:i w:val="1"/>
          <w:iCs w:val="1"/>
          <w:color w:val="444867"/>
        </w:rPr>
        <w:t>Business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1103630" cy="14097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AbbVie has Delivered Robust Financial Results since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143510</wp:posOffset>
            </wp:positionV>
            <wp:extent cx="5525135" cy="497776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525135" cy="49777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The measures set forth above were calculated as of December 31, 2015.</w:t>
      </w:r>
    </w:p>
    <w:p>
      <w:pPr>
        <w:spacing w:after="0" w:line="230" w:lineRule="exact"/>
        <w:rPr>
          <w:sz w:val="20"/>
          <w:szCs w:val="20"/>
          <w:color w:val="auto"/>
        </w:rPr>
      </w:pPr>
    </w:p>
    <w:p>
      <w:pPr>
        <w:ind w:left="1080" w:right="300" w:hanging="265"/>
        <w:spacing w:after="0" w:line="250" w:lineRule="auto"/>
        <w:tabs>
          <w:tab w:leader="none" w:pos="1080" w:val="left"/>
        </w:tabs>
        <w:numPr>
          <w:ilvl w:val="0"/>
          <w:numId w:val="18"/>
        </w:numPr>
        <w:rPr>
          <w:rFonts w:ascii="Arial" w:cs="Arial" w:eastAsia="Arial" w:hAnsi="Arial"/>
          <w:sz w:val="17"/>
          <w:szCs w:val="17"/>
          <w:color w:val="auto"/>
        </w:rPr>
      </w:pPr>
      <w:r>
        <w:rPr>
          <w:rFonts w:ascii="Arial" w:cs="Arial" w:eastAsia="Arial" w:hAnsi="Arial"/>
          <w:sz w:val="17"/>
          <w:szCs w:val="17"/>
          <w:color w:val="auto"/>
        </w:rPr>
        <w:t>Net revenues, earnings per share and operating margin are adjusted to exclude certain specified items, which are reconciled in our Form 8-K dated January 29, 2016.</w:t>
      </w:r>
    </w:p>
    <w:p>
      <w:pPr>
        <w:spacing w:after="0" w:line="194" w:lineRule="exact"/>
        <w:rPr>
          <w:sz w:val="20"/>
          <w:szCs w:val="20"/>
          <w:color w:val="auto"/>
        </w:rPr>
      </w:pPr>
    </w:p>
    <w:p>
      <w:pPr>
        <w:ind w:firstLine="651"/>
        <w:spacing w:after="0" w:line="243" w:lineRule="auto"/>
        <w:rPr>
          <w:sz w:val="20"/>
          <w:szCs w:val="20"/>
          <w:color w:val="auto"/>
        </w:rPr>
      </w:pPr>
      <w:r>
        <w:rPr>
          <w:rFonts w:ascii="Arial" w:cs="Arial" w:eastAsia="Arial" w:hAnsi="Arial"/>
          <w:sz w:val="17"/>
          <w:szCs w:val="17"/>
          <w:color w:val="auto"/>
        </w:rPr>
        <w:t>AbbVie has delivered a three-year compound annual growth rate (CAGR) of 10.2% in revenues and 16.9% in EPS. This performance places AbbVie in the top quartile of its Health Care Peer Group. Additionally, AbbVie has been committed to a robust return of capital to stockholders with an increase of 42% in its dividend since 2013 as part of a balanced and disciplined capital allocation program. AbbVie's total stockholder return (TSR) since inception of 92.4% also places AbbVie among the top of its Health Care Peer Group, and nearly 40 percentage points above the Standard &amp; Poor's 500 Index and more than 33 percentage points above the NYSE Arca Pharmaceuticals Index over the same time period.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24  </w:t>
      </w:r>
      <w:r>
        <w:rPr>
          <w:sz w:val="1"/>
          <w:szCs w:val="1"/>
          <w:color w:val="auto"/>
        </w:rPr>
        <w:drawing>
          <wp:inline distT="0" distB="0" distL="0" distR="0">
            <wp:extent cx="622300" cy="107950"/>
            <wp:effectExtent l="0" t="0" r="0" b="0"/>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00"/>
          </w:cols>
          <w:pgMar w:left="240" w:top="143" w:right="459" w:bottom="1440" w:gutter="0" w:footer="0" w:header="0"/>
        </w:sectPr>
      </w:pPr>
    </w:p>
    <w:bookmarkStart w:id="27" w:name="page28"/>
    <w:bookmarkEnd w:id="2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AbbVie also Delivered Strong Business Performance in 2015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0"/>
          <w:szCs w:val="10"/>
          <w:b w:val="1"/>
          <w:bCs w:val="1"/>
          <w:color w:val="FFFFF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-95885</wp:posOffset>
            </wp:positionV>
            <wp:extent cx="1103630" cy="14097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9020" w:space="720"/>
            <w:col w:w="1680"/>
          </w:cols>
          <w:pgMar w:left="240" w:top="143" w:right="239" w:bottom="1440" w:gutter="0" w:footer="0" w:header="0"/>
        </w:sectPr>
      </w:pPr>
    </w:p>
    <w:p>
      <w:pPr>
        <w:spacing w:after="0" w:line="3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AbbVie has built a strong foundation for its business and 2015 was an exceptional year, as evidenced by a number of 2015 business highlights:</w:t>
      </w:r>
    </w:p>
    <w:p>
      <w:pPr>
        <w:spacing w:after="0" w:line="201" w:lineRule="exact"/>
        <w:rPr>
          <w:sz w:val="20"/>
          <w:szCs w:val="20"/>
          <w:color w:val="auto"/>
        </w:rPr>
      </w:pPr>
    </w:p>
    <w:p>
      <w:pPr>
        <w:ind w:left="1040" w:right="500" w:hanging="513"/>
        <w:spacing w:after="0" w:line="275"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Net Revenues: </w:t>
      </w:r>
      <w:r>
        <w:rPr>
          <w:rFonts w:ascii="Arial" w:cs="Arial" w:eastAsia="Arial" w:hAnsi="Arial"/>
          <w:sz w:val="17"/>
          <w:szCs w:val="17"/>
          <w:color w:val="auto"/>
        </w:rPr>
        <w:t>AbbVie reported full-year adjusted net revenues of $22.8 billion, an increase of 22.1% over 2014, excluding foreign</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This reflects top-tier growth, second in AbbVie's Health Care Peer Group.</w:t>
      </w:r>
    </w:p>
    <w:p>
      <w:pPr>
        <w:spacing w:after="0" w:line="153" w:lineRule="exact"/>
        <w:rPr>
          <w:rFonts w:ascii="Arial" w:cs="Arial" w:eastAsia="Arial" w:hAnsi="Arial"/>
          <w:sz w:val="17"/>
          <w:szCs w:val="17"/>
          <w:color w:val="auto"/>
        </w:rPr>
      </w:pPr>
    </w:p>
    <w:p>
      <w:pPr>
        <w:ind w:left="1040" w:right="480" w:hanging="513"/>
        <w:spacing w:after="0" w:line="275"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Operating Margins: </w:t>
      </w:r>
      <w:r>
        <w:rPr>
          <w:rFonts w:ascii="Arial" w:cs="Arial" w:eastAsia="Arial" w:hAnsi="Arial"/>
          <w:sz w:val="17"/>
          <w:szCs w:val="17"/>
          <w:color w:val="auto"/>
        </w:rPr>
        <w:t>In 2015, AbbVie expanded its adjusted operating margin to 42.3% of net revenues—up 610 basis points—and</w:t>
      </w:r>
      <w:r>
        <w:rPr>
          <w:rFonts w:ascii="Arial" w:cs="Arial" w:eastAsia="Arial" w:hAnsi="Arial"/>
          <w:sz w:val="17"/>
          <w:szCs w:val="17"/>
          <w:b w:val="1"/>
          <w:bCs w:val="1"/>
          <w:color w:val="auto"/>
        </w:rPr>
        <w:t xml:space="preserve"> </w:t>
      </w:r>
      <w:r>
        <w:rPr>
          <w:rFonts w:ascii="Arial" w:cs="Arial" w:eastAsia="Arial" w:hAnsi="Arial"/>
          <w:sz w:val="17"/>
          <w:szCs w:val="17"/>
          <w:color w:val="auto"/>
        </w:rPr>
        <w:t>improved gross margin to 82.9% of net revenues—up 280 basis points—since 2014.</w:t>
      </w:r>
    </w:p>
    <w:p>
      <w:pPr>
        <w:spacing w:after="0" w:line="139" w:lineRule="exact"/>
        <w:rPr>
          <w:rFonts w:ascii="Arial" w:cs="Arial" w:eastAsia="Arial" w:hAnsi="Arial"/>
          <w:sz w:val="17"/>
          <w:szCs w:val="17"/>
          <w:color w:val="auto"/>
        </w:rPr>
      </w:pPr>
    </w:p>
    <w:p>
      <w:pPr>
        <w:ind w:left="1040" w:right="300" w:hanging="513"/>
        <w:spacing w:after="0" w:line="307" w:lineRule="auto"/>
        <w:tabs>
          <w:tab w:leader="none" w:pos="1040"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Earnings Per Share: </w:t>
      </w:r>
      <w:r>
        <w:rPr>
          <w:rFonts w:ascii="Arial" w:cs="Arial" w:eastAsia="Arial" w:hAnsi="Arial"/>
          <w:sz w:val="16"/>
          <w:szCs w:val="16"/>
          <w:color w:val="auto"/>
        </w:rPr>
        <w:t>AbbVie reported full-year adjusted EPS of $4.29, up 29.2%. This reflects top-tier growth, second in AbbVie's</w:t>
      </w:r>
      <w:r>
        <w:rPr>
          <w:rFonts w:ascii="Arial" w:cs="Arial" w:eastAsia="Arial" w:hAnsi="Arial"/>
          <w:sz w:val="16"/>
          <w:szCs w:val="16"/>
          <w:b w:val="1"/>
          <w:bCs w:val="1"/>
          <w:color w:val="auto"/>
        </w:rPr>
        <w:t xml:space="preserve"> </w:t>
      </w:r>
      <w:r>
        <w:rPr>
          <w:rFonts w:ascii="Arial" w:cs="Arial" w:eastAsia="Arial" w:hAnsi="Arial"/>
          <w:sz w:val="16"/>
          <w:szCs w:val="16"/>
          <w:color w:val="auto"/>
        </w:rPr>
        <w:t>Health Care Peer Group. AbbVie's 2016 adjusted EPS guidance range of $4.82 to $5.02 reflects growth of nearly 15% at the midpoint.</w:t>
      </w:r>
    </w:p>
    <w:p>
      <w:pPr>
        <w:spacing w:after="0" w:line="117" w:lineRule="exact"/>
        <w:rPr>
          <w:rFonts w:ascii="Arial" w:cs="Arial" w:eastAsia="Arial" w:hAnsi="Arial"/>
          <w:sz w:val="16"/>
          <w:szCs w:val="16"/>
          <w:color w:val="auto"/>
        </w:rPr>
      </w:pPr>
    </w:p>
    <w:p>
      <w:pPr>
        <w:ind w:left="1040" w:right="120" w:hanging="513"/>
        <w:spacing w:after="0" w:line="257"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Humira Sales: </w:t>
      </w:r>
      <w:r>
        <w:rPr>
          <w:rFonts w:ascii="Arial" w:cs="Arial" w:eastAsia="Arial" w:hAnsi="Arial"/>
          <w:sz w:val="17"/>
          <w:szCs w:val="17"/>
          <w:color w:val="auto"/>
        </w:rPr>
        <w:t>AbbVie delivered global Humira sales of $14 billion, an increase of 19% excluding the impact of exchange rate</w:t>
      </w:r>
      <w:r>
        <w:rPr>
          <w:rFonts w:ascii="Arial" w:cs="Arial" w:eastAsia="Arial" w:hAnsi="Arial"/>
          <w:sz w:val="17"/>
          <w:szCs w:val="17"/>
          <w:b w:val="1"/>
          <w:bCs w:val="1"/>
          <w:color w:val="auto"/>
        </w:rPr>
        <w:t xml:space="preserve"> </w:t>
      </w:r>
      <w:r>
        <w:rPr>
          <w:rFonts w:ascii="Arial" w:cs="Arial" w:eastAsia="Arial" w:hAnsi="Arial"/>
          <w:sz w:val="17"/>
          <w:szCs w:val="17"/>
          <w:color w:val="auto"/>
        </w:rPr>
        <w:t>fluctuations, compared to 2014. Humira's performance was driven by market penetration across therapeutic categories and geographies, approval of new indications and market share gains.</w:t>
      </w:r>
    </w:p>
    <w:p>
      <w:pPr>
        <w:spacing w:after="0" w:line="169" w:lineRule="exact"/>
        <w:rPr>
          <w:rFonts w:ascii="Arial" w:cs="Arial" w:eastAsia="Arial" w:hAnsi="Arial"/>
          <w:sz w:val="17"/>
          <w:szCs w:val="17"/>
          <w:color w:val="auto"/>
        </w:rPr>
      </w:pPr>
    </w:p>
    <w:p>
      <w:pPr>
        <w:ind w:left="1040" w:hanging="513"/>
        <w:spacing w:after="0" w:line="257"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Pharmacyclics Acquisition: </w:t>
      </w:r>
      <w:r>
        <w:rPr>
          <w:rFonts w:ascii="Arial" w:cs="Arial" w:eastAsia="Arial" w:hAnsi="Arial"/>
          <w:sz w:val="17"/>
          <w:szCs w:val="17"/>
          <w:color w:val="auto"/>
        </w:rPr>
        <w:t>AbbVie made a significant investment in the rapidly-growing hematologic oncology space with its</w:t>
      </w:r>
      <w:r>
        <w:rPr>
          <w:rFonts w:ascii="Arial" w:cs="Arial" w:eastAsia="Arial" w:hAnsi="Arial"/>
          <w:sz w:val="17"/>
          <w:szCs w:val="17"/>
          <w:b w:val="1"/>
          <w:bCs w:val="1"/>
          <w:color w:val="auto"/>
        </w:rPr>
        <w:t xml:space="preserve"> </w:t>
      </w:r>
      <w:r>
        <w:rPr>
          <w:rFonts w:ascii="Arial" w:cs="Arial" w:eastAsia="Arial" w:hAnsi="Arial"/>
          <w:sz w:val="17"/>
          <w:szCs w:val="17"/>
          <w:color w:val="auto"/>
        </w:rPr>
        <w:t>acquisition of Pharmacyclics, Inc. and its first in class BTK inhibitor Imbruvica, which positions AbbVie as an oncology leader in this rapidly growing market segment.</w:t>
      </w:r>
    </w:p>
    <w:p>
      <w:pPr>
        <w:spacing w:after="0" w:line="155" w:lineRule="exact"/>
        <w:rPr>
          <w:rFonts w:ascii="Arial" w:cs="Arial" w:eastAsia="Arial" w:hAnsi="Arial"/>
          <w:sz w:val="17"/>
          <w:szCs w:val="17"/>
          <w:color w:val="auto"/>
        </w:rPr>
      </w:pPr>
    </w:p>
    <w:p>
      <w:pPr>
        <w:ind w:left="1040" w:right="100" w:hanging="513"/>
        <w:spacing w:after="0" w:line="252"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Regulatory Milestones: </w:t>
      </w:r>
      <w:r>
        <w:rPr>
          <w:rFonts w:ascii="Arial" w:cs="Arial" w:eastAsia="Arial" w:hAnsi="Arial"/>
          <w:sz w:val="17"/>
          <w:szCs w:val="17"/>
          <w:color w:val="auto"/>
        </w:rPr>
        <w:t>AbbVie also achieved a number of regulatory milestones in markets worldwide for several key products,</w:t>
      </w:r>
      <w:r>
        <w:rPr>
          <w:rFonts w:ascii="Arial" w:cs="Arial" w:eastAsia="Arial" w:hAnsi="Arial"/>
          <w:sz w:val="17"/>
          <w:szCs w:val="17"/>
          <w:b w:val="1"/>
          <w:bCs w:val="1"/>
          <w:color w:val="auto"/>
        </w:rPr>
        <w:t xml:space="preserve"> </w:t>
      </w:r>
      <w:r>
        <w:rPr>
          <w:rFonts w:ascii="Arial" w:cs="Arial" w:eastAsia="Arial" w:hAnsi="Arial"/>
          <w:sz w:val="17"/>
          <w:szCs w:val="17"/>
          <w:color w:val="auto"/>
        </w:rPr>
        <w:t>including U.S. Food and Drug Administration (FDA) and European Medicines Agency (EMA) approvals for new indications of Humira and Imbruvica, as well as new regulatory approvals for AbbVie's HCV program Viekira, Viekirax in Japan and Technivie in the U.S. AbbVie also announced FDA approval of Duopa for patients with advanced Parkinson's disease.</w:t>
      </w:r>
    </w:p>
    <w:p>
      <w:pPr>
        <w:spacing w:after="0" w:line="158" w:lineRule="exact"/>
        <w:rPr>
          <w:rFonts w:ascii="Arial" w:cs="Arial" w:eastAsia="Arial" w:hAnsi="Arial"/>
          <w:sz w:val="17"/>
          <w:szCs w:val="17"/>
          <w:color w:val="auto"/>
        </w:rPr>
      </w:pPr>
    </w:p>
    <w:p>
      <w:pPr>
        <w:ind w:left="1040" w:right="260" w:hanging="513"/>
        <w:spacing w:after="0" w:line="247" w:lineRule="auto"/>
        <w:tabs>
          <w:tab w:leader="none" w:pos="1040" w:val="left"/>
        </w:tabs>
        <w:numPr>
          <w:ilvl w:val="0"/>
          <w:numId w:val="19"/>
        </w:numPr>
        <w:rPr>
          <w:rFonts w:ascii="Arial" w:cs="Arial" w:eastAsia="Arial" w:hAnsi="Arial"/>
          <w:sz w:val="17"/>
          <w:szCs w:val="17"/>
          <w:color w:val="auto"/>
        </w:rPr>
      </w:pPr>
      <w:r>
        <w:rPr>
          <w:rFonts w:ascii="Arial" w:cs="Arial" w:eastAsia="Arial" w:hAnsi="Arial"/>
          <w:sz w:val="17"/>
          <w:szCs w:val="17"/>
          <w:b w:val="1"/>
          <w:bCs w:val="1"/>
          <w:color w:val="auto"/>
        </w:rPr>
        <w:t xml:space="preserve">Pipeline Development: </w:t>
      </w:r>
      <w:r>
        <w:rPr>
          <w:rFonts w:ascii="Arial" w:cs="Arial" w:eastAsia="Arial" w:hAnsi="Arial"/>
          <w:sz w:val="17"/>
          <w:szCs w:val="17"/>
          <w:color w:val="auto"/>
        </w:rPr>
        <w:t>With a record number of programs in mid- and late-stage development, AbbVie made significant pipeline</w:t>
      </w:r>
      <w:r>
        <w:rPr>
          <w:rFonts w:ascii="Arial" w:cs="Arial" w:eastAsia="Arial" w:hAnsi="Arial"/>
          <w:sz w:val="17"/>
          <w:szCs w:val="17"/>
          <w:b w:val="1"/>
          <w:bCs w:val="1"/>
          <w:color w:val="auto"/>
        </w:rPr>
        <w:t xml:space="preserve"> </w:t>
      </w:r>
      <w:r>
        <w:rPr>
          <w:rFonts w:ascii="Arial" w:cs="Arial" w:eastAsia="Arial" w:hAnsi="Arial"/>
          <w:sz w:val="17"/>
          <w:szCs w:val="17"/>
          <w:color w:val="auto"/>
        </w:rPr>
        <w:t>advancements in 2015, such as regulatory application submissions for Venetoclax for relapsed/refractory chronic lymphocytic leukemia (CLL); Imbruvica for first-line CLL; Zinbryta for multiple sclerosis; and Humira for uveitis. AbbVie also successfully transitioned several mid-stage pipeline assets into late-stage development, including its selective JAK-1 inhibitor, ABT-494, in rheumatoid arthritis; a pan-genotypic next-generation HCV combination; elagolix for uterine fibroids; and ABT-414, an antibody drug conjugate for glioblastoma multiforme.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123825</wp:posOffset>
            </wp:positionV>
            <wp:extent cx="5683250" cy="202438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683250" cy="2024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700" w:right="2460"/>
        <w:spacing w:after="0" w:line="250" w:lineRule="auto"/>
        <w:rPr>
          <w:sz w:val="20"/>
          <w:szCs w:val="20"/>
          <w:color w:val="auto"/>
        </w:rPr>
      </w:pPr>
      <w:r>
        <w:rPr>
          <w:rFonts w:ascii="Arial" w:cs="Arial" w:eastAsia="Arial" w:hAnsi="Arial"/>
          <w:sz w:val="17"/>
          <w:szCs w:val="17"/>
          <w:color w:val="auto"/>
        </w:rPr>
        <w:t>Note: Net revenues, operating margin and earnings per share are adjusted for specified items and exclude the impact of amortization.</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28" w:name="page29"/>
    <w:bookmarkEnd w:id="2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90"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 xml:space="preserve">EXECUTIVE COMPENSATION </w:t>
      </w:r>
      <w:r>
        <w:rPr>
          <w:rFonts w:ascii="Arial" w:cs="Arial" w:eastAsia="Arial" w:hAnsi="Arial"/>
          <w:sz w:val="16"/>
          <w:szCs w:val="16"/>
          <w:b w:val="1"/>
          <w:bCs w:val="1"/>
          <w:color w:val="444867"/>
        </w:rPr>
        <w:t>AbbVie is in the Top Tier of its Peers on Several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1103630" cy="14097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chart below outlines AbbVie's performance relative to its Health Care Peer Group in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749300</wp:posOffset>
            </wp:positionH>
            <wp:positionV relativeFrom="paragraph">
              <wp:posOffset>130810</wp:posOffset>
            </wp:positionV>
            <wp:extent cx="5757545" cy="222313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757545" cy="2223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Total Stockholder Return (TSR) Performance</w:t>
      </w:r>
    </w:p>
    <w:p>
      <w:pPr>
        <w:spacing w:after="0" w:line="230" w:lineRule="exact"/>
        <w:rPr>
          <w:sz w:val="20"/>
          <w:szCs w:val="20"/>
          <w:color w:val="auto"/>
        </w:rPr>
      </w:pPr>
    </w:p>
    <w:p>
      <w:pPr>
        <w:ind w:firstLine="661"/>
        <w:spacing w:after="0" w:line="243" w:lineRule="auto"/>
        <w:rPr>
          <w:sz w:val="20"/>
          <w:szCs w:val="20"/>
          <w:color w:val="auto"/>
        </w:rPr>
      </w:pPr>
      <w:r>
        <w:rPr>
          <w:rFonts w:ascii="Arial" w:cs="Arial" w:eastAsia="Arial" w:hAnsi="Arial"/>
          <w:sz w:val="17"/>
          <w:szCs w:val="17"/>
          <w:color w:val="auto"/>
        </w:rPr>
        <w:t>Over the three years since AbbVie's separation from Abbott, we have delivered a total stockholder return of 92.4%, which places us in the top quartile of our Health Care Peers and surpasses the cumulative total returns of the Standard &amp; Poor's 500 Index and the NYSE Arca Pharmaceuticals Index, as shown in the graph below. The graph covers the period from January 2, 2013 (the day AbbVie's common stock began "regular-way" trading on the NYSE) through December 31, 2015. The graph assumes $100 was invested in the stock or the index on January 2, 2013 and also assumes the reinvestment of dividends. The stock price performance in the following graph is not necessarily indicative of future stock price performance.</w:t>
      </w:r>
    </w:p>
    <w:p>
      <w:pPr>
        <w:spacing w:after="0" w:line="37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Comparison of Cumulative Total Return since AbbVie's Launch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865505</wp:posOffset>
            </wp:positionH>
            <wp:positionV relativeFrom="paragraph">
              <wp:posOffset>143510</wp:posOffset>
            </wp:positionV>
            <wp:extent cx="5533390" cy="25634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533390" cy="25634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both"/>
        <w:ind w:right="500" w:firstLine="661"/>
        <w:spacing w:after="0" w:line="245" w:lineRule="auto"/>
        <w:rPr>
          <w:sz w:val="20"/>
          <w:szCs w:val="20"/>
          <w:color w:val="auto"/>
        </w:rPr>
      </w:pPr>
      <w:r>
        <w:rPr>
          <w:rFonts w:ascii="Arial" w:cs="Arial" w:eastAsia="Arial" w:hAnsi="Arial"/>
          <w:sz w:val="17"/>
          <w:szCs w:val="17"/>
          <w:color w:val="auto"/>
        </w:rPr>
        <w:t>Despite AbbVie's industry-leading three-year TSR, our 2015 TSR of -6.5% did not reflect the company's top tier operational and financial performance and was negatively impacted by both the macro-economic environment that weighed down all stocks and by specific factors that are unique to the company, including uncertainty about the regulatory process for biosimilar competition to Humira.</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26  </w:t>
      </w:r>
      <w:r>
        <w:rPr>
          <w:sz w:val="1"/>
          <w:szCs w:val="1"/>
          <w:color w:val="auto"/>
        </w:rPr>
        <w:drawing>
          <wp:inline distT="0" distB="0" distL="0" distR="0">
            <wp:extent cx="622300" cy="107950"/>
            <wp:effectExtent l="0" t="0" r="0" b="0"/>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29" w:name="page30"/>
    <w:bookmarkEnd w:id="2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color w:val="444867"/>
        </w:rPr>
        <w:t>AbbVie is Positioned for Future Growth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0"/>
          <w:szCs w:val="10"/>
          <w:b w:val="1"/>
          <w:bCs w:val="1"/>
          <w:color w:val="FFFFF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-95885</wp:posOffset>
            </wp:positionV>
            <wp:extent cx="1103630" cy="14097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9020" w:space="720"/>
            <w:col w:w="1680"/>
          </w:cols>
          <w:pgMar w:left="240" w:top="143" w:right="239" w:bottom="1440" w:gutter="0" w:footer="0" w:header="0"/>
        </w:sectPr>
      </w:pPr>
    </w:p>
    <w:p>
      <w:pPr>
        <w:spacing w:after="0" w:line="41" w:lineRule="exact"/>
        <w:rPr>
          <w:sz w:val="20"/>
          <w:szCs w:val="20"/>
          <w:color w:val="auto"/>
        </w:rPr>
      </w:pPr>
    </w:p>
    <w:p>
      <w:pPr>
        <w:ind w:right="60" w:firstLine="651"/>
        <w:spacing w:after="0" w:line="242" w:lineRule="auto"/>
        <w:rPr>
          <w:sz w:val="20"/>
          <w:szCs w:val="20"/>
          <w:color w:val="auto"/>
        </w:rPr>
      </w:pPr>
      <w:r>
        <w:rPr>
          <w:rFonts w:ascii="Arial" w:cs="Arial" w:eastAsia="Arial" w:hAnsi="Arial"/>
          <w:sz w:val="17"/>
          <w:szCs w:val="17"/>
          <w:color w:val="auto"/>
        </w:rPr>
        <w:t>AbbVie is well-positioned to deliver strong top- and bottom-line performance through 2020 and beyond. The company has established growth platforms in some of the largest and most attractive market segments, including immunology, oncology, virology and neurology, and has built a compelling pipeline in these areas which will contribute significantly to future performance. AbbVie is committed to top-line growth and operating margin expansion. In October 2015, AbbVie outlined its long-term strategic and financial objectives through 2020, including an expectation to deliver annual double-digit adjusted EPS growth on average, company net revenues of approximately $37 billion in 2020, and an adjusted operating margin profile of greater than 50 percent in 2020.</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Components of our Compensation Program</w:t>
      </w:r>
    </w:p>
    <w:p>
      <w:pPr>
        <w:spacing w:after="0" w:line="230" w:lineRule="exact"/>
        <w:rPr>
          <w:sz w:val="20"/>
          <w:szCs w:val="20"/>
          <w:color w:val="auto"/>
        </w:rPr>
      </w:pPr>
    </w:p>
    <w:p>
      <w:pPr>
        <w:ind w:right="40" w:firstLine="657"/>
        <w:spacing w:after="0" w:line="245" w:lineRule="auto"/>
        <w:rPr>
          <w:sz w:val="20"/>
          <w:szCs w:val="20"/>
          <w:color w:val="auto"/>
        </w:rPr>
      </w:pPr>
      <w:r>
        <w:rPr>
          <w:rFonts w:ascii="Arial" w:cs="Arial" w:eastAsia="Arial" w:hAnsi="Arial"/>
          <w:sz w:val="17"/>
          <w:szCs w:val="17"/>
          <w:color w:val="auto"/>
        </w:rPr>
        <w:t>The compensation committee of the board oversees our executive compensation program, which includes several compensation elements that have each been tailored to incentivize and reward specific aspects of company performance the board believes are central to delivering long-term stockholder value. Key components of our 2015 compensation program are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782955</wp:posOffset>
            </wp:positionH>
            <wp:positionV relativeFrom="paragraph">
              <wp:posOffset>123825</wp:posOffset>
            </wp:positionV>
            <wp:extent cx="5699760" cy="32607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99760" cy="3260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right="240" w:firstLine="661"/>
        <w:spacing w:after="0" w:line="275" w:lineRule="auto"/>
        <w:rPr>
          <w:sz w:val="20"/>
          <w:szCs w:val="20"/>
          <w:color w:val="auto"/>
        </w:rPr>
      </w:pPr>
      <w:r>
        <w:rPr>
          <w:rFonts w:ascii="Arial" w:cs="Arial" w:eastAsia="Arial" w:hAnsi="Arial"/>
          <w:sz w:val="17"/>
          <w:szCs w:val="17"/>
          <w:b w:val="1"/>
          <w:bCs w:val="1"/>
          <w:color w:val="auto"/>
        </w:rPr>
        <w:t>In response to stockholder feedback, we redesigned our long-term incentive (LTI) program for 2016, emphasizing multiple, relative performance metrics and multi-year performance periods (see page 37 for a detailed description of the 2016 redesign).</w:t>
      </w:r>
    </w:p>
    <w:p>
      <w:pPr>
        <w:spacing w:after="0" w:line="173" w:lineRule="exact"/>
        <w:rPr>
          <w:sz w:val="20"/>
          <w:szCs w:val="20"/>
          <w:color w:val="auto"/>
        </w:rPr>
      </w:pPr>
    </w:p>
    <w:p>
      <w:pPr>
        <w:ind w:right="400" w:firstLine="657"/>
        <w:spacing w:after="0" w:line="250" w:lineRule="auto"/>
        <w:rPr>
          <w:sz w:val="20"/>
          <w:szCs w:val="20"/>
          <w:color w:val="auto"/>
        </w:rPr>
      </w:pPr>
      <w:r>
        <w:rPr>
          <w:rFonts w:ascii="Arial" w:cs="Arial" w:eastAsia="Arial" w:hAnsi="Arial"/>
          <w:sz w:val="17"/>
          <w:szCs w:val="17"/>
          <w:color w:val="auto"/>
        </w:rPr>
        <w:t>The committee is dedicated to ensuring that a substantial portion of executive compensation is "at-risk" and variable. Generally, more than three-fourths of our NEOs' total direct compensation is variable and directly affected by both the company's and the NEO's performance.</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30" w:name="page31"/>
    <w:bookmarkEnd w:id="3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90"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 xml:space="preserve">EXECUTIVE COMPENSATION </w:t>
      </w:r>
      <w:r>
        <w:rPr>
          <w:rFonts w:ascii="Arial" w:cs="Arial" w:eastAsia="Arial" w:hAnsi="Arial"/>
          <w:sz w:val="16"/>
          <w:szCs w:val="16"/>
          <w:b w:val="1"/>
          <w:bCs w:val="1"/>
          <w:i w:val="1"/>
          <w:iCs w:val="1"/>
          <w:color w:val="444867"/>
        </w:rPr>
        <w:t>2015 Performance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1103630" cy="14097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221" w:lineRule="exact"/>
        <w:rPr>
          <w:sz w:val="20"/>
          <w:szCs w:val="20"/>
          <w:color w:val="auto"/>
        </w:rPr>
      </w:pPr>
    </w:p>
    <w:p>
      <w:pPr>
        <w:ind w:right="140" w:firstLine="657"/>
        <w:spacing w:after="0" w:line="243" w:lineRule="auto"/>
        <w:rPr>
          <w:sz w:val="20"/>
          <w:szCs w:val="20"/>
          <w:color w:val="auto"/>
        </w:rPr>
      </w:pPr>
      <w:r>
        <w:rPr>
          <w:rFonts w:ascii="Arial" w:cs="Arial" w:eastAsia="Arial" w:hAnsi="Arial"/>
          <w:sz w:val="17"/>
          <w:szCs w:val="17"/>
          <w:color w:val="auto"/>
        </w:rPr>
        <w:t>The performance targets established under our annual and long-term incentive plans are rigorous and calibrated to a range of potential outcomes, with above target payouts for strong performance and below target payouts (including no payout) for below target performance. Targets are based on expected business, market and regulatory conditions, including expectations for our pipeline. The financial goals shown in the following table were carried by all of the NEOs as part of their 2015 performance goals. The specific weightings for each NEO, other than the CEO, are established at the start of each performance year based on the NEO's role and anticipated contributions to the company's annual objectives.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4880" w:type="dxa"/>
            <w:vAlign w:val="bottom"/>
            <w:gridSpan w:val="3"/>
          </w:tcPr>
          <w:p>
            <w:pPr>
              <w:spacing w:after="0"/>
              <w:rPr>
                <w:sz w:val="20"/>
                <w:szCs w:val="20"/>
                <w:color w:val="auto"/>
              </w:rPr>
            </w:pPr>
            <w:r>
              <w:rPr>
                <w:rFonts w:ascii="Arial" w:cs="Arial" w:eastAsia="Arial" w:hAnsi="Arial"/>
                <w:sz w:val="17"/>
                <w:szCs w:val="17"/>
                <w:b w:val="1"/>
                <w:bCs w:val="1"/>
                <w:color w:val="444867"/>
              </w:rPr>
              <w:t>Financial Goals</w:t>
            </w:r>
          </w:p>
        </w:tc>
        <w:tc>
          <w:tcPr>
            <w:tcW w:w="128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3400" w:type="dxa"/>
            <w:vAlign w:val="bottom"/>
          </w:tcPr>
          <w:p>
            <w:pPr>
              <w:spacing w:after="0"/>
              <w:rPr>
                <w:sz w:val="19"/>
                <w:szCs w:val="19"/>
                <w:color w:val="auto"/>
              </w:rPr>
            </w:pPr>
          </w:p>
        </w:tc>
      </w:tr>
      <w:tr>
        <w:trPr>
          <w:trHeight w:val="394"/>
        </w:trPr>
        <w:tc>
          <w:tcPr>
            <w:tcW w:w="4880" w:type="dxa"/>
            <w:vAlign w:val="bottom"/>
            <w:tcBorders>
              <w:bottom w:val="single" w:sz="8" w:color="auto"/>
            </w:tcBorders>
            <w:gridSpan w:val="3"/>
          </w:tcPr>
          <w:p>
            <w:pPr>
              <w:spacing w:after="0"/>
              <w:rPr>
                <w:sz w:val="20"/>
                <w:szCs w:val="20"/>
                <w:color w:val="auto"/>
              </w:rPr>
            </w:pPr>
            <w:r>
              <w:rPr>
                <w:rFonts w:ascii="Arial" w:cs="Arial" w:eastAsia="Arial" w:hAnsi="Arial"/>
                <w:sz w:val="17"/>
                <w:szCs w:val="17"/>
                <w:b w:val="1"/>
                <w:bCs w:val="1"/>
                <w:color w:val="444867"/>
              </w:rPr>
              <w:t>Goal and Expected Result(1)</w:t>
            </w:r>
          </w:p>
        </w:tc>
        <w:tc>
          <w:tcPr>
            <w:tcW w:w="3140" w:type="dxa"/>
            <w:vAlign w:val="bottom"/>
            <w:tcBorders>
              <w:bottom w:val="single" w:sz="8" w:color="auto"/>
            </w:tcBorders>
            <w:gridSpan w:val="2"/>
          </w:tcPr>
          <w:p>
            <w:pPr>
              <w:ind w:left="860"/>
              <w:spacing w:after="0"/>
              <w:rPr>
                <w:sz w:val="20"/>
                <w:szCs w:val="20"/>
                <w:color w:val="auto"/>
              </w:rPr>
            </w:pPr>
            <w:r>
              <w:rPr>
                <w:rFonts w:ascii="Arial" w:cs="Arial" w:eastAsia="Arial" w:hAnsi="Arial"/>
                <w:sz w:val="17"/>
                <w:szCs w:val="17"/>
                <w:b w:val="1"/>
                <w:bCs w:val="1"/>
                <w:color w:val="444867"/>
              </w:rPr>
              <w:t>Result(2)</w:t>
            </w:r>
          </w:p>
        </w:tc>
        <w:tc>
          <w:tcPr>
            <w:tcW w:w="3400" w:type="dxa"/>
            <w:vAlign w:val="bottom"/>
            <w:tcBorders>
              <w:bottom w:val="single" w:sz="8" w:color="auto"/>
            </w:tcBorders>
          </w:tcPr>
          <w:p>
            <w:pPr>
              <w:ind w:left="780"/>
              <w:spacing w:after="0"/>
              <w:rPr>
                <w:sz w:val="20"/>
                <w:szCs w:val="20"/>
                <w:color w:val="auto"/>
              </w:rPr>
            </w:pPr>
            <w:r>
              <w:rPr>
                <w:rFonts w:ascii="Arial" w:cs="Arial" w:eastAsia="Arial" w:hAnsi="Arial"/>
                <w:sz w:val="17"/>
                <w:szCs w:val="17"/>
                <w:b w:val="1"/>
                <w:bCs w:val="1"/>
                <w:color w:val="444867"/>
              </w:rPr>
              <w:t>Outcome</w:t>
            </w:r>
          </w:p>
        </w:tc>
      </w:tr>
      <w:tr>
        <w:trPr>
          <w:trHeight w:val="189"/>
        </w:trPr>
        <w:tc>
          <w:tcPr>
            <w:tcW w:w="42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A.</w:t>
            </w:r>
          </w:p>
        </w:tc>
        <w:tc>
          <w:tcPr>
            <w:tcW w:w="4460" w:type="dxa"/>
            <w:vAlign w:val="bottom"/>
            <w:gridSpan w:val="2"/>
            <w:shd w:val="clear" w:color="auto" w:fill="E7E7E8"/>
          </w:tcPr>
          <w:p>
            <w:pPr>
              <w:ind w:left="240"/>
              <w:spacing w:after="0" w:line="189" w:lineRule="exact"/>
              <w:rPr>
                <w:sz w:val="20"/>
                <w:szCs w:val="20"/>
                <w:color w:val="auto"/>
              </w:rPr>
            </w:pPr>
            <w:r>
              <w:rPr>
                <w:rFonts w:ascii="Arial" w:cs="Arial" w:eastAsia="Arial" w:hAnsi="Arial"/>
                <w:sz w:val="17"/>
                <w:szCs w:val="17"/>
                <w:color w:val="auto"/>
              </w:rPr>
              <w:t>Non-GAAP Diluted EPS of $4.15</w:t>
            </w:r>
          </w:p>
        </w:tc>
        <w:tc>
          <w:tcPr>
            <w:tcW w:w="1280" w:type="dxa"/>
            <w:vAlign w:val="bottom"/>
            <w:shd w:val="clear" w:color="auto" w:fill="E7E7E8"/>
          </w:tcPr>
          <w:p>
            <w:pPr>
              <w:ind w:left="860"/>
              <w:spacing w:after="0" w:line="189" w:lineRule="exact"/>
              <w:rPr>
                <w:sz w:val="20"/>
                <w:szCs w:val="20"/>
                <w:color w:val="auto"/>
              </w:rPr>
            </w:pPr>
            <w:r>
              <w:rPr>
                <w:rFonts w:ascii="Arial" w:cs="Arial" w:eastAsia="Arial" w:hAnsi="Arial"/>
                <w:sz w:val="17"/>
                <w:szCs w:val="17"/>
                <w:color w:val="auto"/>
              </w:rPr>
              <w:t>A.</w:t>
            </w:r>
          </w:p>
        </w:tc>
        <w:tc>
          <w:tcPr>
            <w:tcW w:w="1860" w:type="dxa"/>
            <w:vAlign w:val="bottom"/>
            <w:shd w:val="clear" w:color="auto" w:fill="E7E7E8"/>
          </w:tcPr>
          <w:p>
            <w:pPr>
              <w:ind w:left="260"/>
              <w:spacing w:after="0" w:line="189" w:lineRule="exact"/>
              <w:rPr>
                <w:sz w:val="20"/>
                <w:szCs w:val="20"/>
                <w:color w:val="auto"/>
              </w:rPr>
            </w:pPr>
            <w:r>
              <w:rPr>
                <w:rFonts w:ascii="Arial" w:cs="Arial" w:eastAsia="Arial" w:hAnsi="Arial"/>
                <w:sz w:val="17"/>
                <w:szCs w:val="17"/>
                <w:color w:val="auto"/>
              </w:rPr>
              <w:t>$4.29</w:t>
            </w:r>
          </w:p>
        </w:tc>
        <w:tc>
          <w:tcPr>
            <w:tcW w:w="3400" w:type="dxa"/>
            <w:vAlign w:val="bottom"/>
            <w:shd w:val="clear" w:color="auto" w:fill="E7E7E8"/>
          </w:tcPr>
          <w:p>
            <w:pPr>
              <w:ind w:left="780"/>
              <w:spacing w:after="0" w:line="189" w:lineRule="exact"/>
              <w:rPr>
                <w:sz w:val="20"/>
                <w:szCs w:val="20"/>
                <w:color w:val="auto"/>
              </w:rPr>
            </w:pPr>
            <w:r>
              <w:rPr>
                <w:rFonts w:ascii="Arial" w:cs="Arial" w:eastAsia="Arial" w:hAnsi="Arial"/>
                <w:sz w:val="17"/>
                <w:szCs w:val="17"/>
                <w:color w:val="auto"/>
              </w:rPr>
              <w:t>Achieved Above Target</w:t>
            </w:r>
          </w:p>
        </w:tc>
      </w:tr>
      <w:tr>
        <w:trPr>
          <w:trHeight w:val="235"/>
        </w:trPr>
        <w:tc>
          <w:tcPr>
            <w:tcW w:w="420" w:type="dxa"/>
            <w:vAlign w:val="bottom"/>
          </w:tcPr>
          <w:p>
            <w:pPr>
              <w:spacing w:after="0"/>
              <w:rPr>
                <w:sz w:val="20"/>
                <w:szCs w:val="20"/>
                <w:color w:val="auto"/>
              </w:rPr>
            </w:pPr>
            <w:r>
              <w:rPr>
                <w:rFonts w:ascii="Arial" w:cs="Arial" w:eastAsia="Arial" w:hAnsi="Arial"/>
                <w:sz w:val="17"/>
                <w:szCs w:val="17"/>
                <w:color w:val="auto"/>
              </w:rPr>
              <w:t>B.</w:t>
            </w:r>
          </w:p>
        </w:tc>
        <w:tc>
          <w:tcPr>
            <w:tcW w:w="4460" w:type="dxa"/>
            <w:vAlign w:val="bottom"/>
            <w:gridSpan w:val="2"/>
          </w:tcPr>
          <w:p>
            <w:pPr>
              <w:ind w:left="240"/>
              <w:spacing w:after="0"/>
              <w:rPr>
                <w:sz w:val="20"/>
                <w:szCs w:val="20"/>
                <w:color w:val="auto"/>
              </w:rPr>
            </w:pPr>
            <w:r>
              <w:rPr>
                <w:rFonts w:ascii="Arial" w:cs="Arial" w:eastAsia="Arial" w:hAnsi="Arial"/>
                <w:sz w:val="17"/>
                <w:szCs w:val="17"/>
                <w:color w:val="auto"/>
              </w:rPr>
              <w:t>Non-GAAP Net Revenues of $24.1BN</w:t>
            </w:r>
          </w:p>
        </w:tc>
        <w:tc>
          <w:tcPr>
            <w:tcW w:w="1280" w:type="dxa"/>
            <w:vAlign w:val="bottom"/>
          </w:tcPr>
          <w:p>
            <w:pPr>
              <w:ind w:left="860"/>
              <w:spacing w:after="0"/>
              <w:rPr>
                <w:sz w:val="20"/>
                <w:szCs w:val="20"/>
                <w:color w:val="auto"/>
              </w:rPr>
            </w:pPr>
            <w:r>
              <w:rPr>
                <w:rFonts w:ascii="Arial" w:cs="Arial" w:eastAsia="Arial" w:hAnsi="Arial"/>
                <w:sz w:val="17"/>
                <w:szCs w:val="17"/>
                <w:color w:val="auto"/>
              </w:rPr>
              <w:t>B.</w:t>
            </w:r>
          </w:p>
        </w:tc>
        <w:tc>
          <w:tcPr>
            <w:tcW w:w="1860" w:type="dxa"/>
            <w:vAlign w:val="bottom"/>
          </w:tcPr>
          <w:p>
            <w:pPr>
              <w:ind w:left="260"/>
              <w:spacing w:after="0" w:line="235" w:lineRule="exact"/>
              <w:rPr>
                <w:sz w:val="20"/>
                <w:szCs w:val="20"/>
                <w:color w:val="auto"/>
              </w:rPr>
            </w:pPr>
            <w:r>
              <w:rPr>
                <w:rFonts w:ascii="Arial" w:cs="Arial" w:eastAsia="Arial" w:hAnsi="Arial"/>
                <w:sz w:val="16"/>
                <w:szCs w:val="16"/>
                <w:color w:val="auto"/>
              </w:rPr>
              <w:t>$24.1BN</w:t>
            </w:r>
            <w:r>
              <w:rPr>
                <w:rFonts w:ascii="Arial" w:cs="Arial" w:eastAsia="Arial" w:hAnsi="Arial"/>
                <w:sz w:val="27"/>
                <w:szCs w:val="27"/>
                <w:color w:val="auto"/>
                <w:vertAlign w:val="superscript"/>
              </w:rPr>
              <w:t>(3)</w:t>
            </w:r>
          </w:p>
        </w:tc>
        <w:tc>
          <w:tcPr>
            <w:tcW w:w="3400" w:type="dxa"/>
            <w:vAlign w:val="bottom"/>
          </w:tcPr>
          <w:p>
            <w:pPr>
              <w:ind w:left="780"/>
              <w:spacing w:after="0"/>
              <w:rPr>
                <w:sz w:val="20"/>
                <w:szCs w:val="20"/>
                <w:color w:val="auto"/>
              </w:rPr>
            </w:pPr>
            <w:r>
              <w:rPr>
                <w:rFonts w:ascii="Arial" w:cs="Arial" w:eastAsia="Arial" w:hAnsi="Arial"/>
                <w:sz w:val="17"/>
                <w:szCs w:val="17"/>
                <w:color w:val="auto"/>
              </w:rPr>
              <w:t>Achieved</w:t>
            </w:r>
          </w:p>
        </w:tc>
      </w:tr>
      <w:tr>
        <w:trPr>
          <w:trHeight w:val="196"/>
        </w:trPr>
        <w:tc>
          <w:tcPr>
            <w:tcW w:w="420" w:type="dxa"/>
            <w:vAlign w:val="bottom"/>
            <w:shd w:val="clear" w:color="auto" w:fill="E7E7E8"/>
          </w:tcPr>
          <w:p>
            <w:pPr>
              <w:spacing w:after="0"/>
              <w:rPr>
                <w:sz w:val="20"/>
                <w:szCs w:val="20"/>
                <w:color w:val="auto"/>
              </w:rPr>
            </w:pPr>
            <w:r>
              <w:rPr>
                <w:rFonts w:ascii="Arial" w:cs="Arial" w:eastAsia="Arial" w:hAnsi="Arial"/>
                <w:sz w:val="17"/>
                <w:szCs w:val="17"/>
                <w:color w:val="auto"/>
              </w:rPr>
              <w:t>C.</w:t>
            </w:r>
          </w:p>
        </w:tc>
        <w:tc>
          <w:tcPr>
            <w:tcW w:w="4460" w:type="dxa"/>
            <w:vAlign w:val="bottom"/>
            <w:gridSpan w:val="2"/>
            <w:shd w:val="clear" w:color="auto" w:fill="E7E7E8"/>
          </w:tcPr>
          <w:p>
            <w:pPr>
              <w:ind w:left="240"/>
              <w:spacing w:after="0"/>
              <w:rPr>
                <w:sz w:val="20"/>
                <w:szCs w:val="20"/>
                <w:color w:val="auto"/>
              </w:rPr>
            </w:pPr>
            <w:r>
              <w:rPr>
                <w:rFonts w:ascii="Arial" w:cs="Arial" w:eastAsia="Arial" w:hAnsi="Arial"/>
                <w:sz w:val="17"/>
                <w:szCs w:val="17"/>
                <w:color w:val="auto"/>
              </w:rPr>
              <w:t>Non-GAAP Income Before Taxes of $8.83BN</w:t>
            </w:r>
          </w:p>
        </w:tc>
        <w:tc>
          <w:tcPr>
            <w:tcW w:w="1280" w:type="dxa"/>
            <w:vAlign w:val="bottom"/>
            <w:shd w:val="clear" w:color="auto" w:fill="E7E7E8"/>
          </w:tcPr>
          <w:p>
            <w:pPr>
              <w:ind w:left="860"/>
              <w:spacing w:after="0"/>
              <w:rPr>
                <w:sz w:val="20"/>
                <w:szCs w:val="20"/>
                <w:color w:val="auto"/>
              </w:rPr>
            </w:pPr>
            <w:r>
              <w:rPr>
                <w:rFonts w:ascii="Arial" w:cs="Arial" w:eastAsia="Arial" w:hAnsi="Arial"/>
                <w:sz w:val="17"/>
                <w:szCs w:val="17"/>
                <w:color w:val="auto"/>
              </w:rPr>
              <w:t>C.</w:t>
            </w:r>
          </w:p>
        </w:tc>
        <w:tc>
          <w:tcPr>
            <w:tcW w:w="1860" w:type="dxa"/>
            <w:vAlign w:val="bottom"/>
            <w:shd w:val="clear" w:color="auto" w:fill="E7E7E8"/>
          </w:tcPr>
          <w:p>
            <w:pPr>
              <w:ind w:left="260"/>
              <w:spacing w:after="0"/>
              <w:rPr>
                <w:sz w:val="20"/>
                <w:szCs w:val="20"/>
                <w:color w:val="auto"/>
              </w:rPr>
            </w:pPr>
            <w:r>
              <w:rPr>
                <w:rFonts w:ascii="Arial" w:cs="Arial" w:eastAsia="Arial" w:hAnsi="Arial"/>
                <w:sz w:val="17"/>
                <w:szCs w:val="17"/>
                <w:color w:val="auto"/>
              </w:rPr>
              <w:t>$9.04BN</w:t>
            </w:r>
          </w:p>
        </w:tc>
        <w:tc>
          <w:tcPr>
            <w:tcW w:w="3400" w:type="dxa"/>
            <w:vAlign w:val="bottom"/>
            <w:shd w:val="clear" w:color="auto" w:fill="E7E7E8"/>
          </w:tcPr>
          <w:p>
            <w:pPr>
              <w:ind w:left="780"/>
              <w:spacing w:after="0"/>
              <w:rPr>
                <w:sz w:val="20"/>
                <w:szCs w:val="20"/>
                <w:color w:val="auto"/>
              </w:rPr>
            </w:pPr>
            <w:r>
              <w:rPr>
                <w:rFonts w:ascii="Arial" w:cs="Arial" w:eastAsia="Arial" w:hAnsi="Arial"/>
                <w:sz w:val="17"/>
                <w:szCs w:val="17"/>
                <w:color w:val="auto"/>
              </w:rPr>
              <w:t>Achieved Above Target</w:t>
            </w:r>
          </w:p>
        </w:tc>
      </w:tr>
      <w:tr>
        <w:trPr>
          <w:trHeight w:val="196"/>
        </w:trPr>
        <w:tc>
          <w:tcPr>
            <w:tcW w:w="420" w:type="dxa"/>
            <w:vAlign w:val="bottom"/>
          </w:tcPr>
          <w:p>
            <w:pPr>
              <w:spacing w:after="0"/>
              <w:rPr>
                <w:sz w:val="20"/>
                <w:szCs w:val="20"/>
                <w:color w:val="auto"/>
              </w:rPr>
            </w:pPr>
            <w:r>
              <w:rPr>
                <w:rFonts w:ascii="Arial" w:cs="Arial" w:eastAsia="Arial" w:hAnsi="Arial"/>
                <w:sz w:val="17"/>
                <w:szCs w:val="17"/>
                <w:color w:val="auto"/>
              </w:rPr>
              <w:t>D.</w:t>
            </w:r>
          </w:p>
        </w:tc>
        <w:tc>
          <w:tcPr>
            <w:tcW w:w="4460" w:type="dxa"/>
            <w:vAlign w:val="bottom"/>
            <w:gridSpan w:val="2"/>
          </w:tcPr>
          <w:p>
            <w:pPr>
              <w:ind w:left="240"/>
              <w:spacing w:after="0"/>
              <w:rPr>
                <w:sz w:val="20"/>
                <w:szCs w:val="20"/>
                <w:color w:val="auto"/>
              </w:rPr>
            </w:pPr>
            <w:r>
              <w:rPr>
                <w:rFonts w:ascii="Arial" w:cs="Arial" w:eastAsia="Arial" w:hAnsi="Arial"/>
                <w:sz w:val="17"/>
                <w:szCs w:val="17"/>
                <w:color w:val="auto"/>
              </w:rPr>
              <w:t>Non-GAAP Return on Assets of 20.1%</w:t>
            </w:r>
          </w:p>
        </w:tc>
        <w:tc>
          <w:tcPr>
            <w:tcW w:w="1280" w:type="dxa"/>
            <w:vAlign w:val="bottom"/>
          </w:tcPr>
          <w:p>
            <w:pPr>
              <w:ind w:left="860"/>
              <w:spacing w:after="0"/>
              <w:rPr>
                <w:sz w:val="20"/>
                <w:szCs w:val="20"/>
                <w:color w:val="auto"/>
              </w:rPr>
            </w:pPr>
            <w:r>
              <w:rPr>
                <w:rFonts w:ascii="Arial" w:cs="Arial" w:eastAsia="Arial" w:hAnsi="Arial"/>
                <w:sz w:val="17"/>
                <w:szCs w:val="17"/>
                <w:color w:val="auto"/>
              </w:rPr>
              <w:t>D.</w:t>
            </w:r>
          </w:p>
        </w:tc>
        <w:tc>
          <w:tcPr>
            <w:tcW w:w="1860" w:type="dxa"/>
            <w:vAlign w:val="bottom"/>
          </w:tcPr>
          <w:p>
            <w:pPr>
              <w:ind w:left="260"/>
              <w:spacing w:after="0"/>
              <w:rPr>
                <w:sz w:val="20"/>
                <w:szCs w:val="20"/>
                <w:color w:val="auto"/>
              </w:rPr>
            </w:pPr>
            <w:r>
              <w:rPr>
                <w:rFonts w:ascii="Arial" w:cs="Arial" w:eastAsia="Arial" w:hAnsi="Arial"/>
                <w:sz w:val="17"/>
                <w:szCs w:val="17"/>
                <w:color w:val="auto"/>
              </w:rPr>
              <w:t>23.2%</w:t>
            </w:r>
          </w:p>
        </w:tc>
        <w:tc>
          <w:tcPr>
            <w:tcW w:w="3400" w:type="dxa"/>
            <w:vAlign w:val="bottom"/>
          </w:tcPr>
          <w:p>
            <w:pPr>
              <w:ind w:left="780"/>
              <w:spacing w:after="0"/>
              <w:rPr>
                <w:sz w:val="20"/>
                <w:szCs w:val="20"/>
                <w:color w:val="auto"/>
              </w:rPr>
            </w:pPr>
            <w:r>
              <w:rPr>
                <w:rFonts w:ascii="Arial" w:cs="Arial" w:eastAsia="Arial" w:hAnsi="Arial"/>
                <w:sz w:val="17"/>
                <w:szCs w:val="17"/>
                <w:color w:val="auto"/>
              </w:rPr>
              <w:t>Achieved Above Target</w:t>
            </w:r>
          </w:p>
        </w:tc>
      </w:tr>
      <w:tr>
        <w:trPr>
          <w:trHeight w:val="196"/>
        </w:trPr>
        <w:tc>
          <w:tcPr>
            <w:tcW w:w="420" w:type="dxa"/>
            <w:vAlign w:val="bottom"/>
            <w:shd w:val="clear" w:color="auto" w:fill="E7E7E8"/>
          </w:tcPr>
          <w:p>
            <w:pPr>
              <w:spacing w:after="0"/>
              <w:rPr>
                <w:sz w:val="20"/>
                <w:szCs w:val="20"/>
                <w:color w:val="auto"/>
              </w:rPr>
            </w:pPr>
            <w:r>
              <w:rPr>
                <w:rFonts w:ascii="Arial" w:cs="Arial" w:eastAsia="Arial" w:hAnsi="Arial"/>
                <w:sz w:val="17"/>
                <w:szCs w:val="17"/>
                <w:color w:val="auto"/>
              </w:rPr>
              <w:t>E.</w:t>
            </w:r>
          </w:p>
        </w:tc>
        <w:tc>
          <w:tcPr>
            <w:tcW w:w="4460" w:type="dxa"/>
            <w:vAlign w:val="bottom"/>
            <w:gridSpan w:val="2"/>
            <w:shd w:val="clear" w:color="auto" w:fill="E7E7E8"/>
          </w:tcPr>
          <w:p>
            <w:pPr>
              <w:ind w:left="240"/>
              <w:spacing w:after="0"/>
              <w:rPr>
                <w:sz w:val="20"/>
                <w:szCs w:val="20"/>
                <w:color w:val="auto"/>
              </w:rPr>
            </w:pPr>
            <w:r>
              <w:rPr>
                <w:rFonts w:ascii="Arial" w:cs="Arial" w:eastAsia="Arial" w:hAnsi="Arial"/>
                <w:sz w:val="17"/>
                <w:szCs w:val="17"/>
                <w:color w:val="auto"/>
              </w:rPr>
              <w:t>Non-GAAP Operating Margin of $9.49BN</w:t>
            </w:r>
          </w:p>
        </w:tc>
        <w:tc>
          <w:tcPr>
            <w:tcW w:w="1280" w:type="dxa"/>
            <w:vAlign w:val="bottom"/>
            <w:shd w:val="clear" w:color="auto" w:fill="E7E7E8"/>
          </w:tcPr>
          <w:p>
            <w:pPr>
              <w:ind w:left="860"/>
              <w:spacing w:after="0"/>
              <w:rPr>
                <w:sz w:val="20"/>
                <w:szCs w:val="20"/>
                <w:color w:val="auto"/>
              </w:rPr>
            </w:pPr>
            <w:r>
              <w:rPr>
                <w:rFonts w:ascii="Arial" w:cs="Arial" w:eastAsia="Arial" w:hAnsi="Arial"/>
                <w:sz w:val="17"/>
                <w:szCs w:val="17"/>
                <w:color w:val="auto"/>
              </w:rPr>
              <w:t>E.</w:t>
            </w:r>
          </w:p>
        </w:tc>
        <w:tc>
          <w:tcPr>
            <w:tcW w:w="1860" w:type="dxa"/>
            <w:vAlign w:val="bottom"/>
            <w:shd w:val="clear" w:color="auto" w:fill="E7E7E8"/>
          </w:tcPr>
          <w:p>
            <w:pPr>
              <w:ind w:left="260"/>
              <w:spacing w:after="0"/>
              <w:rPr>
                <w:sz w:val="20"/>
                <w:szCs w:val="20"/>
                <w:color w:val="auto"/>
              </w:rPr>
            </w:pPr>
            <w:r>
              <w:rPr>
                <w:rFonts w:ascii="Arial" w:cs="Arial" w:eastAsia="Arial" w:hAnsi="Arial"/>
                <w:sz w:val="17"/>
                <w:szCs w:val="17"/>
                <w:color w:val="auto"/>
              </w:rPr>
              <w:t>$9.68BN</w:t>
            </w:r>
          </w:p>
        </w:tc>
        <w:tc>
          <w:tcPr>
            <w:tcW w:w="3400" w:type="dxa"/>
            <w:vAlign w:val="bottom"/>
            <w:shd w:val="clear" w:color="auto" w:fill="E7E7E8"/>
          </w:tcPr>
          <w:p>
            <w:pPr>
              <w:ind w:left="780"/>
              <w:spacing w:after="0"/>
              <w:rPr>
                <w:sz w:val="20"/>
                <w:szCs w:val="20"/>
                <w:color w:val="auto"/>
              </w:rPr>
            </w:pPr>
            <w:r>
              <w:rPr>
                <w:rFonts w:ascii="Arial" w:cs="Arial" w:eastAsia="Arial" w:hAnsi="Arial"/>
                <w:sz w:val="17"/>
                <w:szCs w:val="17"/>
                <w:color w:val="auto"/>
              </w:rPr>
              <w:t>Achieved Above Target</w:t>
            </w:r>
          </w:p>
        </w:tc>
      </w:tr>
      <w:tr>
        <w:trPr>
          <w:trHeight w:val="340"/>
        </w:trPr>
        <w:tc>
          <w:tcPr>
            <w:tcW w:w="42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F.</w:t>
            </w:r>
          </w:p>
        </w:tc>
        <w:tc>
          <w:tcPr>
            <w:tcW w:w="2240" w:type="dxa"/>
            <w:vAlign w:val="bottom"/>
            <w:tcBorders>
              <w:bottom w:val="single" w:sz="8" w:color="auto"/>
            </w:tcBorders>
          </w:tcPr>
          <w:p>
            <w:pPr>
              <w:ind w:left="240"/>
              <w:spacing w:after="0"/>
              <w:rPr>
                <w:sz w:val="20"/>
                <w:szCs w:val="20"/>
                <w:color w:val="auto"/>
              </w:rPr>
            </w:pPr>
            <w:r>
              <w:rPr>
                <w:rFonts w:ascii="Arial" w:cs="Arial" w:eastAsia="Arial" w:hAnsi="Arial"/>
                <w:sz w:val="17"/>
                <w:szCs w:val="17"/>
                <w:color w:val="auto"/>
              </w:rPr>
              <w:t>Humira Sales of $14.4BN</w:t>
            </w:r>
          </w:p>
        </w:tc>
        <w:tc>
          <w:tcPr>
            <w:tcW w:w="2220" w:type="dxa"/>
            <w:vAlign w:val="bottom"/>
          </w:tcPr>
          <w:p>
            <w:pPr>
              <w:spacing w:after="0"/>
              <w:rPr>
                <w:sz w:val="24"/>
                <w:szCs w:val="24"/>
                <w:color w:val="auto"/>
              </w:rPr>
            </w:pPr>
          </w:p>
        </w:tc>
        <w:tc>
          <w:tcPr>
            <w:tcW w:w="1280" w:type="dxa"/>
            <w:vAlign w:val="bottom"/>
          </w:tcPr>
          <w:p>
            <w:pPr>
              <w:ind w:left="860"/>
              <w:spacing w:after="0"/>
              <w:rPr>
                <w:sz w:val="20"/>
                <w:szCs w:val="20"/>
                <w:color w:val="auto"/>
              </w:rPr>
            </w:pPr>
            <w:r>
              <w:rPr>
                <w:rFonts w:ascii="Arial" w:cs="Arial" w:eastAsia="Arial" w:hAnsi="Arial"/>
                <w:sz w:val="17"/>
                <w:szCs w:val="17"/>
                <w:color w:val="auto"/>
              </w:rPr>
              <w:t>F.</w:t>
            </w:r>
          </w:p>
        </w:tc>
        <w:tc>
          <w:tcPr>
            <w:tcW w:w="1860" w:type="dxa"/>
            <w:vAlign w:val="bottom"/>
          </w:tcPr>
          <w:p>
            <w:pPr>
              <w:ind w:left="260"/>
              <w:spacing w:after="0"/>
              <w:rPr>
                <w:sz w:val="20"/>
                <w:szCs w:val="20"/>
                <w:color w:val="auto"/>
              </w:rPr>
            </w:pPr>
            <w:r>
              <w:rPr>
                <w:rFonts w:ascii="Arial" w:cs="Arial" w:eastAsia="Arial" w:hAnsi="Arial"/>
                <w:sz w:val="17"/>
                <w:szCs w:val="17"/>
                <w:color w:val="auto"/>
              </w:rPr>
              <w:t>$14.8BN</w:t>
            </w:r>
            <w:r>
              <w:rPr>
                <w:rFonts w:ascii="Arial" w:cs="Arial" w:eastAsia="Arial" w:hAnsi="Arial"/>
                <w:sz w:val="28"/>
                <w:szCs w:val="28"/>
                <w:color w:val="auto"/>
                <w:vertAlign w:val="superscript"/>
              </w:rPr>
              <w:t>(3)</w:t>
            </w:r>
          </w:p>
        </w:tc>
        <w:tc>
          <w:tcPr>
            <w:tcW w:w="3400" w:type="dxa"/>
            <w:vAlign w:val="bottom"/>
          </w:tcPr>
          <w:p>
            <w:pPr>
              <w:ind w:left="780"/>
              <w:spacing w:after="0"/>
              <w:rPr>
                <w:sz w:val="20"/>
                <w:szCs w:val="20"/>
                <w:color w:val="auto"/>
              </w:rPr>
            </w:pPr>
            <w:r>
              <w:rPr>
                <w:rFonts w:ascii="Arial" w:cs="Arial" w:eastAsia="Arial" w:hAnsi="Arial"/>
                <w:sz w:val="17"/>
                <w:szCs w:val="17"/>
                <w:color w:val="auto"/>
              </w:rPr>
              <w:t>Achieved Above Target</w:t>
            </w:r>
          </w:p>
        </w:tc>
      </w:tr>
    </w:tbl>
    <w:p>
      <w:pPr>
        <w:spacing w:after="0" w:line="212" w:lineRule="exact"/>
        <w:rPr>
          <w:sz w:val="20"/>
          <w:szCs w:val="20"/>
          <w:color w:val="auto"/>
        </w:rPr>
      </w:pPr>
    </w:p>
    <w:p>
      <w:pPr>
        <w:ind w:left="520" w:hanging="515"/>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Expected results reflect the acquisition of Pharmacyclics, Inc.</w:t>
      </w:r>
    </w:p>
    <w:p>
      <w:pPr>
        <w:spacing w:after="0" w:line="209" w:lineRule="exact"/>
        <w:rPr>
          <w:rFonts w:ascii="Arial" w:cs="Arial" w:eastAsia="Arial" w:hAnsi="Arial"/>
          <w:sz w:val="17"/>
          <w:szCs w:val="17"/>
          <w:color w:val="auto"/>
        </w:rPr>
      </w:pPr>
    </w:p>
    <w:p>
      <w:pPr>
        <w:ind w:left="520" w:hanging="515"/>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Results achieved reflect certain specified items, which are reconciled in our Form 8-K dated January 29, 2016.</w:t>
      </w:r>
    </w:p>
    <w:p>
      <w:pPr>
        <w:spacing w:after="0" w:line="196" w:lineRule="exact"/>
        <w:rPr>
          <w:rFonts w:ascii="Arial" w:cs="Arial" w:eastAsia="Arial" w:hAnsi="Arial"/>
          <w:sz w:val="17"/>
          <w:szCs w:val="17"/>
          <w:color w:val="auto"/>
        </w:rPr>
      </w:pPr>
    </w:p>
    <w:p>
      <w:pPr>
        <w:ind w:left="520" w:hanging="515"/>
        <w:spacing w:after="0"/>
        <w:tabs>
          <w:tab w:leader="none" w:pos="5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Net revenues and Humira sales are evaluated on a constant currency basis.</w:t>
      </w:r>
    </w:p>
    <w:p>
      <w:pPr>
        <w:spacing w:after="0" w:line="210" w:lineRule="exact"/>
        <w:rPr>
          <w:sz w:val="20"/>
          <w:szCs w:val="20"/>
          <w:color w:val="auto"/>
        </w:rPr>
      </w:pPr>
    </w:p>
    <w:p>
      <w:pPr>
        <w:jc w:val="both"/>
        <w:ind w:right="460" w:firstLine="661"/>
        <w:spacing w:after="0" w:line="245" w:lineRule="auto"/>
        <w:rPr>
          <w:sz w:val="20"/>
          <w:szCs w:val="20"/>
          <w:color w:val="auto"/>
        </w:rPr>
      </w:pPr>
      <w:r>
        <w:rPr>
          <w:rFonts w:ascii="Arial" w:cs="Arial" w:eastAsia="Arial" w:hAnsi="Arial"/>
          <w:sz w:val="17"/>
          <w:szCs w:val="17"/>
          <w:color w:val="auto"/>
        </w:rPr>
        <w:t>In addition to the financial goals set forth above, each of our NEOs also has individual performance goals that the committee reviews and ensures are appropriately rigorous and in line with the long-term success of the company. Each NEO achieved or exceeded his or her 2015 goals, which are listed below:</w:t>
      </w:r>
    </w:p>
    <w:p>
      <w:pPr>
        <w:spacing w:after="0" w:line="178" w:lineRule="exact"/>
        <w:rPr>
          <w:sz w:val="20"/>
          <w:szCs w:val="20"/>
          <w:color w:val="auto"/>
        </w:rPr>
      </w:pPr>
    </w:p>
    <w:p>
      <w:pPr>
        <w:ind w:left="1040" w:right="240" w:hanging="513"/>
        <w:spacing w:after="0" w:line="252"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Richard A. Gonzalez: </w:t>
      </w:r>
      <w:r>
        <w:rPr>
          <w:rFonts w:ascii="Arial" w:cs="Arial" w:eastAsia="Arial" w:hAnsi="Arial"/>
          <w:sz w:val="17"/>
          <w:szCs w:val="17"/>
          <w:color w:val="auto"/>
        </w:rPr>
        <w:t>Drive exceptional business performance; execute key strategic initiatives to drive top tier, sustainable long-term</w:t>
      </w:r>
      <w:r>
        <w:rPr>
          <w:rFonts w:ascii="Arial" w:cs="Arial" w:eastAsia="Arial" w:hAnsi="Arial"/>
          <w:sz w:val="17"/>
          <w:szCs w:val="17"/>
          <w:b w:val="1"/>
          <w:bCs w:val="1"/>
          <w:color w:val="auto"/>
        </w:rPr>
        <w:t xml:space="preserve"> </w:t>
      </w:r>
      <w:r>
        <w:rPr>
          <w:rFonts w:ascii="Arial" w:cs="Arial" w:eastAsia="Arial" w:hAnsi="Arial"/>
          <w:sz w:val="17"/>
          <w:szCs w:val="17"/>
          <w:color w:val="auto"/>
        </w:rPr>
        <w:t>business performance; deliver strong value to our stockholders, building investor confidence and credibility; successfully advance mid-and late-stage pipeline assets; continue to drive strong employee engagement and motivation around AbbVie's mission and future prospects; and advance our transformation to a biopharmaceutical culture.</w:t>
      </w:r>
    </w:p>
    <w:p>
      <w:pPr>
        <w:spacing w:after="0" w:line="171" w:lineRule="exact"/>
        <w:rPr>
          <w:rFonts w:ascii="Arial" w:cs="Arial" w:eastAsia="Arial" w:hAnsi="Arial"/>
          <w:sz w:val="17"/>
          <w:szCs w:val="17"/>
          <w:color w:val="auto"/>
        </w:rPr>
      </w:pPr>
    </w:p>
    <w:p>
      <w:pPr>
        <w:ind w:left="1040" w:right="200" w:hanging="513"/>
        <w:spacing w:after="0" w:line="275"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William J. Chase: </w:t>
      </w:r>
      <w:r>
        <w:rPr>
          <w:rFonts w:ascii="Arial" w:cs="Arial" w:eastAsia="Arial" w:hAnsi="Arial"/>
          <w:sz w:val="17"/>
          <w:szCs w:val="17"/>
          <w:color w:val="auto"/>
        </w:rPr>
        <w:t>Achieve proprietary pharmaceutical pipeline enhancement objectives; and successfully transition corporate services</w:t>
      </w:r>
      <w:r>
        <w:rPr>
          <w:rFonts w:ascii="Arial" w:cs="Arial" w:eastAsia="Arial" w:hAnsi="Arial"/>
          <w:sz w:val="17"/>
          <w:szCs w:val="17"/>
          <w:b w:val="1"/>
          <w:bCs w:val="1"/>
          <w:color w:val="auto"/>
        </w:rPr>
        <w:t xml:space="preserve"> </w:t>
      </w:r>
      <w:r>
        <w:rPr>
          <w:rFonts w:ascii="Arial" w:cs="Arial" w:eastAsia="Arial" w:hAnsi="Arial"/>
          <w:sz w:val="17"/>
          <w:szCs w:val="17"/>
          <w:color w:val="auto"/>
        </w:rPr>
        <w:t>infrastructure to a standalone model.</w:t>
      </w:r>
    </w:p>
    <w:p>
      <w:pPr>
        <w:spacing w:after="0" w:line="139" w:lineRule="exact"/>
        <w:rPr>
          <w:rFonts w:ascii="Arial" w:cs="Arial" w:eastAsia="Arial" w:hAnsi="Arial"/>
          <w:sz w:val="17"/>
          <w:szCs w:val="17"/>
          <w:color w:val="auto"/>
        </w:rPr>
      </w:pPr>
    </w:p>
    <w:p>
      <w:pPr>
        <w:jc w:val="both"/>
        <w:ind w:left="1040" w:right="240" w:hanging="513"/>
        <w:spacing w:after="0" w:line="257"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Laura J. Schumacher: </w:t>
      </w:r>
      <w:r>
        <w:rPr>
          <w:rFonts w:ascii="Arial" w:cs="Arial" w:eastAsia="Arial" w:hAnsi="Arial"/>
          <w:sz w:val="17"/>
          <w:szCs w:val="17"/>
          <w:color w:val="auto"/>
        </w:rPr>
        <w:t>Successfully continue to develop and implement strategies to effectively resolve key litigation matters; achieve</w:t>
      </w:r>
      <w:r>
        <w:rPr>
          <w:rFonts w:ascii="Arial" w:cs="Arial" w:eastAsia="Arial" w:hAnsi="Arial"/>
          <w:sz w:val="17"/>
          <w:szCs w:val="17"/>
          <w:b w:val="1"/>
          <w:bCs w:val="1"/>
          <w:color w:val="auto"/>
        </w:rPr>
        <w:t xml:space="preserve"> </w:t>
      </w:r>
      <w:r>
        <w:rPr>
          <w:rFonts w:ascii="Arial" w:cs="Arial" w:eastAsia="Arial" w:hAnsi="Arial"/>
          <w:sz w:val="17"/>
          <w:szCs w:val="17"/>
          <w:color w:val="auto"/>
        </w:rPr>
        <w:t>proprietary pharmaceutical pipeline enhancement objectives; execute biologics strategic development initiatives; and support research and development initiatives per company strategy.</w:t>
      </w:r>
    </w:p>
    <w:p>
      <w:pPr>
        <w:spacing w:after="0" w:line="155" w:lineRule="exact"/>
        <w:rPr>
          <w:rFonts w:ascii="Arial" w:cs="Arial" w:eastAsia="Arial" w:hAnsi="Arial"/>
          <w:sz w:val="17"/>
          <w:szCs w:val="17"/>
          <w:color w:val="auto"/>
        </w:rPr>
      </w:pPr>
    </w:p>
    <w:p>
      <w:pPr>
        <w:ind w:left="1040" w:hanging="513"/>
        <w:spacing w:after="0"/>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Carlos Alban: </w:t>
      </w:r>
      <w:r>
        <w:rPr>
          <w:rFonts w:ascii="Arial" w:cs="Arial" w:eastAsia="Arial" w:hAnsi="Arial"/>
          <w:sz w:val="17"/>
          <w:szCs w:val="17"/>
          <w:color w:val="auto"/>
        </w:rPr>
        <w:t>Achieve key product milestones; and successfully adapt and execute market strategies relative to external considerations.</w:t>
      </w:r>
    </w:p>
    <w:p>
      <w:pPr>
        <w:spacing w:after="0" w:line="209" w:lineRule="exact"/>
        <w:rPr>
          <w:rFonts w:ascii="Arial" w:cs="Arial" w:eastAsia="Arial" w:hAnsi="Arial"/>
          <w:sz w:val="17"/>
          <w:szCs w:val="17"/>
          <w:color w:val="auto"/>
        </w:rPr>
      </w:pPr>
    </w:p>
    <w:p>
      <w:pPr>
        <w:ind w:left="1040" w:right="620" w:hanging="513"/>
        <w:spacing w:after="0" w:line="275" w:lineRule="auto"/>
        <w:tabs>
          <w:tab w:leader="none" w:pos="1040" w:val="left"/>
        </w:tabs>
        <w:numPr>
          <w:ilvl w:val="0"/>
          <w:numId w:val="21"/>
        </w:numPr>
        <w:rPr>
          <w:rFonts w:ascii="Arial" w:cs="Arial" w:eastAsia="Arial" w:hAnsi="Arial"/>
          <w:sz w:val="17"/>
          <w:szCs w:val="17"/>
          <w:color w:val="auto"/>
        </w:rPr>
      </w:pPr>
      <w:r>
        <w:rPr>
          <w:rFonts w:ascii="Arial" w:cs="Arial" w:eastAsia="Arial" w:hAnsi="Arial"/>
          <w:sz w:val="17"/>
          <w:szCs w:val="17"/>
          <w:b w:val="1"/>
          <w:bCs w:val="1"/>
          <w:color w:val="auto"/>
        </w:rPr>
        <w:t xml:space="preserve">Michael E. Severino: </w:t>
      </w:r>
      <w:r>
        <w:rPr>
          <w:rFonts w:ascii="Arial" w:cs="Arial" w:eastAsia="Arial" w:hAnsi="Arial"/>
          <w:sz w:val="17"/>
          <w:szCs w:val="17"/>
          <w:color w:val="auto"/>
        </w:rPr>
        <w:t>Achieve key research and development milestones per company strategy; and achieve proprietary pipeline</w:t>
      </w:r>
      <w:r>
        <w:rPr>
          <w:rFonts w:ascii="Arial" w:cs="Arial" w:eastAsia="Arial" w:hAnsi="Arial"/>
          <w:sz w:val="17"/>
          <w:szCs w:val="17"/>
          <w:b w:val="1"/>
          <w:bCs w:val="1"/>
          <w:color w:val="auto"/>
        </w:rPr>
        <w:t xml:space="preserve"> </w:t>
      </w:r>
      <w:r>
        <w:rPr>
          <w:rFonts w:ascii="Arial" w:cs="Arial" w:eastAsia="Arial" w:hAnsi="Arial"/>
          <w:sz w:val="17"/>
          <w:szCs w:val="17"/>
          <w:color w:val="auto"/>
        </w:rPr>
        <w:t>enhancement objectives.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28  </w:t>
      </w:r>
      <w:r>
        <w:rPr>
          <w:sz w:val="1"/>
          <w:szCs w:val="1"/>
          <w:color w:val="auto"/>
        </w:rPr>
        <w:drawing>
          <wp:inline distT="0" distB="0" distL="0" distR="0">
            <wp:extent cx="622300" cy="107950"/>
            <wp:effectExtent l="0" t="0" r="0" b="0"/>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1" w:name="page32"/>
    <w:bookmarkEnd w:id="3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Stockholder Engagement</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2015 Say on Pay Results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0"/>
          <w:szCs w:val="10"/>
          <w:b w:val="1"/>
          <w:bCs w:val="1"/>
          <w:color w:val="FFFFF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-95885</wp:posOffset>
            </wp:positionV>
            <wp:extent cx="1103630" cy="14097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631" w:lineRule="exact"/>
        <w:rPr>
          <w:sz w:val="20"/>
          <w:szCs w:val="20"/>
          <w:color w:val="auto"/>
        </w:rPr>
      </w:pPr>
    </w:p>
    <w:p>
      <w:pPr>
        <w:sectPr>
          <w:pgSz w:w="11900" w:h="16838" w:orient="portrait"/>
          <w:cols w:equalWidth="0" w:num="2">
            <w:col w:w="9020" w:space="720"/>
            <w:col w:w="1680"/>
          </w:cols>
          <w:pgMar w:left="240" w:top="143" w:right="239" w:bottom="1440" w:gutter="0" w:footer="0" w:header="0"/>
        </w:sectPr>
      </w:pPr>
    </w:p>
    <w:p>
      <w:pPr>
        <w:spacing w:after="0" w:line="30" w:lineRule="exact"/>
        <w:rPr>
          <w:sz w:val="20"/>
          <w:szCs w:val="20"/>
          <w:color w:val="auto"/>
        </w:rPr>
      </w:pPr>
    </w:p>
    <w:p>
      <w:pPr>
        <w:ind w:right="60" w:firstLine="651"/>
        <w:spacing w:after="0" w:line="245" w:lineRule="auto"/>
        <w:rPr>
          <w:sz w:val="20"/>
          <w:szCs w:val="20"/>
          <w:color w:val="auto"/>
        </w:rPr>
      </w:pPr>
      <w:r>
        <w:rPr>
          <w:rFonts w:ascii="Arial" w:cs="Arial" w:eastAsia="Arial" w:hAnsi="Arial"/>
          <w:sz w:val="17"/>
          <w:szCs w:val="17"/>
          <w:color w:val="auto"/>
        </w:rPr>
        <w:t>At our 2015 Annual Meeting, the say on pay proposal received support from 95% of our stockholders. The board and compensation committee are encouraged by the continued, consistent stockholder support for our executive compensation program. Our say on pay proposal received 96% support from stockholders in 2014 and 2013.</w:t>
      </w:r>
    </w:p>
    <w:p>
      <w:pPr>
        <w:spacing w:after="0" w:line="198" w:lineRule="exact"/>
        <w:rPr>
          <w:sz w:val="20"/>
          <w:szCs w:val="20"/>
          <w:color w:val="auto"/>
        </w:rPr>
      </w:pPr>
    </w:p>
    <w:p>
      <w:pPr>
        <w:ind w:right="20" w:firstLine="651"/>
        <w:spacing w:after="0" w:line="242" w:lineRule="auto"/>
        <w:rPr>
          <w:sz w:val="20"/>
          <w:szCs w:val="20"/>
          <w:color w:val="auto"/>
        </w:rPr>
      </w:pPr>
      <w:r>
        <w:rPr>
          <w:rFonts w:ascii="Arial" w:cs="Arial" w:eastAsia="Arial" w:hAnsi="Arial"/>
          <w:sz w:val="17"/>
          <w:szCs w:val="17"/>
          <w:color w:val="auto"/>
        </w:rPr>
        <w:t>AbbVie is committed to regular, ongoing engagement with stockholders to ensure that we continue to understand stockholder feedback about our compensation program and incorporate that feedback into the compensation decision-making process. To that end, in 2015 AbbVie approached and engaged stockholders holding approximately 38% of the company's outstanding shares. In these discussions, the aggregate feedback was generally supportive of the compensation program, consistent with the level of stockholder support for our say on pay proposals in the last two years, and was not prescriptive about our compensation plan design. The feedback informs the compensation committee's continuous assessment of the program design and ongoing discussions with stockholders, which contribute to the evolution of the program.</w:t>
      </w:r>
    </w:p>
    <w:p>
      <w:pPr>
        <w:spacing w:after="0" w:line="202" w:lineRule="exact"/>
        <w:rPr>
          <w:sz w:val="20"/>
          <w:szCs w:val="20"/>
          <w:color w:val="auto"/>
        </w:rPr>
      </w:pPr>
    </w:p>
    <w:p>
      <w:pPr>
        <w:ind w:right="580" w:firstLine="651"/>
        <w:spacing w:after="0" w:line="245" w:lineRule="auto"/>
        <w:rPr>
          <w:sz w:val="20"/>
          <w:szCs w:val="20"/>
          <w:color w:val="auto"/>
        </w:rPr>
      </w:pPr>
      <w:r>
        <w:rPr>
          <w:rFonts w:ascii="Arial" w:cs="Arial" w:eastAsia="Arial" w:hAnsi="Arial"/>
          <w:sz w:val="17"/>
          <w:szCs w:val="17"/>
          <w:color w:val="auto"/>
        </w:rPr>
        <w:t>After considering stockholder feedback and suggestions, AbbVie's compensation committee, in consultation with management and the committee's independent compensation consultant, has proactively reviewed our policies and compensation program design. For annual awards beginning in 2016, our LTI program has been redesigned, as discussed in greater detail in the following section.</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Executive Compensation Program Updates in 2016</w:t>
      </w:r>
    </w:p>
    <w:p>
      <w:pPr>
        <w:spacing w:after="0" w:line="230" w:lineRule="exact"/>
        <w:rPr>
          <w:sz w:val="20"/>
          <w:szCs w:val="20"/>
          <w:color w:val="auto"/>
        </w:rPr>
      </w:pPr>
    </w:p>
    <w:p>
      <w:pPr>
        <w:ind w:right="460" w:firstLine="657"/>
        <w:spacing w:after="0" w:line="245" w:lineRule="auto"/>
        <w:rPr>
          <w:sz w:val="20"/>
          <w:szCs w:val="20"/>
          <w:color w:val="auto"/>
        </w:rPr>
      </w:pPr>
      <w:r>
        <w:rPr>
          <w:rFonts w:ascii="Arial" w:cs="Arial" w:eastAsia="Arial" w:hAnsi="Arial"/>
          <w:sz w:val="17"/>
          <w:szCs w:val="17"/>
          <w:color w:val="auto"/>
        </w:rPr>
        <w:t>The compensation committee of the board has engaged in a continuous process of evaluation and enhancement of the AbbVie executive compensation program. In the three years since the company's launch, AbbVie has made significant enhancements to its legacy compensation programs, the most recent of which are described in the following paragraphs and on page 37.</w:t>
      </w:r>
    </w:p>
    <w:p>
      <w:pPr>
        <w:spacing w:after="0" w:line="198" w:lineRule="exact"/>
        <w:rPr>
          <w:sz w:val="20"/>
          <w:szCs w:val="20"/>
          <w:color w:val="auto"/>
        </w:rPr>
      </w:pPr>
    </w:p>
    <w:p>
      <w:pPr>
        <w:ind w:right="40" w:firstLine="657"/>
        <w:spacing w:after="0" w:line="242" w:lineRule="auto"/>
        <w:rPr>
          <w:sz w:val="20"/>
          <w:szCs w:val="20"/>
          <w:color w:val="auto"/>
        </w:rPr>
      </w:pPr>
      <w:r>
        <w:rPr>
          <w:rFonts w:ascii="Arial" w:cs="Arial" w:eastAsia="Arial" w:hAnsi="Arial"/>
          <w:sz w:val="17"/>
          <w:szCs w:val="17"/>
          <w:color w:val="auto"/>
        </w:rPr>
        <w:t>The committee has considered the feedback from stockholders as to the design of its compensation program and competitive benchmarking and, in 2015, undertook a comprehensive revision of the program. The new long-term incentive program will be in effect for equity grants made in 2016. The program consists of equity awards that include 40% performance shares, 40% performance-vested restricted stock awards and 20% stock options. Vesting may occur over a 3-year period based on relative return on equity (ROE) for the performance-vested restricted stock awards and earnings per share (EPS) (with a relative 3-year total stockholder return (TSR) modifier) for the performance shares. The 2016 program eliminates vesting in any 3 of 5 years and provides that awards may vest only over 3 years based on the achievement of the defined performance metrics. Additionally, dividends will not be paid unless the performance criteria</w:t>
      </w:r>
    </w:p>
    <w:p>
      <w:pPr>
        <w:spacing w:after="0" w:line="20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32" w:name="page33"/>
    <w:bookmarkEnd w:id="3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103630" cy="14097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190" w:lineRule="exact"/>
        <w:rPr>
          <w:sz w:val="20"/>
          <w:szCs w:val="20"/>
          <w:color w:val="auto"/>
        </w:rPr>
      </w:pPr>
    </w:p>
    <w:p>
      <w:pPr>
        <w:ind w:left="1740" w:right="540" w:hanging="1528"/>
        <w:spacing w:after="0" w:line="281" w:lineRule="auto"/>
        <w:rPr>
          <w:sz w:val="20"/>
          <w:szCs w:val="20"/>
          <w:color w:val="auto"/>
        </w:rPr>
      </w:pPr>
      <w:r>
        <w:rPr>
          <w:rFonts w:ascii="Arial" w:cs="Arial" w:eastAsia="Arial" w:hAnsi="Arial"/>
          <w:sz w:val="10"/>
          <w:szCs w:val="10"/>
          <w:b w:val="1"/>
          <w:bCs w:val="1"/>
          <w:color w:val="FFFFFE"/>
        </w:rPr>
        <w:t xml:space="preserve">EXECUTIVE COMPENSATION </w:t>
      </w:r>
      <w:r>
        <w:rPr>
          <w:rFonts w:ascii="Arial" w:cs="Arial" w:eastAsia="Arial" w:hAnsi="Arial"/>
          <w:sz w:val="16"/>
          <w:szCs w:val="16"/>
          <w:color w:val="000000"/>
        </w:rPr>
        <w:t>are met, and then will be paid only on shares that vest. AbbVie believes the new design further strengthens and aligns the</w:t>
      </w:r>
      <w:r>
        <w:rPr>
          <w:rFonts w:ascii="Arial" w:cs="Arial" w:eastAsia="Arial" w:hAnsi="Arial"/>
          <w:sz w:val="10"/>
          <w:szCs w:val="10"/>
          <w:b w:val="1"/>
          <w:bCs w:val="1"/>
          <w:color w:val="FFFFFE"/>
        </w:rPr>
        <w:t xml:space="preserve"> </w:t>
      </w:r>
      <w:r>
        <w:rPr>
          <w:rFonts w:ascii="Arial" w:cs="Arial" w:eastAsia="Arial" w:hAnsi="Arial"/>
          <w:sz w:val="16"/>
          <w:szCs w:val="16"/>
          <w:color w:val="000000"/>
        </w:rPr>
        <w:t>performance orientation of senior executive compensation. Highlights of the changes made for 2016 include:</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36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444867"/>
              </w:rPr>
              <w:t>Element of Pay</w:t>
            </w:r>
          </w:p>
        </w:tc>
        <w:tc>
          <w:tcPr>
            <w:tcW w:w="7780" w:type="dxa"/>
            <w:vAlign w:val="bottom"/>
            <w:tcBorders>
              <w:bottom w:val="single" w:sz="8" w:color="auto"/>
            </w:tcBorders>
          </w:tcPr>
          <w:p>
            <w:pPr>
              <w:ind w:left="480"/>
              <w:spacing w:after="0"/>
              <w:rPr>
                <w:sz w:val="20"/>
                <w:szCs w:val="20"/>
                <w:color w:val="auto"/>
              </w:rPr>
            </w:pPr>
            <w:r>
              <w:rPr>
                <w:rFonts w:ascii="Arial" w:cs="Arial" w:eastAsia="Arial" w:hAnsi="Arial"/>
                <w:sz w:val="17"/>
                <w:szCs w:val="17"/>
                <w:b w:val="1"/>
                <w:bCs w:val="1"/>
                <w:color w:val="444867"/>
              </w:rPr>
              <w:t>Changes Made for 2016</w:t>
            </w:r>
          </w:p>
        </w:tc>
      </w:tr>
      <w:tr>
        <w:trPr>
          <w:trHeight w:val="179"/>
        </w:trPr>
        <w:tc>
          <w:tcPr>
            <w:tcW w:w="3640" w:type="dxa"/>
            <w:vAlign w:val="bottom"/>
          </w:tcPr>
          <w:p>
            <w:pPr>
              <w:spacing w:after="0" w:line="179" w:lineRule="exact"/>
              <w:rPr>
                <w:sz w:val="20"/>
                <w:szCs w:val="20"/>
                <w:color w:val="auto"/>
              </w:rPr>
            </w:pPr>
            <w:r>
              <w:rPr>
                <w:rFonts w:ascii="Arial" w:cs="Arial" w:eastAsia="Arial" w:hAnsi="Arial"/>
                <w:sz w:val="17"/>
                <w:szCs w:val="17"/>
                <w:color w:val="auto"/>
              </w:rPr>
              <w:t>Long-Term Incentive Program</w:t>
            </w:r>
          </w:p>
        </w:tc>
        <w:tc>
          <w:tcPr>
            <w:tcW w:w="7780" w:type="dxa"/>
            <w:vAlign w:val="bottom"/>
          </w:tcPr>
          <w:p>
            <w:pPr>
              <w:ind w:left="480"/>
              <w:spacing w:after="0" w:line="179" w:lineRule="exact"/>
              <w:rPr>
                <w:sz w:val="20"/>
                <w:szCs w:val="20"/>
                <w:color w:val="auto"/>
              </w:rPr>
            </w:pPr>
            <w:r>
              <w:rPr>
                <w:rFonts w:ascii="Arial" w:cs="Arial" w:eastAsia="Arial" w:hAnsi="Arial"/>
                <w:sz w:val="17"/>
                <w:szCs w:val="17"/>
                <w:color w:val="auto"/>
              </w:rPr>
              <w:t>ü   Completed redesign of our long-term incentive program:</w:t>
            </w:r>
          </w:p>
        </w:tc>
      </w:tr>
      <w:tr>
        <w:trPr>
          <w:trHeight w:val="196"/>
        </w:trPr>
        <w:tc>
          <w:tcPr>
            <w:tcW w:w="3640" w:type="dxa"/>
            <w:vAlign w:val="bottom"/>
          </w:tcPr>
          <w:p>
            <w:pPr>
              <w:spacing w:after="0"/>
              <w:rPr>
                <w:sz w:val="17"/>
                <w:szCs w:val="17"/>
                <w:color w:val="auto"/>
              </w:rPr>
            </w:pPr>
          </w:p>
        </w:tc>
        <w:tc>
          <w:tcPr>
            <w:tcW w:w="7780" w:type="dxa"/>
            <w:vAlign w:val="bottom"/>
          </w:tcPr>
          <w:p>
            <w:pPr>
              <w:ind w:left="800"/>
              <w:spacing w:after="0"/>
              <w:rPr>
                <w:sz w:val="20"/>
                <w:szCs w:val="20"/>
                <w:color w:val="auto"/>
              </w:rPr>
            </w:pPr>
            <w:r>
              <w:rPr>
                <w:rFonts w:ascii="Arial" w:cs="Arial" w:eastAsia="Arial" w:hAnsi="Arial"/>
                <w:sz w:val="17"/>
                <w:szCs w:val="17"/>
                <w:color w:val="auto"/>
              </w:rPr>
              <w:t>—  Added multiple performance metrics, including relative ROE, EPS and relative TSR as</w:t>
            </w:r>
          </w:p>
        </w:tc>
      </w:tr>
      <w:tr>
        <w:trPr>
          <w:trHeight w:val="183"/>
        </w:trPr>
        <w:tc>
          <w:tcPr>
            <w:tcW w:w="3640" w:type="dxa"/>
            <w:vAlign w:val="bottom"/>
          </w:tcPr>
          <w:p>
            <w:pPr>
              <w:spacing w:after="0"/>
              <w:rPr>
                <w:sz w:val="15"/>
                <w:szCs w:val="15"/>
                <w:color w:val="auto"/>
              </w:rPr>
            </w:pPr>
          </w:p>
        </w:tc>
        <w:tc>
          <w:tcPr>
            <w:tcW w:w="7780" w:type="dxa"/>
            <w:vAlign w:val="bottom"/>
          </w:tcPr>
          <w:p>
            <w:pPr>
              <w:ind w:left="1100"/>
              <w:spacing w:after="0" w:line="183" w:lineRule="exact"/>
              <w:rPr>
                <w:sz w:val="20"/>
                <w:szCs w:val="20"/>
                <w:color w:val="auto"/>
              </w:rPr>
            </w:pPr>
            <w:r>
              <w:rPr>
                <w:rFonts w:ascii="Arial" w:cs="Arial" w:eastAsia="Arial" w:hAnsi="Arial"/>
                <w:sz w:val="17"/>
                <w:szCs w:val="17"/>
                <w:color w:val="auto"/>
              </w:rPr>
              <w:t>criteria for vesting.</w:t>
            </w:r>
          </w:p>
        </w:tc>
      </w:tr>
      <w:tr>
        <w:trPr>
          <w:trHeight w:val="196"/>
        </w:trPr>
        <w:tc>
          <w:tcPr>
            <w:tcW w:w="3640" w:type="dxa"/>
            <w:vAlign w:val="bottom"/>
          </w:tcPr>
          <w:p>
            <w:pPr>
              <w:spacing w:after="0"/>
              <w:rPr>
                <w:sz w:val="17"/>
                <w:szCs w:val="17"/>
                <w:color w:val="auto"/>
              </w:rPr>
            </w:pPr>
          </w:p>
        </w:tc>
        <w:tc>
          <w:tcPr>
            <w:tcW w:w="7780" w:type="dxa"/>
            <w:vAlign w:val="bottom"/>
          </w:tcPr>
          <w:p>
            <w:pPr>
              <w:ind w:left="800"/>
              <w:spacing w:after="0"/>
              <w:rPr>
                <w:sz w:val="20"/>
                <w:szCs w:val="20"/>
                <w:color w:val="auto"/>
              </w:rPr>
            </w:pPr>
            <w:r>
              <w:rPr>
                <w:rFonts w:ascii="Arial" w:cs="Arial" w:eastAsia="Arial" w:hAnsi="Arial"/>
                <w:sz w:val="17"/>
                <w:szCs w:val="17"/>
                <w:color w:val="auto"/>
              </w:rPr>
              <w:t>—  Removed provision that allowed performance awards to vest if thresholds were met in</w:t>
            </w:r>
          </w:p>
        </w:tc>
      </w:tr>
      <w:tr>
        <w:trPr>
          <w:trHeight w:val="183"/>
        </w:trPr>
        <w:tc>
          <w:tcPr>
            <w:tcW w:w="3640" w:type="dxa"/>
            <w:vAlign w:val="bottom"/>
          </w:tcPr>
          <w:p>
            <w:pPr>
              <w:spacing w:after="0"/>
              <w:rPr>
                <w:sz w:val="15"/>
                <w:szCs w:val="15"/>
                <w:color w:val="auto"/>
              </w:rPr>
            </w:pPr>
          </w:p>
        </w:tc>
        <w:tc>
          <w:tcPr>
            <w:tcW w:w="7780" w:type="dxa"/>
            <w:vAlign w:val="bottom"/>
          </w:tcPr>
          <w:p>
            <w:pPr>
              <w:ind w:left="1100"/>
              <w:spacing w:after="0" w:line="183" w:lineRule="exact"/>
              <w:rPr>
                <w:sz w:val="20"/>
                <w:szCs w:val="20"/>
                <w:color w:val="auto"/>
              </w:rPr>
            </w:pPr>
            <w:r>
              <w:rPr>
                <w:rFonts w:ascii="Arial" w:cs="Arial" w:eastAsia="Arial" w:hAnsi="Arial"/>
                <w:sz w:val="17"/>
                <w:szCs w:val="17"/>
                <w:color w:val="auto"/>
              </w:rPr>
              <w:t>any 3 of 5 years, creating more risk of forfeiture.</w:t>
            </w:r>
          </w:p>
        </w:tc>
      </w:tr>
      <w:tr>
        <w:trPr>
          <w:trHeight w:val="196"/>
        </w:trPr>
        <w:tc>
          <w:tcPr>
            <w:tcW w:w="3640" w:type="dxa"/>
            <w:vAlign w:val="bottom"/>
          </w:tcPr>
          <w:p>
            <w:pPr>
              <w:spacing w:after="0"/>
              <w:rPr>
                <w:sz w:val="17"/>
                <w:szCs w:val="17"/>
                <w:color w:val="auto"/>
              </w:rPr>
            </w:pPr>
          </w:p>
        </w:tc>
        <w:tc>
          <w:tcPr>
            <w:tcW w:w="7780" w:type="dxa"/>
            <w:vAlign w:val="bottom"/>
          </w:tcPr>
          <w:p>
            <w:pPr>
              <w:ind w:left="800"/>
              <w:spacing w:after="0"/>
              <w:rPr>
                <w:sz w:val="20"/>
                <w:szCs w:val="20"/>
                <w:color w:val="auto"/>
              </w:rPr>
            </w:pPr>
            <w:r>
              <w:rPr>
                <w:rFonts w:ascii="Arial" w:cs="Arial" w:eastAsia="Arial" w:hAnsi="Arial"/>
                <w:sz w:val="17"/>
                <w:szCs w:val="17"/>
                <w:color w:val="auto"/>
              </w:rPr>
              <w:t>—  Added multi-year performance periods.</w:t>
            </w:r>
          </w:p>
        </w:tc>
      </w:tr>
      <w:tr>
        <w:trPr>
          <w:trHeight w:val="196"/>
        </w:trPr>
        <w:tc>
          <w:tcPr>
            <w:tcW w:w="3640" w:type="dxa"/>
            <w:vAlign w:val="bottom"/>
          </w:tcPr>
          <w:p>
            <w:pPr>
              <w:spacing w:after="0"/>
              <w:rPr>
                <w:sz w:val="17"/>
                <w:szCs w:val="17"/>
                <w:color w:val="auto"/>
              </w:rPr>
            </w:pPr>
          </w:p>
        </w:tc>
        <w:tc>
          <w:tcPr>
            <w:tcW w:w="7780" w:type="dxa"/>
            <w:vAlign w:val="bottom"/>
          </w:tcPr>
          <w:p>
            <w:pPr>
              <w:ind w:left="800"/>
              <w:spacing w:after="0"/>
              <w:rPr>
                <w:sz w:val="20"/>
                <w:szCs w:val="20"/>
                <w:color w:val="auto"/>
              </w:rPr>
            </w:pPr>
            <w:r>
              <w:rPr>
                <w:rFonts w:ascii="Arial" w:cs="Arial" w:eastAsia="Arial" w:hAnsi="Arial"/>
                <w:sz w:val="17"/>
                <w:szCs w:val="17"/>
                <w:color w:val="auto"/>
              </w:rPr>
              <w:t>—  Changed dividend payment schedule so dividends are paid only at vesting and only on</w:t>
            </w:r>
          </w:p>
        </w:tc>
      </w:tr>
      <w:tr>
        <w:trPr>
          <w:trHeight w:val="183"/>
        </w:trPr>
        <w:tc>
          <w:tcPr>
            <w:tcW w:w="3640" w:type="dxa"/>
            <w:vAlign w:val="bottom"/>
          </w:tcPr>
          <w:p>
            <w:pPr>
              <w:spacing w:after="0"/>
              <w:rPr>
                <w:sz w:val="15"/>
                <w:szCs w:val="15"/>
                <w:color w:val="auto"/>
              </w:rPr>
            </w:pPr>
          </w:p>
        </w:tc>
        <w:tc>
          <w:tcPr>
            <w:tcW w:w="7780" w:type="dxa"/>
            <w:vAlign w:val="bottom"/>
          </w:tcPr>
          <w:p>
            <w:pPr>
              <w:ind w:left="1100"/>
              <w:spacing w:after="0" w:line="183" w:lineRule="exact"/>
              <w:rPr>
                <w:sz w:val="20"/>
                <w:szCs w:val="20"/>
                <w:color w:val="auto"/>
              </w:rPr>
            </w:pPr>
            <w:r>
              <w:rPr>
                <w:rFonts w:ascii="Arial" w:cs="Arial" w:eastAsia="Arial" w:hAnsi="Arial"/>
                <w:sz w:val="17"/>
                <w:szCs w:val="17"/>
                <w:color w:val="auto"/>
              </w:rPr>
              <w:t>vested shares.</w:t>
            </w:r>
          </w:p>
        </w:tc>
      </w:tr>
      <w:tr>
        <w:trPr>
          <w:trHeight w:val="196"/>
        </w:trPr>
        <w:tc>
          <w:tcPr>
            <w:tcW w:w="3640" w:type="dxa"/>
            <w:vAlign w:val="bottom"/>
          </w:tcPr>
          <w:p>
            <w:pPr>
              <w:spacing w:after="0"/>
              <w:rPr>
                <w:sz w:val="17"/>
                <w:szCs w:val="17"/>
                <w:color w:val="auto"/>
              </w:rPr>
            </w:pPr>
          </w:p>
        </w:tc>
        <w:tc>
          <w:tcPr>
            <w:tcW w:w="7780" w:type="dxa"/>
            <w:vAlign w:val="bottom"/>
          </w:tcPr>
          <w:p>
            <w:pPr>
              <w:ind w:left="800"/>
              <w:spacing w:after="0"/>
              <w:rPr>
                <w:sz w:val="20"/>
                <w:szCs w:val="20"/>
                <w:color w:val="auto"/>
              </w:rPr>
            </w:pPr>
            <w:r>
              <w:rPr>
                <w:rFonts w:ascii="Arial" w:cs="Arial" w:eastAsia="Arial" w:hAnsi="Arial"/>
                <w:sz w:val="17"/>
                <w:szCs w:val="17"/>
                <w:color w:val="auto"/>
              </w:rPr>
              <w:t>—  Increased use of performance-vested awards from 75% to 80% which, in combination</w:t>
            </w:r>
          </w:p>
        </w:tc>
      </w:tr>
      <w:tr>
        <w:trPr>
          <w:trHeight w:val="196"/>
        </w:trPr>
        <w:tc>
          <w:tcPr>
            <w:tcW w:w="3640" w:type="dxa"/>
            <w:vAlign w:val="bottom"/>
          </w:tcPr>
          <w:p>
            <w:pPr>
              <w:spacing w:after="0"/>
              <w:rPr>
                <w:sz w:val="17"/>
                <w:szCs w:val="17"/>
                <w:color w:val="auto"/>
              </w:rPr>
            </w:pPr>
          </w:p>
        </w:tc>
        <w:tc>
          <w:tcPr>
            <w:tcW w:w="7780" w:type="dxa"/>
            <w:vAlign w:val="bottom"/>
          </w:tcPr>
          <w:p>
            <w:pPr>
              <w:ind w:left="1100"/>
              <w:spacing w:after="0"/>
              <w:rPr>
                <w:sz w:val="20"/>
                <w:szCs w:val="20"/>
                <w:color w:val="auto"/>
              </w:rPr>
            </w:pPr>
            <w:r>
              <w:rPr>
                <w:rFonts w:ascii="Arial" w:cs="Arial" w:eastAsia="Arial" w:hAnsi="Arial"/>
                <w:sz w:val="17"/>
                <w:szCs w:val="17"/>
                <w:color w:val="auto"/>
              </w:rPr>
              <w:t>with stock options, ties 100% of our LTI program to performance metrics and stock price</w:t>
            </w:r>
          </w:p>
        </w:tc>
      </w:tr>
      <w:tr>
        <w:trPr>
          <w:trHeight w:val="183"/>
        </w:trPr>
        <w:tc>
          <w:tcPr>
            <w:tcW w:w="3640" w:type="dxa"/>
            <w:vAlign w:val="bottom"/>
          </w:tcPr>
          <w:p>
            <w:pPr>
              <w:spacing w:after="0"/>
              <w:rPr>
                <w:sz w:val="15"/>
                <w:szCs w:val="15"/>
                <w:color w:val="auto"/>
              </w:rPr>
            </w:pPr>
          </w:p>
        </w:tc>
        <w:tc>
          <w:tcPr>
            <w:tcW w:w="7780" w:type="dxa"/>
            <w:vAlign w:val="bottom"/>
          </w:tcPr>
          <w:p>
            <w:pPr>
              <w:ind w:left="1100"/>
              <w:spacing w:after="0" w:line="183" w:lineRule="exact"/>
              <w:rPr>
                <w:sz w:val="20"/>
                <w:szCs w:val="20"/>
                <w:color w:val="auto"/>
              </w:rPr>
            </w:pPr>
            <w:r>
              <w:rPr>
                <w:rFonts w:ascii="Arial" w:cs="Arial" w:eastAsia="Arial" w:hAnsi="Arial"/>
                <w:sz w:val="17"/>
                <w:szCs w:val="17"/>
                <w:color w:val="auto"/>
              </w:rPr>
              <w:t>appreciation.</w:t>
            </w:r>
          </w:p>
        </w:tc>
      </w:tr>
      <w:tr>
        <w:trPr>
          <w:trHeight w:val="196"/>
        </w:trPr>
        <w:tc>
          <w:tcPr>
            <w:tcW w:w="3640" w:type="dxa"/>
            <w:vAlign w:val="bottom"/>
          </w:tcPr>
          <w:p>
            <w:pPr>
              <w:spacing w:after="0"/>
              <w:rPr>
                <w:sz w:val="17"/>
                <w:szCs w:val="17"/>
                <w:color w:val="auto"/>
              </w:rPr>
            </w:pPr>
          </w:p>
        </w:tc>
        <w:tc>
          <w:tcPr>
            <w:tcW w:w="7780" w:type="dxa"/>
            <w:vAlign w:val="bottom"/>
          </w:tcPr>
          <w:p>
            <w:pPr>
              <w:ind w:left="800"/>
              <w:spacing w:after="0"/>
              <w:rPr>
                <w:sz w:val="20"/>
                <w:szCs w:val="20"/>
                <w:color w:val="auto"/>
              </w:rPr>
            </w:pPr>
            <w:r>
              <w:rPr>
                <w:rFonts w:ascii="Arial" w:cs="Arial" w:eastAsia="Arial" w:hAnsi="Arial"/>
                <w:sz w:val="17"/>
                <w:szCs w:val="17"/>
                <w:color w:val="auto"/>
              </w:rPr>
              <w:t>—  Refined process for referencing the market median for long-term incentive award</w:t>
            </w:r>
          </w:p>
        </w:tc>
      </w:tr>
      <w:tr>
        <w:trPr>
          <w:trHeight w:val="193"/>
        </w:trPr>
        <w:tc>
          <w:tcPr>
            <w:tcW w:w="3640" w:type="dxa"/>
            <w:vAlign w:val="bottom"/>
          </w:tcPr>
          <w:p>
            <w:pPr>
              <w:spacing w:after="0"/>
              <w:rPr>
                <w:sz w:val="16"/>
                <w:szCs w:val="16"/>
                <w:color w:val="auto"/>
              </w:rPr>
            </w:pPr>
          </w:p>
        </w:tc>
        <w:tc>
          <w:tcPr>
            <w:tcW w:w="7780" w:type="dxa"/>
            <w:vAlign w:val="bottom"/>
          </w:tcPr>
          <w:p>
            <w:pPr>
              <w:ind w:left="1100"/>
              <w:spacing w:after="0" w:line="193" w:lineRule="exact"/>
              <w:rPr>
                <w:sz w:val="20"/>
                <w:szCs w:val="20"/>
                <w:color w:val="auto"/>
              </w:rPr>
            </w:pPr>
            <w:r>
              <w:rPr>
                <w:rFonts w:ascii="Arial" w:cs="Arial" w:eastAsia="Arial" w:hAnsi="Arial"/>
                <w:sz w:val="17"/>
                <w:szCs w:val="17"/>
                <w:color w:val="auto"/>
              </w:rPr>
              <w:t>decisions.</w:t>
            </w:r>
          </w:p>
        </w:tc>
      </w:tr>
      <w:tr>
        <w:trPr>
          <w:trHeight w:val="196"/>
        </w:trPr>
        <w:tc>
          <w:tcPr>
            <w:tcW w:w="3640" w:type="dxa"/>
            <w:vAlign w:val="bottom"/>
            <w:shd w:val="clear" w:color="auto" w:fill="E7E7E8"/>
          </w:tcPr>
          <w:p>
            <w:pPr>
              <w:spacing w:after="0"/>
              <w:rPr>
                <w:sz w:val="20"/>
                <w:szCs w:val="20"/>
                <w:color w:val="auto"/>
              </w:rPr>
            </w:pPr>
            <w:r>
              <w:rPr>
                <w:rFonts w:ascii="Arial" w:cs="Arial" w:eastAsia="Arial" w:hAnsi="Arial"/>
                <w:sz w:val="17"/>
                <w:szCs w:val="17"/>
                <w:color w:val="auto"/>
              </w:rPr>
              <w:t>Performance Incentive Plan</w:t>
            </w:r>
          </w:p>
        </w:tc>
        <w:tc>
          <w:tcPr>
            <w:tcW w:w="7780" w:type="dxa"/>
            <w:vAlign w:val="bottom"/>
            <w:shd w:val="clear" w:color="auto" w:fill="E7E7E8"/>
          </w:tcPr>
          <w:p>
            <w:pPr>
              <w:ind w:left="480"/>
              <w:spacing w:after="0"/>
              <w:rPr>
                <w:sz w:val="20"/>
                <w:szCs w:val="20"/>
                <w:color w:val="auto"/>
              </w:rPr>
            </w:pPr>
            <w:r>
              <w:rPr>
                <w:rFonts w:ascii="Arial" w:cs="Arial" w:eastAsia="Arial" w:hAnsi="Arial"/>
                <w:sz w:val="17"/>
                <w:szCs w:val="17"/>
                <w:color w:val="auto"/>
              </w:rPr>
              <w:t>ü   Added disclosure of our maximum incentive cap of 200% of target.</w:t>
            </w:r>
          </w:p>
        </w:tc>
      </w:tr>
      <w:tr>
        <w:trPr>
          <w:trHeight w:val="196"/>
        </w:trPr>
        <w:tc>
          <w:tcPr>
            <w:tcW w:w="3640" w:type="dxa"/>
            <w:vAlign w:val="bottom"/>
            <w:shd w:val="clear" w:color="auto" w:fill="E7E7E8"/>
          </w:tcPr>
          <w:p>
            <w:pPr>
              <w:spacing w:after="0"/>
              <w:rPr>
                <w:sz w:val="17"/>
                <w:szCs w:val="17"/>
                <w:color w:val="auto"/>
              </w:rPr>
            </w:pPr>
          </w:p>
        </w:tc>
        <w:tc>
          <w:tcPr>
            <w:tcW w:w="7780" w:type="dxa"/>
            <w:vAlign w:val="bottom"/>
            <w:shd w:val="clear" w:color="auto" w:fill="E7E7E8"/>
          </w:tcPr>
          <w:p>
            <w:pPr>
              <w:ind w:left="480"/>
              <w:spacing w:after="0"/>
              <w:rPr>
                <w:sz w:val="20"/>
                <w:szCs w:val="20"/>
                <w:color w:val="auto"/>
              </w:rPr>
            </w:pPr>
            <w:r>
              <w:rPr>
                <w:rFonts w:ascii="Arial" w:cs="Arial" w:eastAsia="Arial" w:hAnsi="Arial"/>
                <w:sz w:val="17"/>
                <w:szCs w:val="17"/>
                <w:color w:val="auto"/>
              </w:rPr>
              <w:t>ü   Reduced the CEO's target annual incentive to 150% of base salary.</w:t>
            </w:r>
          </w:p>
        </w:tc>
      </w:tr>
      <w:tr>
        <w:trPr>
          <w:trHeight w:val="199"/>
        </w:trPr>
        <w:tc>
          <w:tcPr>
            <w:tcW w:w="3640" w:type="dxa"/>
            <w:vAlign w:val="bottom"/>
            <w:shd w:val="clear" w:color="auto" w:fill="E7E7E8"/>
          </w:tcPr>
          <w:p>
            <w:pPr>
              <w:spacing w:after="0"/>
              <w:rPr>
                <w:sz w:val="17"/>
                <w:szCs w:val="17"/>
                <w:color w:val="auto"/>
              </w:rPr>
            </w:pPr>
          </w:p>
        </w:tc>
        <w:tc>
          <w:tcPr>
            <w:tcW w:w="7780" w:type="dxa"/>
            <w:vAlign w:val="bottom"/>
            <w:shd w:val="clear" w:color="auto" w:fill="E7E7E8"/>
          </w:tcPr>
          <w:p>
            <w:pPr>
              <w:ind w:left="480"/>
              <w:spacing w:after="0"/>
              <w:rPr>
                <w:sz w:val="20"/>
                <w:szCs w:val="20"/>
                <w:color w:val="auto"/>
              </w:rPr>
            </w:pPr>
            <w:r>
              <w:rPr>
                <w:rFonts w:ascii="Arial" w:cs="Arial" w:eastAsia="Arial" w:hAnsi="Arial"/>
                <w:sz w:val="17"/>
                <w:szCs w:val="17"/>
                <w:color w:val="auto"/>
              </w:rPr>
              <w:t>ü   Established a formal payout matrix based on net revenues and operating margin to guide</w:t>
            </w:r>
          </w:p>
        </w:tc>
      </w:tr>
      <w:tr>
        <w:trPr>
          <w:trHeight w:val="193"/>
        </w:trPr>
        <w:tc>
          <w:tcPr>
            <w:tcW w:w="3640" w:type="dxa"/>
            <w:vAlign w:val="bottom"/>
            <w:shd w:val="clear" w:color="auto" w:fill="E7E7E8"/>
          </w:tcPr>
          <w:p>
            <w:pPr>
              <w:spacing w:after="0"/>
              <w:rPr>
                <w:sz w:val="16"/>
                <w:szCs w:val="16"/>
                <w:color w:val="auto"/>
              </w:rPr>
            </w:pPr>
          </w:p>
        </w:tc>
        <w:tc>
          <w:tcPr>
            <w:tcW w:w="7780" w:type="dxa"/>
            <w:vAlign w:val="bottom"/>
            <w:shd w:val="clear" w:color="auto" w:fill="E7E7E8"/>
          </w:tcPr>
          <w:p>
            <w:pPr>
              <w:ind w:left="800"/>
              <w:spacing w:after="0" w:line="193" w:lineRule="exact"/>
              <w:rPr>
                <w:sz w:val="20"/>
                <w:szCs w:val="20"/>
                <w:color w:val="auto"/>
              </w:rPr>
            </w:pPr>
            <w:r>
              <w:rPr>
                <w:rFonts w:ascii="Arial" w:cs="Arial" w:eastAsia="Arial" w:hAnsi="Arial"/>
                <w:sz w:val="17"/>
                <w:szCs w:val="17"/>
                <w:color w:val="auto"/>
              </w:rPr>
              <w:t>NEO annual incentive awards, beginning with awards for the 2015 performance year.</w:t>
            </w:r>
          </w:p>
        </w:tc>
      </w:tr>
      <w:tr>
        <w:trPr>
          <w:trHeight w:val="199"/>
        </w:trPr>
        <w:tc>
          <w:tcPr>
            <w:tcW w:w="3640" w:type="dxa"/>
            <w:vAlign w:val="bottom"/>
          </w:tcPr>
          <w:p>
            <w:pPr>
              <w:spacing w:after="0"/>
              <w:rPr>
                <w:sz w:val="20"/>
                <w:szCs w:val="20"/>
                <w:color w:val="auto"/>
              </w:rPr>
            </w:pPr>
            <w:r>
              <w:rPr>
                <w:rFonts w:ascii="Arial" w:cs="Arial" w:eastAsia="Arial" w:hAnsi="Arial"/>
                <w:sz w:val="17"/>
                <w:szCs w:val="17"/>
                <w:color w:val="auto"/>
              </w:rPr>
              <w:t>Peer Comparisons</w:t>
            </w:r>
          </w:p>
        </w:tc>
        <w:tc>
          <w:tcPr>
            <w:tcW w:w="7780" w:type="dxa"/>
            <w:vAlign w:val="bottom"/>
          </w:tcPr>
          <w:p>
            <w:pPr>
              <w:ind w:left="480"/>
              <w:spacing w:after="0"/>
              <w:rPr>
                <w:sz w:val="20"/>
                <w:szCs w:val="20"/>
                <w:color w:val="auto"/>
              </w:rPr>
            </w:pPr>
            <w:r>
              <w:rPr>
                <w:rFonts w:ascii="Arial" w:cs="Arial" w:eastAsia="Arial" w:hAnsi="Arial"/>
                <w:sz w:val="17"/>
                <w:szCs w:val="17"/>
                <w:color w:val="auto"/>
              </w:rPr>
              <w:t>ü   Simplified the peer group used for compensation benchmarking, the AbbVie Health Care</w:t>
            </w:r>
          </w:p>
        </w:tc>
      </w:tr>
      <w:tr>
        <w:trPr>
          <w:trHeight w:val="193"/>
        </w:trPr>
        <w:tc>
          <w:tcPr>
            <w:tcW w:w="3640" w:type="dxa"/>
            <w:vAlign w:val="bottom"/>
            <w:tcBorders>
              <w:bottom w:val="single" w:sz="8" w:color="auto"/>
            </w:tcBorders>
          </w:tcPr>
          <w:p>
            <w:pPr>
              <w:spacing w:after="0"/>
              <w:rPr>
                <w:sz w:val="16"/>
                <w:szCs w:val="16"/>
                <w:color w:val="auto"/>
              </w:rPr>
            </w:pPr>
          </w:p>
        </w:tc>
        <w:tc>
          <w:tcPr>
            <w:tcW w:w="7780" w:type="dxa"/>
            <w:vAlign w:val="bottom"/>
            <w:tcBorders>
              <w:bottom w:val="single" w:sz="8" w:color="auto"/>
            </w:tcBorders>
          </w:tcPr>
          <w:p>
            <w:pPr>
              <w:ind w:left="800"/>
              <w:spacing w:after="0" w:line="193" w:lineRule="exact"/>
              <w:rPr>
                <w:sz w:val="20"/>
                <w:szCs w:val="20"/>
                <w:color w:val="auto"/>
              </w:rPr>
            </w:pPr>
            <w:r>
              <w:rPr>
                <w:rFonts w:ascii="Arial" w:cs="Arial" w:eastAsia="Arial" w:hAnsi="Arial"/>
                <w:sz w:val="17"/>
                <w:szCs w:val="17"/>
                <w:color w:val="auto"/>
              </w:rPr>
              <w:t>Peer Group.</w:t>
            </w:r>
          </w:p>
        </w:tc>
      </w:tr>
    </w:tbl>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new design is discussed in more detail in Section III.</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2016 Compensation Decisions</w:t>
      </w:r>
    </w:p>
    <w:p>
      <w:pPr>
        <w:spacing w:after="0" w:line="230" w:lineRule="exact"/>
        <w:rPr>
          <w:sz w:val="20"/>
          <w:szCs w:val="20"/>
          <w:color w:val="auto"/>
        </w:rPr>
      </w:pPr>
    </w:p>
    <w:p>
      <w:pPr>
        <w:ind w:right="20" w:firstLine="657"/>
        <w:spacing w:after="0" w:line="255" w:lineRule="auto"/>
        <w:rPr>
          <w:sz w:val="20"/>
          <w:szCs w:val="20"/>
          <w:color w:val="auto"/>
        </w:rPr>
      </w:pPr>
      <w:r>
        <w:rPr>
          <w:rFonts w:ascii="Arial" w:cs="Arial" w:eastAsia="Arial" w:hAnsi="Arial"/>
          <w:sz w:val="16"/>
          <w:szCs w:val="16"/>
          <w:color w:val="auto"/>
        </w:rPr>
        <w:t>The compensation committee's typical practice is to make decisions related to NEO pay at its February meeting, including adjustments to base salary, an annual incentive payment for the prior year's performance, and establishment of a long-term incentive award value. In making its decisions, the committee considers the performance achieved compared to previously established goals as well as changes in industry practice reflected in compensation benchmarking data. The committee made the following decisions about the compensation for Mr. Gonzalez at its February 2016 meeting:</w:t>
      </w:r>
    </w:p>
    <w:p>
      <w:pPr>
        <w:spacing w:after="0" w:line="2" w:lineRule="exact"/>
        <w:rPr>
          <w:sz w:val="20"/>
          <w:szCs w:val="20"/>
          <w:color w:val="auto"/>
        </w:rPr>
      </w:pPr>
    </w:p>
    <w:p>
      <w:pPr>
        <w:jc w:val="both"/>
        <w:ind w:right="120" w:firstLine="5"/>
        <w:spacing w:after="0" w:line="243" w:lineRule="auto"/>
        <w:tabs>
          <w:tab w:leader="none" w:pos="198" w:val="left"/>
        </w:tabs>
        <w:numPr>
          <w:ilvl w:val="0"/>
          <w:numId w:val="22"/>
        </w:numPr>
        <w:rPr>
          <w:rFonts w:ascii="Arial" w:cs="Arial" w:eastAsia="Arial" w:hAnsi="Arial"/>
          <w:sz w:val="17"/>
          <w:szCs w:val="17"/>
          <w:color w:val="auto"/>
        </w:rPr>
      </w:pPr>
      <w:r>
        <w:rPr>
          <w:rFonts w:ascii="Arial" w:cs="Arial" w:eastAsia="Arial" w:hAnsi="Arial"/>
          <w:sz w:val="17"/>
          <w:szCs w:val="17"/>
          <w:color w:val="auto"/>
        </w:rPr>
        <w:t>his base salary is unchanged compared to 2015; (ii) his annual incentive payment for 2015 performance was $2,976,000; (iii) his 2016 target annual incentive was reset to 150% of base salary; and (iv) his 2016 long-term incentive award grant value was $11,700,000, which was the projected median grant value of the Health Care Peer Group. The resulting changes in target total direct compensation from 2015 to 2016 are shown in the following chart:</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30  </w:t>
      </w:r>
      <w:r>
        <w:rPr>
          <w:sz w:val="1"/>
          <w:szCs w:val="1"/>
          <w:color w:val="auto"/>
        </w:rPr>
        <w:drawing>
          <wp:inline distT="0" distB="0" distL="0" distR="0">
            <wp:extent cx="622300" cy="107950"/>
            <wp:effectExtent l="0" t="0" r="0" b="0"/>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3" w:name="page34"/>
    <w:bookmarkEnd w:id="3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375920</wp:posOffset>
            </wp:positionH>
            <wp:positionV relativeFrom="paragraph">
              <wp:posOffset>130810</wp:posOffset>
            </wp:positionV>
            <wp:extent cx="6877685" cy="340995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77685" cy="3409950"/>
                    </a:xfrm>
                    <a:prstGeom prst="rect">
                      <a:avLst/>
                    </a:prstGeom>
                    <a:noFill/>
                  </pic:spPr>
                </pic:pic>
              </a:graphicData>
            </a:graphic>
          </wp:anchor>
        </w:drawing>
      </w:r>
    </w:p>
    <w:p>
      <w:pPr>
        <w:spacing w:after="0" w:line="224" w:lineRule="exact"/>
        <w:rPr>
          <w:sz w:val="20"/>
          <w:szCs w:val="20"/>
          <w:color w:val="auto"/>
        </w:rPr>
      </w:pPr>
    </w:p>
    <w:p>
      <w:pPr>
        <w:ind w:left="9740"/>
        <w:spacing w:after="0"/>
        <w:rPr>
          <w:sz w:val="20"/>
          <w:szCs w:val="20"/>
          <w:color w:val="auto"/>
        </w:rPr>
      </w:pPr>
      <w:r>
        <w:rPr>
          <w:rFonts w:ascii="Arial" w:cs="Arial" w:eastAsia="Arial" w:hAnsi="Arial"/>
          <w:sz w:val="10"/>
          <w:szCs w:val="10"/>
          <w:b w:val="1"/>
          <w:bCs w:val="1"/>
          <w:color w:val="FFFFFE"/>
        </w:rPr>
        <w:t>EXECUTIVE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Compensation Program Governance Summary</w:t>
      </w:r>
    </w:p>
    <w:p>
      <w:pPr>
        <w:spacing w:after="0" w:line="230" w:lineRule="exact"/>
        <w:rPr>
          <w:sz w:val="20"/>
          <w:szCs w:val="20"/>
          <w:color w:val="auto"/>
        </w:rPr>
      </w:pPr>
    </w:p>
    <w:p>
      <w:pPr>
        <w:ind w:firstLine="661"/>
        <w:spacing w:after="0" w:line="250" w:lineRule="auto"/>
        <w:rPr>
          <w:sz w:val="20"/>
          <w:szCs w:val="20"/>
          <w:color w:val="auto"/>
        </w:rPr>
      </w:pPr>
      <w:r>
        <w:rPr>
          <w:rFonts w:ascii="Arial" w:cs="Arial" w:eastAsia="Arial" w:hAnsi="Arial"/>
          <w:sz w:val="17"/>
          <w:szCs w:val="17"/>
          <w:color w:val="auto"/>
        </w:rPr>
        <w:t>In addition to strong alignment of pay with the performance of the company and our NEOs, we maintain and are committed to good governance practices, including the following:</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New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-121285</wp:posOffset>
            </wp:positionV>
            <wp:extent cx="72510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510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10795</wp:posOffset>
            </wp:positionV>
            <wp:extent cx="72510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8" w:lineRule="exact"/>
        <w:rPr>
          <w:sz w:val="20"/>
          <w:szCs w:val="20"/>
          <w:color w:val="auto"/>
        </w:rPr>
      </w:pPr>
    </w:p>
    <w:p>
      <w:pPr>
        <w:ind w:left="320" w:right="520" w:hanging="315"/>
        <w:spacing w:after="0" w:line="235" w:lineRule="auto"/>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Long-term incentive design emphasizing multiple, relative performance metrics and multi-year performance periods (see p. 37 for a detailed description of the 2016 redesign)</w:t>
      </w:r>
    </w:p>
    <w:p>
      <w:pPr>
        <w:spacing w:after="0" w:line="1" w:lineRule="exact"/>
        <w:rPr>
          <w:rFonts w:ascii="Arial" w:cs="Arial" w:eastAsia="Arial" w:hAnsi="Arial"/>
          <w:sz w:val="17"/>
          <w:szCs w:val="17"/>
          <w:color w:val="auto"/>
        </w:rPr>
      </w:pPr>
    </w:p>
    <w:p>
      <w:pPr>
        <w:ind w:left="320"/>
        <w:spacing w:after="0" w:line="224" w:lineRule="auto"/>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Shifted program away from a single, absolute performance metric to a multi-factor model</w:t>
      </w:r>
    </w:p>
    <w:p>
      <w:pPr>
        <w:ind w:left="320"/>
        <w:spacing w:after="0" w:line="224" w:lineRule="auto"/>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Incorporates relative total stockholder return</w:t>
      </w:r>
    </w:p>
    <w:p>
      <w:pPr>
        <w:ind w:left="320"/>
        <w:spacing w:after="0" w:line="224" w:lineRule="auto"/>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Eliminates extra vesting opportunity that was a part of the prior LTI design</w:t>
      </w:r>
    </w:p>
    <w:p>
      <w:pPr>
        <w:ind w:left="320"/>
        <w:spacing w:after="0"/>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Dividends on outstanding equity awards are paid at vesting and only on earned shares</w:t>
      </w:r>
    </w:p>
    <w:p>
      <w:pPr>
        <w:ind w:left="320" w:hanging="315"/>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Annual incentive payout matrix to guide decision-making based on financial performance</w:t>
      </w:r>
    </w:p>
    <w:p>
      <w:pPr>
        <w:ind w:left="320" w:hanging="315"/>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CEO target annual incentive reset at 150% of base salary</w:t>
      </w:r>
    </w:p>
    <w:p>
      <w:pPr>
        <w:ind w:left="320" w:hanging="315"/>
        <w:spacing w:after="0"/>
        <w:tabs>
          <w:tab w:leader="none" w:pos="320" w:val="left"/>
        </w:tabs>
        <w:numPr>
          <w:ilvl w:val="0"/>
          <w:numId w:val="23"/>
        </w:numPr>
        <w:rPr>
          <w:rFonts w:ascii="Arial" w:cs="Arial" w:eastAsia="Arial" w:hAnsi="Arial"/>
          <w:sz w:val="17"/>
          <w:szCs w:val="17"/>
          <w:color w:val="auto"/>
        </w:rPr>
      </w:pPr>
      <w:r>
        <w:rPr>
          <w:rFonts w:ascii="Arial" w:cs="Arial" w:eastAsia="Arial" w:hAnsi="Arial"/>
          <w:sz w:val="17"/>
          <w:szCs w:val="17"/>
          <w:b w:val="1"/>
          <w:bCs w:val="1"/>
          <w:color w:val="auto"/>
        </w:rPr>
        <w:t>Robust stock ownership guideline of 5x annual fees for non-employee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-1087755</wp:posOffset>
            </wp:positionV>
            <wp:extent cx="7251065" cy="2489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1065" cy="24892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-374015</wp:posOffset>
            </wp:positionV>
            <wp:extent cx="7251065" cy="12446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-125730</wp:posOffset>
            </wp:positionV>
            <wp:extent cx="7251065" cy="13271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1065" cy="132715"/>
                    </a:xfrm>
                    <a:prstGeom prst="rect">
                      <a:avLst/>
                    </a:prstGeom>
                    <a:noFill/>
                  </pic:spPr>
                </pic:pic>
              </a:graphicData>
            </a:graphic>
          </wp:anchor>
        </w:drawing>
      </w:r>
    </w:p>
    <w:p>
      <w:pPr>
        <w:spacing w:after="0"/>
        <w:rPr>
          <w:sz w:val="20"/>
          <w:szCs w:val="20"/>
          <w:color w:val="auto"/>
        </w:rPr>
      </w:pPr>
      <w:r>
        <w:rPr>
          <w:rFonts w:ascii="Arial" w:cs="Arial" w:eastAsia="Arial" w:hAnsi="Arial"/>
          <w:sz w:val="17"/>
          <w:szCs w:val="17"/>
          <w:b w:val="1"/>
          <w:bCs w:val="1"/>
          <w:color w:val="444867"/>
        </w:rPr>
        <w:t>Ongoing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wp:posOffset>
            </wp:positionV>
            <wp:extent cx="72510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Majority of NEO compensation tied to long-term performance</w:t>
      </w:r>
    </w:p>
    <w:p>
      <w:pPr>
        <w:spacing w:after="0" w:line="5" w:lineRule="exact"/>
        <w:rPr>
          <w:rFonts w:ascii="Arial" w:cs="Arial" w:eastAsia="Arial" w:hAnsi="Arial"/>
          <w:sz w:val="17"/>
          <w:szCs w:val="17"/>
          <w:color w:val="auto"/>
        </w:rPr>
      </w:pP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Short- and long-term incentive programs closely align pay with performance</w:t>
      </w: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Robust stock ownership guidelines of 6x salary for CEO and 3x salary for NEOs</w:t>
      </w: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NEOs must hold and not sell equity until the minimum stock ownership requirement is satisfied.</w:t>
      </w: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Double-trigger requirements for equity acceleration and other benefits in the event of a change in control</w:t>
      </w: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No tax gross-ups in executive compensation program</w:t>
      </w: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No duplication of performance metrics in short-and long-term incentives</w:t>
      </w: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No repricing of stock options without express stockholder approval</w:t>
      </w: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No employment contracts</w:t>
      </w: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No guaranteed short-term incentives or equity awards, and short-term incentives are capped at 200% of target</w:t>
      </w: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Anti-hedging and anti-pledging policies</w:t>
      </w: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Independent compensation consultant that performs no other work for the company</w:t>
      </w: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Committee has broad discretion to claw back incentive awards in the unlikely event of a restatement of earnings</w:t>
      </w:r>
    </w:p>
    <w:p>
      <w:pPr>
        <w:ind w:left="320" w:hanging="315"/>
        <w:spacing w:after="0"/>
        <w:tabs>
          <w:tab w:leader="none" w:pos="320" w:val="left"/>
        </w:tabs>
        <w:numPr>
          <w:ilvl w:val="0"/>
          <w:numId w:val="24"/>
        </w:numPr>
        <w:rPr>
          <w:rFonts w:ascii="Arial" w:cs="Arial" w:eastAsia="Arial" w:hAnsi="Arial"/>
          <w:sz w:val="17"/>
          <w:szCs w:val="17"/>
          <w:color w:val="auto"/>
        </w:rPr>
      </w:pPr>
      <w:r>
        <w:rPr>
          <w:rFonts w:ascii="Arial" w:cs="Arial" w:eastAsia="Arial" w:hAnsi="Arial"/>
          <w:sz w:val="17"/>
          <w:szCs w:val="17"/>
          <w:b w:val="1"/>
          <w:bCs w:val="1"/>
          <w:color w:val="auto"/>
        </w:rPr>
        <w:t>Proactive stockholder engagement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-1743075</wp:posOffset>
            </wp:positionV>
            <wp:extent cx="7251065" cy="12446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-1494155</wp:posOffset>
            </wp:positionV>
            <wp:extent cx="7251065" cy="12446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-1245235</wp:posOffset>
            </wp:positionV>
            <wp:extent cx="7251065" cy="12446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-996315</wp:posOffset>
            </wp:positionV>
            <wp:extent cx="7251065" cy="1244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-747395</wp:posOffset>
            </wp:positionV>
            <wp:extent cx="7251065" cy="12446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-498475</wp:posOffset>
            </wp:positionV>
            <wp:extent cx="7251065" cy="12446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-250190</wp:posOffset>
            </wp:positionV>
            <wp:extent cx="7251065" cy="12446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1065" cy="12446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-1270</wp:posOffset>
            </wp:positionV>
            <wp:extent cx="72510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4" w:name="page35"/>
    <w:bookmarkEnd w:id="3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74" w:lineRule="exact"/>
        <w:rPr>
          <w:sz w:val="20"/>
          <w:szCs w:val="20"/>
          <w:color w:val="auto"/>
        </w:rPr>
      </w:pPr>
    </w:p>
    <w:p>
      <w:pPr>
        <w:ind w:left="220"/>
        <w:spacing w:after="0"/>
        <w:tabs>
          <w:tab w:leader="none" w:pos="2120" w:val="left"/>
        </w:tabs>
        <w:rPr>
          <w:sz w:val="20"/>
          <w:szCs w:val="20"/>
          <w:color w:val="auto"/>
        </w:rPr>
      </w:pPr>
      <w:r>
        <w:rPr>
          <w:rFonts w:ascii="Arial" w:cs="Arial" w:eastAsia="Arial" w:hAnsi="Arial"/>
          <w:sz w:val="10"/>
          <w:szCs w:val="10"/>
          <w:b w:val="1"/>
          <w:bCs w:val="1"/>
          <w:color w:val="FFFFFE"/>
        </w:rPr>
        <w:t xml:space="preserve">EXECUTIVE COMPENSATION </w:t>
      </w:r>
      <w:r>
        <w:rPr>
          <w:rFonts w:ascii="Arial" w:cs="Arial" w:eastAsia="Arial" w:hAnsi="Arial"/>
          <w:sz w:val="20"/>
          <w:szCs w:val="20"/>
          <w:b w:val="1"/>
          <w:bCs w:val="1"/>
          <w:color w:val="000F68"/>
        </w:rPr>
        <w:t>II.</w:t>
      </w:r>
      <w:r>
        <w:rPr>
          <w:sz w:val="20"/>
          <w:szCs w:val="20"/>
          <w:color w:val="auto"/>
        </w:rPr>
        <w:tab/>
      </w:r>
      <w:r>
        <w:rPr>
          <w:rFonts w:ascii="Arial" w:cs="Arial" w:eastAsia="Arial" w:hAnsi="Arial"/>
          <w:sz w:val="20"/>
          <w:szCs w:val="20"/>
          <w:b w:val="1"/>
          <w:bCs w:val="1"/>
          <w:color w:val="000F68"/>
        </w:rPr>
        <w:t>Executive Compensation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-125095</wp:posOffset>
            </wp:positionV>
            <wp:extent cx="1103630" cy="14097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Commitment to Performance-Based Awards</w:t>
      </w:r>
    </w:p>
    <w:p>
      <w:pPr>
        <w:spacing w:after="0" w:line="230" w:lineRule="exact"/>
        <w:rPr>
          <w:sz w:val="20"/>
          <w:szCs w:val="20"/>
          <w:color w:val="auto"/>
        </w:rPr>
      </w:pPr>
    </w:p>
    <w:p>
      <w:pPr>
        <w:ind w:firstLine="661"/>
        <w:spacing w:after="0" w:line="242" w:lineRule="auto"/>
        <w:rPr>
          <w:sz w:val="20"/>
          <w:szCs w:val="20"/>
          <w:color w:val="auto"/>
        </w:rPr>
      </w:pPr>
      <w:r>
        <w:rPr>
          <w:rFonts w:ascii="Arial" w:cs="Arial" w:eastAsia="Arial" w:hAnsi="Arial"/>
          <w:sz w:val="17"/>
          <w:szCs w:val="17"/>
          <w:color w:val="auto"/>
        </w:rPr>
        <w:t>More than three-fourths of AbbVie's NEO pay is performance-based. Specific goals and targets are the foundation of our pay-for-performance process, and this section describes how they apply to each pay component. Though quantitative metrics such as financial and operational results are a central part of our performance assessment, some goals such as leadership and progress against strategic and long-term objectives are difficult to measure using numeric or formulaic criteria. As such, the compensation committee also conducts a qualitative assessment of individual performance to ensure the overall assessment of performance and pay decisions are aligned with the company's true performance over a period of time. A discussion of the decision-making criteria for each pay component follows.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Committee Process for Setting Total Compensation</w:t>
      </w:r>
    </w:p>
    <w:p>
      <w:pPr>
        <w:spacing w:after="0" w:line="230" w:lineRule="exact"/>
        <w:rPr>
          <w:sz w:val="20"/>
          <w:szCs w:val="20"/>
          <w:color w:val="auto"/>
        </w:rPr>
      </w:pPr>
    </w:p>
    <w:p>
      <w:pPr>
        <w:ind w:right="20" w:firstLine="661"/>
        <w:spacing w:after="0" w:line="242" w:lineRule="auto"/>
        <w:rPr>
          <w:sz w:val="20"/>
          <w:szCs w:val="20"/>
          <w:color w:val="auto"/>
        </w:rPr>
      </w:pPr>
      <w:r>
        <w:rPr>
          <w:rFonts w:ascii="Arial" w:cs="Arial" w:eastAsia="Arial" w:hAnsi="Arial"/>
          <w:sz w:val="17"/>
          <w:szCs w:val="17"/>
          <w:color w:val="auto"/>
        </w:rPr>
        <w:t>Each February, the committee, with the assistance of its independent compensation consultant and AbbVie's management team, determines target pay levels for NEOs. The process starts with a consideration of compensation levels and the mix of compensation for comparable executives at companies in AbbVie's Health Care Peer Group, which are listed below in the section captioned "Compensation Benchmarking." After this benchmark review, the committee establishes NEO compensation—base salary adjustments, annual incentive awards, and long-term incentive awards—relative to the peer median in each instance. Awards can be differentiated from the peer group median based on each NEO's individual performance, leadership, and contributions to long-term strategic performance.</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Compensation Benchmarking</w:t>
      </w:r>
    </w:p>
    <w:p>
      <w:pPr>
        <w:spacing w:after="0" w:line="230" w:lineRule="exact"/>
        <w:rPr>
          <w:sz w:val="20"/>
          <w:szCs w:val="20"/>
          <w:color w:val="auto"/>
        </w:rPr>
      </w:pPr>
    </w:p>
    <w:p>
      <w:pPr>
        <w:jc w:val="both"/>
        <w:ind w:right="120" w:firstLine="657"/>
        <w:spacing w:after="0" w:line="243" w:lineRule="auto"/>
        <w:rPr>
          <w:sz w:val="20"/>
          <w:szCs w:val="20"/>
          <w:color w:val="auto"/>
        </w:rPr>
      </w:pPr>
      <w:r>
        <w:rPr>
          <w:rFonts w:ascii="Arial" w:cs="Arial" w:eastAsia="Arial" w:hAnsi="Arial"/>
          <w:sz w:val="17"/>
          <w:szCs w:val="17"/>
          <w:color w:val="auto"/>
        </w:rPr>
        <w:t>To provide the appropriate context for executive pay decisions, the committee, in consultation with its independent compensation consultant, assesses the compensation practices and pay levels of AbbVie's Health Care Peer Group. The committee chooses to focus on the Health Care Peer Group because its constituents share important characteristics with AbbVie, particularly the global emphasis on research-based pharmaceuticals and biopharmaceutical therapies and the regulatory environment within which they operate. Members of the Health Care Peer Group are AbbVie's primary competitors for executive talent and are companies the committee believes chiefly represent our competitive market:</w:t>
      </w:r>
    </w:p>
    <w:p>
      <w:pPr>
        <w:spacing w:after="0" w:line="192" w:lineRule="exact"/>
        <w:rPr>
          <w:sz w:val="20"/>
          <w:szCs w:val="20"/>
          <w:color w:val="auto"/>
        </w:rPr>
      </w:pPr>
    </w:p>
    <w:p>
      <w:pPr>
        <w:ind w:left="3860"/>
        <w:spacing w:after="0"/>
        <w:rPr>
          <w:sz w:val="20"/>
          <w:szCs w:val="20"/>
          <w:color w:val="auto"/>
        </w:rPr>
      </w:pPr>
      <w:r>
        <w:rPr>
          <w:rFonts w:ascii="Arial" w:cs="Arial" w:eastAsia="Arial" w:hAnsi="Arial"/>
          <w:sz w:val="17"/>
          <w:szCs w:val="17"/>
          <w:b w:val="1"/>
          <w:bCs w:val="1"/>
          <w:color w:val="444867"/>
        </w:rPr>
        <w:t>Health Care Peer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-121285</wp:posOffset>
            </wp:positionV>
            <wp:extent cx="2364740" cy="14097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364740" cy="140970"/>
                    </a:xfrm>
                    <a:prstGeom prst="rect">
                      <a:avLst/>
                    </a:prstGeom>
                    <a:noFill/>
                  </pic:spPr>
                </pic:pic>
              </a:graphicData>
            </a:graphic>
          </wp:anchor>
        </w:drawing>
      </w:r>
    </w:p>
    <w:p>
      <w:pPr>
        <w:spacing w:after="0" w:line="14"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Amgen,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-1270</wp:posOffset>
            </wp:positionV>
            <wp:extent cx="2364740" cy="12446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364740" cy="124460"/>
                    </a:xfrm>
                    <a:prstGeom prst="rect">
                      <a:avLst/>
                    </a:prstGeom>
                    <a:noFill/>
                  </pic:spPr>
                </pic:pic>
              </a:graphicData>
            </a:graphic>
          </wp:anchor>
        </w:drawing>
      </w:r>
    </w:p>
    <w:p>
      <w:pPr>
        <w:ind w:left="3860"/>
        <w:spacing w:after="0"/>
        <w:rPr>
          <w:sz w:val="20"/>
          <w:szCs w:val="20"/>
          <w:color w:val="auto"/>
        </w:rPr>
      </w:pPr>
      <w:r>
        <w:rPr>
          <w:rFonts w:ascii="Arial" w:cs="Arial" w:eastAsia="Arial" w:hAnsi="Arial"/>
          <w:sz w:val="17"/>
          <w:szCs w:val="17"/>
          <w:color w:val="auto"/>
        </w:rPr>
        <w:t>Bristol-Myers Squibb Company</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-1270</wp:posOffset>
            </wp:positionV>
            <wp:extent cx="2364740" cy="12446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364740" cy="124460"/>
                    </a:xfrm>
                    <a:prstGeom prst="rect">
                      <a:avLst/>
                    </a:prstGeom>
                    <a:noFill/>
                  </pic:spPr>
                </pic:pic>
              </a:graphicData>
            </a:graphic>
          </wp:anchor>
        </w:drawing>
      </w:r>
    </w:p>
    <w:p>
      <w:pPr>
        <w:ind w:left="3860"/>
        <w:spacing w:after="0"/>
        <w:rPr>
          <w:sz w:val="20"/>
          <w:szCs w:val="20"/>
          <w:color w:val="auto"/>
        </w:rPr>
      </w:pPr>
      <w:r>
        <w:rPr>
          <w:rFonts w:ascii="Arial" w:cs="Arial" w:eastAsia="Arial" w:hAnsi="Arial"/>
          <w:sz w:val="17"/>
          <w:szCs w:val="17"/>
          <w:color w:val="auto"/>
        </w:rPr>
        <w:t>Gilead Sciences</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GlaxoSmithKline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-1270</wp:posOffset>
            </wp:positionV>
            <wp:extent cx="2364740" cy="12446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364740" cy="124460"/>
                    </a:xfrm>
                    <a:prstGeom prst="rect">
                      <a:avLst/>
                    </a:prstGeom>
                    <a:noFill/>
                  </pic:spPr>
                </pic:pic>
              </a:graphicData>
            </a:graphic>
          </wp:anchor>
        </w:drawing>
      </w:r>
    </w:p>
    <w:p>
      <w:pPr>
        <w:ind w:left="3860"/>
        <w:spacing w:after="0"/>
        <w:rPr>
          <w:sz w:val="20"/>
          <w:szCs w:val="20"/>
          <w:color w:val="auto"/>
        </w:rPr>
      </w:pPr>
      <w:r>
        <w:rPr>
          <w:rFonts w:ascii="Arial" w:cs="Arial" w:eastAsia="Arial" w:hAnsi="Arial"/>
          <w:sz w:val="17"/>
          <w:szCs w:val="17"/>
          <w:color w:val="auto"/>
        </w:rPr>
        <w:t>Johnson &amp; Johnson</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Merck &amp; Company,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-1270</wp:posOffset>
            </wp:positionV>
            <wp:extent cx="2364740" cy="1244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2364740" cy="124460"/>
                    </a:xfrm>
                    <a:prstGeom prst="rect">
                      <a:avLst/>
                    </a:prstGeom>
                    <a:noFill/>
                  </pic:spPr>
                </pic:pic>
              </a:graphicData>
            </a:graphic>
          </wp:anchor>
        </w:drawing>
      </w:r>
    </w:p>
    <w:p>
      <w:pPr>
        <w:ind w:left="3860"/>
        <w:spacing w:after="0"/>
        <w:rPr>
          <w:sz w:val="20"/>
          <w:szCs w:val="20"/>
          <w:color w:val="auto"/>
        </w:rPr>
      </w:pPr>
      <w:r>
        <w:rPr>
          <w:rFonts w:ascii="Arial" w:cs="Arial" w:eastAsia="Arial" w:hAnsi="Arial"/>
          <w:sz w:val="17"/>
          <w:szCs w:val="17"/>
          <w:color w:val="auto"/>
        </w:rPr>
        <w:t>Novartis AG</w:t>
      </w:r>
    </w:p>
    <w:p>
      <w:pPr>
        <w:spacing w:after="0" w:line="1"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Pfizer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2450465</wp:posOffset>
            </wp:positionH>
            <wp:positionV relativeFrom="paragraph">
              <wp:posOffset>-1270</wp:posOffset>
            </wp:positionV>
            <wp:extent cx="236474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364740" cy="8255"/>
                    </a:xfrm>
                    <a:prstGeom prst="rect">
                      <a:avLst/>
                    </a:prstGeom>
                    <a:noFill/>
                  </pic:spPr>
                </pic:pic>
              </a:graphicData>
            </a:graphic>
          </wp:anchor>
        </w:drawing>
      </w:r>
    </w:p>
    <w:p>
      <w:pPr>
        <w:spacing w:after="0" w:line="203" w:lineRule="exact"/>
        <w:rPr>
          <w:sz w:val="20"/>
          <w:szCs w:val="20"/>
          <w:color w:val="auto"/>
        </w:rPr>
      </w:pPr>
    </w:p>
    <w:p>
      <w:pPr>
        <w:ind w:right="420"/>
        <w:spacing w:after="0" w:line="250" w:lineRule="auto"/>
        <w:rPr>
          <w:sz w:val="20"/>
          <w:szCs w:val="20"/>
          <w:color w:val="auto"/>
        </w:rPr>
      </w:pPr>
      <w:r>
        <w:rPr>
          <w:rFonts w:ascii="Arial" w:cs="Arial" w:eastAsia="Arial" w:hAnsi="Arial"/>
          <w:sz w:val="17"/>
          <w:szCs w:val="17"/>
          <w:color w:val="auto"/>
        </w:rPr>
        <w:t>The Health Care Peer Group is a core group of peers that has been consistently used since AbbVie's separation from Abbott in 2013. In 2015, the committee added Gilead Sciences to the Health Care Peer Group.</w:t>
      </w:r>
    </w:p>
    <w:p>
      <w:pPr>
        <w:spacing w:after="0" w:line="194" w:lineRule="exact"/>
        <w:rPr>
          <w:sz w:val="20"/>
          <w:szCs w:val="20"/>
          <w:color w:val="auto"/>
        </w:rPr>
      </w:pPr>
    </w:p>
    <w:p>
      <w:pPr>
        <w:ind w:right="20" w:firstLine="661"/>
        <w:spacing w:after="0" w:line="243" w:lineRule="auto"/>
        <w:rPr>
          <w:sz w:val="20"/>
          <w:szCs w:val="20"/>
          <w:color w:val="auto"/>
        </w:rPr>
      </w:pPr>
      <w:r>
        <w:rPr>
          <w:rFonts w:ascii="Arial" w:cs="Arial" w:eastAsia="Arial" w:hAnsi="Arial"/>
          <w:sz w:val="17"/>
          <w:szCs w:val="17"/>
          <w:color w:val="auto"/>
        </w:rPr>
        <w:t>Prior to 2016, the committee also periodically considered benchmarking information from AbbVie's High-Performing Peer Group, which consisted of companies operating complex businesses with significant global reach similar to AbbVie, regardless of industry. Generally, members of the High-Performing Peer Group had a five-year average return on equity (ROE) of at least 18% and were similar to AbbVie in size, performance and/or scope of global operations. In 2015 this group consisted of: 3M Company, Bristol-Myers Squibb Company, Caterpillar Inc., The Coca-Cola Company, Colgate-Palmolive Company, General Mills, Inc., Kellogg Company, Kimberly-Clark, McDonald's Corporation, and</w:t>
      </w:r>
    </w:p>
    <w:p>
      <w:pPr>
        <w:spacing w:after="0" w:line="20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32  </w:t>
      </w:r>
      <w:r>
        <w:rPr>
          <w:sz w:val="1"/>
          <w:szCs w:val="1"/>
          <w:color w:val="auto"/>
        </w:rPr>
        <w:drawing>
          <wp:inline distT="0" distB="0" distL="0" distR="0">
            <wp:extent cx="622300" cy="10795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35" w:name="page36"/>
    <w:bookmarkEnd w:id="35"/>
    <w:p>
      <w:pPr>
        <w:spacing w:after="0" w:line="197" w:lineRule="auto"/>
        <w:framePr w:w="1540" w:h="95" w:wrap="auto" w:vAnchor="page" w:hAnchor="page" w:x="9940" w:y="594"/>
        <w:rPr>
          <w:rFonts w:ascii="Arial" w:cs="Arial" w:eastAsia="Arial" w:hAnsi="Arial"/>
          <w:sz w:val="10"/>
          <w:szCs w:val="10"/>
          <w:b w:val="1"/>
          <w:bCs w:val="1"/>
          <w:color w:val="FFFFFE"/>
        </w:rPr>
      </w:pPr>
      <w:r>
        <w:rPr>
          <w:rFonts w:ascii="Arial" w:cs="Arial" w:eastAsia="Arial" w:hAnsi="Arial"/>
          <w:sz w:val="10"/>
          <w:szCs w:val="10"/>
          <w:b w:val="1"/>
          <w:bCs w:val="1"/>
          <w:color w:val="FFFFFE"/>
        </w:rPr>
        <w:t>EXECUTIVE COMPENSATION</w:t>
      </w: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6150610</wp:posOffset>
            </wp:positionH>
            <wp:positionV relativeFrom="paragraph">
              <wp:posOffset>130810</wp:posOffset>
            </wp:positionV>
            <wp:extent cx="1103630" cy="14097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190" w:lineRule="exact"/>
        <w:rPr>
          <w:rFonts w:ascii="Arial" w:cs="Arial" w:eastAsia="Arial" w:hAnsi="Arial"/>
          <w:sz w:val="10"/>
          <w:szCs w:val="10"/>
          <w:b w:val="1"/>
          <w:bCs w:val="1"/>
          <w:color w:val="FFFFFE"/>
        </w:rPr>
      </w:pPr>
    </w:p>
    <w:p>
      <w:pPr>
        <w:ind w:right="1740"/>
        <w:spacing w:after="0"/>
        <w:rPr>
          <w:sz w:val="20"/>
          <w:szCs w:val="20"/>
          <w:color w:val="auto"/>
        </w:rPr>
      </w:pPr>
      <w:r>
        <w:rPr>
          <w:rFonts w:ascii="Arial" w:cs="Arial" w:eastAsia="Arial" w:hAnsi="Arial"/>
          <w:sz w:val="17"/>
          <w:szCs w:val="17"/>
          <w:color w:val="auto"/>
        </w:rPr>
        <w:t>PepsiCo Inc. The committee periodically reviews the company's peer groups to ensure the companies continue to be appropriate peers for compensation benchmarking purposes. Considering the relevance and primary focus on health care industry practices</w:t>
      </w:r>
    </w:p>
    <w:p>
      <w:pPr>
        <w:spacing w:after="0" w:line="1" w:lineRule="exact"/>
        <w:rPr>
          <w:rFonts w:ascii="Arial" w:cs="Arial" w:eastAsia="Arial" w:hAnsi="Arial"/>
          <w:sz w:val="10"/>
          <w:szCs w:val="10"/>
          <w:b w:val="1"/>
          <w:bCs w:val="1"/>
          <w:color w:val="FFFFFE"/>
        </w:rPr>
      </w:pPr>
    </w:p>
    <w:p>
      <w:pPr>
        <w:ind w:right="360"/>
        <w:spacing w:after="0" w:line="250" w:lineRule="auto"/>
        <w:rPr>
          <w:sz w:val="20"/>
          <w:szCs w:val="20"/>
          <w:color w:val="auto"/>
        </w:rPr>
      </w:pPr>
      <w:r>
        <w:rPr>
          <w:rFonts w:ascii="Arial" w:cs="Arial" w:eastAsia="Arial" w:hAnsi="Arial"/>
          <w:sz w:val="17"/>
          <w:szCs w:val="17"/>
          <w:color w:val="auto"/>
        </w:rPr>
        <w:t>in making its pay determinations, the committee decided in 2015 to discontinue use of the High-Performing Peer Group. Accordingly, the committee focused primarily on the Health Care Peer Group (described above) in making its 2016 NEO compensation decisions.</w:t>
      </w:r>
    </w:p>
    <w:p>
      <w:pPr>
        <w:spacing w:after="0" w:line="174"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b w:val="1"/>
          <w:bCs w:val="1"/>
          <w:i w:val="1"/>
          <w:iCs w:val="1"/>
          <w:color w:val="444867"/>
        </w:rPr>
        <w:t>Role of the Compensation Consultant</w:t>
      </w:r>
    </w:p>
    <w:p>
      <w:pPr>
        <w:spacing w:after="0" w:line="230" w:lineRule="exact"/>
        <w:rPr>
          <w:rFonts w:ascii="Arial" w:cs="Arial" w:eastAsia="Arial" w:hAnsi="Arial"/>
          <w:sz w:val="10"/>
          <w:szCs w:val="10"/>
          <w:b w:val="1"/>
          <w:bCs w:val="1"/>
          <w:color w:val="FFFFFE"/>
        </w:rPr>
      </w:pPr>
    </w:p>
    <w:p>
      <w:pPr>
        <w:ind w:right="60" w:firstLine="657"/>
        <w:spacing w:after="0" w:line="242" w:lineRule="auto"/>
        <w:rPr>
          <w:sz w:val="20"/>
          <w:szCs w:val="20"/>
          <w:color w:val="auto"/>
        </w:rPr>
      </w:pPr>
      <w:r>
        <w:rPr>
          <w:rFonts w:ascii="Arial" w:cs="Arial" w:eastAsia="Arial" w:hAnsi="Arial"/>
          <w:sz w:val="17"/>
          <w:szCs w:val="17"/>
          <w:color w:val="auto"/>
        </w:rPr>
        <w:t>The compensation committee has engaged Compensation Advisory Partners as its independent compensation consultant. The committee's independent consultant reports directly to the chair of the committee. The consultant meets regularly, and as needed, with the committee in executive sessions, has direct access to the chair during and between meetings, and performs no other services for AbbVie or its senior executives. The committee determines what variables it will instruct its consultant to consider, which include: peer groups against which performance and pay should be examined, metrics to be used to assess AbbVie's performance, competitive incentive practices in the marketplace, and compensation levels relative to market benchmarks.</w:t>
      </w:r>
    </w:p>
    <w:p>
      <w:pPr>
        <w:spacing w:after="0" w:line="182"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b w:val="1"/>
          <w:bCs w:val="1"/>
          <w:i w:val="1"/>
          <w:iCs w:val="1"/>
          <w:color w:val="444867"/>
        </w:rPr>
        <w:t>Compensation Risk Oversight</w:t>
      </w:r>
    </w:p>
    <w:p>
      <w:pPr>
        <w:spacing w:after="0" w:line="230" w:lineRule="exact"/>
        <w:rPr>
          <w:rFonts w:ascii="Arial" w:cs="Arial" w:eastAsia="Arial" w:hAnsi="Arial"/>
          <w:sz w:val="10"/>
          <w:szCs w:val="10"/>
          <w:b w:val="1"/>
          <w:bCs w:val="1"/>
          <w:color w:val="FFFFFE"/>
        </w:rPr>
      </w:pPr>
    </w:p>
    <w:p>
      <w:pPr>
        <w:ind w:right="20" w:firstLine="657"/>
        <w:spacing w:after="0" w:line="243" w:lineRule="auto"/>
        <w:rPr>
          <w:sz w:val="20"/>
          <w:szCs w:val="20"/>
          <w:color w:val="auto"/>
        </w:rPr>
      </w:pPr>
      <w:r>
        <w:rPr>
          <w:rFonts w:ascii="Arial" w:cs="Arial" w:eastAsia="Arial" w:hAnsi="Arial"/>
          <w:sz w:val="17"/>
          <w:szCs w:val="17"/>
          <w:color w:val="auto"/>
        </w:rPr>
        <w:t>The company has established, and the compensation committee endorses, several controls to address and mitigate compensation-related risk, such as employing a diverse set of performance metrics, maintaining robust stock ownership guidelines for its executives and non-employee directors, and retaining broad discretion to recover incentive awards in the unlikely event that incentive plan award decisions are based on earnings that are subsequently restated. The committee identified no material risks in AbbVie's compensation programs in 2015.</w:t>
      </w:r>
    </w:p>
    <w:p>
      <w:pPr>
        <w:spacing w:after="0" w:line="166" w:lineRule="exact"/>
        <w:rPr>
          <w:rFonts w:ascii="Arial" w:cs="Arial" w:eastAsia="Arial" w:hAnsi="Arial"/>
          <w:sz w:val="10"/>
          <w:szCs w:val="10"/>
          <w:b w:val="1"/>
          <w:bCs w:val="1"/>
          <w:color w:val="FFFFFE"/>
        </w:rPr>
      </w:pPr>
    </w:p>
    <w:p>
      <w:pPr>
        <w:ind w:left="460" w:hanging="455"/>
        <w:spacing w:after="0"/>
        <w:tabs>
          <w:tab w:leader="none" w:pos="460" w:val="left"/>
        </w:tabs>
        <w:numPr>
          <w:ilvl w:val="0"/>
          <w:numId w:val="25"/>
        </w:numPr>
        <w:rPr>
          <w:rFonts w:ascii="Arial" w:cs="Arial" w:eastAsia="Arial" w:hAnsi="Arial"/>
          <w:sz w:val="21"/>
          <w:szCs w:val="21"/>
          <w:b w:val="1"/>
          <w:bCs w:val="1"/>
          <w:color w:val="000F68"/>
        </w:rPr>
      </w:pPr>
      <w:r>
        <w:rPr>
          <w:rFonts w:ascii="Arial" w:cs="Arial" w:eastAsia="Arial" w:hAnsi="Arial"/>
          <w:sz w:val="21"/>
          <w:szCs w:val="21"/>
          <w:b w:val="1"/>
          <w:bCs w:val="1"/>
          <w:color w:val="000F68"/>
        </w:rPr>
        <w:t>Compensation Plan Elements</w:t>
      </w:r>
    </w:p>
    <w:p>
      <w:pPr>
        <w:spacing w:after="0" w:line="238" w:lineRule="exact"/>
        <w:rPr>
          <w:rFonts w:ascii="Arial" w:cs="Arial" w:eastAsia="Arial" w:hAnsi="Arial"/>
          <w:sz w:val="10"/>
          <w:szCs w:val="10"/>
          <w:b w:val="1"/>
          <w:bCs w:val="1"/>
          <w:color w:val="FFFFFE"/>
        </w:rPr>
      </w:pPr>
    </w:p>
    <w:p>
      <w:pPr>
        <w:ind w:left="660"/>
        <w:spacing w:after="0"/>
        <w:rPr>
          <w:sz w:val="20"/>
          <w:szCs w:val="20"/>
          <w:color w:val="auto"/>
        </w:rPr>
      </w:pPr>
      <w:r>
        <w:rPr>
          <w:rFonts w:ascii="Arial" w:cs="Arial" w:eastAsia="Arial" w:hAnsi="Arial"/>
          <w:sz w:val="17"/>
          <w:szCs w:val="17"/>
          <w:color w:val="auto"/>
        </w:rPr>
        <w:t>Three primary components make up AbbVie's executive pay program: (1) base salary, (2) short-term incentives and (3) long-term incentives.</w:t>
      </w:r>
    </w:p>
    <w:p>
      <w:pPr>
        <w:spacing w:after="0" w:line="1"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color w:val="auto"/>
        </w:rPr>
        <w:t>The structure of each component is tailored to serve a specific function and purpose.</w:t>
      </w:r>
    </w:p>
    <w:p>
      <w:pPr>
        <w:spacing w:after="0" w:line="190" w:lineRule="exact"/>
        <w:rPr>
          <w:rFonts w:ascii="Arial" w:cs="Arial" w:eastAsia="Arial" w:hAnsi="Arial"/>
          <w:sz w:val="10"/>
          <w:szCs w:val="10"/>
          <w:b w:val="1"/>
          <w:bCs w:val="1"/>
          <w:color w:val="FFFFFE"/>
        </w:rPr>
      </w:pPr>
    </w:p>
    <w:p>
      <w:pPr>
        <w:ind w:left="2220"/>
        <w:spacing w:after="0"/>
        <w:tabs>
          <w:tab w:leader="none" w:pos="7400" w:val="left"/>
        </w:tabs>
        <w:rPr>
          <w:sz w:val="20"/>
          <w:szCs w:val="20"/>
          <w:color w:val="auto"/>
        </w:rPr>
      </w:pPr>
      <w:r>
        <w:rPr>
          <w:rFonts w:ascii="Arial" w:cs="Arial" w:eastAsia="Arial" w:hAnsi="Arial"/>
          <w:sz w:val="17"/>
          <w:szCs w:val="17"/>
          <w:b w:val="1"/>
          <w:bCs w:val="1"/>
          <w:color w:val="444867"/>
        </w:rPr>
        <w:t>CEO Pay Mix</w:t>
      </w:r>
      <w:r>
        <w:rPr>
          <w:sz w:val="20"/>
          <w:szCs w:val="20"/>
          <w:color w:val="auto"/>
        </w:rPr>
        <w:tab/>
      </w:r>
      <w:r>
        <w:rPr>
          <w:rFonts w:ascii="Arial" w:cs="Arial" w:eastAsia="Arial" w:hAnsi="Arial"/>
          <w:sz w:val="16"/>
          <w:szCs w:val="16"/>
          <w:b w:val="1"/>
          <w:bCs w:val="1"/>
          <w:color w:val="444867"/>
        </w:rPr>
        <w:t>All Other NEO Average Pay Mix</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384810</wp:posOffset>
            </wp:positionH>
            <wp:positionV relativeFrom="paragraph">
              <wp:posOffset>309880</wp:posOffset>
            </wp:positionV>
            <wp:extent cx="6496050" cy="169227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496050" cy="1692275"/>
                    </a:xfrm>
                    <a:prstGeom prst="rect">
                      <a:avLst/>
                    </a:prstGeom>
                    <a:noFill/>
                  </pic:spPr>
                </pic:pic>
              </a:graphicData>
            </a:graphic>
          </wp:anchor>
        </w:drawing>
      </w:r>
    </w:p>
    <w:p>
      <w:pPr>
        <w:spacing w:after="0" w:line="200" w:lineRule="exact"/>
        <w:rPr>
          <w:rFonts w:ascii="Arial" w:cs="Arial" w:eastAsia="Arial" w:hAnsi="Arial"/>
          <w:sz w:val="10"/>
          <w:szCs w:val="10"/>
          <w:b w:val="1"/>
          <w:bCs w:val="1"/>
          <w:color w:val="FFFFFE"/>
        </w:rPr>
      </w:pPr>
    </w:p>
    <w:p>
      <w:pPr>
        <w:spacing w:after="0" w:line="200" w:lineRule="exact"/>
        <w:rPr>
          <w:rFonts w:ascii="Arial" w:cs="Arial" w:eastAsia="Arial" w:hAnsi="Arial"/>
          <w:sz w:val="10"/>
          <w:szCs w:val="10"/>
          <w:b w:val="1"/>
          <w:bCs w:val="1"/>
          <w:color w:val="FFFFFE"/>
        </w:rPr>
      </w:pPr>
    </w:p>
    <w:p>
      <w:pPr>
        <w:spacing w:after="0" w:line="200" w:lineRule="exact"/>
        <w:rPr>
          <w:rFonts w:ascii="Arial" w:cs="Arial" w:eastAsia="Arial" w:hAnsi="Arial"/>
          <w:sz w:val="10"/>
          <w:szCs w:val="10"/>
          <w:b w:val="1"/>
          <w:bCs w:val="1"/>
          <w:color w:val="FFFFFE"/>
        </w:rPr>
      </w:pPr>
    </w:p>
    <w:p>
      <w:pPr>
        <w:spacing w:after="0" w:line="200" w:lineRule="exact"/>
        <w:rPr>
          <w:rFonts w:ascii="Arial" w:cs="Arial" w:eastAsia="Arial" w:hAnsi="Arial"/>
          <w:sz w:val="10"/>
          <w:szCs w:val="10"/>
          <w:b w:val="1"/>
          <w:bCs w:val="1"/>
          <w:color w:val="FFFFFE"/>
        </w:rPr>
      </w:pPr>
    </w:p>
    <w:p>
      <w:pPr>
        <w:spacing w:after="0" w:line="200" w:lineRule="exact"/>
        <w:rPr>
          <w:rFonts w:ascii="Arial" w:cs="Arial" w:eastAsia="Arial" w:hAnsi="Arial"/>
          <w:sz w:val="10"/>
          <w:szCs w:val="10"/>
          <w:b w:val="1"/>
          <w:bCs w:val="1"/>
          <w:color w:val="FFFFFE"/>
        </w:rPr>
      </w:pPr>
    </w:p>
    <w:p>
      <w:pPr>
        <w:spacing w:after="0" w:line="200" w:lineRule="exact"/>
        <w:rPr>
          <w:rFonts w:ascii="Arial" w:cs="Arial" w:eastAsia="Arial" w:hAnsi="Arial"/>
          <w:sz w:val="10"/>
          <w:szCs w:val="10"/>
          <w:b w:val="1"/>
          <w:bCs w:val="1"/>
          <w:color w:val="FFFFFE"/>
        </w:rPr>
      </w:pPr>
    </w:p>
    <w:p>
      <w:pPr>
        <w:spacing w:after="0" w:line="200" w:lineRule="exact"/>
        <w:rPr>
          <w:rFonts w:ascii="Arial" w:cs="Arial" w:eastAsia="Arial" w:hAnsi="Arial"/>
          <w:sz w:val="10"/>
          <w:szCs w:val="10"/>
          <w:b w:val="1"/>
          <w:bCs w:val="1"/>
          <w:color w:val="FFFFFE"/>
        </w:rPr>
      </w:pPr>
    </w:p>
    <w:p>
      <w:pPr>
        <w:spacing w:after="0" w:line="200" w:lineRule="exact"/>
        <w:rPr>
          <w:rFonts w:ascii="Arial" w:cs="Arial" w:eastAsia="Arial" w:hAnsi="Arial"/>
          <w:sz w:val="10"/>
          <w:szCs w:val="10"/>
          <w:b w:val="1"/>
          <w:bCs w:val="1"/>
          <w:color w:val="FFFFFE"/>
        </w:rPr>
      </w:pPr>
    </w:p>
    <w:p>
      <w:pPr>
        <w:spacing w:after="0" w:line="200" w:lineRule="exact"/>
        <w:rPr>
          <w:rFonts w:ascii="Arial" w:cs="Arial" w:eastAsia="Arial" w:hAnsi="Arial"/>
          <w:sz w:val="10"/>
          <w:szCs w:val="10"/>
          <w:b w:val="1"/>
          <w:bCs w:val="1"/>
          <w:color w:val="FFFFFE"/>
        </w:rPr>
      </w:pPr>
    </w:p>
    <w:p>
      <w:pPr>
        <w:spacing w:after="0" w:line="200" w:lineRule="exact"/>
        <w:rPr>
          <w:rFonts w:ascii="Arial" w:cs="Arial" w:eastAsia="Arial" w:hAnsi="Arial"/>
          <w:sz w:val="10"/>
          <w:szCs w:val="10"/>
          <w:b w:val="1"/>
          <w:bCs w:val="1"/>
          <w:color w:val="FFFFFE"/>
        </w:rPr>
      </w:pPr>
    </w:p>
    <w:p>
      <w:pPr>
        <w:spacing w:after="0" w:line="200" w:lineRule="exact"/>
        <w:rPr>
          <w:rFonts w:ascii="Arial" w:cs="Arial" w:eastAsia="Arial" w:hAnsi="Arial"/>
          <w:sz w:val="10"/>
          <w:szCs w:val="10"/>
          <w:b w:val="1"/>
          <w:bCs w:val="1"/>
          <w:color w:val="FFFFFE"/>
        </w:rPr>
      </w:pPr>
    </w:p>
    <w:p>
      <w:pPr>
        <w:spacing w:after="0" w:line="200" w:lineRule="exact"/>
        <w:rPr>
          <w:rFonts w:ascii="Arial" w:cs="Arial" w:eastAsia="Arial" w:hAnsi="Arial"/>
          <w:sz w:val="10"/>
          <w:szCs w:val="10"/>
          <w:b w:val="1"/>
          <w:bCs w:val="1"/>
          <w:color w:val="FFFFFE"/>
        </w:rPr>
      </w:pPr>
    </w:p>
    <w:p>
      <w:pPr>
        <w:spacing w:after="0" w:line="200" w:lineRule="exact"/>
        <w:rPr>
          <w:rFonts w:ascii="Arial" w:cs="Arial" w:eastAsia="Arial" w:hAnsi="Arial"/>
          <w:sz w:val="10"/>
          <w:szCs w:val="10"/>
          <w:b w:val="1"/>
          <w:bCs w:val="1"/>
          <w:color w:val="FFFFFE"/>
        </w:rPr>
      </w:pPr>
    </w:p>
    <w:p>
      <w:pPr>
        <w:spacing w:after="0" w:line="200" w:lineRule="exact"/>
        <w:rPr>
          <w:rFonts w:ascii="Arial" w:cs="Arial" w:eastAsia="Arial" w:hAnsi="Arial"/>
          <w:sz w:val="10"/>
          <w:szCs w:val="10"/>
          <w:b w:val="1"/>
          <w:bCs w:val="1"/>
          <w:color w:val="FFFFFE"/>
        </w:rPr>
      </w:pPr>
    </w:p>
    <w:p>
      <w:pPr>
        <w:spacing w:after="0" w:line="200" w:lineRule="exact"/>
        <w:rPr>
          <w:rFonts w:ascii="Arial" w:cs="Arial" w:eastAsia="Arial" w:hAnsi="Arial"/>
          <w:sz w:val="10"/>
          <w:szCs w:val="10"/>
          <w:b w:val="1"/>
          <w:bCs w:val="1"/>
          <w:color w:val="FFFFFE"/>
        </w:rPr>
      </w:pPr>
    </w:p>
    <w:p>
      <w:pPr>
        <w:spacing w:after="0" w:line="325"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b w:val="1"/>
          <w:bCs w:val="1"/>
          <w:i w:val="1"/>
          <w:iCs w:val="1"/>
          <w:color w:val="444867"/>
        </w:rPr>
        <w:t>Base Salary</w:t>
      </w:r>
    </w:p>
    <w:p>
      <w:pPr>
        <w:spacing w:after="0" w:line="230" w:lineRule="exact"/>
        <w:rPr>
          <w:rFonts w:ascii="Arial" w:cs="Arial" w:eastAsia="Arial" w:hAnsi="Arial"/>
          <w:sz w:val="10"/>
          <w:szCs w:val="10"/>
          <w:b w:val="1"/>
          <w:bCs w:val="1"/>
          <w:color w:val="FFFFFE"/>
        </w:rPr>
      </w:pPr>
    </w:p>
    <w:p>
      <w:pPr>
        <w:ind w:right="160" w:firstLine="657"/>
        <w:spacing w:after="0" w:line="243" w:lineRule="auto"/>
        <w:rPr>
          <w:sz w:val="20"/>
          <w:szCs w:val="20"/>
          <w:color w:val="auto"/>
        </w:rPr>
      </w:pPr>
      <w:r>
        <w:rPr>
          <w:rFonts w:ascii="Arial" w:cs="Arial" w:eastAsia="Arial" w:hAnsi="Arial"/>
          <w:sz w:val="17"/>
          <w:szCs w:val="17"/>
          <w:color w:val="auto"/>
        </w:rPr>
        <w:t>The compensation committee sets appropriate levels of base salary to ensure that AbbVie can attract and retain a leadership team that will continue to meet our commitments to customers and patients and sustain long-term profitable growth for our stockholders. Generally, the committee considers the median of the Health Care Peer Group as an initial benchmark, but also references additional information as needed. Specific pay rates are then established for each NEO relative to his or her market benchmark based on the NEO's performance, experience, unique skills, internal equity with others at AbbVie, and the company's operating budget.</w:t>
      </w:r>
    </w:p>
    <w:p>
      <w:pPr>
        <w:spacing w:after="0" w:line="207" w:lineRule="exact"/>
        <w:rPr>
          <w:rFonts w:ascii="Arial" w:cs="Arial" w:eastAsia="Arial" w:hAnsi="Arial"/>
          <w:sz w:val="10"/>
          <w:szCs w:val="10"/>
          <w:b w:val="1"/>
          <w:bCs w:val="1"/>
          <w:color w:val="FFFFFE"/>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33</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36" w:name="page37"/>
    <w:bookmarkEnd w:id="36"/>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90"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 xml:space="preserve">EXECUTIVE COMPENSATION </w:t>
      </w:r>
      <w:r>
        <w:rPr>
          <w:rFonts w:ascii="Arial" w:cs="Arial" w:eastAsia="Arial" w:hAnsi="Arial"/>
          <w:sz w:val="16"/>
          <w:szCs w:val="16"/>
          <w:b w:val="1"/>
          <w:bCs w:val="1"/>
          <w:i w:val="1"/>
          <w:iCs w:val="1"/>
          <w:color w:val="444867"/>
        </w:rPr>
        <w:t>Short-Term Incentives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1103630" cy="14097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Performance Incentive Plan</w:t>
      </w:r>
    </w:p>
    <w:p>
      <w:pPr>
        <w:spacing w:after="0" w:line="230" w:lineRule="exact"/>
        <w:rPr>
          <w:sz w:val="20"/>
          <w:szCs w:val="20"/>
          <w:color w:val="auto"/>
        </w:rPr>
      </w:pPr>
    </w:p>
    <w:p>
      <w:pPr>
        <w:ind w:right="300" w:firstLine="651"/>
        <w:spacing w:after="0" w:line="250" w:lineRule="auto"/>
        <w:rPr>
          <w:sz w:val="20"/>
          <w:szCs w:val="20"/>
          <w:color w:val="auto"/>
        </w:rPr>
      </w:pPr>
      <w:r>
        <w:rPr>
          <w:rFonts w:ascii="Arial" w:cs="Arial" w:eastAsia="Arial" w:hAnsi="Arial"/>
          <w:sz w:val="17"/>
          <w:szCs w:val="17"/>
          <w:color w:val="auto"/>
        </w:rPr>
        <w:t>Annual cash incentives are paid to NEOs through AbbVie's Performance Incentive Plan (PIP), which rewards executives for achieving key financial and non-financial goals that are measured at the company and individual levels. Annual cash incentives are calculated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121285</wp:posOffset>
            </wp:positionV>
            <wp:extent cx="5683250" cy="2439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683250" cy="2439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right="100" w:firstLine="661"/>
        <w:spacing w:after="0" w:line="243" w:lineRule="auto"/>
        <w:rPr>
          <w:sz w:val="20"/>
          <w:szCs w:val="20"/>
          <w:color w:val="auto"/>
        </w:rPr>
      </w:pPr>
      <w:r>
        <w:rPr>
          <w:rFonts w:ascii="Arial" w:cs="Arial" w:eastAsia="Arial" w:hAnsi="Arial"/>
          <w:sz w:val="17"/>
          <w:szCs w:val="17"/>
          <w:color w:val="auto"/>
        </w:rPr>
        <w:t>While the compensation committee relies heavily on objective, quantitative metrics to determine PIP awards, the performance review also includes a qualitative element to ensure the review is comprehensive and inclusive of all individual, strategic, and leadership goals for which assessment is not solely dictated by numeric or formulaic applications. Moreover, while each participant has predetermined goals, the committee also considers relative achievements and/or developments in the company, the marketplace, and the global economy that could not have been foreseen when individual goals were established.</w:t>
      </w:r>
    </w:p>
    <w:p>
      <w:pPr>
        <w:spacing w:after="0" w:line="199" w:lineRule="exact"/>
        <w:rPr>
          <w:sz w:val="20"/>
          <w:szCs w:val="20"/>
          <w:color w:val="auto"/>
        </w:rPr>
      </w:pPr>
    </w:p>
    <w:p>
      <w:pPr>
        <w:ind w:right="140" w:firstLine="657"/>
        <w:spacing w:after="0" w:line="243" w:lineRule="auto"/>
        <w:rPr>
          <w:sz w:val="20"/>
          <w:szCs w:val="20"/>
          <w:color w:val="auto"/>
        </w:rPr>
      </w:pPr>
      <w:r>
        <w:rPr>
          <w:rFonts w:ascii="Arial" w:cs="Arial" w:eastAsia="Arial" w:hAnsi="Arial"/>
          <w:sz w:val="17"/>
          <w:szCs w:val="17"/>
          <w:color w:val="auto"/>
        </w:rPr>
        <w:t>The compensation committee may exercise negative discretion to adjust PIP awards below the cap set in accordance with Internal Revenue Code Section 162(m), and is guided by an annual incentive payout matrix that establishes a potential range of final incentive outcomes based on net revenues and operating margin performance. For 2015, net revenue performance was 100% compared to plan, while operating margin performance was 102% compared to plan. As a result of this performance, the annual incentive payout matrix established the potential range of final incentive outcomes at 100% to 150% of target, below the plan maximum of 200% of target and the Code Section 162(m) cap.</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Annual Metrics and Goal Assessment</w:t>
      </w:r>
    </w:p>
    <w:p>
      <w:pPr>
        <w:spacing w:after="0" w:line="230" w:lineRule="exact"/>
        <w:rPr>
          <w:sz w:val="20"/>
          <w:szCs w:val="20"/>
          <w:color w:val="auto"/>
        </w:rPr>
      </w:pPr>
    </w:p>
    <w:p>
      <w:pPr>
        <w:ind w:firstLine="651"/>
        <w:spacing w:after="0" w:line="243" w:lineRule="auto"/>
        <w:rPr>
          <w:sz w:val="20"/>
          <w:szCs w:val="20"/>
          <w:color w:val="auto"/>
        </w:rPr>
      </w:pPr>
      <w:r>
        <w:rPr>
          <w:rFonts w:ascii="Arial" w:cs="Arial" w:eastAsia="Arial" w:hAnsi="Arial"/>
          <w:sz w:val="17"/>
          <w:szCs w:val="17"/>
          <w:color w:val="auto"/>
        </w:rPr>
        <w:t>AbbVie's PIP structure is intended to align NEOs' interests directly with AbbVie's annual operating strategies, financial goals, and leadership behaviors. In doing so, it provides a direct link between the NEOs' short-term incentives and the company's and the NEOs' annual performance results through measurable financial and operational performance and qualitative assessments of clearly defined strategic progress and leadership behaviors. The compensation committee approves pre-established goals at the beginning of each year. The qualitative assessment reflects NEOs' overall leadership, progress on strategic initiatives, advancement of the pipeline, and enhancement of AbbVie's biopharmaceutical culture.</w:t>
      </w:r>
    </w:p>
    <w:p>
      <w:pPr>
        <w:spacing w:after="0" w:line="199" w:lineRule="exact"/>
        <w:rPr>
          <w:sz w:val="20"/>
          <w:szCs w:val="20"/>
          <w:color w:val="auto"/>
        </w:rPr>
      </w:pPr>
    </w:p>
    <w:p>
      <w:pPr>
        <w:ind w:right="580" w:firstLine="657"/>
        <w:spacing w:after="0" w:line="245" w:lineRule="auto"/>
        <w:rPr>
          <w:sz w:val="20"/>
          <w:szCs w:val="20"/>
          <w:color w:val="auto"/>
        </w:rPr>
      </w:pPr>
      <w:r>
        <w:rPr>
          <w:rFonts w:ascii="Arial" w:cs="Arial" w:eastAsia="Arial" w:hAnsi="Arial"/>
          <w:sz w:val="17"/>
          <w:szCs w:val="17"/>
          <w:color w:val="auto"/>
        </w:rPr>
        <w:t>The financial and strategic/leadership goals and their respective weightings are summarized in the chart below. The specific goals and weightings for each NEO, other than the CEO, are established at the start of each performance year based on the NEO's role and anticipated contributions to the company's annual objectives. The CEO's goals are</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34  </w:t>
      </w:r>
      <w:r>
        <w:rPr>
          <w:sz w:val="1"/>
          <w:szCs w:val="1"/>
          <w:color w:val="auto"/>
        </w:rPr>
        <w:drawing>
          <wp:inline distT="0" distB="0" distL="0" distR="0">
            <wp:extent cx="622300" cy="10795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00"/>
          </w:cols>
          <w:pgMar w:left="240" w:top="143" w:right="35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195"/>
        </w:trPr>
        <w:tc>
          <w:tcPr>
            <w:tcW w:w="9260" w:type="dxa"/>
            <w:vAlign w:val="bottom"/>
            <w:gridSpan w:val="2"/>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Table of Contents</w:t>
              </w:r>
            </w:hyperlink>
          </w:p>
        </w:tc>
        <w:tc>
          <w:tcPr>
            <w:tcW w:w="42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79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260" w:type="dxa"/>
            <w:vAlign w:val="bottom"/>
            <w:gridSpan w:val="2"/>
            <w:vMerge w:val="restart"/>
          </w:tcPr>
          <w:p>
            <w:pPr>
              <w:spacing w:after="0"/>
              <w:rPr>
                <w:sz w:val="20"/>
                <w:szCs w:val="20"/>
                <w:color w:val="auto"/>
              </w:rPr>
            </w:pPr>
            <w:r>
              <w:rPr>
                <w:rFonts w:ascii="Arial" w:cs="Arial" w:eastAsia="Arial" w:hAnsi="Arial"/>
                <w:sz w:val="17"/>
                <w:szCs w:val="17"/>
                <w:color w:val="auto"/>
                <w:w w:val="99"/>
              </w:rPr>
              <w:t>similarly established at the start of each performance year; however, to reflect the CEO's overall accountability for company</w:t>
            </w:r>
          </w:p>
        </w:tc>
        <w:tc>
          <w:tcPr>
            <w:tcW w:w="4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60" w:type="dxa"/>
            <w:vAlign w:val="bottom"/>
            <w:gridSpan w:val="2"/>
            <w:vMerge w:val="continue"/>
          </w:tcPr>
          <w:p>
            <w:pPr>
              <w:spacing w:after="0"/>
              <w:rPr>
                <w:sz w:val="17"/>
                <w:szCs w:val="17"/>
                <w:color w:val="auto"/>
              </w:rPr>
            </w:pPr>
          </w:p>
        </w:tc>
        <w:tc>
          <w:tcPr>
            <w:tcW w:w="420" w:type="dxa"/>
            <w:vAlign w:val="bottom"/>
          </w:tcPr>
          <w:p>
            <w:pPr>
              <w:spacing w:after="0"/>
              <w:rPr>
                <w:sz w:val="17"/>
                <w:szCs w:val="17"/>
                <w:color w:val="auto"/>
              </w:rPr>
            </w:pPr>
          </w:p>
        </w:tc>
        <w:tc>
          <w:tcPr>
            <w:tcW w:w="1740" w:type="dxa"/>
            <w:vAlign w:val="bottom"/>
            <w:tcBorders>
              <w:bottom w:val="single" w:sz="8" w:color="444867"/>
            </w:tcBorders>
            <w:shd w:val="clear" w:color="auto" w:fill="444867"/>
          </w:tcPr>
          <w:p>
            <w:pPr>
              <w:ind w:left="60"/>
              <w:spacing w:after="0"/>
              <w:rPr>
                <w:sz w:val="20"/>
                <w:szCs w:val="20"/>
                <w:color w:val="auto"/>
              </w:rPr>
            </w:pPr>
            <w:r>
              <w:rPr>
                <w:rFonts w:ascii="Arial" w:cs="Arial" w:eastAsia="Arial" w:hAnsi="Arial"/>
                <w:sz w:val="10"/>
                <w:szCs w:val="10"/>
                <w:b w:val="1"/>
                <w:bCs w:val="1"/>
                <w:color w:val="FFFFFE"/>
              </w:rPr>
              <w:t>EXECUTIVE COMPENSATION</w:t>
            </w:r>
          </w:p>
        </w:tc>
        <w:tc>
          <w:tcPr>
            <w:tcW w:w="0" w:type="dxa"/>
            <w:vAlign w:val="bottom"/>
          </w:tcPr>
          <w:p>
            <w:pPr>
              <w:spacing w:after="0"/>
              <w:rPr>
                <w:sz w:val="1"/>
                <w:szCs w:val="1"/>
                <w:color w:val="auto"/>
              </w:rPr>
            </w:pPr>
          </w:p>
        </w:tc>
      </w:tr>
      <w:tr>
        <w:trPr>
          <w:trHeight w:val="173"/>
        </w:trPr>
        <w:tc>
          <w:tcPr>
            <w:tcW w:w="9680" w:type="dxa"/>
            <w:vAlign w:val="bottom"/>
            <w:gridSpan w:val="3"/>
          </w:tcPr>
          <w:p>
            <w:pPr>
              <w:spacing w:after="0" w:line="173" w:lineRule="exact"/>
              <w:rPr>
                <w:sz w:val="20"/>
                <w:szCs w:val="20"/>
                <w:color w:val="auto"/>
              </w:rPr>
            </w:pPr>
            <w:r>
              <w:rPr>
                <w:rFonts w:ascii="Arial" w:cs="Arial" w:eastAsia="Arial" w:hAnsi="Arial"/>
                <w:sz w:val="17"/>
                <w:szCs w:val="17"/>
                <w:color w:val="auto"/>
              </w:rPr>
              <w:t>financial performance and strategic outcomes, the committee considers all financial and non-financial goals holistically, without</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260" w:type="dxa"/>
            <w:vAlign w:val="bottom"/>
            <w:gridSpan w:val="2"/>
          </w:tcPr>
          <w:p>
            <w:pPr>
              <w:spacing w:after="0"/>
              <w:rPr>
                <w:sz w:val="20"/>
                <w:szCs w:val="20"/>
                <w:color w:val="auto"/>
              </w:rPr>
            </w:pPr>
            <w:r>
              <w:rPr>
                <w:rFonts w:ascii="Arial" w:cs="Arial" w:eastAsia="Arial" w:hAnsi="Arial"/>
                <w:sz w:val="17"/>
                <w:szCs w:val="17"/>
                <w:color w:val="auto"/>
              </w:rPr>
              <w:t>specific weightings, when evaluating CEO performance.</w:t>
            </w:r>
          </w:p>
        </w:tc>
        <w:tc>
          <w:tcPr>
            <w:tcW w:w="4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9260" w:type="dxa"/>
            <w:vAlign w:val="bottom"/>
            <w:tcBorders>
              <w:bottom w:val="single" w:sz="8" w:color="auto"/>
            </w:tcBorders>
            <w:gridSpan w:val="2"/>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60" w:type="dxa"/>
            <w:vAlign w:val="bottom"/>
            <w:tcBorders>
              <w:bottom w:val="single" w:sz="8" w:color="auto"/>
            </w:tcBorders>
            <w:gridSpan w:val="2"/>
            <w:shd w:val="clear" w:color="auto" w:fill="E7E7E8"/>
          </w:tcPr>
          <w:p>
            <w:pPr>
              <w:spacing w:after="0" w:line="189" w:lineRule="exact"/>
              <w:rPr>
                <w:sz w:val="20"/>
                <w:szCs w:val="20"/>
                <w:color w:val="auto"/>
              </w:rPr>
            </w:pPr>
            <w:r>
              <w:rPr>
                <w:rFonts w:ascii="Arial" w:cs="Arial" w:eastAsia="Arial" w:hAnsi="Arial"/>
                <w:sz w:val="17"/>
                <w:szCs w:val="17"/>
                <w:b w:val="1"/>
                <w:bCs w:val="1"/>
                <w:color w:val="444867"/>
              </w:rPr>
              <w:t>Annual Incentive Payout Matrix</w:t>
            </w:r>
          </w:p>
        </w:tc>
        <w:tc>
          <w:tcPr>
            <w:tcW w:w="420" w:type="dxa"/>
            <w:vAlign w:val="bottom"/>
            <w:tcBorders>
              <w:bottom w:val="single" w:sz="8" w:color="auto"/>
            </w:tcBorders>
            <w:shd w:val="clear" w:color="auto" w:fill="E7E7E8"/>
          </w:tcPr>
          <w:p>
            <w:pPr>
              <w:spacing w:after="0"/>
              <w:rPr>
                <w:sz w:val="16"/>
                <w:szCs w:val="16"/>
                <w:color w:val="auto"/>
              </w:rPr>
            </w:pPr>
          </w:p>
        </w:tc>
        <w:tc>
          <w:tcPr>
            <w:tcW w:w="1740" w:type="dxa"/>
            <w:vAlign w:val="bottom"/>
            <w:tcBorders>
              <w:bottom w:val="single" w:sz="8" w:color="auto"/>
            </w:tcBorders>
            <w:shd w:val="clear" w:color="auto" w:fill="E7E7E8"/>
          </w:tcPr>
          <w:p>
            <w:pPr>
              <w:jc w:val="center"/>
              <w:ind w:right="902"/>
              <w:spacing w:after="0" w:line="189" w:lineRule="exact"/>
              <w:rPr>
                <w:sz w:val="20"/>
                <w:szCs w:val="20"/>
                <w:color w:val="auto"/>
              </w:rPr>
            </w:pPr>
            <w:r>
              <w:rPr>
                <w:rFonts w:ascii="Arial" w:cs="Arial" w:eastAsia="Arial" w:hAnsi="Arial"/>
                <w:sz w:val="17"/>
                <w:szCs w:val="17"/>
                <w:b w:val="1"/>
                <w:bCs w:val="1"/>
                <w:color w:val="444867"/>
                <w:w w:val="99"/>
              </w:rPr>
              <w:t>Range</w:t>
            </w:r>
          </w:p>
        </w:tc>
        <w:tc>
          <w:tcPr>
            <w:tcW w:w="0" w:type="dxa"/>
            <w:vAlign w:val="bottom"/>
          </w:tcPr>
          <w:p>
            <w:pPr>
              <w:spacing w:after="0"/>
              <w:rPr>
                <w:sz w:val="1"/>
                <w:szCs w:val="1"/>
                <w:color w:val="auto"/>
              </w:rPr>
            </w:pPr>
          </w:p>
        </w:tc>
      </w:tr>
      <w:tr>
        <w:trPr>
          <w:trHeight w:val="192"/>
        </w:trPr>
        <w:tc>
          <w:tcPr>
            <w:tcW w:w="9260" w:type="dxa"/>
            <w:vAlign w:val="bottom"/>
            <w:gridSpan w:val="2"/>
          </w:tcPr>
          <w:p>
            <w:pPr>
              <w:spacing w:after="0" w:line="192" w:lineRule="exact"/>
              <w:rPr>
                <w:sz w:val="20"/>
                <w:szCs w:val="20"/>
                <w:color w:val="auto"/>
              </w:rPr>
            </w:pPr>
            <w:r>
              <w:rPr>
                <w:rFonts w:ascii="Arial" w:cs="Arial" w:eastAsia="Arial" w:hAnsi="Arial"/>
                <w:sz w:val="17"/>
                <w:szCs w:val="17"/>
                <w:color w:val="auto"/>
              </w:rPr>
              <w:t>Net Revenues</w:t>
            </w:r>
          </w:p>
        </w:tc>
        <w:tc>
          <w:tcPr>
            <w:tcW w:w="2160" w:type="dxa"/>
            <w:vAlign w:val="bottom"/>
            <w:gridSpan w:val="2"/>
          </w:tcPr>
          <w:p>
            <w:pPr>
              <w:jc w:val="center"/>
              <w:ind w:right="482"/>
              <w:spacing w:after="0" w:line="192" w:lineRule="exact"/>
              <w:rPr>
                <w:sz w:val="20"/>
                <w:szCs w:val="20"/>
                <w:color w:val="auto"/>
              </w:rPr>
            </w:pPr>
            <w:r>
              <w:rPr>
                <w:rFonts w:ascii="Arial" w:cs="Arial" w:eastAsia="Arial" w:hAnsi="Arial"/>
                <w:sz w:val="17"/>
                <w:szCs w:val="17"/>
                <w:color w:val="auto"/>
              </w:rPr>
              <w:t>0% to 200% of target</w:t>
            </w:r>
          </w:p>
        </w:tc>
        <w:tc>
          <w:tcPr>
            <w:tcW w:w="0" w:type="dxa"/>
            <w:vAlign w:val="bottom"/>
          </w:tcPr>
          <w:p>
            <w:pPr>
              <w:spacing w:after="0"/>
              <w:rPr>
                <w:sz w:val="1"/>
                <w:szCs w:val="1"/>
                <w:color w:val="auto"/>
              </w:rPr>
            </w:pPr>
          </w:p>
        </w:tc>
      </w:tr>
      <w:tr>
        <w:trPr>
          <w:trHeight w:val="193"/>
        </w:trPr>
        <w:tc>
          <w:tcPr>
            <w:tcW w:w="9260" w:type="dxa"/>
            <w:vAlign w:val="bottom"/>
            <w:tcBorders>
              <w:bottom w:val="single" w:sz="8" w:color="auto"/>
            </w:tcBorders>
            <w:gridSpan w:val="2"/>
          </w:tcPr>
          <w:p>
            <w:pPr>
              <w:spacing w:after="0" w:line="193" w:lineRule="exact"/>
              <w:rPr>
                <w:sz w:val="20"/>
                <w:szCs w:val="20"/>
                <w:color w:val="auto"/>
              </w:rPr>
            </w:pPr>
            <w:r>
              <w:rPr>
                <w:rFonts w:ascii="Arial" w:cs="Arial" w:eastAsia="Arial" w:hAnsi="Arial"/>
                <w:sz w:val="17"/>
                <w:szCs w:val="17"/>
                <w:color w:val="auto"/>
              </w:rPr>
              <w:t>Operating Margin</w:t>
            </w:r>
          </w:p>
        </w:tc>
        <w:tc>
          <w:tcPr>
            <w:tcW w:w="2160" w:type="dxa"/>
            <w:vAlign w:val="bottom"/>
            <w:tcBorders>
              <w:bottom w:val="single" w:sz="8" w:color="auto"/>
            </w:tcBorders>
            <w:gridSpan w:val="2"/>
          </w:tcPr>
          <w:p>
            <w:pPr>
              <w:jc w:val="center"/>
              <w:ind w:right="482"/>
              <w:spacing w:after="0" w:line="193" w:lineRule="exact"/>
              <w:rPr>
                <w:sz w:val="20"/>
                <w:szCs w:val="20"/>
                <w:color w:val="auto"/>
              </w:rPr>
            </w:pPr>
            <w:r>
              <w:rPr>
                <w:rFonts w:ascii="Arial" w:cs="Arial" w:eastAsia="Arial" w:hAnsi="Arial"/>
                <w:sz w:val="17"/>
                <w:szCs w:val="17"/>
                <w:color w:val="auto"/>
              </w:rPr>
              <w:t>0% to 200% of target</w:t>
            </w:r>
          </w:p>
        </w:tc>
        <w:tc>
          <w:tcPr>
            <w:tcW w:w="0" w:type="dxa"/>
            <w:vAlign w:val="bottom"/>
          </w:tcPr>
          <w:p>
            <w:pPr>
              <w:spacing w:after="0"/>
              <w:rPr>
                <w:sz w:val="1"/>
                <w:szCs w:val="1"/>
                <w:color w:val="auto"/>
              </w:rPr>
            </w:pPr>
          </w:p>
        </w:tc>
      </w:tr>
      <w:tr>
        <w:trPr>
          <w:trHeight w:val="202"/>
        </w:trPr>
        <w:tc>
          <w:tcPr>
            <w:tcW w:w="9260" w:type="dxa"/>
            <w:vAlign w:val="bottom"/>
            <w:tcBorders>
              <w:bottom w:val="single" w:sz="8" w:color="auto"/>
            </w:tcBorders>
            <w:gridSpan w:val="2"/>
          </w:tcPr>
          <w:p>
            <w:pPr>
              <w:spacing w:after="0"/>
              <w:rPr>
                <w:sz w:val="17"/>
                <w:szCs w:val="17"/>
                <w:color w:val="auto"/>
              </w:rPr>
            </w:pPr>
          </w:p>
        </w:tc>
        <w:tc>
          <w:tcPr>
            <w:tcW w:w="216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60" w:type="dxa"/>
            <w:vAlign w:val="bottom"/>
            <w:tcBorders>
              <w:bottom w:val="single" w:sz="8" w:color="auto"/>
            </w:tcBorders>
            <w:gridSpan w:val="2"/>
            <w:shd w:val="clear" w:color="auto" w:fill="E7E7E8"/>
          </w:tcPr>
          <w:p>
            <w:pPr>
              <w:spacing w:after="0" w:line="189" w:lineRule="exact"/>
              <w:rPr>
                <w:sz w:val="20"/>
                <w:szCs w:val="20"/>
                <w:color w:val="auto"/>
              </w:rPr>
            </w:pPr>
            <w:r>
              <w:rPr>
                <w:rFonts w:ascii="Arial" w:cs="Arial" w:eastAsia="Arial" w:hAnsi="Arial"/>
                <w:sz w:val="17"/>
                <w:szCs w:val="17"/>
                <w:b w:val="1"/>
                <w:bCs w:val="1"/>
                <w:color w:val="444867"/>
              </w:rPr>
              <w:t>Financial Goals</w:t>
            </w:r>
          </w:p>
        </w:tc>
        <w:tc>
          <w:tcPr>
            <w:tcW w:w="2160" w:type="dxa"/>
            <w:vAlign w:val="bottom"/>
            <w:tcBorders>
              <w:bottom w:val="single" w:sz="8" w:color="auto"/>
            </w:tcBorders>
            <w:gridSpan w:val="2"/>
            <w:shd w:val="clear" w:color="auto" w:fill="E7E7E8"/>
          </w:tcPr>
          <w:p>
            <w:pPr>
              <w:jc w:val="center"/>
              <w:ind w:right="482"/>
              <w:spacing w:after="0" w:line="189" w:lineRule="exact"/>
              <w:rPr>
                <w:sz w:val="20"/>
                <w:szCs w:val="20"/>
                <w:color w:val="auto"/>
              </w:rPr>
            </w:pPr>
            <w:r>
              <w:rPr>
                <w:rFonts w:ascii="Arial" w:cs="Arial" w:eastAsia="Arial" w:hAnsi="Arial"/>
                <w:sz w:val="17"/>
                <w:szCs w:val="17"/>
                <w:b w:val="1"/>
                <w:bCs w:val="1"/>
                <w:color w:val="444867"/>
                <w:w w:val="97"/>
              </w:rPr>
              <w:t>% Weighting</w:t>
            </w:r>
          </w:p>
        </w:tc>
        <w:tc>
          <w:tcPr>
            <w:tcW w:w="0" w:type="dxa"/>
            <w:vAlign w:val="bottom"/>
          </w:tcPr>
          <w:p>
            <w:pPr>
              <w:spacing w:after="0"/>
              <w:rPr>
                <w:sz w:val="1"/>
                <w:szCs w:val="1"/>
                <w:color w:val="auto"/>
              </w:rPr>
            </w:pPr>
          </w:p>
        </w:tc>
      </w:tr>
      <w:tr>
        <w:trPr>
          <w:trHeight w:val="192"/>
        </w:trPr>
        <w:tc>
          <w:tcPr>
            <w:tcW w:w="9260" w:type="dxa"/>
            <w:vAlign w:val="bottom"/>
            <w:gridSpan w:val="2"/>
          </w:tcPr>
          <w:p>
            <w:pPr>
              <w:spacing w:after="0" w:line="192" w:lineRule="exact"/>
              <w:rPr>
                <w:sz w:val="20"/>
                <w:szCs w:val="20"/>
                <w:color w:val="auto"/>
              </w:rPr>
            </w:pPr>
            <w:r>
              <w:rPr>
                <w:rFonts w:ascii="Arial" w:cs="Arial" w:eastAsia="Arial" w:hAnsi="Arial"/>
                <w:sz w:val="17"/>
                <w:szCs w:val="17"/>
                <w:color w:val="auto"/>
              </w:rPr>
              <w:t>Earnings Per Share</w:t>
            </w:r>
          </w:p>
        </w:tc>
        <w:tc>
          <w:tcPr>
            <w:tcW w:w="2160" w:type="dxa"/>
            <w:vAlign w:val="bottom"/>
            <w:gridSpan w:val="2"/>
          </w:tcPr>
          <w:p>
            <w:pPr>
              <w:jc w:val="center"/>
              <w:ind w:right="502"/>
              <w:spacing w:after="0" w:line="192" w:lineRule="exact"/>
              <w:rPr>
                <w:sz w:val="20"/>
                <w:szCs w:val="20"/>
                <w:color w:val="auto"/>
              </w:rPr>
            </w:pPr>
            <w:r>
              <w:rPr>
                <w:rFonts w:ascii="Arial" w:cs="Arial" w:eastAsia="Arial" w:hAnsi="Arial"/>
                <w:sz w:val="17"/>
                <w:szCs w:val="17"/>
                <w:color w:val="auto"/>
                <w:w w:val="99"/>
              </w:rPr>
              <w:t>20%</w:t>
            </w:r>
          </w:p>
        </w:tc>
        <w:tc>
          <w:tcPr>
            <w:tcW w:w="0" w:type="dxa"/>
            <w:vAlign w:val="bottom"/>
          </w:tcPr>
          <w:p>
            <w:pPr>
              <w:spacing w:after="0"/>
              <w:rPr>
                <w:sz w:val="1"/>
                <w:szCs w:val="1"/>
                <w:color w:val="auto"/>
              </w:rPr>
            </w:pPr>
          </w:p>
        </w:tc>
      </w:tr>
      <w:tr>
        <w:trPr>
          <w:trHeight w:val="193"/>
        </w:trPr>
        <w:tc>
          <w:tcPr>
            <w:tcW w:w="9260" w:type="dxa"/>
            <w:vAlign w:val="bottom"/>
            <w:tcBorders>
              <w:bottom w:val="single" w:sz="8" w:color="auto"/>
            </w:tcBorders>
            <w:gridSpan w:val="2"/>
          </w:tcPr>
          <w:p>
            <w:pPr>
              <w:spacing w:after="0" w:line="193" w:lineRule="exact"/>
              <w:rPr>
                <w:sz w:val="20"/>
                <w:szCs w:val="20"/>
                <w:color w:val="auto"/>
              </w:rPr>
            </w:pPr>
            <w:r>
              <w:rPr>
                <w:rFonts w:ascii="Arial" w:cs="Arial" w:eastAsia="Arial" w:hAnsi="Arial"/>
                <w:sz w:val="17"/>
                <w:szCs w:val="17"/>
                <w:color w:val="auto"/>
              </w:rPr>
              <w:t>Net Revenues, Income Before Taxes, Operating Margin, Humira Sales, and Return on Assets</w:t>
            </w:r>
          </w:p>
        </w:tc>
        <w:tc>
          <w:tcPr>
            <w:tcW w:w="2160" w:type="dxa"/>
            <w:vAlign w:val="bottom"/>
            <w:tcBorders>
              <w:bottom w:val="single" w:sz="8" w:color="auto"/>
            </w:tcBorders>
            <w:gridSpan w:val="2"/>
          </w:tcPr>
          <w:p>
            <w:pPr>
              <w:jc w:val="center"/>
              <w:ind w:right="482"/>
              <w:spacing w:after="0" w:line="193" w:lineRule="exact"/>
              <w:rPr>
                <w:sz w:val="20"/>
                <w:szCs w:val="20"/>
                <w:color w:val="auto"/>
              </w:rPr>
            </w:pPr>
            <w:r>
              <w:rPr>
                <w:rFonts w:ascii="Arial" w:cs="Arial" w:eastAsia="Arial" w:hAnsi="Arial"/>
                <w:sz w:val="17"/>
                <w:szCs w:val="17"/>
                <w:color w:val="auto"/>
              </w:rPr>
              <w:t>20% to 60%</w:t>
            </w:r>
          </w:p>
        </w:tc>
        <w:tc>
          <w:tcPr>
            <w:tcW w:w="0" w:type="dxa"/>
            <w:vAlign w:val="bottom"/>
          </w:tcPr>
          <w:p>
            <w:pPr>
              <w:spacing w:after="0"/>
              <w:rPr>
                <w:sz w:val="1"/>
                <w:szCs w:val="1"/>
                <w:color w:val="auto"/>
              </w:rPr>
            </w:pPr>
          </w:p>
        </w:tc>
      </w:tr>
      <w:tr>
        <w:trPr>
          <w:trHeight w:val="189"/>
        </w:trPr>
        <w:tc>
          <w:tcPr>
            <w:tcW w:w="926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b w:val="1"/>
                <w:bCs w:val="1"/>
                <w:color w:val="auto"/>
              </w:rPr>
              <w:t>Total Tied to Financial Goals</w:t>
            </w:r>
          </w:p>
        </w:tc>
        <w:tc>
          <w:tcPr>
            <w:tcW w:w="2160" w:type="dxa"/>
            <w:vAlign w:val="bottom"/>
            <w:tcBorders>
              <w:bottom w:val="single" w:sz="8" w:color="auto"/>
            </w:tcBorders>
            <w:gridSpan w:val="2"/>
          </w:tcPr>
          <w:p>
            <w:pPr>
              <w:jc w:val="center"/>
              <w:ind w:right="482"/>
              <w:spacing w:after="0" w:line="189" w:lineRule="exact"/>
              <w:rPr>
                <w:sz w:val="20"/>
                <w:szCs w:val="20"/>
                <w:color w:val="auto"/>
              </w:rPr>
            </w:pPr>
            <w:r>
              <w:rPr>
                <w:rFonts w:ascii="Arial" w:cs="Arial" w:eastAsia="Arial" w:hAnsi="Arial"/>
                <w:sz w:val="17"/>
                <w:szCs w:val="17"/>
                <w:b w:val="1"/>
                <w:bCs w:val="1"/>
                <w:color w:val="auto"/>
                <w:w w:val="98"/>
              </w:rPr>
              <w:t>40% to 80%</w:t>
            </w:r>
          </w:p>
        </w:tc>
        <w:tc>
          <w:tcPr>
            <w:tcW w:w="0" w:type="dxa"/>
            <w:vAlign w:val="bottom"/>
          </w:tcPr>
          <w:p>
            <w:pPr>
              <w:spacing w:after="0"/>
              <w:rPr>
                <w:sz w:val="1"/>
                <w:szCs w:val="1"/>
                <w:color w:val="auto"/>
              </w:rPr>
            </w:pPr>
          </w:p>
        </w:tc>
      </w:tr>
      <w:tr>
        <w:trPr>
          <w:trHeight w:val="202"/>
        </w:trPr>
        <w:tc>
          <w:tcPr>
            <w:tcW w:w="9260" w:type="dxa"/>
            <w:vAlign w:val="bottom"/>
            <w:tcBorders>
              <w:bottom w:val="single" w:sz="8" w:color="auto"/>
            </w:tcBorders>
            <w:gridSpan w:val="2"/>
          </w:tcPr>
          <w:p>
            <w:pPr>
              <w:spacing w:after="0"/>
              <w:rPr>
                <w:sz w:val="17"/>
                <w:szCs w:val="17"/>
                <w:color w:val="auto"/>
              </w:rPr>
            </w:pPr>
          </w:p>
        </w:tc>
        <w:tc>
          <w:tcPr>
            <w:tcW w:w="2160" w:type="dxa"/>
            <w:vAlign w:val="bottom"/>
            <w:tcBorders>
              <w:bottom w:val="single" w:sz="8" w:color="auto"/>
            </w:tcBorders>
            <w:gridSpan w:val="2"/>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9260" w:type="dxa"/>
            <w:vAlign w:val="bottom"/>
            <w:tcBorders>
              <w:bottom w:val="single" w:sz="8" w:color="auto"/>
            </w:tcBorders>
            <w:gridSpan w:val="2"/>
            <w:shd w:val="clear" w:color="auto" w:fill="E7E7E8"/>
          </w:tcPr>
          <w:p>
            <w:pPr>
              <w:spacing w:after="0" w:line="189" w:lineRule="exact"/>
              <w:rPr>
                <w:sz w:val="20"/>
                <w:szCs w:val="20"/>
                <w:color w:val="auto"/>
              </w:rPr>
            </w:pPr>
            <w:r>
              <w:rPr>
                <w:rFonts w:ascii="Arial" w:cs="Arial" w:eastAsia="Arial" w:hAnsi="Arial"/>
                <w:sz w:val="17"/>
                <w:szCs w:val="17"/>
                <w:b w:val="1"/>
                <w:bCs w:val="1"/>
                <w:color w:val="444867"/>
              </w:rPr>
              <w:t>Strategic/Leadership Goals</w:t>
            </w:r>
          </w:p>
        </w:tc>
        <w:tc>
          <w:tcPr>
            <w:tcW w:w="2160" w:type="dxa"/>
            <w:vAlign w:val="bottom"/>
            <w:tcBorders>
              <w:bottom w:val="single" w:sz="8" w:color="auto"/>
            </w:tcBorders>
            <w:gridSpan w:val="2"/>
            <w:shd w:val="clear" w:color="auto" w:fill="E7E7E8"/>
          </w:tcPr>
          <w:p>
            <w:pPr>
              <w:jc w:val="center"/>
              <w:ind w:right="482"/>
              <w:spacing w:after="0" w:line="189" w:lineRule="exact"/>
              <w:rPr>
                <w:sz w:val="20"/>
                <w:szCs w:val="20"/>
                <w:color w:val="auto"/>
              </w:rPr>
            </w:pPr>
            <w:r>
              <w:rPr>
                <w:rFonts w:ascii="Arial" w:cs="Arial" w:eastAsia="Arial" w:hAnsi="Arial"/>
                <w:sz w:val="17"/>
                <w:szCs w:val="17"/>
                <w:b w:val="1"/>
                <w:bCs w:val="1"/>
                <w:color w:val="444867"/>
                <w:w w:val="97"/>
              </w:rPr>
              <w:t>% Weighting</w:t>
            </w:r>
          </w:p>
        </w:tc>
        <w:tc>
          <w:tcPr>
            <w:tcW w:w="0" w:type="dxa"/>
            <w:vAlign w:val="bottom"/>
          </w:tcPr>
          <w:p>
            <w:pPr>
              <w:spacing w:after="0"/>
              <w:rPr>
                <w:sz w:val="1"/>
                <w:szCs w:val="1"/>
                <w:color w:val="auto"/>
              </w:rPr>
            </w:pPr>
          </w:p>
        </w:tc>
      </w:tr>
      <w:tr>
        <w:trPr>
          <w:trHeight w:val="192"/>
        </w:trPr>
        <w:tc>
          <w:tcPr>
            <w:tcW w:w="9260" w:type="dxa"/>
            <w:vAlign w:val="bottom"/>
            <w:gridSpan w:val="2"/>
          </w:tcPr>
          <w:p>
            <w:pPr>
              <w:spacing w:after="0" w:line="192" w:lineRule="exact"/>
              <w:rPr>
                <w:sz w:val="20"/>
                <w:szCs w:val="20"/>
                <w:color w:val="auto"/>
              </w:rPr>
            </w:pPr>
            <w:r>
              <w:rPr>
                <w:rFonts w:ascii="Arial" w:cs="Arial" w:eastAsia="Arial" w:hAnsi="Arial"/>
                <w:sz w:val="17"/>
                <w:szCs w:val="17"/>
                <w:color w:val="auto"/>
              </w:rPr>
              <w:t>R&amp;D/Biosimilars</w:t>
            </w:r>
          </w:p>
        </w:tc>
        <w:tc>
          <w:tcPr>
            <w:tcW w:w="420" w:type="dxa"/>
            <w:vAlign w:val="bottom"/>
          </w:tcPr>
          <w:p>
            <w:pPr>
              <w:spacing w:after="0"/>
              <w:rPr>
                <w:sz w:val="16"/>
                <w:szCs w:val="16"/>
                <w:color w:val="auto"/>
              </w:rPr>
            </w:pPr>
          </w:p>
        </w:tc>
        <w:tc>
          <w:tcPr>
            <w:tcW w:w="1740" w:type="dxa"/>
            <w:vAlign w:val="bottom"/>
          </w:tcPr>
          <w:p>
            <w:pPr>
              <w:ind w:left="20"/>
              <w:spacing w:after="0" w:line="192" w:lineRule="exact"/>
              <w:rPr>
                <w:sz w:val="20"/>
                <w:szCs w:val="20"/>
                <w:color w:val="auto"/>
              </w:rPr>
            </w:pPr>
            <w:r>
              <w:rPr>
                <w:rFonts w:ascii="Arial" w:cs="Arial" w:eastAsia="Arial" w:hAnsi="Arial"/>
                <w:sz w:val="17"/>
                <w:szCs w:val="17"/>
                <w:color w:val="auto"/>
              </w:rPr>
              <w:t>0% to 50%</w:t>
            </w:r>
          </w:p>
        </w:tc>
        <w:tc>
          <w:tcPr>
            <w:tcW w:w="0" w:type="dxa"/>
            <w:vAlign w:val="bottom"/>
          </w:tcPr>
          <w:p>
            <w:pPr>
              <w:spacing w:after="0"/>
              <w:rPr>
                <w:sz w:val="1"/>
                <w:szCs w:val="1"/>
                <w:color w:val="auto"/>
              </w:rPr>
            </w:pPr>
          </w:p>
        </w:tc>
      </w:tr>
      <w:tr>
        <w:trPr>
          <w:trHeight w:val="196"/>
        </w:trPr>
        <w:tc>
          <w:tcPr>
            <w:tcW w:w="9260" w:type="dxa"/>
            <w:vAlign w:val="bottom"/>
            <w:gridSpan w:val="2"/>
          </w:tcPr>
          <w:p>
            <w:pPr>
              <w:spacing w:after="0"/>
              <w:rPr>
                <w:sz w:val="20"/>
                <w:szCs w:val="20"/>
                <w:color w:val="auto"/>
              </w:rPr>
            </w:pPr>
            <w:r>
              <w:rPr>
                <w:rFonts w:ascii="Arial" w:cs="Arial" w:eastAsia="Arial" w:hAnsi="Arial"/>
                <w:sz w:val="17"/>
                <w:szCs w:val="17"/>
                <w:color w:val="auto"/>
              </w:rPr>
              <w:t>Business Development</w:t>
            </w:r>
          </w:p>
        </w:tc>
        <w:tc>
          <w:tcPr>
            <w:tcW w:w="420" w:type="dxa"/>
            <w:vAlign w:val="bottom"/>
          </w:tcPr>
          <w:p>
            <w:pPr>
              <w:spacing w:after="0"/>
              <w:rPr>
                <w:sz w:val="17"/>
                <w:szCs w:val="17"/>
                <w:color w:val="auto"/>
              </w:rPr>
            </w:pPr>
          </w:p>
        </w:tc>
        <w:tc>
          <w:tcPr>
            <w:tcW w:w="1740" w:type="dxa"/>
            <w:vAlign w:val="bottom"/>
          </w:tcPr>
          <w:p>
            <w:pPr>
              <w:ind w:left="20"/>
              <w:spacing w:after="0"/>
              <w:rPr>
                <w:sz w:val="20"/>
                <w:szCs w:val="20"/>
                <w:color w:val="auto"/>
              </w:rPr>
            </w:pPr>
            <w:r>
              <w:rPr>
                <w:rFonts w:ascii="Arial" w:cs="Arial" w:eastAsia="Arial" w:hAnsi="Arial"/>
                <w:sz w:val="17"/>
                <w:szCs w:val="17"/>
                <w:color w:val="auto"/>
              </w:rPr>
              <w:t>0% to 20%</w:t>
            </w:r>
          </w:p>
        </w:tc>
        <w:tc>
          <w:tcPr>
            <w:tcW w:w="0" w:type="dxa"/>
            <w:vAlign w:val="bottom"/>
          </w:tcPr>
          <w:p>
            <w:pPr>
              <w:spacing w:after="0"/>
              <w:rPr>
                <w:sz w:val="1"/>
                <w:szCs w:val="1"/>
                <w:color w:val="auto"/>
              </w:rPr>
            </w:pPr>
          </w:p>
        </w:tc>
      </w:tr>
      <w:tr>
        <w:trPr>
          <w:trHeight w:val="193"/>
        </w:trPr>
        <w:tc>
          <w:tcPr>
            <w:tcW w:w="9260" w:type="dxa"/>
            <w:vAlign w:val="bottom"/>
            <w:tcBorders>
              <w:bottom w:val="single" w:sz="8" w:color="auto"/>
            </w:tcBorders>
            <w:gridSpan w:val="2"/>
          </w:tcPr>
          <w:p>
            <w:pPr>
              <w:spacing w:after="0" w:line="193" w:lineRule="exact"/>
              <w:rPr>
                <w:sz w:val="20"/>
                <w:szCs w:val="20"/>
                <w:color w:val="auto"/>
              </w:rPr>
            </w:pPr>
            <w:r>
              <w:rPr>
                <w:rFonts w:ascii="Arial" w:cs="Arial" w:eastAsia="Arial" w:hAnsi="Arial"/>
                <w:sz w:val="17"/>
                <w:szCs w:val="17"/>
                <w:color w:val="auto"/>
              </w:rPr>
              <w:t>Other (including strategic initiatives, etc.)</w:t>
            </w:r>
          </w:p>
        </w:tc>
        <w:tc>
          <w:tcPr>
            <w:tcW w:w="4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ind w:left="20"/>
              <w:spacing w:after="0" w:line="193" w:lineRule="exact"/>
              <w:rPr>
                <w:sz w:val="20"/>
                <w:szCs w:val="20"/>
                <w:color w:val="auto"/>
              </w:rPr>
            </w:pPr>
            <w:r>
              <w:rPr>
                <w:rFonts w:ascii="Arial" w:cs="Arial" w:eastAsia="Arial" w:hAnsi="Arial"/>
                <w:sz w:val="17"/>
                <w:szCs w:val="17"/>
                <w:color w:val="auto"/>
              </w:rPr>
              <w:t>0% to 30%</w:t>
            </w:r>
          </w:p>
        </w:tc>
        <w:tc>
          <w:tcPr>
            <w:tcW w:w="0" w:type="dxa"/>
            <w:vAlign w:val="bottom"/>
          </w:tcPr>
          <w:p>
            <w:pPr>
              <w:spacing w:after="0"/>
              <w:rPr>
                <w:sz w:val="1"/>
                <w:szCs w:val="1"/>
                <w:color w:val="auto"/>
              </w:rPr>
            </w:pPr>
          </w:p>
        </w:tc>
      </w:tr>
      <w:tr>
        <w:trPr>
          <w:trHeight w:val="189"/>
        </w:trPr>
        <w:tc>
          <w:tcPr>
            <w:tcW w:w="9260" w:type="dxa"/>
            <w:vAlign w:val="bottom"/>
            <w:tcBorders>
              <w:bottom w:val="single" w:sz="8" w:color="auto"/>
            </w:tcBorders>
            <w:gridSpan w:val="2"/>
          </w:tcPr>
          <w:p>
            <w:pPr>
              <w:spacing w:after="0" w:line="189" w:lineRule="exact"/>
              <w:rPr>
                <w:sz w:val="20"/>
                <w:szCs w:val="20"/>
                <w:color w:val="auto"/>
              </w:rPr>
            </w:pPr>
            <w:r>
              <w:rPr>
                <w:rFonts w:ascii="Arial" w:cs="Arial" w:eastAsia="Arial" w:hAnsi="Arial"/>
                <w:sz w:val="17"/>
                <w:szCs w:val="17"/>
                <w:b w:val="1"/>
                <w:bCs w:val="1"/>
                <w:color w:val="auto"/>
              </w:rPr>
              <w:t>Total Tied to Strategic/Leadership Goals</w:t>
            </w:r>
          </w:p>
        </w:tc>
        <w:tc>
          <w:tcPr>
            <w:tcW w:w="2160" w:type="dxa"/>
            <w:vAlign w:val="bottom"/>
            <w:tcBorders>
              <w:bottom w:val="single" w:sz="8" w:color="auto"/>
            </w:tcBorders>
            <w:gridSpan w:val="2"/>
          </w:tcPr>
          <w:p>
            <w:pPr>
              <w:jc w:val="center"/>
              <w:ind w:right="482"/>
              <w:spacing w:after="0" w:line="189" w:lineRule="exact"/>
              <w:rPr>
                <w:sz w:val="20"/>
                <w:szCs w:val="20"/>
                <w:color w:val="auto"/>
              </w:rPr>
            </w:pPr>
            <w:r>
              <w:rPr>
                <w:rFonts w:ascii="Arial" w:cs="Arial" w:eastAsia="Arial" w:hAnsi="Arial"/>
                <w:sz w:val="17"/>
                <w:szCs w:val="17"/>
                <w:b w:val="1"/>
                <w:bCs w:val="1"/>
                <w:color w:val="auto"/>
                <w:w w:val="98"/>
              </w:rPr>
              <w:t>20% to 60%</w:t>
            </w:r>
          </w:p>
        </w:tc>
        <w:tc>
          <w:tcPr>
            <w:tcW w:w="0" w:type="dxa"/>
            <w:vAlign w:val="bottom"/>
          </w:tcPr>
          <w:p>
            <w:pPr>
              <w:spacing w:after="0"/>
              <w:rPr>
                <w:sz w:val="1"/>
                <w:szCs w:val="1"/>
                <w:color w:val="auto"/>
              </w:rPr>
            </w:pPr>
          </w:p>
        </w:tc>
      </w:tr>
    </w:tbl>
    <w:p>
      <w:pPr>
        <w:spacing w:after="0" w:line="212" w:lineRule="exact"/>
        <w:rPr>
          <w:sz w:val="20"/>
          <w:szCs w:val="20"/>
          <w:color w:val="auto"/>
        </w:rPr>
      </w:pPr>
    </w:p>
    <w:p>
      <w:pPr>
        <w:ind w:right="80" w:firstLine="651"/>
        <w:spacing w:after="0" w:line="243" w:lineRule="auto"/>
        <w:rPr>
          <w:sz w:val="20"/>
          <w:szCs w:val="20"/>
          <w:color w:val="auto"/>
        </w:rPr>
      </w:pPr>
      <w:r>
        <w:rPr>
          <w:rFonts w:ascii="Arial" w:cs="Arial" w:eastAsia="Arial" w:hAnsi="Arial"/>
          <w:sz w:val="17"/>
          <w:szCs w:val="17"/>
          <w:color w:val="auto"/>
        </w:rPr>
        <w:t>Assessments of performance against financial results consider the effect of specified adjustments and/or unusual or unpredictable events, and the appropriateness of these adjustments is reviewed annually by the committee. In 2015, specified adjustments consisted of other revenue, intangible asset amortization, research and development, collaboration and transaction costs, acquired in process research and development, separation costs, restructuring, legal reserves, and other items, as described in Exhibit 99.1 to AbbVie's Form 8-K filed on January 29, 2016.</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PIP is intended to comply with the requirements of Internal Revenue Code Section 162(m) for performance-based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Long-Term Incentives—2015 Awards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Performance-Vested Restricted Stock</w:t>
      </w:r>
    </w:p>
    <w:p>
      <w:pPr>
        <w:spacing w:after="0" w:line="230" w:lineRule="exact"/>
        <w:rPr>
          <w:sz w:val="20"/>
          <w:szCs w:val="20"/>
          <w:color w:val="auto"/>
        </w:rPr>
      </w:pPr>
    </w:p>
    <w:p>
      <w:pPr>
        <w:ind w:firstLine="661"/>
        <w:spacing w:after="0" w:line="245" w:lineRule="auto"/>
        <w:rPr>
          <w:sz w:val="20"/>
          <w:szCs w:val="20"/>
          <w:color w:val="auto"/>
        </w:rPr>
      </w:pPr>
      <w:r>
        <w:rPr>
          <w:rFonts w:ascii="Arial" w:cs="Arial" w:eastAsia="Arial" w:hAnsi="Arial"/>
          <w:sz w:val="17"/>
          <w:szCs w:val="17"/>
          <w:color w:val="auto"/>
        </w:rPr>
        <w:t>Performance-vested restricted stock was 75% of the total long-term incentive (LTI) value delivered to the NEOs in 2015. AbbVie's performance-vested restricted stock awards (or restricted stock units where required outside the U.S.) are subject to the following terms, including a performance metric that prevents awards from vesting if pre-established goals are not met:</w:t>
      </w:r>
    </w:p>
    <w:p>
      <w:pPr>
        <w:spacing w:after="0" w:line="178" w:lineRule="exact"/>
        <w:rPr>
          <w:sz w:val="20"/>
          <w:szCs w:val="20"/>
          <w:color w:val="auto"/>
        </w:rPr>
      </w:pPr>
    </w:p>
    <w:p>
      <w:pPr>
        <w:ind w:left="520" w:hanging="515"/>
        <w:spacing w:after="0"/>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Each award has a five-year term.</w:t>
      </w:r>
    </w:p>
    <w:p>
      <w:pPr>
        <w:spacing w:after="0" w:line="209" w:lineRule="exact"/>
        <w:rPr>
          <w:rFonts w:ascii="Arial" w:cs="Arial" w:eastAsia="Arial" w:hAnsi="Arial"/>
          <w:sz w:val="17"/>
          <w:szCs w:val="17"/>
          <w:color w:val="auto"/>
        </w:rPr>
      </w:pPr>
    </w:p>
    <w:p>
      <w:pPr>
        <w:ind w:left="520" w:right="100" w:hanging="515"/>
        <w:spacing w:after="0" w:line="249" w:lineRule="auto"/>
        <w:tabs>
          <w:tab w:leader="none" w:pos="520" w:val="left"/>
        </w:tabs>
        <w:numPr>
          <w:ilvl w:val="0"/>
          <w:numId w:val="26"/>
        </w:numPr>
        <w:rPr>
          <w:rFonts w:ascii="Arial" w:cs="Arial" w:eastAsia="Arial" w:hAnsi="Arial"/>
          <w:sz w:val="17"/>
          <w:szCs w:val="17"/>
          <w:color w:val="auto"/>
        </w:rPr>
      </w:pPr>
      <w:r>
        <w:rPr>
          <w:rFonts w:ascii="Arial" w:cs="Arial" w:eastAsia="Arial" w:hAnsi="Arial"/>
          <w:sz w:val="17"/>
          <w:szCs w:val="17"/>
          <w:b w:val="1"/>
          <w:bCs w:val="1"/>
          <w:color w:val="auto"/>
        </w:rPr>
        <w:t xml:space="preserve">Return on Equity (ROE) Performance Metric. </w:t>
      </w:r>
      <w:r>
        <w:rPr>
          <w:rFonts w:ascii="Arial" w:cs="Arial" w:eastAsia="Arial" w:hAnsi="Arial"/>
          <w:sz w:val="17"/>
          <w:szCs w:val="17"/>
          <w:color w:val="auto"/>
        </w:rPr>
        <w:t>During the term of the award, one-third of the award vests in each year that AbbVie's prior year</w:t>
      </w:r>
      <w:r>
        <w:rPr>
          <w:rFonts w:ascii="Arial" w:cs="Arial" w:eastAsia="Arial" w:hAnsi="Arial"/>
          <w:sz w:val="17"/>
          <w:szCs w:val="17"/>
          <w:b w:val="1"/>
          <w:bCs w:val="1"/>
          <w:color w:val="auto"/>
        </w:rPr>
        <w:t xml:space="preserve"> </w:t>
      </w:r>
      <w:r>
        <w:rPr>
          <w:rFonts w:ascii="Arial" w:cs="Arial" w:eastAsia="Arial" w:hAnsi="Arial"/>
          <w:sz w:val="17"/>
          <w:szCs w:val="17"/>
          <w:color w:val="auto"/>
        </w:rPr>
        <w:t>ROE meets or exceeds the performance goal. Unlike performance-based awards that can increase or decrease relative to a target amount, these are performance-vested awards that cannot be released to the NEO unless the ROE performance goal is achieved during the term of the award. If the thresholds are met in three of the five years, 100% of the performance-vested shares vest. If the thresholds are missed in all five years, 100% of the performance-vested shares will be forfeited.</w:t>
      </w:r>
    </w:p>
    <w:p>
      <w:pPr>
        <w:spacing w:after="0" w:line="189"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38" w:name="page39"/>
    <w:bookmarkEnd w:id="38"/>
    <w:p>
      <w:pPr>
        <w:spacing w:after="0" w:line="197" w:lineRule="auto"/>
        <w:framePr w:w="1540" w:h="95" w:wrap="auto" w:vAnchor="page" w:hAnchor="page" w:x="420" w:y="594"/>
        <w:rPr>
          <w:rFonts w:ascii="Arial" w:cs="Arial" w:eastAsia="Arial" w:hAnsi="Arial"/>
          <w:sz w:val="10"/>
          <w:szCs w:val="10"/>
          <w:b w:val="1"/>
          <w:bCs w:val="1"/>
          <w:color w:val="FFFFFE"/>
        </w:rPr>
      </w:pPr>
      <w:r>
        <w:rPr>
          <w:rFonts w:ascii="Arial" w:cs="Arial" w:eastAsia="Arial" w:hAnsi="Arial"/>
          <w:sz w:val="10"/>
          <w:szCs w:val="10"/>
          <w:b w:val="1"/>
          <w:bCs w:val="1"/>
          <w:color w:val="FFFFFE"/>
        </w:rPr>
        <w:t>EXECUTIVE COMPENSATION</w:t>
      </w: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90" w:lineRule="exact"/>
        <w:rPr>
          <w:rFonts w:ascii="Arial" w:cs="Arial" w:eastAsia="Arial" w:hAnsi="Arial"/>
          <w:sz w:val="10"/>
          <w:szCs w:val="10"/>
          <w:b w:val="1"/>
          <w:bCs w:val="1"/>
          <w:color w:val="FFFFFE"/>
        </w:rPr>
      </w:pPr>
    </w:p>
    <w:p>
      <w:pPr>
        <w:ind w:left="1740"/>
        <w:spacing w:after="0" w:line="26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Setting the ROE Performance Target.</w:t>
      </w:r>
      <w:r>
        <w:rPr>
          <w:rFonts w:ascii="Arial" w:cs="Arial" w:eastAsia="Arial" w:hAnsi="Arial"/>
          <w:sz w:val="16"/>
          <w:szCs w:val="16"/>
          <w:color w:val="auto"/>
        </w:rPr>
        <w:t xml:space="preserve"> The compensation committee considers the company's operating plan, the company's historic performance, peer-group performance, the company's pipeline, and anticipated business and market conditions when</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3175</wp:posOffset>
            </wp:positionH>
            <wp:positionV relativeFrom="paragraph">
              <wp:posOffset>-249555</wp:posOffset>
            </wp:positionV>
            <wp:extent cx="1103630" cy="14097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ind w:left="520"/>
        <w:spacing w:after="0"/>
        <w:rPr>
          <w:sz w:val="20"/>
          <w:szCs w:val="20"/>
          <w:color w:val="auto"/>
        </w:rPr>
      </w:pPr>
      <w:r>
        <w:rPr>
          <w:rFonts w:ascii="Arial" w:cs="Arial" w:eastAsia="Arial" w:hAnsi="Arial"/>
          <w:sz w:val="17"/>
          <w:szCs w:val="17"/>
          <w:color w:val="auto"/>
        </w:rPr>
        <w:t>setting the ROE target.</w:t>
      </w:r>
    </w:p>
    <w:p>
      <w:pPr>
        <w:spacing w:after="0" w:line="190" w:lineRule="exact"/>
        <w:rPr>
          <w:rFonts w:ascii="Arial" w:cs="Arial" w:eastAsia="Arial" w:hAnsi="Arial"/>
          <w:sz w:val="10"/>
          <w:szCs w:val="10"/>
          <w:b w:val="1"/>
          <w:bCs w:val="1"/>
          <w:color w:val="FFFFFE"/>
        </w:rPr>
      </w:pPr>
    </w:p>
    <w:p>
      <w:pPr>
        <w:ind w:left="520" w:hanging="515"/>
        <w:spacing w:after="0"/>
        <w:tabs>
          <w:tab w:leader="none" w:pos="520" w:val="left"/>
        </w:tabs>
        <w:numPr>
          <w:ilvl w:val="0"/>
          <w:numId w:val="27"/>
        </w:numPr>
        <w:rPr>
          <w:rFonts w:ascii="Arial" w:cs="Arial" w:eastAsia="Arial" w:hAnsi="Arial"/>
          <w:sz w:val="17"/>
          <w:szCs w:val="17"/>
          <w:color w:val="auto"/>
        </w:rPr>
      </w:pPr>
      <w:r>
        <w:rPr>
          <w:rFonts w:ascii="Arial" w:cs="Arial" w:eastAsia="Arial" w:hAnsi="Arial"/>
          <w:sz w:val="17"/>
          <w:szCs w:val="17"/>
          <w:b w:val="1"/>
          <w:bCs w:val="1"/>
          <w:color w:val="auto"/>
        </w:rPr>
        <w:t xml:space="preserve">Dividends. </w:t>
      </w:r>
      <w:r>
        <w:rPr>
          <w:rFonts w:ascii="Arial" w:cs="Arial" w:eastAsia="Arial" w:hAnsi="Arial"/>
          <w:sz w:val="17"/>
          <w:szCs w:val="17"/>
          <w:color w:val="auto"/>
        </w:rPr>
        <w:t>These awards receive dividends (or dividend-equivalent payments in the case of restricted stock units) during the vesting term.</w:t>
      </w:r>
    </w:p>
    <w:p>
      <w:pPr>
        <w:spacing w:after="0" w:line="210"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b w:val="1"/>
          <w:bCs w:val="1"/>
          <w:color w:val="444867"/>
        </w:rPr>
        <w:t>Non-Qualified Stock Options</w:t>
      </w:r>
    </w:p>
    <w:p>
      <w:pPr>
        <w:spacing w:after="0" w:line="230" w:lineRule="exact"/>
        <w:rPr>
          <w:rFonts w:ascii="Arial" w:cs="Arial" w:eastAsia="Arial" w:hAnsi="Arial"/>
          <w:sz w:val="10"/>
          <w:szCs w:val="10"/>
          <w:b w:val="1"/>
          <w:bCs w:val="1"/>
          <w:color w:val="FFFFFE"/>
        </w:rPr>
      </w:pPr>
    </w:p>
    <w:p>
      <w:pPr>
        <w:ind w:left="660"/>
        <w:spacing w:after="0"/>
        <w:rPr>
          <w:sz w:val="20"/>
          <w:szCs w:val="20"/>
          <w:color w:val="auto"/>
        </w:rPr>
      </w:pPr>
      <w:r>
        <w:rPr>
          <w:rFonts w:ascii="Arial" w:cs="Arial" w:eastAsia="Arial" w:hAnsi="Arial"/>
          <w:sz w:val="17"/>
          <w:szCs w:val="17"/>
          <w:color w:val="auto"/>
        </w:rPr>
        <w:t>Stock options were 25% of the total LTI value delivered to the NEOs in 2015. AbbVie's stock options are subject to the following terms:</w:t>
      </w:r>
    </w:p>
    <w:p>
      <w:pPr>
        <w:spacing w:after="0" w:line="190" w:lineRule="exact"/>
        <w:rPr>
          <w:rFonts w:ascii="Arial" w:cs="Arial" w:eastAsia="Arial" w:hAnsi="Arial"/>
          <w:sz w:val="10"/>
          <w:szCs w:val="10"/>
          <w:b w:val="1"/>
          <w:bCs w:val="1"/>
          <w:color w:val="FFFFFE"/>
        </w:rPr>
      </w:pPr>
    </w:p>
    <w:p>
      <w:pPr>
        <w:ind w:left="520" w:hanging="515"/>
        <w:spacing w:after="0"/>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Term. </w:t>
      </w:r>
      <w:r>
        <w:rPr>
          <w:rFonts w:ascii="Arial" w:cs="Arial" w:eastAsia="Arial" w:hAnsi="Arial"/>
          <w:sz w:val="17"/>
          <w:szCs w:val="17"/>
          <w:color w:val="auto"/>
        </w:rPr>
        <w:t>Each option has a ten-year term.</w:t>
      </w:r>
    </w:p>
    <w:p>
      <w:pPr>
        <w:spacing w:after="0" w:line="196" w:lineRule="exact"/>
        <w:rPr>
          <w:rFonts w:ascii="Arial" w:cs="Arial" w:eastAsia="Arial" w:hAnsi="Arial"/>
          <w:sz w:val="17"/>
          <w:szCs w:val="17"/>
          <w:color w:val="auto"/>
        </w:rPr>
      </w:pPr>
    </w:p>
    <w:p>
      <w:pPr>
        <w:ind w:left="520" w:hanging="515"/>
        <w:spacing w:after="0"/>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Price. </w:t>
      </w:r>
      <w:r>
        <w:rPr>
          <w:rFonts w:ascii="Arial" w:cs="Arial" w:eastAsia="Arial" w:hAnsi="Arial"/>
          <w:sz w:val="17"/>
          <w:szCs w:val="17"/>
          <w:color w:val="auto"/>
        </w:rPr>
        <w:t>The option exercise price is set at or above fair market value on the date of grant. AbbVie has never granted discounted stock options.</w:t>
      </w:r>
    </w:p>
    <w:p>
      <w:pPr>
        <w:spacing w:after="0" w:line="209" w:lineRule="exact"/>
        <w:rPr>
          <w:rFonts w:ascii="Arial" w:cs="Arial" w:eastAsia="Arial" w:hAnsi="Arial"/>
          <w:sz w:val="17"/>
          <w:szCs w:val="17"/>
          <w:color w:val="auto"/>
        </w:rPr>
      </w:pPr>
    </w:p>
    <w:p>
      <w:pPr>
        <w:ind w:left="520" w:hanging="515"/>
        <w:spacing w:after="0"/>
        <w:tabs>
          <w:tab w:leader="none" w:pos="520" w:val="left"/>
        </w:tabs>
        <w:numPr>
          <w:ilvl w:val="0"/>
          <w:numId w:val="28"/>
        </w:numPr>
        <w:rPr>
          <w:rFonts w:ascii="Arial" w:cs="Arial" w:eastAsia="Arial" w:hAnsi="Arial"/>
          <w:sz w:val="17"/>
          <w:szCs w:val="17"/>
          <w:color w:val="auto"/>
        </w:rPr>
      </w:pPr>
      <w:r>
        <w:rPr>
          <w:rFonts w:ascii="Arial" w:cs="Arial" w:eastAsia="Arial" w:hAnsi="Arial"/>
          <w:sz w:val="17"/>
          <w:szCs w:val="17"/>
          <w:b w:val="1"/>
          <w:bCs w:val="1"/>
          <w:color w:val="auto"/>
        </w:rPr>
        <w:t xml:space="preserve">Vesting. </w:t>
      </w:r>
      <w:r>
        <w:rPr>
          <w:rFonts w:ascii="Arial" w:cs="Arial" w:eastAsia="Arial" w:hAnsi="Arial"/>
          <w:sz w:val="17"/>
          <w:szCs w:val="17"/>
          <w:color w:val="auto"/>
        </w:rPr>
        <w:t>One third of the award may vest each year after the date of the grant.</w:t>
      </w:r>
    </w:p>
    <w:p>
      <w:pPr>
        <w:spacing w:after="0" w:line="230" w:lineRule="exact"/>
        <w:rPr>
          <w:rFonts w:ascii="Arial" w:cs="Arial" w:eastAsia="Arial" w:hAnsi="Arial"/>
          <w:sz w:val="10"/>
          <w:szCs w:val="10"/>
          <w:b w:val="1"/>
          <w:bCs w:val="1"/>
          <w:color w:val="FFFFFE"/>
        </w:rPr>
      </w:pPr>
    </w:p>
    <w:p>
      <w:pPr>
        <w:ind w:right="40" w:firstLine="651"/>
        <w:spacing w:after="0" w:line="242" w:lineRule="auto"/>
        <w:rPr>
          <w:sz w:val="20"/>
          <w:szCs w:val="20"/>
          <w:color w:val="auto"/>
        </w:rPr>
      </w:pPr>
      <w:r>
        <w:rPr>
          <w:rFonts w:ascii="Arial" w:cs="Arial" w:eastAsia="Arial" w:hAnsi="Arial"/>
          <w:sz w:val="17"/>
          <w:szCs w:val="17"/>
          <w:color w:val="auto"/>
        </w:rPr>
        <w:t>AbbVie's policy with respect to its annual equity award for all eligible employees, including the NEOs, is to grant the award and set the grant price at the compensation committee's regularly scheduled February meeting each year. These meeting dates generally are the third Thursday of February and are scheduled two years in advance. The grant price is the average of the highest and lowest trading prices of a common share on the date of the grant (rounded up to the next even penny). The grant price for the 2015 annual grant was $58.88. The high, low and closing prices of an AbbVie common share on the grant date (February 19, 2015) were $59.08, $58.65, and $59.00, respectively. All LTI awards are subject to a minimum vesting period of 12 months.</w:t>
      </w:r>
    </w:p>
    <w:p>
      <w:pPr>
        <w:spacing w:after="0" w:line="197" w:lineRule="exact"/>
        <w:rPr>
          <w:rFonts w:ascii="Arial" w:cs="Arial" w:eastAsia="Arial" w:hAnsi="Arial"/>
          <w:sz w:val="10"/>
          <w:szCs w:val="10"/>
          <w:b w:val="1"/>
          <w:bCs w:val="1"/>
          <w:color w:val="FFFFFE"/>
        </w:rPr>
      </w:pPr>
    </w:p>
    <w:p>
      <w:pPr>
        <w:ind w:left="60"/>
        <w:spacing w:after="0"/>
        <w:rPr>
          <w:sz w:val="20"/>
          <w:szCs w:val="20"/>
          <w:color w:val="auto"/>
        </w:rPr>
      </w:pPr>
      <w:r>
        <w:rPr>
          <w:rFonts w:ascii="Arial" w:cs="Arial" w:eastAsia="Arial" w:hAnsi="Arial"/>
          <w:sz w:val="17"/>
          <w:szCs w:val="17"/>
          <w:b w:val="1"/>
          <w:bCs w:val="1"/>
          <w:color w:val="auto"/>
        </w:rPr>
        <w:t xml:space="preserve">36  </w:t>
      </w:r>
      <w:r>
        <w:rPr>
          <w:sz w:val="1"/>
          <w:szCs w:val="1"/>
          <w:color w:val="auto"/>
        </w:rPr>
        <w:drawing>
          <wp:inline distT="0" distB="0" distL="0" distR="0">
            <wp:extent cx="622300" cy="107950"/>
            <wp:effectExtent l="0" t="0" r="0" b="0"/>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260"/>
          </w:cols>
          <w:pgMar w:left="240" w:top="143" w:right="399" w:bottom="1440" w:gutter="0" w:footer="0" w:header="0"/>
        </w:sectPr>
      </w:pPr>
    </w:p>
    <w:bookmarkStart w:id="39" w:name="page40"/>
    <w:bookmarkEnd w:id="3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9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444867"/>
        </w:rPr>
        <w:t>Long-Term Incentives—2016 Redesign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0"/>
          <w:szCs w:val="10"/>
          <w:b w:val="1"/>
          <w:bCs w:val="1"/>
          <w:color w:val="FFFFF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-95885</wp:posOffset>
            </wp:positionV>
            <wp:extent cx="1103630" cy="14097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214" w:lineRule="exact"/>
        <w:rPr>
          <w:sz w:val="20"/>
          <w:szCs w:val="20"/>
          <w:color w:val="auto"/>
        </w:rPr>
      </w:pPr>
    </w:p>
    <w:p>
      <w:pPr>
        <w:sectPr>
          <w:pgSz w:w="11900" w:h="16838" w:orient="portrait"/>
          <w:cols w:equalWidth="0" w:num="2">
            <w:col w:w="9020" w:space="720"/>
            <w:col w:w="1680"/>
          </w:cols>
          <w:pgMar w:left="240" w:top="143" w:right="239" w:bottom="1440" w:gutter="0" w:footer="0" w:header="0"/>
        </w:sectPr>
      </w:pPr>
    </w:p>
    <w:p>
      <w:pPr>
        <w:spacing w:after="0" w:line="41" w:lineRule="exact"/>
        <w:rPr>
          <w:sz w:val="20"/>
          <w:szCs w:val="20"/>
          <w:color w:val="auto"/>
        </w:rPr>
      </w:pPr>
    </w:p>
    <w:p>
      <w:pPr>
        <w:ind w:right="20" w:firstLine="651"/>
        <w:spacing w:after="0" w:line="243" w:lineRule="auto"/>
        <w:rPr>
          <w:sz w:val="20"/>
          <w:szCs w:val="20"/>
          <w:color w:val="auto"/>
        </w:rPr>
      </w:pPr>
      <w:r>
        <w:rPr>
          <w:rFonts w:ascii="Arial" w:cs="Arial" w:eastAsia="Arial" w:hAnsi="Arial"/>
          <w:sz w:val="17"/>
          <w:szCs w:val="17"/>
          <w:color w:val="auto"/>
        </w:rPr>
        <w:t>AbbVie redesigned its LTI program effective with the 2016 annual grant, based in part on feedback from stockholders. The new design increases the alignment of AbbVie's long-term incentive compensation with key operational and financial initiatives, including sustained EPS growth and generation of superior investment returns relative to peers. In 2016, NEOs received LTI awards with the following characteristics as compared to the 2015 LTI awards:</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Evolution of Long-Term Incentive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791210</wp:posOffset>
            </wp:positionH>
            <wp:positionV relativeFrom="paragraph">
              <wp:posOffset>143510</wp:posOffset>
            </wp:positionV>
            <wp:extent cx="5683250" cy="304482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683250" cy="3044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40" w:right="180" w:hanging="513"/>
        <w:spacing w:after="0" w:line="249"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Performance Shares (40% of total LTI award)</w:t>
      </w:r>
      <w:r>
        <w:rPr>
          <w:rFonts w:ascii="Arial" w:cs="Arial" w:eastAsia="Arial" w:hAnsi="Arial"/>
          <w:sz w:val="17"/>
          <w:szCs w:val="17"/>
          <w:color w:val="auto"/>
        </w:rPr>
        <w:t>—These awards have the potential to vest at 0% to 250% of target after a three-year</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period and are earned based on company performance in earnings per share (EPS) and relative total stockholder return (TSR). TSR performance is measured relative to a group made up of companies that are constituents in either the S&amp;P Pharmaceutical, Biotech, and Life Science Index or the NYSE Arca Pharmaceutical Index. Dividends on performance shares accrue during the performance period and are paid at vesting only to the extent that shares are earned.</w:t>
      </w:r>
    </w:p>
    <w:p>
      <w:pPr>
        <w:spacing w:after="0" w:line="174" w:lineRule="exact"/>
        <w:rPr>
          <w:rFonts w:ascii="Arial" w:cs="Arial" w:eastAsia="Arial" w:hAnsi="Arial"/>
          <w:sz w:val="17"/>
          <w:szCs w:val="17"/>
          <w:color w:val="auto"/>
        </w:rPr>
      </w:pPr>
    </w:p>
    <w:p>
      <w:pPr>
        <w:ind w:left="1040" w:right="60" w:hanging="513"/>
        <w:spacing w:after="0" w:line="249"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Performance-Vested Restricted Stock (40% of total LTI award)</w:t>
      </w:r>
      <w:r>
        <w:rPr>
          <w:rFonts w:ascii="Arial" w:cs="Arial" w:eastAsia="Arial" w:hAnsi="Arial"/>
          <w:sz w:val="17"/>
          <w:szCs w:val="17"/>
          <w:color w:val="auto"/>
        </w:rPr>
        <w:t>—These awards have the potential to vest at 0% to 150% of target, in</w:t>
      </w:r>
      <w:r>
        <w:rPr>
          <w:rFonts w:ascii="Arial" w:cs="Arial" w:eastAsia="Arial" w:hAnsi="Arial"/>
          <w:sz w:val="17"/>
          <w:szCs w:val="17"/>
          <w:b w:val="1"/>
          <w:bCs w:val="1"/>
          <w:color w:val="auto"/>
        </w:rPr>
        <w:t xml:space="preserve"> </w:t>
      </w:r>
      <w:r>
        <w:rPr>
          <w:rFonts w:ascii="Arial" w:cs="Arial" w:eastAsia="Arial" w:hAnsi="Arial"/>
          <w:sz w:val="17"/>
          <w:szCs w:val="17"/>
          <w:color w:val="auto"/>
        </w:rPr>
        <w:t>one-third increments during a three-year performance term based on AbbVie's return on equity articulated as pre-set goals and measured relative to a group made up of companies that are constituents in either the S&amp;P Pharmaceutical, Biotech, and Life Science Index or the NYSE Arca Pharmaceutical Index. Dividends accrue during the performance period and are paid at vesting only to the extent that shares are earned.</w:t>
      </w:r>
    </w:p>
    <w:p>
      <w:pPr>
        <w:spacing w:after="0" w:line="161" w:lineRule="exact"/>
        <w:rPr>
          <w:rFonts w:ascii="Arial" w:cs="Arial" w:eastAsia="Arial" w:hAnsi="Arial"/>
          <w:sz w:val="17"/>
          <w:szCs w:val="17"/>
          <w:color w:val="auto"/>
        </w:rPr>
      </w:pPr>
    </w:p>
    <w:p>
      <w:pPr>
        <w:ind w:left="1040" w:right="140" w:hanging="513"/>
        <w:spacing w:after="0" w:line="275"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b w:val="1"/>
          <w:bCs w:val="1"/>
          <w:color w:val="auto"/>
        </w:rPr>
        <w:t>Non-Qualified Stock Options (20% of total LTI award)</w:t>
      </w:r>
      <w:r>
        <w:rPr>
          <w:rFonts w:ascii="Arial" w:cs="Arial" w:eastAsia="Arial" w:hAnsi="Arial"/>
          <w:sz w:val="17"/>
          <w:szCs w:val="17"/>
          <w:color w:val="auto"/>
        </w:rPr>
        <w:t>—The structure of the 2016 stock option grants is the same as described above</w:t>
      </w:r>
      <w:r>
        <w:rPr>
          <w:rFonts w:ascii="Arial" w:cs="Arial" w:eastAsia="Arial" w:hAnsi="Arial"/>
          <w:sz w:val="17"/>
          <w:szCs w:val="17"/>
          <w:b w:val="1"/>
          <w:bCs w:val="1"/>
          <w:color w:val="auto"/>
        </w:rPr>
        <w:t xml:space="preserve"> </w:t>
      </w:r>
      <w:r>
        <w:rPr>
          <w:rFonts w:ascii="Arial" w:cs="Arial" w:eastAsia="Arial" w:hAnsi="Arial"/>
          <w:sz w:val="17"/>
          <w:szCs w:val="17"/>
          <w:color w:val="auto"/>
        </w:rPr>
        <w:t>for 2015.</w:t>
      </w: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Benefits</w:t>
      </w:r>
    </w:p>
    <w:p>
      <w:pPr>
        <w:spacing w:after="0" w:line="230" w:lineRule="exact"/>
        <w:rPr>
          <w:sz w:val="20"/>
          <w:szCs w:val="20"/>
          <w:color w:val="auto"/>
        </w:rPr>
      </w:pPr>
    </w:p>
    <w:p>
      <w:pPr>
        <w:ind w:right="380" w:firstLine="661"/>
        <w:spacing w:after="0" w:line="245" w:lineRule="auto"/>
        <w:rPr>
          <w:sz w:val="20"/>
          <w:szCs w:val="20"/>
          <w:color w:val="auto"/>
        </w:rPr>
      </w:pPr>
      <w:r>
        <w:rPr>
          <w:rFonts w:ascii="Arial" w:cs="Arial" w:eastAsia="Arial" w:hAnsi="Arial"/>
          <w:sz w:val="17"/>
          <w:szCs w:val="17"/>
          <w:color w:val="auto"/>
        </w:rPr>
        <w:t>Benefits are an important part of retention and capital preservation for all employees, helping to protect against the impact of unexpected catastrophic loss of health and/or earnings potential, as well as providing a means to save and accumulate for retirement or other post-employment needs.</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40" w:name="page41"/>
    <w:bookmarkEnd w:id="40"/>
    <w:p>
      <w:pPr>
        <w:spacing w:after="0" w:line="197" w:lineRule="auto"/>
        <w:framePr w:w="1540" w:h="95" w:wrap="auto" w:vAnchor="page" w:hAnchor="page" w:x="420" w:y="594"/>
        <w:rPr>
          <w:rFonts w:ascii="Arial" w:cs="Arial" w:eastAsia="Arial" w:hAnsi="Arial"/>
          <w:sz w:val="10"/>
          <w:szCs w:val="10"/>
          <w:b w:val="1"/>
          <w:bCs w:val="1"/>
          <w:color w:val="FFFFFE"/>
        </w:rPr>
      </w:pPr>
      <w:r>
        <w:rPr>
          <w:rFonts w:ascii="Arial" w:cs="Arial" w:eastAsia="Arial" w:hAnsi="Arial"/>
          <w:sz w:val="10"/>
          <w:szCs w:val="10"/>
          <w:b w:val="1"/>
          <w:bCs w:val="1"/>
          <w:color w:val="FFFFFE"/>
        </w:rPr>
        <w:t>EXECUTIVE COMPENSATION</w:t>
      </w: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103630" cy="14097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190" w:lineRule="exact"/>
        <w:rPr>
          <w:rFonts w:ascii="Arial" w:cs="Arial" w:eastAsia="Arial" w:hAnsi="Arial"/>
          <w:sz w:val="10"/>
          <w:szCs w:val="10"/>
          <w:b w:val="1"/>
          <w:bCs w:val="1"/>
          <w:color w:val="FFFFFE"/>
        </w:rPr>
      </w:pPr>
    </w:p>
    <w:p>
      <w:pPr>
        <w:ind w:left="1740" w:right="20" w:firstLine="661"/>
        <w:spacing w:after="0" w:line="255" w:lineRule="auto"/>
        <w:rPr>
          <w:sz w:val="20"/>
          <w:szCs w:val="20"/>
          <w:color w:val="auto"/>
        </w:rPr>
      </w:pPr>
      <w:r>
        <w:rPr>
          <w:rFonts w:ascii="Arial" w:cs="Arial" w:eastAsia="Arial" w:hAnsi="Arial"/>
          <w:sz w:val="16"/>
          <w:szCs w:val="16"/>
          <w:color w:val="auto"/>
        </w:rPr>
        <w:t>Each of the benefits described below supports the company's objective of providing a market competitive total rewards program. Individual benefits do not directly affect decisions regarding other benefits or pay components, except to the extent that</w:t>
      </w:r>
    </w:p>
    <w:p>
      <w:pPr>
        <w:spacing w:after="0" w:line="1"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color w:val="auto"/>
        </w:rPr>
        <w:t>all benefits and pay components must, in aggregate, be competitive, as previously discussed.</w:t>
      </w:r>
    </w:p>
    <w:p>
      <w:pPr>
        <w:spacing w:after="0" w:line="190"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b w:val="1"/>
          <w:bCs w:val="1"/>
          <w:color w:val="444867"/>
        </w:rPr>
        <w:t>Retirement Benefits</w:t>
      </w:r>
    </w:p>
    <w:p>
      <w:pPr>
        <w:spacing w:after="0" w:line="230" w:lineRule="exact"/>
        <w:rPr>
          <w:rFonts w:ascii="Arial" w:cs="Arial" w:eastAsia="Arial" w:hAnsi="Arial"/>
          <w:sz w:val="10"/>
          <w:szCs w:val="10"/>
          <w:b w:val="1"/>
          <w:bCs w:val="1"/>
          <w:color w:val="FFFFFE"/>
        </w:rPr>
      </w:pPr>
    </w:p>
    <w:p>
      <w:pPr>
        <w:ind w:right="20" w:firstLine="651"/>
        <w:spacing w:after="0" w:line="245" w:lineRule="auto"/>
        <w:rPr>
          <w:sz w:val="20"/>
          <w:szCs w:val="20"/>
          <w:color w:val="auto"/>
        </w:rPr>
      </w:pPr>
      <w:r>
        <w:rPr>
          <w:rFonts w:ascii="Arial" w:cs="Arial" w:eastAsia="Arial" w:hAnsi="Arial"/>
          <w:sz w:val="17"/>
          <w:szCs w:val="17"/>
          <w:color w:val="auto"/>
        </w:rPr>
        <w:t>All eligible U.S. employees, including NEOs, participate in the AbbVie Pension Plan, the company's principal qualified defined benefit plan. NEOs and certain other employees also participate in the AbbVie Supplemental Pension Plan. These plans are described in greater detail in the section of this proxy statement captioned "Pension Benefits."</w:t>
      </w:r>
    </w:p>
    <w:p>
      <w:pPr>
        <w:spacing w:after="0" w:line="198" w:lineRule="exact"/>
        <w:rPr>
          <w:rFonts w:ascii="Arial" w:cs="Arial" w:eastAsia="Arial" w:hAnsi="Arial"/>
          <w:sz w:val="10"/>
          <w:szCs w:val="10"/>
          <w:b w:val="1"/>
          <w:bCs w:val="1"/>
          <w:color w:val="FFFFFE"/>
        </w:rPr>
      </w:pPr>
    </w:p>
    <w:p>
      <w:pPr>
        <w:ind w:right="40" w:firstLine="657"/>
        <w:spacing w:after="0"/>
        <w:rPr>
          <w:sz w:val="20"/>
          <w:szCs w:val="20"/>
          <w:color w:val="auto"/>
        </w:rPr>
      </w:pPr>
      <w:r>
        <w:rPr>
          <w:rFonts w:ascii="Arial" w:cs="Arial" w:eastAsia="Arial" w:hAnsi="Arial"/>
          <w:sz w:val="17"/>
          <w:szCs w:val="17"/>
          <w:color w:val="auto"/>
        </w:rPr>
        <w:t>The Supplemental Pension Plan is a non-qualified defined benefit plan that cannot be secured in a manner similar to a qualified plan, for which assets are held in trust, so NEOs receive an annual cash payment equal to the increase in the present value of their Supplemental Pension Plan benefit. NEOs have the option of depositing the annual payment into an individually established grantor trust, net of tax withholdings. Deposited amounts may be credited with the difference between the NEO's actual annual trust earnings and the rate used to calculate trust funding (currently</w:t>
      </w:r>
    </w:p>
    <w:p>
      <w:pPr>
        <w:spacing w:after="0" w:line="2" w:lineRule="exact"/>
        <w:rPr>
          <w:rFonts w:ascii="Arial" w:cs="Arial" w:eastAsia="Arial" w:hAnsi="Arial"/>
          <w:sz w:val="10"/>
          <w:szCs w:val="10"/>
          <w:b w:val="1"/>
          <w:bCs w:val="1"/>
          <w:color w:val="FFFFFE"/>
        </w:rPr>
      </w:pPr>
    </w:p>
    <w:p>
      <w:pPr>
        <w:jc w:val="center"/>
        <w:ind w:right="40"/>
        <w:spacing w:after="0"/>
        <w:rPr>
          <w:sz w:val="20"/>
          <w:szCs w:val="20"/>
          <w:color w:val="auto"/>
        </w:rPr>
      </w:pPr>
      <w:r>
        <w:rPr>
          <w:rFonts w:ascii="Arial" w:cs="Arial" w:eastAsia="Arial" w:hAnsi="Arial"/>
          <w:sz w:val="17"/>
          <w:szCs w:val="17"/>
          <w:color w:val="auto"/>
        </w:rPr>
        <w:t>8 percent). Amounts deposited in the individual trusts are not tax-deferred and the NEOs personally pay the taxes on those amounts without gross-ups.</w:t>
      </w:r>
    </w:p>
    <w:p>
      <w:pPr>
        <w:spacing w:after="0" w:line="210" w:lineRule="exact"/>
        <w:rPr>
          <w:rFonts w:ascii="Arial" w:cs="Arial" w:eastAsia="Arial" w:hAnsi="Arial"/>
          <w:sz w:val="10"/>
          <w:szCs w:val="10"/>
          <w:b w:val="1"/>
          <w:bCs w:val="1"/>
          <w:color w:val="FFFFFE"/>
        </w:rPr>
      </w:pPr>
    </w:p>
    <w:p>
      <w:pPr>
        <w:ind w:firstLine="657"/>
        <w:spacing w:after="0" w:line="264" w:lineRule="auto"/>
        <w:rPr>
          <w:sz w:val="20"/>
          <w:szCs w:val="20"/>
          <w:color w:val="auto"/>
        </w:rPr>
      </w:pPr>
      <w:r>
        <w:rPr>
          <w:rFonts w:ascii="Arial" w:cs="Arial" w:eastAsia="Arial" w:hAnsi="Arial"/>
          <w:sz w:val="16"/>
          <w:szCs w:val="16"/>
          <w:color w:val="auto"/>
        </w:rPr>
        <w:t>The manner in which the grantor trust assets are to be distributed to an NEO upon retirement from the company generally follows the distribution method elected by the NEO under the AbbVie Pension Plan. If an NEO (or the NEO's spouse, depending on the pension distribution method elected by the NEO under the AbbVie Pension Plan) lives beyond the actuarial life expectancy age used to determine the Supplemental Pension Plan benefit, and therefore exhausts the trust balance, the Supplemental Pension Plan benefit will be paid to the NEO (or his or her spouse) by AbbVie.</w:t>
      </w:r>
    </w:p>
    <w:p>
      <w:pPr>
        <w:spacing w:after="0" w:line="163"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b w:val="1"/>
          <w:bCs w:val="1"/>
          <w:color w:val="444867"/>
        </w:rPr>
        <w:t>Savings Plans</w:t>
      </w:r>
    </w:p>
    <w:p>
      <w:pPr>
        <w:spacing w:after="0" w:line="230" w:lineRule="exact"/>
        <w:rPr>
          <w:rFonts w:ascii="Arial" w:cs="Arial" w:eastAsia="Arial" w:hAnsi="Arial"/>
          <w:sz w:val="10"/>
          <w:szCs w:val="10"/>
          <w:b w:val="1"/>
          <w:bCs w:val="1"/>
          <w:color w:val="FFFFFE"/>
        </w:rPr>
      </w:pPr>
    </w:p>
    <w:p>
      <w:pPr>
        <w:ind w:firstLine="651"/>
        <w:spacing w:after="0" w:line="242" w:lineRule="auto"/>
        <w:rPr>
          <w:sz w:val="20"/>
          <w:szCs w:val="20"/>
          <w:color w:val="auto"/>
        </w:rPr>
      </w:pPr>
      <w:r>
        <w:rPr>
          <w:rFonts w:ascii="Arial" w:cs="Arial" w:eastAsia="Arial" w:hAnsi="Arial"/>
          <w:sz w:val="17"/>
          <w:szCs w:val="17"/>
          <w:color w:val="auto"/>
        </w:rPr>
        <w:t>All U.S. employees, including NEOs, are eligible to defer a portion of their annual base salary under the AbbVie Savings Plan, the company's principal qualified defined contribution plan, up to the IRS contribution limits. NEOs also are eligible to defer up to 18 percent of their base salary, less contributions to the AbbVie Savings Plan, to the AbbVie Supplemental Savings Plan, which is a non-qualified defined contribution plan. NEOs may defer these amounts to unfunded book accounts or choose to have the amounts paid in cash on a current basis and deposited into individually established grantor trusts, net of tax withholdings. These amounts are credited annually with earnings. Amounts deposited in the individual trusts are not tax-deferred and the NEOs personally pay the taxes on those amounts without gross-ups.</w:t>
      </w:r>
    </w:p>
    <w:p>
      <w:pPr>
        <w:spacing w:after="0" w:line="202" w:lineRule="exact"/>
        <w:rPr>
          <w:rFonts w:ascii="Arial" w:cs="Arial" w:eastAsia="Arial" w:hAnsi="Arial"/>
          <w:sz w:val="10"/>
          <w:szCs w:val="10"/>
          <w:b w:val="1"/>
          <w:bCs w:val="1"/>
          <w:color w:val="FFFFFE"/>
        </w:rPr>
      </w:pPr>
    </w:p>
    <w:p>
      <w:pPr>
        <w:jc w:val="both"/>
        <w:ind w:right="180" w:firstLine="661"/>
        <w:spacing w:after="0" w:line="245" w:lineRule="auto"/>
        <w:rPr>
          <w:sz w:val="20"/>
          <w:szCs w:val="20"/>
          <w:color w:val="auto"/>
        </w:rPr>
      </w:pPr>
      <w:r>
        <w:rPr>
          <w:rFonts w:ascii="Arial" w:cs="Arial" w:eastAsia="Arial" w:hAnsi="Arial"/>
          <w:sz w:val="17"/>
          <w:szCs w:val="17"/>
          <w:color w:val="auto"/>
        </w:rPr>
        <w:t>NEOs elect the manner in which the assets held in their grantor trusts will be distributed to them upon retirement or other separation from the company. These arrangements are described in greater detail in this proxy statement beginning with the section captioned "Summary Compensation Table."</w:t>
      </w:r>
    </w:p>
    <w:p>
      <w:pPr>
        <w:spacing w:after="0" w:line="178"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b w:val="1"/>
          <w:bCs w:val="1"/>
          <w:color w:val="444867"/>
        </w:rPr>
        <w:t>Financial Planning</w:t>
      </w:r>
    </w:p>
    <w:p>
      <w:pPr>
        <w:spacing w:after="0" w:line="230" w:lineRule="exact"/>
        <w:rPr>
          <w:rFonts w:ascii="Arial" w:cs="Arial" w:eastAsia="Arial" w:hAnsi="Arial"/>
          <w:sz w:val="10"/>
          <w:szCs w:val="10"/>
          <w:b w:val="1"/>
          <w:bCs w:val="1"/>
          <w:color w:val="FFFFFE"/>
        </w:rPr>
      </w:pPr>
    </w:p>
    <w:p>
      <w:pPr>
        <w:ind w:right="40" w:firstLine="661"/>
        <w:spacing w:after="0" w:line="245" w:lineRule="auto"/>
        <w:rPr>
          <w:sz w:val="20"/>
          <w:szCs w:val="20"/>
          <w:color w:val="auto"/>
        </w:rPr>
      </w:pPr>
      <w:r>
        <w:rPr>
          <w:rFonts w:ascii="Arial" w:cs="Arial" w:eastAsia="Arial" w:hAnsi="Arial"/>
          <w:sz w:val="17"/>
          <w:szCs w:val="17"/>
          <w:color w:val="auto"/>
        </w:rPr>
        <w:t>NEOs are eligible for a $10,000 annualized benefit associated with estate planning advice, tax preparation and general financial planning fees. If an NEO chooses to utilize this benefit, fees for such services are paid by the company and are treated as imputed income to the NEO, who then is responsible for payment of all taxes due on the fees paid by the company without gross-ups.</w:t>
      </w:r>
    </w:p>
    <w:p>
      <w:pPr>
        <w:spacing w:after="0" w:line="178"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b w:val="1"/>
          <w:bCs w:val="1"/>
          <w:color w:val="444867"/>
        </w:rPr>
        <w:t>Company-Provided Transportation</w:t>
      </w:r>
    </w:p>
    <w:p>
      <w:pPr>
        <w:spacing w:after="0" w:line="230" w:lineRule="exact"/>
        <w:rPr>
          <w:rFonts w:ascii="Arial" w:cs="Arial" w:eastAsia="Arial" w:hAnsi="Arial"/>
          <w:sz w:val="10"/>
          <w:szCs w:val="10"/>
          <w:b w:val="1"/>
          <w:bCs w:val="1"/>
          <w:color w:val="FFFFFE"/>
        </w:rPr>
      </w:pPr>
    </w:p>
    <w:p>
      <w:pPr>
        <w:jc w:val="both"/>
        <w:ind w:right="60" w:firstLine="661"/>
        <w:spacing w:after="0" w:line="245" w:lineRule="auto"/>
        <w:rPr>
          <w:sz w:val="20"/>
          <w:szCs w:val="20"/>
          <w:color w:val="auto"/>
        </w:rPr>
      </w:pPr>
      <w:r>
        <w:rPr>
          <w:rFonts w:ascii="Arial" w:cs="Arial" w:eastAsia="Arial" w:hAnsi="Arial"/>
          <w:sz w:val="17"/>
          <w:szCs w:val="17"/>
          <w:color w:val="auto"/>
        </w:rPr>
        <w:t>NEOs are eligible for transportation perquisites that are designed to improve the effectiveness and efficiency of their work, including the use of a company-leased vehicle and access to company-provided air travel, as appropriate. In some circumstances, these benefits may be used for personal travel, which would then be considered part of the NEO's</w:t>
      </w:r>
    </w:p>
    <w:p>
      <w:pPr>
        <w:spacing w:after="0" w:line="206" w:lineRule="exact"/>
        <w:rPr>
          <w:rFonts w:ascii="Arial" w:cs="Arial" w:eastAsia="Arial" w:hAnsi="Arial"/>
          <w:sz w:val="10"/>
          <w:szCs w:val="10"/>
          <w:b w:val="1"/>
          <w:bCs w:val="1"/>
          <w:color w:val="FFFFFE"/>
        </w:rPr>
      </w:pPr>
    </w:p>
    <w:p>
      <w:pPr>
        <w:ind w:left="60"/>
        <w:spacing w:after="0"/>
        <w:rPr>
          <w:sz w:val="20"/>
          <w:szCs w:val="20"/>
          <w:color w:val="auto"/>
        </w:rPr>
      </w:pPr>
      <w:r>
        <w:rPr>
          <w:rFonts w:ascii="Arial" w:cs="Arial" w:eastAsia="Arial" w:hAnsi="Arial"/>
          <w:sz w:val="17"/>
          <w:szCs w:val="17"/>
          <w:b w:val="1"/>
          <w:bCs w:val="1"/>
          <w:color w:val="auto"/>
        </w:rPr>
        <w:t xml:space="preserve">38  </w:t>
      </w:r>
      <w:r>
        <w:rPr>
          <w:sz w:val="1"/>
          <w:szCs w:val="1"/>
          <w:color w:val="auto"/>
        </w:rPr>
        <w:drawing>
          <wp:inline distT="0" distB="0" distL="0" distR="0">
            <wp:extent cx="622300" cy="107950"/>
            <wp:effectExtent l="0" t="0" r="0" b="0"/>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1" w:name="page42"/>
    <w:bookmarkEnd w:id="4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6150610</wp:posOffset>
            </wp:positionH>
            <wp:positionV relativeFrom="paragraph">
              <wp:posOffset>130810</wp:posOffset>
            </wp:positionV>
            <wp:extent cx="1103630" cy="14097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190"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 xml:space="preserve">total compensation and treated as taxable income to them under applicable tax laws. The NEOs pay the taxes on such income </w:t>
      </w:r>
      <w:r>
        <w:rPr>
          <w:rFonts w:ascii="Arial" w:cs="Arial" w:eastAsia="Arial" w:hAnsi="Arial"/>
          <w:sz w:val="10"/>
          <w:szCs w:val="10"/>
          <w:b w:val="1"/>
          <w:bCs w:val="1"/>
          <w:color w:val="FFFFFE"/>
        </w:rPr>
        <w:t>EXECUTIVE COMPENSATION</w:t>
      </w:r>
      <w:r>
        <w:rPr>
          <w:rFonts w:ascii="Arial" w:cs="Arial" w:eastAsia="Arial" w:hAnsi="Arial"/>
          <w:sz w:val="17"/>
          <w:szCs w:val="17"/>
          <w:color w:val="auto"/>
        </w:rPr>
        <w:t xml:space="preserve"> without gross-ups.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Disability Benefits</w:t>
      </w:r>
    </w:p>
    <w:p>
      <w:pPr>
        <w:spacing w:after="0" w:line="230" w:lineRule="exact"/>
        <w:rPr>
          <w:sz w:val="20"/>
          <w:szCs w:val="20"/>
          <w:color w:val="auto"/>
        </w:rPr>
      </w:pPr>
    </w:p>
    <w:p>
      <w:pPr>
        <w:ind w:right="180" w:firstLine="661"/>
        <w:spacing w:after="0" w:line="250" w:lineRule="auto"/>
        <w:rPr>
          <w:sz w:val="20"/>
          <w:szCs w:val="20"/>
          <w:color w:val="auto"/>
        </w:rPr>
      </w:pPr>
      <w:r>
        <w:rPr>
          <w:rFonts w:ascii="Arial" w:cs="Arial" w:eastAsia="Arial" w:hAnsi="Arial"/>
          <w:sz w:val="17"/>
          <w:szCs w:val="17"/>
          <w:color w:val="auto"/>
        </w:rPr>
        <w:t>In addition to AbbVie's standard disability benefits, NEOs are eligible for a monthly long-term disability benefit, which is described on page 52 of this proxy statement.</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Employment Agreements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AbbVie does not have employment agreements with any of its NEOs.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Excise Tax Gross-ups</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AbbVie does not provide excise tax gross-ups on NEO compensation.</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Change in Control Agreements</w:t>
      </w:r>
    </w:p>
    <w:p>
      <w:pPr>
        <w:spacing w:after="0" w:line="230" w:lineRule="exact"/>
        <w:rPr>
          <w:sz w:val="20"/>
          <w:szCs w:val="20"/>
          <w:color w:val="auto"/>
        </w:rPr>
      </w:pPr>
    </w:p>
    <w:p>
      <w:pPr>
        <w:ind w:right="320" w:firstLine="651"/>
        <w:spacing w:after="0" w:line="245" w:lineRule="auto"/>
        <w:rPr>
          <w:sz w:val="20"/>
          <w:szCs w:val="20"/>
          <w:color w:val="auto"/>
        </w:rPr>
      </w:pPr>
      <w:r>
        <w:rPr>
          <w:rFonts w:ascii="Arial" w:cs="Arial" w:eastAsia="Arial" w:hAnsi="Arial"/>
          <w:sz w:val="17"/>
          <w:szCs w:val="17"/>
          <w:color w:val="auto"/>
        </w:rPr>
        <w:t>AbbVie has entered into change in control agreements with its NEOs to aid in retention and recruitment, encourage continued attention and dedication to assigned duties during periods involving a possible change in control of the company, and to protect the earned benefits of the NEOs against potential adverse changes resulting from a change in control.</w:t>
      </w:r>
    </w:p>
    <w:p>
      <w:pPr>
        <w:spacing w:after="0" w:line="198" w:lineRule="exact"/>
        <w:rPr>
          <w:sz w:val="20"/>
          <w:szCs w:val="20"/>
          <w:color w:val="auto"/>
        </w:rPr>
      </w:pPr>
    </w:p>
    <w:p>
      <w:pPr>
        <w:ind w:firstLine="657"/>
        <w:spacing w:after="0" w:line="243" w:lineRule="auto"/>
        <w:rPr>
          <w:sz w:val="20"/>
          <w:szCs w:val="20"/>
          <w:color w:val="auto"/>
        </w:rPr>
      </w:pPr>
      <w:r>
        <w:rPr>
          <w:rFonts w:ascii="Arial" w:cs="Arial" w:eastAsia="Arial" w:hAnsi="Arial"/>
          <w:sz w:val="17"/>
          <w:szCs w:val="17"/>
          <w:color w:val="auto"/>
        </w:rPr>
        <w:t>The change in control agreements contain a double-trigger feature, meaning that if the NEO's employment is terminated other than for cause or permanent disability, or if the NEO elects to terminate employment for good reason, within two years following a change in control, he or she is entitled to receive certain pay and benefits as described in the section of this proxy statement captioned "Potential Payments upon Termination or Change in Control."</w:t>
      </w:r>
    </w:p>
    <w:p>
      <w:pPr>
        <w:spacing w:after="0" w:line="166" w:lineRule="exact"/>
        <w:rPr>
          <w:sz w:val="20"/>
          <w:szCs w:val="20"/>
          <w:color w:val="auto"/>
        </w:rPr>
      </w:pPr>
    </w:p>
    <w:p>
      <w:pPr>
        <w:spacing w:after="0"/>
        <w:tabs>
          <w:tab w:leader="none" w:pos="460" w:val="left"/>
        </w:tabs>
        <w:rPr>
          <w:sz w:val="20"/>
          <w:szCs w:val="20"/>
          <w:color w:val="auto"/>
        </w:rPr>
      </w:pPr>
      <w:r>
        <w:rPr>
          <w:rFonts w:ascii="Arial" w:cs="Arial" w:eastAsia="Arial" w:hAnsi="Arial"/>
          <w:sz w:val="21"/>
          <w:szCs w:val="21"/>
          <w:b w:val="1"/>
          <w:bCs w:val="1"/>
          <w:color w:val="000F68"/>
        </w:rPr>
        <w:t>IV.</w:t>
      </w:r>
      <w:r>
        <w:rPr>
          <w:sz w:val="20"/>
          <w:szCs w:val="20"/>
          <w:color w:val="auto"/>
        </w:rPr>
        <w:tab/>
      </w:r>
      <w:r>
        <w:rPr>
          <w:rFonts w:ascii="Arial" w:cs="Arial" w:eastAsia="Arial" w:hAnsi="Arial"/>
          <w:sz w:val="20"/>
          <w:szCs w:val="20"/>
          <w:b w:val="1"/>
          <w:bCs w:val="1"/>
          <w:color w:val="000F68"/>
        </w:rPr>
        <w:t>Other Matters</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Stock Ownership Guidelines</w:t>
      </w:r>
    </w:p>
    <w:p>
      <w:pPr>
        <w:spacing w:after="0" w:line="230" w:lineRule="exact"/>
        <w:rPr>
          <w:sz w:val="20"/>
          <w:szCs w:val="20"/>
          <w:color w:val="auto"/>
        </w:rPr>
      </w:pPr>
    </w:p>
    <w:p>
      <w:pPr>
        <w:ind w:right="60" w:firstLine="651"/>
        <w:spacing w:after="0" w:line="243" w:lineRule="auto"/>
        <w:rPr>
          <w:sz w:val="20"/>
          <w:szCs w:val="20"/>
          <w:color w:val="auto"/>
        </w:rPr>
      </w:pPr>
      <w:r>
        <w:rPr>
          <w:rFonts w:ascii="Arial" w:cs="Arial" w:eastAsia="Arial" w:hAnsi="Arial"/>
          <w:sz w:val="17"/>
          <w:szCs w:val="17"/>
          <w:color w:val="auto"/>
        </w:rPr>
        <w:t>AbbVie's stock ownership guidelines are designed to further promote sustained stockholder return and to ensure the company's senior executives remain focused on both short- and long-term objectives. Each senior executive has five years from the date of election or appointment to his or her position to achieve the ownership level associated with his or her position. NEOs are not allowed to sell stock, except for tax withholding at vesting or exercise, if they do not satisfy the minimum stock ownership requirement. The minimum stock ownership guidelines for the CEO and other NEOs are as follows:</w:t>
      </w:r>
    </w:p>
    <w:p>
      <w:pPr>
        <w:spacing w:after="0" w:line="176"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2660" w:type="dxa"/>
            <w:vAlign w:val="bottom"/>
            <w:tcBorders>
              <w:top w:val="single" w:sz="8" w:color="auto"/>
              <w:bottom w:val="single" w:sz="8" w:color="444867"/>
            </w:tcBorders>
          </w:tcPr>
          <w:p>
            <w:pPr>
              <w:spacing w:after="0"/>
              <w:rPr>
                <w:sz w:val="20"/>
                <w:szCs w:val="20"/>
                <w:color w:val="auto"/>
              </w:rPr>
            </w:pPr>
            <w:r>
              <w:rPr>
                <w:rFonts w:ascii="Arial" w:cs="Arial" w:eastAsia="Arial" w:hAnsi="Arial"/>
                <w:sz w:val="17"/>
                <w:szCs w:val="17"/>
                <w:b w:val="1"/>
                <w:bCs w:val="1"/>
                <w:color w:val="444867"/>
              </w:rPr>
              <w:t>Executive</w:t>
            </w:r>
          </w:p>
        </w:tc>
        <w:tc>
          <w:tcPr>
            <w:tcW w:w="3980" w:type="dxa"/>
            <w:vAlign w:val="bottom"/>
            <w:tcBorders>
              <w:top w:val="single" w:sz="8" w:color="auto"/>
              <w:bottom w:val="single" w:sz="8" w:color="444867"/>
            </w:tcBorders>
          </w:tcPr>
          <w:p>
            <w:pPr>
              <w:ind w:left="1060"/>
              <w:spacing w:after="0"/>
              <w:rPr>
                <w:sz w:val="20"/>
                <w:szCs w:val="20"/>
                <w:color w:val="auto"/>
              </w:rPr>
            </w:pPr>
            <w:r>
              <w:rPr>
                <w:rFonts w:ascii="Arial" w:cs="Arial" w:eastAsia="Arial" w:hAnsi="Arial"/>
                <w:sz w:val="17"/>
                <w:szCs w:val="17"/>
                <w:b w:val="1"/>
                <w:bCs w:val="1"/>
                <w:color w:val="444867"/>
              </w:rPr>
              <w:t>Stock Ownership Requirement</w:t>
            </w:r>
          </w:p>
        </w:tc>
        <w:tc>
          <w:tcPr>
            <w:tcW w:w="1920" w:type="dxa"/>
            <w:vAlign w:val="bottom"/>
            <w:tcBorders>
              <w:top w:val="single" w:sz="8" w:color="auto"/>
              <w:bottom w:val="single" w:sz="8" w:color="444867"/>
            </w:tcBorders>
          </w:tcPr>
          <w:p>
            <w:pPr>
              <w:ind w:left="440"/>
              <w:spacing w:after="0"/>
              <w:rPr>
                <w:sz w:val="20"/>
                <w:szCs w:val="20"/>
                <w:color w:val="auto"/>
              </w:rPr>
            </w:pPr>
            <w:r>
              <w:rPr>
                <w:rFonts w:ascii="Arial" w:cs="Arial" w:eastAsia="Arial" w:hAnsi="Arial"/>
                <w:sz w:val="17"/>
                <w:szCs w:val="17"/>
                <w:b w:val="1"/>
                <w:bCs w:val="1"/>
                <w:color w:val="444867"/>
                <w:w w:val="98"/>
              </w:rPr>
              <w:t>Requirement Met?</w:t>
            </w:r>
          </w:p>
        </w:tc>
      </w:tr>
      <w:tr>
        <w:trPr>
          <w:trHeight w:val="189"/>
        </w:trPr>
        <w:tc>
          <w:tcPr>
            <w:tcW w:w="266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Richard A. Gonzalez</w:t>
            </w:r>
          </w:p>
        </w:tc>
        <w:tc>
          <w:tcPr>
            <w:tcW w:w="3980" w:type="dxa"/>
            <w:vAlign w:val="bottom"/>
            <w:shd w:val="clear" w:color="auto" w:fill="E7E7E8"/>
          </w:tcPr>
          <w:p>
            <w:pPr>
              <w:ind w:left="1140"/>
              <w:spacing w:after="0" w:line="189" w:lineRule="exact"/>
              <w:rPr>
                <w:sz w:val="20"/>
                <w:szCs w:val="20"/>
                <w:color w:val="auto"/>
              </w:rPr>
            </w:pPr>
            <w:r>
              <w:rPr>
                <w:rFonts w:ascii="Arial" w:cs="Arial" w:eastAsia="Arial" w:hAnsi="Arial"/>
                <w:sz w:val="17"/>
                <w:szCs w:val="17"/>
                <w:color w:val="auto"/>
              </w:rPr>
              <w:t>6x Base Salary</w:t>
            </w:r>
          </w:p>
        </w:tc>
        <w:tc>
          <w:tcPr>
            <w:tcW w:w="1920" w:type="dxa"/>
            <w:vAlign w:val="bottom"/>
            <w:shd w:val="clear" w:color="auto" w:fill="E7E7E8"/>
          </w:tcPr>
          <w:p>
            <w:pPr>
              <w:ind w:left="680"/>
              <w:spacing w:after="0" w:line="189" w:lineRule="exact"/>
              <w:rPr>
                <w:sz w:val="20"/>
                <w:szCs w:val="20"/>
                <w:color w:val="auto"/>
              </w:rPr>
            </w:pPr>
            <w:r>
              <w:rPr>
                <w:rFonts w:ascii="Arial" w:cs="Arial" w:eastAsia="Arial" w:hAnsi="Arial"/>
                <w:sz w:val="17"/>
                <w:szCs w:val="17"/>
                <w:color w:val="auto"/>
              </w:rPr>
              <w:t>Yes</w:t>
            </w:r>
          </w:p>
        </w:tc>
      </w:tr>
      <w:tr>
        <w:trPr>
          <w:trHeight w:val="196"/>
        </w:trPr>
        <w:tc>
          <w:tcPr>
            <w:tcW w:w="2660" w:type="dxa"/>
            <w:vAlign w:val="bottom"/>
          </w:tcPr>
          <w:p>
            <w:pPr>
              <w:spacing w:after="0"/>
              <w:rPr>
                <w:sz w:val="20"/>
                <w:szCs w:val="20"/>
                <w:color w:val="auto"/>
              </w:rPr>
            </w:pPr>
            <w:r>
              <w:rPr>
                <w:rFonts w:ascii="Arial" w:cs="Arial" w:eastAsia="Arial" w:hAnsi="Arial"/>
                <w:sz w:val="17"/>
                <w:szCs w:val="17"/>
                <w:color w:val="auto"/>
              </w:rPr>
              <w:t>William J. Chase</w:t>
            </w:r>
          </w:p>
        </w:tc>
        <w:tc>
          <w:tcPr>
            <w:tcW w:w="3980" w:type="dxa"/>
            <w:vAlign w:val="bottom"/>
          </w:tcPr>
          <w:p>
            <w:pPr>
              <w:ind w:left="1140"/>
              <w:spacing w:after="0"/>
              <w:rPr>
                <w:sz w:val="20"/>
                <w:szCs w:val="20"/>
                <w:color w:val="auto"/>
              </w:rPr>
            </w:pPr>
            <w:r>
              <w:rPr>
                <w:rFonts w:ascii="Arial" w:cs="Arial" w:eastAsia="Arial" w:hAnsi="Arial"/>
                <w:sz w:val="17"/>
                <w:szCs w:val="17"/>
                <w:color w:val="auto"/>
              </w:rPr>
              <w:t>3x Base Salary</w:t>
            </w:r>
          </w:p>
        </w:tc>
        <w:tc>
          <w:tcPr>
            <w:tcW w:w="1920" w:type="dxa"/>
            <w:vAlign w:val="bottom"/>
          </w:tcPr>
          <w:p>
            <w:pPr>
              <w:ind w:left="680"/>
              <w:spacing w:after="0"/>
              <w:rPr>
                <w:sz w:val="20"/>
                <w:szCs w:val="20"/>
                <w:color w:val="auto"/>
              </w:rPr>
            </w:pPr>
            <w:r>
              <w:rPr>
                <w:rFonts w:ascii="Arial" w:cs="Arial" w:eastAsia="Arial" w:hAnsi="Arial"/>
                <w:sz w:val="17"/>
                <w:szCs w:val="17"/>
                <w:color w:val="auto"/>
              </w:rPr>
              <w:t>Yes</w:t>
            </w:r>
          </w:p>
        </w:tc>
      </w:tr>
      <w:tr>
        <w:trPr>
          <w:trHeight w:val="196"/>
        </w:trPr>
        <w:tc>
          <w:tcPr>
            <w:tcW w:w="2660" w:type="dxa"/>
            <w:vAlign w:val="bottom"/>
            <w:shd w:val="clear" w:color="auto" w:fill="E7E7E8"/>
          </w:tcPr>
          <w:p>
            <w:pPr>
              <w:spacing w:after="0"/>
              <w:rPr>
                <w:sz w:val="20"/>
                <w:szCs w:val="20"/>
                <w:color w:val="auto"/>
              </w:rPr>
            </w:pPr>
            <w:r>
              <w:rPr>
                <w:rFonts w:ascii="Arial" w:cs="Arial" w:eastAsia="Arial" w:hAnsi="Arial"/>
                <w:sz w:val="17"/>
                <w:szCs w:val="17"/>
                <w:color w:val="auto"/>
              </w:rPr>
              <w:t>Laura J. Schumacher</w:t>
            </w:r>
          </w:p>
        </w:tc>
        <w:tc>
          <w:tcPr>
            <w:tcW w:w="3980" w:type="dxa"/>
            <w:vAlign w:val="bottom"/>
            <w:shd w:val="clear" w:color="auto" w:fill="E7E7E8"/>
          </w:tcPr>
          <w:p>
            <w:pPr>
              <w:ind w:left="1140"/>
              <w:spacing w:after="0"/>
              <w:rPr>
                <w:sz w:val="20"/>
                <w:szCs w:val="20"/>
                <w:color w:val="auto"/>
              </w:rPr>
            </w:pPr>
            <w:r>
              <w:rPr>
                <w:rFonts w:ascii="Arial" w:cs="Arial" w:eastAsia="Arial" w:hAnsi="Arial"/>
                <w:sz w:val="17"/>
                <w:szCs w:val="17"/>
                <w:color w:val="auto"/>
              </w:rPr>
              <w:t>3x Base Salary</w:t>
            </w:r>
          </w:p>
        </w:tc>
        <w:tc>
          <w:tcPr>
            <w:tcW w:w="1920" w:type="dxa"/>
            <w:vAlign w:val="bottom"/>
            <w:shd w:val="clear" w:color="auto" w:fill="E7E7E8"/>
          </w:tcPr>
          <w:p>
            <w:pPr>
              <w:ind w:left="680"/>
              <w:spacing w:after="0"/>
              <w:rPr>
                <w:sz w:val="20"/>
                <w:szCs w:val="20"/>
                <w:color w:val="auto"/>
              </w:rPr>
            </w:pPr>
            <w:r>
              <w:rPr>
                <w:rFonts w:ascii="Arial" w:cs="Arial" w:eastAsia="Arial" w:hAnsi="Arial"/>
                <w:sz w:val="17"/>
                <w:szCs w:val="17"/>
                <w:color w:val="auto"/>
              </w:rPr>
              <w:t>Yes</w:t>
            </w:r>
          </w:p>
        </w:tc>
      </w:tr>
      <w:tr>
        <w:trPr>
          <w:trHeight w:val="196"/>
        </w:trPr>
        <w:tc>
          <w:tcPr>
            <w:tcW w:w="2660" w:type="dxa"/>
            <w:vAlign w:val="bottom"/>
          </w:tcPr>
          <w:p>
            <w:pPr>
              <w:spacing w:after="0"/>
              <w:rPr>
                <w:sz w:val="20"/>
                <w:szCs w:val="20"/>
                <w:color w:val="auto"/>
              </w:rPr>
            </w:pPr>
            <w:r>
              <w:rPr>
                <w:rFonts w:ascii="Arial" w:cs="Arial" w:eastAsia="Arial" w:hAnsi="Arial"/>
                <w:sz w:val="17"/>
                <w:szCs w:val="17"/>
                <w:color w:val="auto"/>
              </w:rPr>
              <w:t>Carlos Alban</w:t>
            </w:r>
          </w:p>
        </w:tc>
        <w:tc>
          <w:tcPr>
            <w:tcW w:w="3980" w:type="dxa"/>
            <w:vAlign w:val="bottom"/>
          </w:tcPr>
          <w:p>
            <w:pPr>
              <w:ind w:left="1140"/>
              <w:spacing w:after="0"/>
              <w:rPr>
                <w:sz w:val="20"/>
                <w:szCs w:val="20"/>
                <w:color w:val="auto"/>
              </w:rPr>
            </w:pPr>
            <w:r>
              <w:rPr>
                <w:rFonts w:ascii="Arial" w:cs="Arial" w:eastAsia="Arial" w:hAnsi="Arial"/>
                <w:sz w:val="17"/>
                <w:szCs w:val="17"/>
                <w:color w:val="auto"/>
              </w:rPr>
              <w:t>3x Base Salary</w:t>
            </w:r>
          </w:p>
        </w:tc>
        <w:tc>
          <w:tcPr>
            <w:tcW w:w="1920" w:type="dxa"/>
            <w:vAlign w:val="bottom"/>
          </w:tcPr>
          <w:p>
            <w:pPr>
              <w:ind w:left="680"/>
              <w:spacing w:after="0"/>
              <w:rPr>
                <w:sz w:val="20"/>
                <w:szCs w:val="20"/>
                <w:color w:val="auto"/>
              </w:rPr>
            </w:pPr>
            <w:r>
              <w:rPr>
                <w:rFonts w:ascii="Arial" w:cs="Arial" w:eastAsia="Arial" w:hAnsi="Arial"/>
                <w:sz w:val="17"/>
                <w:szCs w:val="17"/>
                <w:color w:val="auto"/>
              </w:rPr>
              <w:t>Yes</w:t>
            </w:r>
          </w:p>
        </w:tc>
      </w:tr>
      <w:tr>
        <w:trPr>
          <w:trHeight w:val="196"/>
        </w:trPr>
        <w:tc>
          <w:tcPr>
            <w:tcW w:w="2660" w:type="dxa"/>
            <w:vAlign w:val="bottom"/>
            <w:tcBorders>
              <w:bottom w:val="single" w:sz="8" w:color="auto"/>
            </w:tcBorders>
            <w:shd w:val="clear" w:color="auto" w:fill="E7E7E8"/>
          </w:tcPr>
          <w:p>
            <w:pPr>
              <w:spacing w:after="0"/>
              <w:rPr>
                <w:sz w:val="20"/>
                <w:szCs w:val="20"/>
                <w:color w:val="auto"/>
              </w:rPr>
            </w:pPr>
            <w:r>
              <w:rPr>
                <w:rFonts w:ascii="Arial" w:cs="Arial" w:eastAsia="Arial" w:hAnsi="Arial"/>
                <w:sz w:val="17"/>
                <w:szCs w:val="17"/>
                <w:color w:val="auto"/>
              </w:rPr>
              <w:t>Michael E. Severino</w:t>
            </w:r>
          </w:p>
        </w:tc>
        <w:tc>
          <w:tcPr>
            <w:tcW w:w="3980" w:type="dxa"/>
            <w:vAlign w:val="bottom"/>
            <w:tcBorders>
              <w:bottom w:val="single" w:sz="8" w:color="auto"/>
            </w:tcBorders>
            <w:shd w:val="clear" w:color="auto" w:fill="E7E7E8"/>
          </w:tcPr>
          <w:p>
            <w:pPr>
              <w:ind w:left="1140"/>
              <w:spacing w:after="0"/>
              <w:rPr>
                <w:sz w:val="20"/>
                <w:szCs w:val="20"/>
                <w:color w:val="auto"/>
              </w:rPr>
            </w:pPr>
            <w:r>
              <w:rPr>
                <w:rFonts w:ascii="Arial" w:cs="Arial" w:eastAsia="Arial" w:hAnsi="Arial"/>
                <w:sz w:val="17"/>
                <w:szCs w:val="17"/>
                <w:color w:val="auto"/>
              </w:rPr>
              <w:t>3x Base Salary</w:t>
            </w:r>
          </w:p>
        </w:tc>
        <w:tc>
          <w:tcPr>
            <w:tcW w:w="1920" w:type="dxa"/>
            <w:vAlign w:val="bottom"/>
            <w:tcBorders>
              <w:bottom w:val="single" w:sz="8" w:color="auto"/>
            </w:tcBorders>
            <w:shd w:val="clear" w:color="auto" w:fill="E7E7E8"/>
          </w:tcPr>
          <w:p>
            <w:pPr>
              <w:ind w:left="680"/>
              <w:spacing w:after="0"/>
              <w:rPr>
                <w:sz w:val="20"/>
                <w:szCs w:val="20"/>
                <w:color w:val="auto"/>
              </w:rPr>
            </w:pPr>
            <w:r>
              <w:rPr>
                <w:rFonts w:ascii="Arial" w:cs="Arial" w:eastAsia="Arial" w:hAnsi="Arial"/>
                <w:sz w:val="17"/>
                <w:szCs w:val="17"/>
                <w:color w:val="auto"/>
              </w:rPr>
              <w:t>Yes</w:t>
            </w:r>
          </w:p>
        </w:tc>
      </w:tr>
    </w:tbl>
    <w:p>
      <w:pPr>
        <w:spacing w:after="0" w:line="212" w:lineRule="exact"/>
        <w:rPr>
          <w:sz w:val="20"/>
          <w:szCs w:val="20"/>
          <w:color w:val="auto"/>
        </w:rPr>
      </w:pPr>
    </w:p>
    <w:p>
      <w:pPr>
        <w:ind w:right="60" w:firstLine="661"/>
        <w:spacing w:after="0" w:line="250" w:lineRule="auto"/>
        <w:rPr>
          <w:sz w:val="20"/>
          <w:szCs w:val="20"/>
          <w:color w:val="auto"/>
        </w:rPr>
      </w:pPr>
      <w:r>
        <w:rPr>
          <w:rFonts w:ascii="Arial" w:cs="Arial" w:eastAsia="Arial" w:hAnsi="Arial"/>
          <w:sz w:val="17"/>
          <w:szCs w:val="17"/>
          <w:color w:val="auto"/>
        </w:rPr>
        <w:t>In addition, AbbVie's non-employee directors are required to own AbbVie stock valued at five times (5x) the annual fee for service as a director under the AbbVie Non-Employee Directors' Fee Plan within five years of joining the Board or as soon as practicable thereafter.</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2" w:name="page43"/>
    <w:bookmarkEnd w:id="4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90"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 xml:space="preserve">EXECUTIVE COMPENSATION </w:t>
      </w:r>
      <w:r>
        <w:rPr>
          <w:rFonts w:ascii="Arial" w:cs="Arial" w:eastAsia="Arial" w:hAnsi="Arial"/>
          <w:sz w:val="16"/>
          <w:szCs w:val="16"/>
          <w:b w:val="1"/>
          <w:bCs w:val="1"/>
          <w:i w:val="1"/>
          <w:iCs w:val="1"/>
          <w:color w:val="444867"/>
        </w:rPr>
        <w:t>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1103630" cy="14097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221" w:lineRule="exact"/>
        <w:rPr>
          <w:sz w:val="20"/>
          <w:szCs w:val="20"/>
          <w:color w:val="auto"/>
        </w:rPr>
      </w:pPr>
    </w:p>
    <w:p>
      <w:pPr>
        <w:ind w:firstLine="661"/>
        <w:spacing w:after="0" w:line="245" w:lineRule="auto"/>
        <w:rPr>
          <w:sz w:val="20"/>
          <w:szCs w:val="20"/>
          <w:color w:val="auto"/>
        </w:rPr>
      </w:pPr>
      <w:r>
        <w:rPr>
          <w:rFonts w:ascii="Arial" w:cs="Arial" w:eastAsia="Arial" w:hAnsi="Arial"/>
          <w:sz w:val="17"/>
          <w:szCs w:val="17"/>
          <w:color w:val="auto"/>
        </w:rPr>
        <w:t>While the committee does not anticipate there would ever be circumstances where a restatement of earnings upon which any incentive plan award decisions were based would occur, the committee, in evaluating such circumstances, has broad discretion to take all actions necessary to protect the interests of stockholders up to and including actions to recover such incentive awards.</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Anti-Hedging and Anti-Pledging Policies</w:t>
      </w:r>
    </w:p>
    <w:p>
      <w:pPr>
        <w:spacing w:after="0" w:line="230" w:lineRule="exact"/>
        <w:rPr>
          <w:sz w:val="20"/>
          <w:szCs w:val="20"/>
          <w:color w:val="auto"/>
        </w:rPr>
      </w:pPr>
    </w:p>
    <w:p>
      <w:pPr>
        <w:jc w:val="both"/>
        <w:ind w:right="500" w:firstLine="651"/>
        <w:spacing w:after="0" w:line="243" w:lineRule="auto"/>
        <w:rPr>
          <w:sz w:val="20"/>
          <w:szCs w:val="20"/>
          <w:color w:val="auto"/>
        </w:rPr>
      </w:pPr>
      <w:r>
        <w:rPr>
          <w:rFonts w:ascii="Arial" w:cs="Arial" w:eastAsia="Arial" w:hAnsi="Arial"/>
          <w:sz w:val="17"/>
          <w:szCs w:val="17"/>
          <w:color w:val="auto"/>
        </w:rPr>
        <w:t>AbbVie has a formal policy that prohibits directors and officers subject to Section 16 of the Exchange Act, including all of the NEOs, from entering into or engaging in the purchase or sale of financial instruments that are designed to hedge or offset any decrease in the market value of AbbVie equity securities they hold. AbbVie also has a formal policy that prohibits directors and officers subject to Section 16 of the Exchange Act, including all of the NEOs, from pledging AbbVie common stock as collateral for a loan.</w:t>
      </w:r>
    </w:p>
    <w:p>
      <w:pPr>
        <w:spacing w:after="0" w:line="201" w:lineRule="exact"/>
        <w:rPr>
          <w:sz w:val="20"/>
          <w:szCs w:val="20"/>
          <w:color w:val="auto"/>
        </w:rPr>
      </w:pPr>
    </w:p>
    <w:p>
      <w:pPr>
        <w:ind w:firstLine="661"/>
        <w:spacing w:after="0" w:line="243" w:lineRule="auto"/>
        <w:rPr>
          <w:sz w:val="20"/>
          <w:szCs w:val="20"/>
          <w:color w:val="auto"/>
        </w:rPr>
      </w:pPr>
      <w:r>
        <w:rPr>
          <w:rFonts w:ascii="Arial" w:cs="Arial" w:eastAsia="Arial" w:hAnsi="Arial"/>
          <w:sz w:val="17"/>
          <w:szCs w:val="17"/>
          <w:color w:val="auto"/>
        </w:rPr>
        <w:t>In addition, the AbbVie Incentive Stock Program provides that no long-term incentive award may be assigned, alienated, sold or transferred other than by will or by the laws of descent and distribution or as permitted by the compensation committee for estate planning purposes, and no award and no right under any award may be pledged, alienated, attached or otherwise encumbered. All members of senior management, including the company's NEOs and certain other employees, are required to clear any transaction involving company stock with the General Counsel prior to entering into such transaction.</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Compensation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20" w:firstLine="657"/>
        <w:spacing w:after="0" w:line="243" w:lineRule="auto"/>
        <w:rPr>
          <w:sz w:val="20"/>
          <w:szCs w:val="20"/>
          <w:color w:val="auto"/>
        </w:rPr>
      </w:pPr>
      <w:r>
        <w:rPr>
          <w:rFonts w:ascii="Arial" w:cs="Arial" w:eastAsia="Arial" w:hAnsi="Arial"/>
          <w:sz w:val="17"/>
          <w:szCs w:val="17"/>
          <w:color w:val="auto"/>
        </w:rPr>
        <w:t>The compensation committee of the board of directors is primarily responsible for reviewing, approving and overseeing AbbVie's compensation plans and practices, and works with management and the committee's independent compensation consultant to establish AbbVie's executive compensation philosophy and programs. The committee reviewed and discussed the Compensation Discussion and Analysis with management and recommended to the board of directors that the Compensation Discussion and Analysis be included in this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Compensation Committee</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E. Liddy, Chairman, R. Austin, G. Tilton, and F. Waddell</w:t>
      </w:r>
    </w:p>
    <w:p>
      <w:pPr>
        <w:spacing w:after="0" w:line="174"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Compensation Risk Assessment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firstLine="661"/>
        <w:spacing w:after="0" w:line="242" w:lineRule="auto"/>
        <w:rPr>
          <w:sz w:val="20"/>
          <w:szCs w:val="20"/>
          <w:color w:val="auto"/>
        </w:rPr>
      </w:pPr>
      <w:r>
        <w:rPr>
          <w:rFonts w:ascii="Arial" w:cs="Arial" w:eastAsia="Arial" w:hAnsi="Arial"/>
          <w:sz w:val="17"/>
          <w:szCs w:val="17"/>
          <w:color w:val="auto"/>
        </w:rPr>
        <w:t>During 2015, in collaboration with the compensation committee's independent compensation consultant, AbbVie conducted an in-depth risk assessment of its compensation policies and practices, including those related to executive compensation programs for NEOs. The risk assessment included a quantitative and qualitative analysis of AbbVie's executive compensation programs and broader employee incentive compensation plans. AbbVie also considered how these programs compare, from a design perspective, to programs maintained by other companies. Based on this assessment, it was determined that AbbVie's executive compensation programs are balanced and appropriately incent employees, and any risks arising from the compensation policies and practices are not reasonably likely to have a material adverse effect on AbbVie. The following factors were among those considered in making this determination:</w:t>
      </w:r>
    </w:p>
    <w:p>
      <w:pPr>
        <w:spacing w:after="0" w:line="201" w:lineRule="exact"/>
        <w:rPr>
          <w:sz w:val="20"/>
          <w:szCs w:val="20"/>
          <w:color w:val="auto"/>
        </w:rPr>
      </w:pPr>
    </w:p>
    <w:p>
      <w:pPr>
        <w:jc w:val="both"/>
        <w:ind w:left="1040" w:right="40" w:hanging="513"/>
        <w:spacing w:after="0" w:line="245" w:lineRule="auto"/>
        <w:tabs>
          <w:tab w:leader="none" w:pos="10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AbbVie's compensation structure contributes to a corporate culture that encourages our NEOs to regard AbbVie as a long-term employer. For example, equity awards vest over multi-year periods, which encourages NEOs to consider the long-term impact of their decisions and align their interests with those of AbbVie's stockholders.</w:t>
      </w:r>
    </w:p>
    <w:p>
      <w:pPr>
        <w:spacing w:after="0" w:line="206"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40  </w:t>
      </w:r>
      <w:r>
        <w:rPr>
          <w:sz w:val="1"/>
          <w:szCs w:val="1"/>
          <w:color w:val="auto"/>
        </w:rPr>
        <w:drawing>
          <wp:inline distT="0" distB="0" distL="0" distR="0">
            <wp:extent cx="622300" cy="107950"/>
            <wp:effectExtent l="0" t="0" r="0" b="0"/>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3" w:name="page44"/>
    <w:bookmarkEnd w:id="4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6" w:lineRule="exact"/>
        <w:rPr>
          <w:sz w:val="20"/>
          <w:szCs w:val="20"/>
          <w:color w:val="auto"/>
        </w:rPr>
      </w:pPr>
    </w:p>
    <w:tbl>
      <w:tblPr>
        <w:tblLayout w:type="fixed"/>
        <w:tblInd w:w="520" w:type="dxa"/>
        <w:tblCellMar>
          <w:top w:w="0" w:type="dxa"/>
          <w:left w:w="0" w:type="dxa"/>
          <w:bottom w:w="0" w:type="dxa"/>
          <w:right w:w="0" w:type="dxa"/>
        </w:tblCellMar>
      </w:tblPr>
      <w:tr>
        <w:trPr>
          <w:trHeight w:val="202"/>
        </w:trPr>
        <w:tc>
          <w:tcPr>
            <w:tcW w:w="300" w:type="dxa"/>
            <w:vAlign w:val="bottom"/>
          </w:tcPr>
          <w:p>
            <w:pPr>
              <w:spacing w:after="0"/>
              <w:rPr>
                <w:sz w:val="20"/>
                <w:szCs w:val="20"/>
                <w:color w:val="auto"/>
              </w:rPr>
            </w:pPr>
            <w:r>
              <w:rPr>
                <w:rFonts w:ascii="Arial" w:cs="Arial" w:eastAsia="Arial" w:hAnsi="Arial"/>
                <w:sz w:val="17"/>
                <w:szCs w:val="17"/>
                <w:color w:val="auto"/>
              </w:rPr>
              <w:t>•</w:t>
            </w:r>
          </w:p>
        </w:tc>
        <w:tc>
          <w:tcPr>
            <w:tcW w:w="8860" w:type="dxa"/>
            <w:vAlign w:val="bottom"/>
          </w:tcPr>
          <w:p>
            <w:pPr>
              <w:ind w:left="220"/>
              <w:spacing w:after="0"/>
              <w:rPr>
                <w:sz w:val="20"/>
                <w:szCs w:val="20"/>
                <w:color w:val="auto"/>
              </w:rPr>
            </w:pPr>
            <w:r>
              <w:rPr>
                <w:rFonts w:ascii="Arial" w:cs="Arial" w:eastAsia="Arial" w:hAnsi="Arial"/>
                <w:sz w:val="17"/>
                <w:szCs w:val="17"/>
                <w:color w:val="auto"/>
              </w:rPr>
              <w:t>AbbVie's annual incentive program is based on multiple performance measures, balancing earnings achievement</w:t>
            </w:r>
          </w:p>
        </w:tc>
        <w:tc>
          <w:tcPr>
            <w:tcW w:w="1740" w:type="dxa"/>
            <w:vAlign w:val="bottom"/>
            <w:tcBorders>
              <w:bottom w:val="single" w:sz="8" w:color="444867"/>
            </w:tcBorders>
            <w:shd w:val="clear" w:color="auto" w:fill="444867"/>
          </w:tcPr>
          <w:p>
            <w:pPr>
              <w:ind w:left="60"/>
              <w:spacing w:after="0"/>
              <w:rPr>
                <w:sz w:val="20"/>
                <w:szCs w:val="20"/>
                <w:color w:val="auto"/>
              </w:rPr>
            </w:pPr>
            <w:r>
              <w:rPr>
                <w:rFonts w:ascii="Arial" w:cs="Arial" w:eastAsia="Arial" w:hAnsi="Arial"/>
                <w:sz w:val="10"/>
                <w:szCs w:val="10"/>
                <w:b w:val="1"/>
                <w:bCs w:val="1"/>
                <w:color w:val="FFFFFE"/>
              </w:rPr>
              <w:t>EXECUTIVE COMPENSATION</w:t>
            </w:r>
          </w:p>
        </w:tc>
      </w:tr>
      <w:tr>
        <w:trPr>
          <w:trHeight w:val="173"/>
        </w:trPr>
        <w:tc>
          <w:tcPr>
            <w:tcW w:w="300" w:type="dxa"/>
            <w:vAlign w:val="bottom"/>
          </w:tcPr>
          <w:p>
            <w:pPr>
              <w:spacing w:after="0"/>
              <w:rPr>
                <w:sz w:val="15"/>
                <w:szCs w:val="15"/>
                <w:color w:val="auto"/>
              </w:rPr>
            </w:pPr>
          </w:p>
        </w:tc>
        <w:tc>
          <w:tcPr>
            <w:tcW w:w="8860" w:type="dxa"/>
            <w:vAlign w:val="bottom"/>
          </w:tcPr>
          <w:p>
            <w:pPr>
              <w:ind w:left="220"/>
              <w:spacing w:after="0" w:line="173" w:lineRule="exact"/>
              <w:rPr>
                <w:sz w:val="20"/>
                <w:szCs w:val="20"/>
                <w:color w:val="auto"/>
              </w:rPr>
            </w:pPr>
            <w:r>
              <w:rPr>
                <w:rFonts w:ascii="Arial" w:cs="Arial" w:eastAsia="Arial" w:hAnsi="Arial"/>
                <w:sz w:val="17"/>
                <w:szCs w:val="17"/>
                <w:color w:val="auto"/>
              </w:rPr>
              <w:t>with other factors. Since earnings are a key component of stock price performance, this aspect of AbbVie's</w:t>
            </w:r>
          </w:p>
        </w:tc>
        <w:tc>
          <w:tcPr>
            <w:tcW w:w="1740" w:type="dxa"/>
            <w:vAlign w:val="bottom"/>
          </w:tcPr>
          <w:p>
            <w:pPr>
              <w:spacing w:after="0"/>
              <w:rPr>
                <w:sz w:val="15"/>
                <w:szCs w:val="15"/>
                <w:color w:val="auto"/>
              </w:rPr>
            </w:pPr>
          </w:p>
        </w:tc>
      </w:tr>
      <w:tr>
        <w:trPr>
          <w:trHeight w:val="204"/>
        </w:trPr>
        <w:tc>
          <w:tcPr>
            <w:tcW w:w="300" w:type="dxa"/>
            <w:vAlign w:val="bottom"/>
          </w:tcPr>
          <w:p>
            <w:pPr>
              <w:spacing w:after="0"/>
              <w:rPr>
                <w:sz w:val="17"/>
                <w:szCs w:val="17"/>
                <w:color w:val="auto"/>
              </w:rPr>
            </w:pPr>
          </w:p>
        </w:tc>
        <w:tc>
          <w:tcPr>
            <w:tcW w:w="10600" w:type="dxa"/>
            <w:vAlign w:val="bottom"/>
            <w:gridSpan w:val="2"/>
          </w:tcPr>
          <w:p>
            <w:pPr>
              <w:ind w:left="220"/>
              <w:spacing w:after="0"/>
              <w:rPr>
                <w:sz w:val="20"/>
                <w:szCs w:val="20"/>
                <w:color w:val="auto"/>
              </w:rPr>
            </w:pPr>
            <w:r>
              <w:rPr>
                <w:rFonts w:ascii="Arial" w:cs="Arial" w:eastAsia="Arial" w:hAnsi="Arial"/>
                <w:sz w:val="17"/>
                <w:szCs w:val="17"/>
                <w:color w:val="auto"/>
              </w:rPr>
              <w:t>compensation plan also promotes alignment with stockholder interests.</w:t>
            </w:r>
          </w:p>
        </w:tc>
      </w:tr>
    </w:tbl>
    <w:p>
      <w:pPr>
        <w:spacing w:after="0" w:line="201" w:lineRule="exact"/>
        <w:rPr>
          <w:sz w:val="20"/>
          <w:szCs w:val="20"/>
          <w:color w:val="auto"/>
        </w:rPr>
      </w:pPr>
    </w:p>
    <w:p>
      <w:pPr>
        <w:ind w:left="1040" w:right="140" w:hanging="513"/>
        <w:spacing w:after="0" w:line="243"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AbbVie does not include certain pay design features that may have the potential to encourage excessive risk-taking, such as: over-weighting toward annual incentives, highly leveraged payout curves, unreasonable thresholds or dramatic changes in payout opportunity at certain performance levels that may encourage inappropriate short-term business decisions to meet payout thresholds. In addition, a limit of 200% of target applies to any awards made under the NEO short-term incentive plan.</w:t>
      </w:r>
    </w:p>
    <w:p>
      <w:pPr>
        <w:spacing w:after="0" w:line="188" w:lineRule="exact"/>
        <w:rPr>
          <w:rFonts w:ascii="Arial" w:cs="Arial" w:eastAsia="Arial" w:hAnsi="Arial"/>
          <w:sz w:val="17"/>
          <w:szCs w:val="17"/>
          <w:color w:val="auto"/>
        </w:rPr>
      </w:pPr>
    </w:p>
    <w:p>
      <w:pPr>
        <w:ind w:left="1040" w:right="260" w:hanging="513"/>
        <w:spacing w:after="0" w:line="242"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AbbVie's long-term incentive program focuses NEOs on longer-term operating performance and stockholder returns. In 2015, AbbVie's NEOs received roughly two-thirds of their total direct compensation in the form of long-term incentives (25% of which are stock options that vest over a multi-year period, and 75% of which are performance-vested awards that vest over a period of up to five years with not more than one-third of the award vesting in any one year). AbbVie's new design for long-term incentives, beginning in 2016, enhances these objectives by creating longer performance timeframes and by incorporating multiple, relative performance measures, including relative total stockholder return.</w:t>
      </w:r>
    </w:p>
    <w:p>
      <w:pPr>
        <w:spacing w:after="0" w:line="189" w:lineRule="exact"/>
        <w:rPr>
          <w:rFonts w:ascii="Arial" w:cs="Arial" w:eastAsia="Arial" w:hAnsi="Arial"/>
          <w:sz w:val="17"/>
          <w:szCs w:val="17"/>
          <w:color w:val="auto"/>
        </w:rPr>
      </w:pPr>
    </w:p>
    <w:p>
      <w:pPr>
        <w:ind w:left="1040" w:right="380" w:hanging="513"/>
        <w:spacing w:after="0" w:line="250"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AbbVie makes equity awards and sets grant prices at the same time each year, at the compensation committee's regularly scheduled meeting in February. In addition, AbbVie does not award discounted stock options or immediately vesting equity awards.</w:t>
      </w:r>
    </w:p>
    <w:p>
      <w:pPr>
        <w:spacing w:after="0" w:line="193" w:lineRule="exact"/>
        <w:rPr>
          <w:rFonts w:ascii="Arial" w:cs="Arial" w:eastAsia="Arial" w:hAnsi="Arial"/>
          <w:sz w:val="17"/>
          <w:szCs w:val="17"/>
          <w:color w:val="auto"/>
        </w:rPr>
      </w:pPr>
    </w:p>
    <w:p>
      <w:pPr>
        <w:ind w:left="1040" w:right="260" w:hanging="513"/>
        <w:spacing w:after="0" w:line="250"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AbbVie has robust stock ownership guidelines for its senior executives, which promotes alignment with stockholder interests, and other good governance equity practices such as anti-hedging and anti-pledging policies.</w:t>
      </w:r>
    </w:p>
    <w:p>
      <w:pPr>
        <w:spacing w:after="0" w:line="180" w:lineRule="exact"/>
        <w:rPr>
          <w:rFonts w:ascii="Arial" w:cs="Arial" w:eastAsia="Arial" w:hAnsi="Arial"/>
          <w:sz w:val="17"/>
          <w:szCs w:val="17"/>
          <w:color w:val="auto"/>
        </w:rPr>
      </w:pPr>
    </w:p>
    <w:p>
      <w:pPr>
        <w:ind w:left="1040" w:right="120" w:hanging="513"/>
        <w:spacing w:after="0" w:line="245"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AbbVie's compensation committee has the ability to exercise downward discretion in determining annual incentive plan payouts. In 2015, the compensation committee exercised its discretion to deliver annual incentive plan awards below the maximum amounts allowable according to the plan formula.</w:t>
      </w:r>
    </w:p>
    <w:p>
      <w:pPr>
        <w:spacing w:after="0" w:line="185" w:lineRule="exact"/>
        <w:rPr>
          <w:rFonts w:ascii="Arial" w:cs="Arial" w:eastAsia="Arial" w:hAnsi="Arial"/>
          <w:sz w:val="17"/>
          <w:szCs w:val="17"/>
          <w:color w:val="auto"/>
        </w:rPr>
      </w:pPr>
    </w:p>
    <w:p>
      <w:pPr>
        <w:ind w:left="1040" w:right="180" w:hanging="513"/>
        <w:spacing w:after="0" w:line="250"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AbbVie's compensation committee has broad discretion to claw back incentive compensation that was awarded based on financials that were later restated.</w:t>
      </w:r>
    </w:p>
    <w:p>
      <w:pPr>
        <w:spacing w:after="0" w:line="193" w:lineRule="exact"/>
        <w:rPr>
          <w:rFonts w:ascii="Arial" w:cs="Arial" w:eastAsia="Arial" w:hAnsi="Arial"/>
          <w:sz w:val="17"/>
          <w:szCs w:val="17"/>
          <w:color w:val="auto"/>
        </w:rPr>
      </w:pPr>
    </w:p>
    <w:p>
      <w:pPr>
        <w:ind w:left="1040" w:right="780" w:hanging="513"/>
        <w:spacing w:after="0" w:line="250" w:lineRule="auto"/>
        <w:tabs>
          <w:tab w:leader="none" w:pos="10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AbbVie requires mandatory training on its code of conduct and policies and procedures to educate its employees on appropriate behaviors and the consequences of taking inappropriate actions.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risk assessment results were presented to the compensation committee by its independent compensation consultant.</w:t>
      </w:r>
    </w:p>
    <w:p>
      <w:pPr>
        <w:spacing w:after="0" w:line="20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4" w:name="page45"/>
    <w:bookmarkEnd w:id="4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103630" cy="14097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EXECUTIVE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2016 Compensation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20" w:firstLine="657"/>
        <w:spacing w:after="0" w:line="255" w:lineRule="auto"/>
        <w:rPr>
          <w:sz w:val="20"/>
          <w:szCs w:val="20"/>
          <w:color w:val="auto"/>
        </w:rPr>
      </w:pPr>
      <w:r>
        <w:rPr>
          <w:rFonts w:ascii="Arial" w:cs="Arial" w:eastAsia="Arial" w:hAnsi="Arial"/>
          <w:sz w:val="16"/>
          <w:szCs w:val="16"/>
          <w:color w:val="auto"/>
        </w:rPr>
        <w:t>The compensation committee's typical practice is to make decisions related to NEO pay at its February meeting, including adjustments to base salary, an annual incentive payment for the prior year's performance, and establishment of a long-term incentive award value. In making its decisions, the committee considers the performance achieved compared to previously established goals as well as changes in industry practice reflected in compensation benchmarking data. The committee made the following decisions about the compensation for Mr. Gonzalez at its February 2016 meeting:</w:t>
      </w:r>
    </w:p>
    <w:p>
      <w:pPr>
        <w:spacing w:after="0" w:line="2" w:lineRule="exact"/>
        <w:rPr>
          <w:sz w:val="20"/>
          <w:szCs w:val="20"/>
          <w:color w:val="auto"/>
        </w:rPr>
      </w:pPr>
    </w:p>
    <w:p>
      <w:pPr>
        <w:jc w:val="both"/>
        <w:ind w:right="120" w:firstLine="5"/>
        <w:spacing w:after="0" w:line="268" w:lineRule="auto"/>
        <w:tabs>
          <w:tab w:leader="none" w:pos="198" w:val="left"/>
        </w:tabs>
        <w:numPr>
          <w:ilvl w:val="0"/>
          <w:numId w:val="32"/>
        </w:numPr>
        <w:rPr>
          <w:rFonts w:ascii="Arial" w:cs="Arial" w:eastAsia="Arial" w:hAnsi="Arial"/>
          <w:sz w:val="16"/>
          <w:szCs w:val="16"/>
          <w:color w:val="auto"/>
        </w:rPr>
      </w:pPr>
      <w:r>
        <w:rPr>
          <w:rFonts w:ascii="Arial" w:cs="Arial" w:eastAsia="Arial" w:hAnsi="Arial"/>
          <w:sz w:val="16"/>
          <w:szCs w:val="16"/>
          <w:color w:val="auto"/>
        </w:rPr>
        <w:t>his base salary is unchanged compared to 2015; (ii) his annual incentive payment for 2015 performance was $2,976,000; (iii) his 2016 target annual incentive was reset to 150% of base salary; and (iv) his 2016 long-term incentive award grant value was $11,700,000, which was the projected median grant value of the Health Care Peer Group. Additional information about the 2016 changes is provided beginning on page 29 of this proxy statement.</w:t>
      </w:r>
    </w:p>
    <w:p>
      <w:pPr>
        <w:spacing w:after="0" w:line="145"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Summary Compensation Table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firstLine="657"/>
        <w:spacing w:after="0" w:line="243" w:lineRule="auto"/>
        <w:rPr>
          <w:sz w:val="20"/>
          <w:szCs w:val="20"/>
          <w:color w:val="auto"/>
        </w:rPr>
      </w:pPr>
      <w:r>
        <w:rPr>
          <w:rFonts w:ascii="Arial" w:cs="Arial" w:eastAsia="Arial" w:hAnsi="Arial"/>
          <w:sz w:val="17"/>
          <w:szCs w:val="17"/>
          <w:color w:val="auto"/>
        </w:rPr>
        <w:t>This section contains compensation information for AbbVie's NEOs for the fiscal year ended December 31, 2015. The following table summarizes compensation awarded to, earned by and/or paid to AbbVie's NEOs in connection with their service to AbbVie during 2015, 2014 and 2013. Dr. Severino joined AbbVie in 2014. The section of this proxy statement captioned "Compensation Plan Elements" describes in greater detail the information reported in this table.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jc w:val="right"/>
              <w:ind w:right="30"/>
              <w:spacing w:after="0"/>
              <w:rPr>
                <w:sz w:val="20"/>
                <w:szCs w:val="20"/>
                <w:color w:val="auto"/>
              </w:rPr>
            </w:pPr>
            <w:r>
              <w:rPr>
                <w:rFonts w:ascii="Arial" w:cs="Arial" w:eastAsia="Arial" w:hAnsi="Arial"/>
                <w:sz w:val="14"/>
                <w:szCs w:val="14"/>
                <w:b w:val="1"/>
                <w:bCs w:val="1"/>
                <w:color w:val="444867"/>
              </w:rPr>
              <w:t>Change in</w:t>
            </w:r>
          </w:p>
        </w:tc>
        <w:tc>
          <w:tcPr>
            <w:tcW w:w="1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57"/>
        </w:trPr>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Pension</w:t>
            </w: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7"/>
        </w:trPr>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Value and</w:t>
            </w: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7"/>
        </w:trPr>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Non-Equity</w:t>
            </w:r>
          </w:p>
        </w:tc>
        <w:tc>
          <w:tcPr>
            <w:tcW w:w="114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Non-qualified</w:t>
            </w: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7"/>
        </w:trPr>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Incentive</w:t>
            </w:r>
          </w:p>
        </w:tc>
        <w:tc>
          <w:tcPr>
            <w:tcW w:w="114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Deferred</w:t>
            </w:r>
          </w:p>
        </w:tc>
        <w:tc>
          <w:tcPr>
            <w:tcW w:w="120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57"/>
        </w:trPr>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20" w:type="dxa"/>
            <w:vAlign w:val="bottom"/>
          </w:tcPr>
          <w:p>
            <w:pPr>
              <w:jc w:val="right"/>
              <w:ind w:right="70"/>
              <w:spacing w:after="0" w:line="157" w:lineRule="exact"/>
              <w:rPr>
                <w:sz w:val="20"/>
                <w:szCs w:val="20"/>
                <w:color w:val="auto"/>
              </w:rPr>
            </w:pPr>
            <w:r>
              <w:rPr>
                <w:rFonts w:ascii="Arial" w:cs="Arial" w:eastAsia="Arial" w:hAnsi="Arial"/>
                <w:sz w:val="14"/>
                <w:szCs w:val="14"/>
                <w:b w:val="1"/>
                <w:bCs w:val="1"/>
                <w:color w:val="444867"/>
              </w:rPr>
              <w:t>Stock</w:t>
            </w:r>
          </w:p>
        </w:tc>
        <w:tc>
          <w:tcPr>
            <w:tcW w:w="940" w:type="dxa"/>
            <w:vAlign w:val="bottom"/>
          </w:tcPr>
          <w:p>
            <w:pPr>
              <w:jc w:val="right"/>
              <w:ind w:right="10"/>
              <w:spacing w:after="0" w:line="157" w:lineRule="exact"/>
              <w:rPr>
                <w:sz w:val="20"/>
                <w:szCs w:val="20"/>
                <w:color w:val="auto"/>
              </w:rPr>
            </w:pPr>
            <w:r>
              <w:rPr>
                <w:rFonts w:ascii="Arial" w:cs="Arial" w:eastAsia="Arial" w:hAnsi="Arial"/>
                <w:sz w:val="14"/>
                <w:szCs w:val="14"/>
                <w:b w:val="1"/>
                <w:bCs w:val="1"/>
                <w:color w:val="444867"/>
              </w:rPr>
              <w:t>Option</w:t>
            </w:r>
          </w:p>
        </w:tc>
        <w:tc>
          <w:tcPr>
            <w:tcW w:w="114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Plan</w:t>
            </w:r>
          </w:p>
        </w:tc>
        <w:tc>
          <w:tcPr>
            <w:tcW w:w="114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Compensation</w:t>
            </w:r>
          </w:p>
        </w:tc>
        <w:tc>
          <w:tcPr>
            <w:tcW w:w="1200" w:type="dxa"/>
            <w:vAlign w:val="bottom"/>
          </w:tcPr>
          <w:p>
            <w:pPr>
              <w:jc w:val="right"/>
              <w:ind w:right="90"/>
              <w:spacing w:after="0" w:line="157" w:lineRule="exact"/>
              <w:rPr>
                <w:sz w:val="20"/>
                <w:szCs w:val="20"/>
                <w:color w:val="auto"/>
              </w:rPr>
            </w:pPr>
            <w:r>
              <w:rPr>
                <w:rFonts w:ascii="Arial" w:cs="Arial" w:eastAsia="Arial" w:hAnsi="Arial"/>
                <w:sz w:val="14"/>
                <w:szCs w:val="14"/>
                <w:b w:val="1"/>
                <w:bCs w:val="1"/>
                <w:color w:val="444867"/>
              </w:rPr>
              <w:t>All Other</w:t>
            </w:r>
          </w:p>
        </w:tc>
        <w:tc>
          <w:tcPr>
            <w:tcW w:w="920" w:type="dxa"/>
            <w:vAlign w:val="bottom"/>
          </w:tcPr>
          <w:p>
            <w:pPr>
              <w:spacing w:after="0"/>
              <w:rPr>
                <w:sz w:val="13"/>
                <w:szCs w:val="13"/>
                <w:color w:val="auto"/>
              </w:rPr>
            </w:pPr>
          </w:p>
        </w:tc>
      </w:tr>
      <w:tr>
        <w:trPr>
          <w:trHeight w:val="157"/>
        </w:trPr>
        <w:tc>
          <w:tcPr>
            <w:tcW w:w="2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Salary</w:t>
            </w:r>
          </w:p>
        </w:tc>
        <w:tc>
          <w:tcPr>
            <w:tcW w:w="940" w:type="dxa"/>
            <w:vAlign w:val="bottom"/>
          </w:tcPr>
          <w:p>
            <w:pPr>
              <w:jc w:val="right"/>
              <w:ind w:right="130"/>
              <w:spacing w:after="0" w:line="157" w:lineRule="exact"/>
              <w:rPr>
                <w:sz w:val="20"/>
                <w:szCs w:val="20"/>
                <w:color w:val="auto"/>
              </w:rPr>
            </w:pPr>
            <w:r>
              <w:rPr>
                <w:rFonts w:ascii="Arial" w:cs="Arial" w:eastAsia="Arial" w:hAnsi="Arial"/>
                <w:sz w:val="14"/>
                <w:szCs w:val="14"/>
                <w:b w:val="1"/>
                <w:bCs w:val="1"/>
                <w:color w:val="444867"/>
              </w:rPr>
              <w:t>Bonus</w:t>
            </w:r>
          </w:p>
        </w:tc>
        <w:tc>
          <w:tcPr>
            <w:tcW w:w="920" w:type="dxa"/>
            <w:vAlign w:val="bottom"/>
          </w:tcPr>
          <w:p>
            <w:pPr>
              <w:jc w:val="right"/>
              <w:ind w:right="70"/>
              <w:spacing w:after="0" w:line="157" w:lineRule="exact"/>
              <w:rPr>
                <w:sz w:val="20"/>
                <w:szCs w:val="20"/>
                <w:color w:val="auto"/>
              </w:rPr>
            </w:pPr>
            <w:r>
              <w:rPr>
                <w:rFonts w:ascii="Arial" w:cs="Arial" w:eastAsia="Arial" w:hAnsi="Arial"/>
                <w:sz w:val="14"/>
                <w:szCs w:val="14"/>
                <w:b w:val="1"/>
                <w:bCs w:val="1"/>
                <w:color w:val="444867"/>
              </w:rPr>
              <w:t>Awards</w:t>
            </w:r>
          </w:p>
        </w:tc>
        <w:tc>
          <w:tcPr>
            <w:tcW w:w="940" w:type="dxa"/>
            <w:vAlign w:val="bottom"/>
          </w:tcPr>
          <w:p>
            <w:pPr>
              <w:jc w:val="right"/>
              <w:ind w:right="10"/>
              <w:spacing w:after="0" w:line="157" w:lineRule="exact"/>
              <w:rPr>
                <w:sz w:val="20"/>
                <w:szCs w:val="20"/>
                <w:color w:val="auto"/>
              </w:rPr>
            </w:pPr>
            <w:r>
              <w:rPr>
                <w:rFonts w:ascii="Arial" w:cs="Arial" w:eastAsia="Arial" w:hAnsi="Arial"/>
                <w:sz w:val="14"/>
                <w:szCs w:val="14"/>
                <w:b w:val="1"/>
                <w:bCs w:val="1"/>
                <w:color w:val="444867"/>
              </w:rPr>
              <w:t>Awards</w:t>
            </w:r>
          </w:p>
        </w:tc>
        <w:tc>
          <w:tcPr>
            <w:tcW w:w="114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Compensation</w:t>
            </w:r>
          </w:p>
        </w:tc>
        <w:tc>
          <w:tcPr>
            <w:tcW w:w="1140" w:type="dxa"/>
            <w:vAlign w:val="bottom"/>
          </w:tcPr>
          <w:p>
            <w:pPr>
              <w:jc w:val="right"/>
              <w:ind w:right="30"/>
              <w:spacing w:after="0" w:line="157" w:lineRule="exact"/>
              <w:rPr>
                <w:sz w:val="20"/>
                <w:szCs w:val="20"/>
                <w:color w:val="auto"/>
              </w:rPr>
            </w:pPr>
            <w:r>
              <w:rPr>
                <w:rFonts w:ascii="Arial" w:cs="Arial" w:eastAsia="Arial" w:hAnsi="Arial"/>
                <w:sz w:val="14"/>
                <w:szCs w:val="14"/>
                <w:b w:val="1"/>
                <w:bCs w:val="1"/>
                <w:color w:val="444867"/>
              </w:rPr>
              <w:t>Earnings</w:t>
            </w:r>
          </w:p>
        </w:tc>
        <w:tc>
          <w:tcPr>
            <w:tcW w:w="1200" w:type="dxa"/>
            <w:vAlign w:val="bottom"/>
          </w:tcPr>
          <w:p>
            <w:pPr>
              <w:jc w:val="right"/>
              <w:ind w:right="90"/>
              <w:spacing w:after="0" w:line="157" w:lineRule="exact"/>
              <w:rPr>
                <w:sz w:val="20"/>
                <w:szCs w:val="20"/>
                <w:color w:val="auto"/>
              </w:rPr>
            </w:pPr>
            <w:r>
              <w:rPr>
                <w:rFonts w:ascii="Arial" w:cs="Arial" w:eastAsia="Arial" w:hAnsi="Arial"/>
                <w:sz w:val="14"/>
                <w:szCs w:val="14"/>
                <w:b w:val="1"/>
                <w:bCs w:val="1"/>
                <w:color w:val="444867"/>
              </w:rPr>
              <w:t>Compensation</w:t>
            </w:r>
          </w:p>
        </w:tc>
        <w:tc>
          <w:tcPr>
            <w:tcW w:w="92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Total</w:t>
            </w:r>
          </w:p>
        </w:tc>
      </w:tr>
      <w:tr>
        <w:trPr>
          <w:trHeight w:val="168"/>
        </w:trPr>
        <w:tc>
          <w:tcPr>
            <w:tcW w:w="2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444867"/>
              </w:rPr>
              <w:t>Name and Principal Position</w:t>
            </w:r>
          </w:p>
        </w:tc>
        <w:tc>
          <w:tcPr>
            <w:tcW w:w="2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444867"/>
                <w:w w:val="98"/>
              </w:rPr>
              <w:t>Year</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444867"/>
              </w:rPr>
              <w:t>($)(1)</w:t>
            </w:r>
          </w:p>
        </w:tc>
        <w:tc>
          <w:tcPr>
            <w:tcW w:w="940" w:type="dxa"/>
            <w:vAlign w:val="bottom"/>
            <w:tcBorders>
              <w:bottom w:val="single" w:sz="8" w:color="auto"/>
            </w:tcBorders>
          </w:tcPr>
          <w:p>
            <w:pPr>
              <w:jc w:val="right"/>
              <w:ind w:right="130"/>
              <w:spacing w:after="0"/>
              <w:rPr>
                <w:sz w:val="20"/>
                <w:szCs w:val="20"/>
                <w:color w:val="auto"/>
              </w:rPr>
            </w:pPr>
            <w:r>
              <w:rPr>
                <w:rFonts w:ascii="Arial" w:cs="Arial" w:eastAsia="Arial" w:hAnsi="Arial"/>
                <w:sz w:val="14"/>
                <w:szCs w:val="14"/>
                <w:b w:val="1"/>
                <w:bCs w:val="1"/>
                <w:color w:val="444867"/>
              </w:rPr>
              <w:t>($)</w:t>
            </w:r>
          </w:p>
        </w:tc>
        <w:tc>
          <w:tcPr>
            <w:tcW w:w="920" w:type="dxa"/>
            <w:vAlign w:val="bottom"/>
            <w:tcBorders>
              <w:bottom w:val="single" w:sz="8" w:color="auto"/>
            </w:tcBorders>
          </w:tcPr>
          <w:p>
            <w:pPr>
              <w:jc w:val="right"/>
              <w:ind w:right="70"/>
              <w:spacing w:after="0"/>
              <w:rPr>
                <w:sz w:val="20"/>
                <w:szCs w:val="20"/>
                <w:color w:val="auto"/>
              </w:rPr>
            </w:pPr>
            <w:r>
              <w:rPr>
                <w:rFonts w:ascii="Arial" w:cs="Arial" w:eastAsia="Arial" w:hAnsi="Arial"/>
                <w:sz w:val="14"/>
                <w:szCs w:val="14"/>
                <w:b w:val="1"/>
                <w:bCs w:val="1"/>
                <w:color w:val="444867"/>
              </w:rPr>
              <w:t>($)(2)</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4"/>
                <w:szCs w:val="14"/>
                <w:b w:val="1"/>
                <w:bCs w:val="1"/>
                <w:color w:val="444867"/>
              </w:rPr>
              <w:t>($)(3)(4)</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444867"/>
              </w:rPr>
              <w:t>($)(5)</w:t>
            </w:r>
          </w:p>
        </w:tc>
        <w:tc>
          <w:tcPr>
            <w:tcW w:w="1140" w:type="dxa"/>
            <w:vAlign w:val="bottom"/>
            <w:tcBorders>
              <w:bottom w:val="single" w:sz="8" w:color="auto"/>
            </w:tcBorders>
          </w:tcPr>
          <w:p>
            <w:pPr>
              <w:jc w:val="right"/>
              <w:ind w:right="30"/>
              <w:spacing w:after="0"/>
              <w:rPr>
                <w:sz w:val="20"/>
                <w:szCs w:val="20"/>
                <w:color w:val="auto"/>
              </w:rPr>
            </w:pPr>
            <w:r>
              <w:rPr>
                <w:rFonts w:ascii="Arial" w:cs="Arial" w:eastAsia="Arial" w:hAnsi="Arial"/>
                <w:sz w:val="14"/>
                <w:szCs w:val="14"/>
                <w:b w:val="1"/>
                <w:bCs w:val="1"/>
                <w:color w:val="444867"/>
              </w:rPr>
              <w:t>($)(6)(7)</w:t>
            </w:r>
          </w:p>
        </w:tc>
        <w:tc>
          <w:tcPr>
            <w:tcW w:w="1200" w:type="dxa"/>
            <w:vAlign w:val="bottom"/>
            <w:tcBorders>
              <w:bottom w:val="single" w:sz="8" w:color="auto"/>
            </w:tcBorders>
          </w:tcPr>
          <w:p>
            <w:pPr>
              <w:jc w:val="right"/>
              <w:ind w:right="90"/>
              <w:spacing w:after="0"/>
              <w:rPr>
                <w:sz w:val="20"/>
                <w:szCs w:val="20"/>
                <w:color w:val="auto"/>
              </w:rPr>
            </w:pPr>
            <w:r>
              <w:rPr>
                <w:rFonts w:ascii="Arial" w:cs="Arial" w:eastAsia="Arial" w:hAnsi="Arial"/>
                <w:sz w:val="14"/>
                <w:szCs w:val="14"/>
                <w:b w:val="1"/>
                <w:bCs w:val="1"/>
                <w:color w:val="444867"/>
              </w:rPr>
              <w:t>($)(8)</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44867"/>
              </w:rPr>
              <w:t>($)</w:t>
            </w:r>
          </w:p>
        </w:tc>
      </w:tr>
      <w:tr>
        <w:trPr>
          <w:trHeight w:val="150"/>
        </w:trPr>
        <w:tc>
          <w:tcPr>
            <w:tcW w:w="2420" w:type="dxa"/>
            <w:vAlign w:val="bottom"/>
            <w:shd w:val="clear" w:color="auto" w:fill="E7E7E8"/>
          </w:tcPr>
          <w:p>
            <w:pPr>
              <w:spacing w:after="0" w:line="150" w:lineRule="exact"/>
              <w:rPr>
                <w:sz w:val="20"/>
                <w:szCs w:val="20"/>
                <w:color w:val="auto"/>
              </w:rPr>
            </w:pPr>
            <w:r>
              <w:rPr>
                <w:rFonts w:ascii="Arial" w:cs="Arial" w:eastAsia="Arial" w:hAnsi="Arial"/>
                <w:sz w:val="14"/>
                <w:szCs w:val="14"/>
                <w:color w:val="auto"/>
              </w:rPr>
              <w:t>Richard A. Gonzalez</w:t>
            </w:r>
          </w:p>
        </w:tc>
        <w:tc>
          <w:tcPr>
            <w:tcW w:w="700" w:type="dxa"/>
            <w:vAlign w:val="bottom"/>
            <w:gridSpan w:val="2"/>
            <w:shd w:val="clear" w:color="auto" w:fill="E7E7E8"/>
          </w:tcPr>
          <w:p>
            <w:pPr>
              <w:jc w:val="right"/>
              <w:ind w:right="70"/>
              <w:spacing w:after="0" w:line="150" w:lineRule="exact"/>
              <w:rPr>
                <w:sz w:val="20"/>
                <w:szCs w:val="20"/>
                <w:color w:val="auto"/>
              </w:rPr>
            </w:pPr>
            <w:r>
              <w:rPr>
                <w:rFonts w:ascii="Arial" w:cs="Arial" w:eastAsia="Arial" w:hAnsi="Arial"/>
                <w:sz w:val="14"/>
                <w:szCs w:val="14"/>
                <w:color w:val="auto"/>
              </w:rPr>
              <w:t>2015</w:t>
            </w:r>
          </w:p>
        </w:tc>
        <w:tc>
          <w:tcPr>
            <w:tcW w:w="940" w:type="dxa"/>
            <w:vAlign w:val="bottom"/>
            <w:shd w:val="clear" w:color="auto" w:fill="E7E7E8"/>
          </w:tcPr>
          <w:p>
            <w:pPr>
              <w:jc w:val="right"/>
              <w:ind w:right="30"/>
              <w:spacing w:after="0" w:line="150" w:lineRule="exact"/>
              <w:rPr>
                <w:sz w:val="20"/>
                <w:szCs w:val="20"/>
                <w:color w:val="auto"/>
              </w:rPr>
            </w:pPr>
            <w:r>
              <w:rPr>
                <w:rFonts w:ascii="Arial" w:cs="Arial" w:eastAsia="Arial" w:hAnsi="Arial"/>
                <w:sz w:val="14"/>
                <w:szCs w:val="14"/>
                <w:color w:val="auto"/>
              </w:rPr>
              <w:t>$1,588,461</w:t>
            </w:r>
          </w:p>
        </w:tc>
        <w:tc>
          <w:tcPr>
            <w:tcW w:w="940" w:type="dxa"/>
            <w:vAlign w:val="bottom"/>
            <w:shd w:val="clear" w:color="auto" w:fill="E7E7E8"/>
          </w:tcPr>
          <w:p>
            <w:pPr>
              <w:jc w:val="right"/>
              <w:ind w:right="130"/>
              <w:spacing w:after="0" w:line="150" w:lineRule="exact"/>
              <w:rPr>
                <w:sz w:val="20"/>
                <w:szCs w:val="20"/>
                <w:color w:val="auto"/>
              </w:rPr>
            </w:pPr>
            <w:r>
              <w:rPr>
                <w:rFonts w:ascii="Arial" w:cs="Arial" w:eastAsia="Arial" w:hAnsi="Arial"/>
                <w:sz w:val="14"/>
                <w:szCs w:val="14"/>
                <w:color w:val="auto"/>
              </w:rPr>
              <w:t>$0</w:t>
            </w:r>
          </w:p>
        </w:tc>
        <w:tc>
          <w:tcPr>
            <w:tcW w:w="920" w:type="dxa"/>
            <w:vAlign w:val="bottom"/>
            <w:shd w:val="clear" w:color="auto" w:fill="E7E7E8"/>
          </w:tcPr>
          <w:p>
            <w:pPr>
              <w:jc w:val="right"/>
              <w:ind w:right="70"/>
              <w:spacing w:after="0" w:line="150" w:lineRule="exact"/>
              <w:rPr>
                <w:sz w:val="20"/>
                <w:szCs w:val="20"/>
                <w:color w:val="auto"/>
              </w:rPr>
            </w:pPr>
            <w:r>
              <w:rPr>
                <w:rFonts w:ascii="Arial" w:cs="Arial" w:eastAsia="Arial" w:hAnsi="Arial"/>
                <w:sz w:val="14"/>
                <w:szCs w:val="14"/>
                <w:color w:val="auto"/>
              </w:rPr>
              <w:t>$9,747,455</w:t>
            </w:r>
          </w:p>
        </w:tc>
        <w:tc>
          <w:tcPr>
            <w:tcW w:w="940" w:type="dxa"/>
            <w:vAlign w:val="bottom"/>
            <w:shd w:val="clear" w:color="auto" w:fill="E7E7E8"/>
          </w:tcPr>
          <w:p>
            <w:pPr>
              <w:jc w:val="right"/>
              <w:ind w:right="10"/>
              <w:spacing w:after="0" w:line="150" w:lineRule="exact"/>
              <w:rPr>
                <w:sz w:val="20"/>
                <w:szCs w:val="20"/>
                <w:color w:val="auto"/>
              </w:rPr>
            </w:pPr>
            <w:r>
              <w:rPr>
                <w:rFonts w:ascii="Arial" w:cs="Arial" w:eastAsia="Arial" w:hAnsi="Arial"/>
                <w:sz w:val="14"/>
                <w:szCs w:val="14"/>
                <w:color w:val="auto"/>
              </w:rPr>
              <w:t>$3,259,808</w:t>
            </w:r>
          </w:p>
        </w:tc>
        <w:tc>
          <w:tcPr>
            <w:tcW w:w="1140" w:type="dxa"/>
            <w:vAlign w:val="bottom"/>
            <w:shd w:val="clear" w:color="auto" w:fill="E7E7E8"/>
          </w:tcPr>
          <w:p>
            <w:pPr>
              <w:jc w:val="right"/>
              <w:ind w:right="30"/>
              <w:spacing w:after="0" w:line="150" w:lineRule="exact"/>
              <w:rPr>
                <w:sz w:val="20"/>
                <w:szCs w:val="20"/>
                <w:color w:val="auto"/>
              </w:rPr>
            </w:pPr>
            <w:r>
              <w:rPr>
                <w:rFonts w:ascii="Arial" w:cs="Arial" w:eastAsia="Arial" w:hAnsi="Arial"/>
                <w:sz w:val="14"/>
                <w:szCs w:val="14"/>
                <w:color w:val="auto"/>
              </w:rPr>
              <w:t>$2,976,000</w:t>
            </w:r>
          </w:p>
        </w:tc>
        <w:tc>
          <w:tcPr>
            <w:tcW w:w="1140" w:type="dxa"/>
            <w:vAlign w:val="bottom"/>
            <w:shd w:val="clear" w:color="auto" w:fill="E7E7E8"/>
          </w:tcPr>
          <w:p>
            <w:pPr>
              <w:jc w:val="right"/>
              <w:ind w:right="30"/>
              <w:spacing w:after="0" w:line="150" w:lineRule="exact"/>
              <w:rPr>
                <w:sz w:val="20"/>
                <w:szCs w:val="20"/>
                <w:color w:val="auto"/>
              </w:rPr>
            </w:pPr>
            <w:r>
              <w:rPr>
                <w:rFonts w:ascii="Arial" w:cs="Arial" w:eastAsia="Arial" w:hAnsi="Arial"/>
                <w:sz w:val="14"/>
                <w:szCs w:val="14"/>
                <w:color w:val="auto"/>
              </w:rPr>
              <w:t>$2,447,316</w:t>
            </w:r>
          </w:p>
        </w:tc>
        <w:tc>
          <w:tcPr>
            <w:tcW w:w="1200" w:type="dxa"/>
            <w:vAlign w:val="bottom"/>
            <w:shd w:val="clear" w:color="auto" w:fill="E7E7E8"/>
          </w:tcPr>
          <w:p>
            <w:pPr>
              <w:jc w:val="right"/>
              <w:ind w:right="90"/>
              <w:spacing w:after="0" w:line="150" w:lineRule="exact"/>
              <w:rPr>
                <w:sz w:val="20"/>
                <w:szCs w:val="20"/>
                <w:color w:val="auto"/>
              </w:rPr>
            </w:pPr>
            <w:r>
              <w:rPr>
                <w:rFonts w:ascii="Arial" w:cs="Arial" w:eastAsia="Arial" w:hAnsi="Arial"/>
                <w:sz w:val="14"/>
                <w:szCs w:val="14"/>
                <w:color w:val="auto"/>
              </w:rPr>
              <w:t>$791,063</w:t>
            </w:r>
          </w:p>
        </w:tc>
        <w:tc>
          <w:tcPr>
            <w:tcW w:w="920" w:type="dxa"/>
            <w:vAlign w:val="bottom"/>
            <w:shd w:val="clear" w:color="auto" w:fill="E7E7E8"/>
          </w:tcPr>
          <w:p>
            <w:pPr>
              <w:jc w:val="right"/>
              <w:spacing w:after="0" w:line="150" w:lineRule="exact"/>
              <w:rPr>
                <w:sz w:val="20"/>
                <w:szCs w:val="20"/>
                <w:color w:val="auto"/>
              </w:rPr>
            </w:pPr>
            <w:r>
              <w:rPr>
                <w:rFonts w:ascii="Arial" w:cs="Arial" w:eastAsia="Arial" w:hAnsi="Arial"/>
                <w:sz w:val="14"/>
                <w:szCs w:val="14"/>
                <w:color w:val="auto"/>
              </w:rPr>
              <w:t>$20,810,103</w:t>
            </w:r>
          </w:p>
        </w:tc>
      </w:tr>
      <w:tr>
        <w:trPr>
          <w:trHeight w:val="157"/>
        </w:trPr>
        <w:tc>
          <w:tcPr>
            <w:tcW w:w="2420" w:type="dxa"/>
            <w:vAlign w:val="bottom"/>
            <w:shd w:val="clear" w:color="auto" w:fill="E7E7E8"/>
          </w:tcPr>
          <w:p>
            <w:pPr>
              <w:ind w:left="120"/>
              <w:spacing w:after="0" w:line="157" w:lineRule="exact"/>
              <w:rPr>
                <w:sz w:val="20"/>
                <w:szCs w:val="20"/>
                <w:color w:val="auto"/>
              </w:rPr>
            </w:pPr>
            <w:r>
              <w:rPr>
                <w:rFonts w:ascii="Arial" w:cs="Arial" w:eastAsia="Arial" w:hAnsi="Arial"/>
                <w:sz w:val="14"/>
                <w:szCs w:val="14"/>
                <w:color w:val="auto"/>
              </w:rPr>
              <w:t>Chairman of the Board and</w:t>
            </w:r>
          </w:p>
        </w:tc>
        <w:tc>
          <w:tcPr>
            <w:tcW w:w="700" w:type="dxa"/>
            <w:vAlign w:val="bottom"/>
            <w:gridSpan w:val="2"/>
            <w:shd w:val="clear" w:color="auto" w:fill="E7E7E8"/>
          </w:tcPr>
          <w:p>
            <w:pPr>
              <w:jc w:val="right"/>
              <w:ind w:right="70"/>
              <w:spacing w:after="0" w:line="157" w:lineRule="exact"/>
              <w:rPr>
                <w:sz w:val="20"/>
                <w:szCs w:val="20"/>
                <w:color w:val="auto"/>
              </w:rPr>
            </w:pPr>
            <w:r>
              <w:rPr>
                <w:rFonts w:ascii="Arial" w:cs="Arial" w:eastAsia="Arial" w:hAnsi="Arial"/>
                <w:sz w:val="14"/>
                <w:szCs w:val="14"/>
                <w:color w:val="auto"/>
              </w:rPr>
              <w:t>2014</w:t>
            </w:r>
          </w:p>
        </w:tc>
        <w:tc>
          <w:tcPr>
            <w:tcW w:w="9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1,595,961</w:t>
            </w:r>
          </w:p>
        </w:tc>
        <w:tc>
          <w:tcPr>
            <w:tcW w:w="940" w:type="dxa"/>
            <w:vAlign w:val="bottom"/>
            <w:shd w:val="clear" w:color="auto" w:fill="E7E7E8"/>
          </w:tcPr>
          <w:p>
            <w:pPr>
              <w:jc w:val="right"/>
              <w:ind w:right="130"/>
              <w:spacing w:after="0" w:line="157" w:lineRule="exact"/>
              <w:rPr>
                <w:sz w:val="20"/>
                <w:szCs w:val="20"/>
                <w:color w:val="auto"/>
              </w:rPr>
            </w:pPr>
            <w:r>
              <w:rPr>
                <w:rFonts w:ascii="Arial" w:cs="Arial" w:eastAsia="Arial" w:hAnsi="Arial"/>
                <w:sz w:val="14"/>
                <w:szCs w:val="14"/>
                <w:color w:val="auto"/>
              </w:rPr>
              <w:t>0</w:t>
            </w:r>
          </w:p>
        </w:tc>
        <w:tc>
          <w:tcPr>
            <w:tcW w:w="920" w:type="dxa"/>
            <w:vAlign w:val="bottom"/>
            <w:shd w:val="clear" w:color="auto" w:fill="E7E7E8"/>
          </w:tcPr>
          <w:p>
            <w:pPr>
              <w:jc w:val="right"/>
              <w:ind w:right="70"/>
              <w:spacing w:after="0" w:line="157" w:lineRule="exact"/>
              <w:rPr>
                <w:sz w:val="20"/>
                <w:szCs w:val="20"/>
                <w:color w:val="auto"/>
              </w:rPr>
            </w:pPr>
            <w:r>
              <w:rPr>
                <w:rFonts w:ascii="Arial" w:cs="Arial" w:eastAsia="Arial" w:hAnsi="Arial"/>
                <w:sz w:val="14"/>
                <w:szCs w:val="14"/>
                <w:color w:val="auto"/>
              </w:rPr>
              <w:t>8,379,403</w:t>
            </w:r>
          </w:p>
        </w:tc>
        <w:tc>
          <w:tcPr>
            <w:tcW w:w="9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2,762,525</w:t>
            </w:r>
          </w:p>
        </w:tc>
        <w:tc>
          <w:tcPr>
            <w:tcW w:w="11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3,500,000</w:t>
            </w:r>
          </w:p>
        </w:tc>
        <w:tc>
          <w:tcPr>
            <w:tcW w:w="11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5,044,809</w:t>
            </w:r>
          </w:p>
        </w:tc>
        <w:tc>
          <w:tcPr>
            <w:tcW w:w="1200" w:type="dxa"/>
            <w:vAlign w:val="bottom"/>
            <w:shd w:val="clear" w:color="auto" w:fill="E7E7E8"/>
          </w:tcPr>
          <w:p>
            <w:pPr>
              <w:jc w:val="right"/>
              <w:ind w:right="90"/>
              <w:spacing w:after="0" w:line="157" w:lineRule="exact"/>
              <w:rPr>
                <w:sz w:val="20"/>
                <w:szCs w:val="20"/>
                <w:color w:val="auto"/>
              </w:rPr>
            </w:pPr>
            <w:r>
              <w:rPr>
                <w:rFonts w:ascii="Arial" w:cs="Arial" w:eastAsia="Arial" w:hAnsi="Arial"/>
                <w:sz w:val="14"/>
                <w:szCs w:val="14"/>
                <w:color w:val="auto"/>
              </w:rPr>
              <w:t>723,573</w:t>
            </w:r>
          </w:p>
        </w:tc>
        <w:tc>
          <w:tcPr>
            <w:tcW w:w="92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22,006,271</w:t>
            </w:r>
          </w:p>
        </w:tc>
      </w:tr>
      <w:tr>
        <w:trPr>
          <w:trHeight w:val="157"/>
        </w:trPr>
        <w:tc>
          <w:tcPr>
            <w:tcW w:w="2420" w:type="dxa"/>
            <w:vAlign w:val="bottom"/>
            <w:shd w:val="clear" w:color="auto" w:fill="E7E7E8"/>
          </w:tcPr>
          <w:p>
            <w:pPr>
              <w:ind w:left="120"/>
              <w:spacing w:after="0" w:line="157" w:lineRule="exact"/>
              <w:rPr>
                <w:sz w:val="20"/>
                <w:szCs w:val="20"/>
                <w:color w:val="auto"/>
              </w:rPr>
            </w:pPr>
            <w:r>
              <w:rPr>
                <w:rFonts w:ascii="Arial" w:cs="Arial" w:eastAsia="Arial" w:hAnsi="Arial"/>
                <w:sz w:val="14"/>
                <w:szCs w:val="14"/>
                <w:color w:val="auto"/>
              </w:rPr>
              <w:t>Chief Executive Officer</w:t>
            </w:r>
          </w:p>
        </w:tc>
        <w:tc>
          <w:tcPr>
            <w:tcW w:w="700" w:type="dxa"/>
            <w:vAlign w:val="bottom"/>
            <w:gridSpan w:val="2"/>
            <w:shd w:val="clear" w:color="auto" w:fill="E7E7E8"/>
          </w:tcPr>
          <w:p>
            <w:pPr>
              <w:jc w:val="right"/>
              <w:ind w:right="70"/>
              <w:spacing w:after="0" w:line="157" w:lineRule="exact"/>
              <w:rPr>
                <w:sz w:val="20"/>
                <w:szCs w:val="20"/>
                <w:color w:val="auto"/>
              </w:rPr>
            </w:pPr>
            <w:r>
              <w:rPr>
                <w:rFonts w:ascii="Arial" w:cs="Arial" w:eastAsia="Arial" w:hAnsi="Arial"/>
                <w:sz w:val="14"/>
                <w:szCs w:val="14"/>
                <w:color w:val="auto"/>
              </w:rPr>
              <w:t>2013</w:t>
            </w:r>
          </w:p>
        </w:tc>
        <w:tc>
          <w:tcPr>
            <w:tcW w:w="9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1,500,000</w:t>
            </w:r>
          </w:p>
        </w:tc>
        <w:tc>
          <w:tcPr>
            <w:tcW w:w="940" w:type="dxa"/>
            <w:vAlign w:val="bottom"/>
            <w:shd w:val="clear" w:color="auto" w:fill="E7E7E8"/>
          </w:tcPr>
          <w:p>
            <w:pPr>
              <w:jc w:val="right"/>
              <w:ind w:right="130"/>
              <w:spacing w:after="0" w:line="157" w:lineRule="exact"/>
              <w:rPr>
                <w:sz w:val="20"/>
                <w:szCs w:val="20"/>
                <w:color w:val="auto"/>
              </w:rPr>
            </w:pPr>
            <w:r>
              <w:rPr>
                <w:rFonts w:ascii="Arial" w:cs="Arial" w:eastAsia="Arial" w:hAnsi="Arial"/>
                <w:sz w:val="14"/>
                <w:szCs w:val="14"/>
                <w:color w:val="auto"/>
              </w:rPr>
              <w:t>0</w:t>
            </w:r>
          </w:p>
        </w:tc>
        <w:tc>
          <w:tcPr>
            <w:tcW w:w="920" w:type="dxa"/>
            <w:vAlign w:val="bottom"/>
            <w:shd w:val="clear" w:color="auto" w:fill="E7E7E8"/>
          </w:tcPr>
          <w:p>
            <w:pPr>
              <w:jc w:val="right"/>
              <w:ind w:right="70"/>
              <w:spacing w:after="0" w:line="157" w:lineRule="exact"/>
              <w:rPr>
                <w:sz w:val="20"/>
                <w:szCs w:val="20"/>
                <w:color w:val="auto"/>
              </w:rPr>
            </w:pPr>
            <w:r>
              <w:rPr>
                <w:rFonts w:ascii="Arial" w:cs="Arial" w:eastAsia="Arial" w:hAnsi="Arial"/>
                <w:sz w:val="14"/>
                <w:szCs w:val="14"/>
                <w:color w:val="auto"/>
              </w:rPr>
              <w:t>9,246,994</w:t>
            </w:r>
          </w:p>
        </w:tc>
        <w:tc>
          <w:tcPr>
            <w:tcW w:w="9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3,616,574</w:t>
            </w:r>
          </w:p>
        </w:tc>
        <w:tc>
          <w:tcPr>
            <w:tcW w:w="11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3,300,000</w:t>
            </w:r>
          </w:p>
        </w:tc>
        <w:tc>
          <w:tcPr>
            <w:tcW w:w="11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41,612</w:t>
            </w:r>
          </w:p>
        </w:tc>
        <w:tc>
          <w:tcPr>
            <w:tcW w:w="1200" w:type="dxa"/>
            <w:vAlign w:val="bottom"/>
            <w:shd w:val="clear" w:color="auto" w:fill="E7E7E8"/>
          </w:tcPr>
          <w:p>
            <w:pPr>
              <w:jc w:val="right"/>
              <w:ind w:right="90"/>
              <w:spacing w:after="0" w:line="157" w:lineRule="exact"/>
              <w:rPr>
                <w:sz w:val="20"/>
                <w:szCs w:val="20"/>
                <w:color w:val="auto"/>
              </w:rPr>
            </w:pPr>
            <w:r>
              <w:rPr>
                <w:rFonts w:ascii="Arial" w:cs="Arial" w:eastAsia="Arial" w:hAnsi="Arial"/>
                <w:sz w:val="14"/>
                <w:szCs w:val="14"/>
                <w:color w:val="auto"/>
              </w:rPr>
              <w:t>471,614</w:t>
            </w:r>
          </w:p>
        </w:tc>
        <w:tc>
          <w:tcPr>
            <w:tcW w:w="92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18,176,794</w:t>
            </w:r>
          </w:p>
        </w:tc>
      </w:tr>
      <w:tr>
        <w:trPr>
          <w:trHeight w:val="161"/>
        </w:trPr>
        <w:tc>
          <w:tcPr>
            <w:tcW w:w="2420" w:type="dxa"/>
            <w:vAlign w:val="bottom"/>
          </w:tcPr>
          <w:p>
            <w:pPr>
              <w:spacing w:after="0"/>
              <w:rPr>
                <w:sz w:val="20"/>
                <w:szCs w:val="20"/>
                <w:color w:val="auto"/>
              </w:rPr>
            </w:pPr>
            <w:r>
              <w:rPr>
                <w:rFonts w:ascii="Arial" w:cs="Arial" w:eastAsia="Arial" w:hAnsi="Arial"/>
                <w:sz w:val="14"/>
                <w:szCs w:val="14"/>
                <w:color w:val="auto"/>
              </w:rPr>
              <w:t>William J. Chase</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color w:val="auto"/>
              </w:rPr>
              <w:t>2015</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950,385</w:t>
            </w:r>
          </w:p>
        </w:tc>
        <w:tc>
          <w:tcPr>
            <w:tcW w:w="940" w:type="dxa"/>
            <w:vAlign w:val="bottom"/>
          </w:tcPr>
          <w:p>
            <w:pPr>
              <w:jc w:val="right"/>
              <w:ind w:right="130"/>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3,298,795</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1,103,269</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1,358,300</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739,381</w:t>
            </w:r>
          </w:p>
        </w:tc>
        <w:tc>
          <w:tcPr>
            <w:tcW w:w="1200" w:type="dxa"/>
            <w:vAlign w:val="bottom"/>
          </w:tcPr>
          <w:p>
            <w:pPr>
              <w:jc w:val="right"/>
              <w:ind w:right="90"/>
              <w:spacing w:after="0"/>
              <w:rPr>
                <w:sz w:val="20"/>
                <w:szCs w:val="20"/>
                <w:color w:val="auto"/>
              </w:rPr>
            </w:pPr>
            <w:r>
              <w:rPr>
                <w:rFonts w:ascii="Arial" w:cs="Arial" w:eastAsia="Arial" w:hAnsi="Arial"/>
                <w:sz w:val="14"/>
                <w:szCs w:val="14"/>
                <w:color w:val="auto"/>
              </w:rPr>
              <w:t>163,664</w:t>
            </w:r>
          </w:p>
        </w:tc>
        <w:tc>
          <w:tcPr>
            <w:tcW w:w="920" w:type="dxa"/>
            <w:vAlign w:val="bottom"/>
          </w:tcPr>
          <w:p>
            <w:pPr>
              <w:jc w:val="right"/>
              <w:spacing w:after="0"/>
              <w:rPr>
                <w:sz w:val="20"/>
                <w:szCs w:val="20"/>
                <w:color w:val="auto"/>
              </w:rPr>
            </w:pPr>
            <w:r>
              <w:rPr>
                <w:rFonts w:ascii="Arial" w:cs="Arial" w:eastAsia="Arial" w:hAnsi="Arial"/>
                <w:sz w:val="14"/>
                <w:szCs w:val="14"/>
                <w:color w:val="auto"/>
              </w:rPr>
              <w:t>7,613,794</w:t>
            </w:r>
          </w:p>
        </w:tc>
      </w:tr>
      <w:tr>
        <w:trPr>
          <w:trHeight w:val="157"/>
        </w:trPr>
        <w:tc>
          <w:tcPr>
            <w:tcW w:w="2420" w:type="dxa"/>
            <w:vAlign w:val="bottom"/>
          </w:tcPr>
          <w:p>
            <w:pPr>
              <w:ind w:left="120"/>
              <w:spacing w:after="0" w:line="157" w:lineRule="exact"/>
              <w:rPr>
                <w:sz w:val="20"/>
                <w:szCs w:val="20"/>
                <w:color w:val="auto"/>
              </w:rPr>
            </w:pPr>
            <w:r>
              <w:rPr>
                <w:rFonts w:ascii="Arial" w:cs="Arial" w:eastAsia="Arial" w:hAnsi="Arial"/>
                <w:sz w:val="14"/>
                <w:szCs w:val="14"/>
                <w:color w:val="auto"/>
              </w:rPr>
              <w:t>Executive Vice President,</w:t>
            </w:r>
          </w:p>
        </w:tc>
        <w:tc>
          <w:tcPr>
            <w:tcW w:w="700" w:type="dxa"/>
            <w:vAlign w:val="bottom"/>
            <w:gridSpan w:val="2"/>
          </w:tcPr>
          <w:p>
            <w:pPr>
              <w:jc w:val="right"/>
              <w:ind w:right="70"/>
              <w:spacing w:after="0" w:line="157" w:lineRule="exact"/>
              <w:rPr>
                <w:sz w:val="20"/>
                <w:szCs w:val="20"/>
                <w:color w:val="auto"/>
              </w:rPr>
            </w:pPr>
            <w:r>
              <w:rPr>
                <w:rFonts w:ascii="Arial" w:cs="Arial" w:eastAsia="Arial" w:hAnsi="Arial"/>
                <w:sz w:val="14"/>
                <w:szCs w:val="14"/>
                <w:color w:val="auto"/>
              </w:rPr>
              <w:t>2014</w:t>
            </w:r>
          </w:p>
        </w:tc>
        <w:tc>
          <w:tcPr>
            <w:tcW w:w="940" w:type="dxa"/>
            <w:vAlign w:val="bottom"/>
          </w:tcPr>
          <w:p>
            <w:pPr>
              <w:jc w:val="right"/>
              <w:ind w:right="30"/>
              <w:spacing w:after="0" w:line="157" w:lineRule="exact"/>
              <w:rPr>
                <w:sz w:val="20"/>
                <w:szCs w:val="20"/>
                <w:color w:val="auto"/>
              </w:rPr>
            </w:pPr>
            <w:r>
              <w:rPr>
                <w:rFonts w:ascii="Arial" w:cs="Arial" w:eastAsia="Arial" w:hAnsi="Arial"/>
                <w:sz w:val="14"/>
                <w:szCs w:val="14"/>
                <w:color w:val="auto"/>
              </w:rPr>
              <w:t>923,711</w:t>
            </w:r>
          </w:p>
        </w:tc>
        <w:tc>
          <w:tcPr>
            <w:tcW w:w="940" w:type="dxa"/>
            <w:vAlign w:val="bottom"/>
          </w:tcPr>
          <w:p>
            <w:pPr>
              <w:jc w:val="right"/>
              <w:ind w:right="130"/>
              <w:spacing w:after="0" w:line="157" w:lineRule="exact"/>
              <w:rPr>
                <w:sz w:val="20"/>
                <w:szCs w:val="20"/>
                <w:color w:val="auto"/>
              </w:rPr>
            </w:pPr>
            <w:r>
              <w:rPr>
                <w:rFonts w:ascii="Arial" w:cs="Arial" w:eastAsia="Arial" w:hAnsi="Arial"/>
                <w:sz w:val="14"/>
                <w:szCs w:val="14"/>
                <w:color w:val="auto"/>
              </w:rPr>
              <w:t>0</w:t>
            </w:r>
          </w:p>
        </w:tc>
        <w:tc>
          <w:tcPr>
            <w:tcW w:w="920" w:type="dxa"/>
            <w:vAlign w:val="bottom"/>
          </w:tcPr>
          <w:p>
            <w:pPr>
              <w:jc w:val="right"/>
              <w:ind w:right="70"/>
              <w:spacing w:after="0" w:line="157" w:lineRule="exact"/>
              <w:rPr>
                <w:sz w:val="20"/>
                <w:szCs w:val="20"/>
                <w:color w:val="auto"/>
              </w:rPr>
            </w:pPr>
            <w:r>
              <w:rPr>
                <w:rFonts w:ascii="Arial" w:cs="Arial" w:eastAsia="Arial" w:hAnsi="Arial"/>
                <w:sz w:val="14"/>
                <w:szCs w:val="14"/>
                <w:color w:val="auto"/>
              </w:rPr>
              <w:t>2,764,853</w:t>
            </w:r>
          </w:p>
        </w:tc>
        <w:tc>
          <w:tcPr>
            <w:tcW w:w="940" w:type="dxa"/>
            <w:vAlign w:val="bottom"/>
          </w:tcPr>
          <w:p>
            <w:pPr>
              <w:jc w:val="right"/>
              <w:ind w:right="10"/>
              <w:spacing w:after="0" w:line="157" w:lineRule="exact"/>
              <w:rPr>
                <w:sz w:val="20"/>
                <w:szCs w:val="20"/>
                <w:color w:val="auto"/>
              </w:rPr>
            </w:pPr>
            <w:r>
              <w:rPr>
                <w:rFonts w:ascii="Arial" w:cs="Arial" w:eastAsia="Arial" w:hAnsi="Arial"/>
                <w:sz w:val="14"/>
                <w:szCs w:val="14"/>
                <w:color w:val="auto"/>
              </w:rPr>
              <w:t>911,634</w:t>
            </w:r>
          </w:p>
        </w:tc>
        <w:tc>
          <w:tcPr>
            <w:tcW w:w="1140" w:type="dxa"/>
            <w:vAlign w:val="bottom"/>
          </w:tcPr>
          <w:p>
            <w:pPr>
              <w:jc w:val="right"/>
              <w:ind w:right="30"/>
              <w:spacing w:after="0" w:line="157" w:lineRule="exact"/>
              <w:rPr>
                <w:sz w:val="20"/>
                <w:szCs w:val="20"/>
                <w:color w:val="auto"/>
              </w:rPr>
            </w:pPr>
            <w:r>
              <w:rPr>
                <w:rFonts w:ascii="Arial" w:cs="Arial" w:eastAsia="Arial" w:hAnsi="Arial"/>
                <w:sz w:val="14"/>
                <w:szCs w:val="14"/>
                <w:color w:val="auto"/>
              </w:rPr>
              <w:t>1,490,000</w:t>
            </w:r>
          </w:p>
        </w:tc>
        <w:tc>
          <w:tcPr>
            <w:tcW w:w="1140" w:type="dxa"/>
            <w:vAlign w:val="bottom"/>
          </w:tcPr>
          <w:p>
            <w:pPr>
              <w:jc w:val="right"/>
              <w:ind w:right="30"/>
              <w:spacing w:after="0" w:line="157" w:lineRule="exact"/>
              <w:rPr>
                <w:sz w:val="20"/>
                <w:szCs w:val="20"/>
                <w:color w:val="auto"/>
              </w:rPr>
            </w:pPr>
            <w:r>
              <w:rPr>
                <w:rFonts w:ascii="Arial" w:cs="Arial" w:eastAsia="Arial" w:hAnsi="Arial"/>
                <w:sz w:val="14"/>
                <w:szCs w:val="14"/>
                <w:color w:val="auto"/>
              </w:rPr>
              <w:t>1,710,772</w:t>
            </w:r>
          </w:p>
        </w:tc>
        <w:tc>
          <w:tcPr>
            <w:tcW w:w="1200" w:type="dxa"/>
            <w:vAlign w:val="bottom"/>
          </w:tcPr>
          <w:p>
            <w:pPr>
              <w:jc w:val="right"/>
              <w:ind w:right="90"/>
              <w:spacing w:after="0" w:line="157" w:lineRule="exact"/>
              <w:rPr>
                <w:sz w:val="20"/>
                <w:szCs w:val="20"/>
                <w:color w:val="auto"/>
              </w:rPr>
            </w:pPr>
            <w:r>
              <w:rPr>
                <w:rFonts w:ascii="Arial" w:cs="Arial" w:eastAsia="Arial" w:hAnsi="Arial"/>
                <w:sz w:val="14"/>
                <w:szCs w:val="14"/>
                <w:color w:val="auto"/>
              </w:rPr>
              <w:t>121,925</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7,922,895</w:t>
            </w:r>
          </w:p>
        </w:tc>
      </w:tr>
      <w:tr>
        <w:trPr>
          <w:trHeight w:val="152"/>
        </w:trPr>
        <w:tc>
          <w:tcPr>
            <w:tcW w:w="2420" w:type="dxa"/>
            <w:vAlign w:val="bottom"/>
          </w:tcPr>
          <w:p>
            <w:pPr>
              <w:ind w:left="120"/>
              <w:spacing w:after="0" w:line="152" w:lineRule="exact"/>
              <w:rPr>
                <w:sz w:val="20"/>
                <w:szCs w:val="20"/>
                <w:color w:val="auto"/>
              </w:rPr>
            </w:pPr>
            <w:r>
              <w:rPr>
                <w:rFonts w:ascii="Arial" w:cs="Arial" w:eastAsia="Arial" w:hAnsi="Arial"/>
                <w:sz w:val="14"/>
                <w:szCs w:val="14"/>
                <w:color w:val="auto"/>
              </w:rPr>
              <w:t>Chief Financial Officer</w:t>
            </w:r>
          </w:p>
        </w:tc>
        <w:tc>
          <w:tcPr>
            <w:tcW w:w="700" w:type="dxa"/>
            <w:vAlign w:val="bottom"/>
            <w:gridSpan w:val="2"/>
          </w:tcPr>
          <w:p>
            <w:pPr>
              <w:jc w:val="right"/>
              <w:ind w:right="70"/>
              <w:spacing w:after="0" w:line="152" w:lineRule="exact"/>
              <w:rPr>
                <w:sz w:val="20"/>
                <w:szCs w:val="20"/>
                <w:color w:val="auto"/>
              </w:rPr>
            </w:pPr>
            <w:r>
              <w:rPr>
                <w:rFonts w:ascii="Arial" w:cs="Arial" w:eastAsia="Arial" w:hAnsi="Arial"/>
                <w:sz w:val="14"/>
                <w:szCs w:val="14"/>
                <w:color w:val="auto"/>
              </w:rPr>
              <w:t>2013</w:t>
            </w:r>
          </w:p>
        </w:tc>
        <w:tc>
          <w:tcPr>
            <w:tcW w:w="940" w:type="dxa"/>
            <w:vAlign w:val="bottom"/>
          </w:tcPr>
          <w:p>
            <w:pPr>
              <w:jc w:val="right"/>
              <w:ind w:right="30"/>
              <w:spacing w:after="0" w:line="152" w:lineRule="exact"/>
              <w:rPr>
                <w:sz w:val="20"/>
                <w:szCs w:val="20"/>
                <w:color w:val="auto"/>
              </w:rPr>
            </w:pPr>
            <w:r>
              <w:rPr>
                <w:rFonts w:ascii="Arial" w:cs="Arial" w:eastAsia="Arial" w:hAnsi="Arial"/>
                <w:sz w:val="14"/>
                <w:szCs w:val="14"/>
                <w:color w:val="auto"/>
              </w:rPr>
              <w:t>790,000</w:t>
            </w:r>
          </w:p>
        </w:tc>
        <w:tc>
          <w:tcPr>
            <w:tcW w:w="940" w:type="dxa"/>
            <w:vAlign w:val="bottom"/>
          </w:tcPr>
          <w:p>
            <w:pPr>
              <w:jc w:val="right"/>
              <w:ind w:right="130"/>
              <w:spacing w:after="0" w:line="152" w:lineRule="exact"/>
              <w:rPr>
                <w:sz w:val="20"/>
                <w:szCs w:val="20"/>
                <w:color w:val="auto"/>
              </w:rPr>
            </w:pPr>
            <w:r>
              <w:rPr>
                <w:rFonts w:ascii="Arial" w:cs="Arial" w:eastAsia="Arial" w:hAnsi="Arial"/>
                <w:sz w:val="14"/>
                <w:szCs w:val="14"/>
                <w:color w:val="auto"/>
              </w:rPr>
              <w:t>0</w:t>
            </w:r>
          </w:p>
        </w:tc>
        <w:tc>
          <w:tcPr>
            <w:tcW w:w="920" w:type="dxa"/>
            <w:vAlign w:val="bottom"/>
          </w:tcPr>
          <w:p>
            <w:pPr>
              <w:jc w:val="right"/>
              <w:ind w:right="70"/>
              <w:spacing w:after="0" w:line="152" w:lineRule="exact"/>
              <w:rPr>
                <w:sz w:val="20"/>
                <w:szCs w:val="20"/>
                <w:color w:val="auto"/>
              </w:rPr>
            </w:pPr>
            <w:r>
              <w:rPr>
                <w:rFonts w:ascii="Arial" w:cs="Arial" w:eastAsia="Arial" w:hAnsi="Arial"/>
                <w:sz w:val="14"/>
                <w:szCs w:val="14"/>
                <w:color w:val="auto"/>
              </w:rPr>
              <w:t>2,034,396</w:t>
            </w:r>
          </w:p>
        </w:tc>
        <w:tc>
          <w:tcPr>
            <w:tcW w:w="940" w:type="dxa"/>
            <w:vAlign w:val="bottom"/>
          </w:tcPr>
          <w:p>
            <w:pPr>
              <w:jc w:val="right"/>
              <w:ind w:right="10"/>
              <w:spacing w:after="0" w:line="152" w:lineRule="exact"/>
              <w:rPr>
                <w:sz w:val="20"/>
                <w:szCs w:val="20"/>
                <w:color w:val="auto"/>
              </w:rPr>
            </w:pPr>
            <w:r>
              <w:rPr>
                <w:rFonts w:ascii="Arial" w:cs="Arial" w:eastAsia="Arial" w:hAnsi="Arial"/>
                <w:sz w:val="14"/>
                <w:szCs w:val="14"/>
                <w:color w:val="auto"/>
              </w:rPr>
              <w:t>795,752</w:t>
            </w:r>
          </w:p>
        </w:tc>
        <w:tc>
          <w:tcPr>
            <w:tcW w:w="1140" w:type="dxa"/>
            <w:vAlign w:val="bottom"/>
          </w:tcPr>
          <w:p>
            <w:pPr>
              <w:jc w:val="right"/>
              <w:ind w:right="30"/>
              <w:spacing w:after="0" w:line="152" w:lineRule="exact"/>
              <w:rPr>
                <w:sz w:val="20"/>
                <w:szCs w:val="20"/>
                <w:color w:val="auto"/>
              </w:rPr>
            </w:pPr>
            <w:r>
              <w:rPr>
                <w:rFonts w:ascii="Arial" w:cs="Arial" w:eastAsia="Arial" w:hAnsi="Arial"/>
                <w:sz w:val="14"/>
                <w:szCs w:val="14"/>
                <w:color w:val="auto"/>
              </w:rPr>
              <w:t>1,100,000</w:t>
            </w:r>
          </w:p>
        </w:tc>
        <w:tc>
          <w:tcPr>
            <w:tcW w:w="1140" w:type="dxa"/>
            <w:vAlign w:val="bottom"/>
          </w:tcPr>
          <w:p>
            <w:pPr>
              <w:jc w:val="right"/>
              <w:ind w:right="30"/>
              <w:spacing w:after="0" w:line="152" w:lineRule="exact"/>
              <w:rPr>
                <w:sz w:val="20"/>
                <w:szCs w:val="20"/>
                <w:color w:val="auto"/>
              </w:rPr>
            </w:pPr>
            <w:r>
              <w:rPr>
                <w:rFonts w:ascii="Arial" w:cs="Arial" w:eastAsia="Arial" w:hAnsi="Arial"/>
                <w:sz w:val="14"/>
                <w:szCs w:val="14"/>
                <w:color w:val="auto"/>
              </w:rPr>
              <w:t>315,787</w:t>
            </w:r>
          </w:p>
        </w:tc>
        <w:tc>
          <w:tcPr>
            <w:tcW w:w="1200" w:type="dxa"/>
            <w:vAlign w:val="bottom"/>
          </w:tcPr>
          <w:p>
            <w:pPr>
              <w:jc w:val="right"/>
              <w:ind w:right="90"/>
              <w:spacing w:after="0" w:line="152" w:lineRule="exact"/>
              <w:rPr>
                <w:sz w:val="20"/>
                <w:szCs w:val="20"/>
                <w:color w:val="auto"/>
              </w:rPr>
            </w:pPr>
            <w:r>
              <w:rPr>
                <w:rFonts w:ascii="Arial" w:cs="Arial" w:eastAsia="Arial" w:hAnsi="Arial"/>
                <w:sz w:val="14"/>
                <w:szCs w:val="14"/>
                <w:color w:val="auto"/>
              </w:rPr>
              <w:t>76,788</w:t>
            </w:r>
          </w:p>
        </w:tc>
        <w:tc>
          <w:tcPr>
            <w:tcW w:w="920" w:type="dxa"/>
            <w:vAlign w:val="bottom"/>
          </w:tcPr>
          <w:p>
            <w:pPr>
              <w:jc w:val="right"/>
              <w:spacing w:after="0" w:line="152" w:lineRule="exact"/>
              <w:rPr>
                <w:sz w:val="20"/>
                <w:szCs w:val="20"/>
                <w:color w:val="auto"/>
              </w:rPr>
            </w:pPr>
            <w:r>
              <w:rPr>
                <w:rFonts w:ascii="Arial" w:cs="Arial" w:eastAsia="Arial" w:hAnsi="Arial"/>
                <w:sz w:val="14"/>
                <w:szCs w:val="14"/>
                <w:color w:val="auto"/>
              </w:rPr>
              <w:t>5,112,723</w:t>
            </w:r>
          </w:p>
        </w:tc>
      </w:tr>
      <w:tr>
        <w:trPr>
          <w:trHeight w:val="157"/>
        </w:trPr>
        <w:tc>
          <w:tcPr>
            <w:tcW w:w="2420" w:type="dxa"/>
            <w:vAlign w:val="bottom"/>
            <w:shd w:val="clear" w:color="auto" w:fill="E7E7E8"/>
          </w:tcPr>
          <w:p>
            <w:pPr>
              <w:spacing w:after="0" w:line="157" w:lineRule="exact"/>
              <w:rPr>
                <w:sz w:val="20"/>
                <w:szCs w:val="20"/>
                <w:color w:val="auto"/>
              </w:rPr>
            </w:pPr>
            <w:r>
              <w:rPr>
                <w:rFonts w:ascii="Arial" w:cs="Arial" w:eastAsia="Arial" w:hAnsi="Arial"/>
                <w:sz w:val="14"/>
                <w:szCs w:val="14"/>
                <w:color w:val="auto"/>
              </w:rPr>
              <w:t>Laura J. Schumacher</w:t>
            </w:r>
          </w:p>
        </w:tc>
        <w:tc>
          <w:tcPr>
            <w:tcW w:w="700" w:type="dxa"/>
            <w:vAlign w:val="bottom"/>
            <w:gridSpan w:val="2"/>
            <w:shd w:val="clear" w:color="auto" w:fill="E7E7E8"/>
          </w:tcPr>
          <w:p>
            <w:pPr>
              <w:jc w:val="right"/>
              <w:ind w:right="70"/>
              <w:spacing w:after="0" w:line="157" w:lineRule="exact"/>
              <w:rPr>
                <w:sz w:val="20"/>
                <w:szCs w:val="20"/>
                <w:color w:val="auto"/>
              </w:rPr>
            </w:pPr>
            <w:r>
              <w:rPr>
                <w:rFonts w:ascii="Arial" w:cs="Arial" w:eastAsia="Arial" w:hAnsi="Arial"/>
                <w:sz w:val="14"/>
                <w:szCs w:val="14"/>
                <w:color w:val="auto"/>
              </w:rPr>
              <w:t>2015</w:t>
            </w:r>
          </w:p>
        </w:tc>
        <w:tc>
          <w:tcPr>
            <w:tcW w:w="9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951,538</w:t>
            </w:r>
          </w:p>
        </w:tc>
        <w:tc>
          <w:tcPr>
            <w:tcW w:w="940" w:type="dxa"/>
            <w:vAlign w:val="bottom"/>
            <w:shd w:val="clear" w:color="auto" w:fill="E7E7E8"/>
          </w:tcPr>
          <w:p>
            <w:pPr>
              <w:jc w:val="right"/>
              <w:ind w:right="130"/>
              <w:spacing w:after="0" w:line="157" w:lineRule="exact"/>
              <w:rPr>
                <w:sz w:val="20"/>
                <w:szCs w:val="20"/>
                <w:color w:val="auto"/>
              </w:rPr>
            </w:pPr>
            <w:r>
              <w:rPr>
                <w:rFonts w:ascii="Arial" w:cs="Arial" w:eastAsia="Arial" w:hAnsi="Arial"/>
                <w:sz w:val="14"/>
                <w:szCs w:val="14"/>
                <w:color w:val="auto"/>
              </w:rPr>
              <w:t>0</w:t>
            </w:r>
          </w:p>
        </w:tc>
        <w:tc>
          <w:tcPr>
            <w:tcW w:w="920" w:type="dxa"/>
            <w:vAlign w:val="bottom"/>
            <w:shd w:val="clear" w:color="auto" w:fill="E7E7E8"/>
          </w:tcPr>
          <w:p>
            <w:pPr>
              <w:jc w:val="right"/>
              <w:ind w:right="70"/>
              <w:spacing w:after="0" w:line="157" w:lineRule="exact"/>
              <w:rPr>
                <w:sz w:val="20"/>
                <w:szCs w:val="20"/>
                <w:color w:val="auto"/>
              </w:rPr>
            </w:pPr>
            <w:r>
              <w:rPr>
                <w:rFonts w:ascii="Arial" w:cs="Arial" w:eastAsia="Arial" w:hAnsi="Arial"/>
                <w:sz w:val="14"/>
                <w:szCs w:val="14"/>
                <w:color w:val="auto"/>
              </w:rPr>
              <w:t>3,073,930</w:t>
            </w:r>
          </w:p>
        </w:tc>
        <w:tc>
          <w:tcPr>
            <w:tcW w:w="9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1,028,071</w:t>
            </w:r>
          </w:p>
        </w:tc>
        <w:tc>
          <w:tcPr>
            <w:tcW w:w="11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1,358,300</w:t>
            </w:r>
          </w:p>
        </w:tc>
        <w:tc>
          <w:tcPr>
            <w:tcW w:w="11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504,413</w:t>
            </w:r>
          </w:p>
        </w:tc>
        <w:tc>
          <w:tcPr>
            <w:tcW w:w="1200" w:type="dxa"/>
            <w:vAlign w:val="bottom"/>
            <w:shd w:val="clear" w:color="auto" w:fill="E7E7E8"/>
          </w:tcPr>
          <w:p>
            <w:pPr>
              <w:jc w:val="right"/>
              <w:ind w:right="90"/>
              <w:spacing w:after="0" w:line="157" w:lineRule="exact"/>
              <w:rPr>
                <w:sz w:val="20"/>
                <w:szCs w:val="20"/>
                <w:color w:val="auto"/>
              </w:rPr>
            </w:pPr>
            <w:r>
              <w:rPr>
                <w:rFonts w:ascii="Arial" w:cs="Arial" w:eastAsia="Arial" w:hAnsi="Arial"/>
                <w:sz w:val="14"/>
                <w:szCs w:val="14"/>
                <w:color w:val="auto"/>
              </w:rPr>
              <w:t>390,089</w:t>
            </w:r>
          </w:p>
        </w:tc>
        <w:tc>
          <w:tcPr>
            <w:tcW w:w="92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7,306,341</w:t>
            </w:r>
          </w:p>
        </w:tc>
      </w:tr>
      <w:tr>
        <w:trPr>
          <w:trHeight w:val="157"/>
        </w:trPr>
        <w:tc>
          <w:tcPr>
            <w:tcW w:w="2420" w:type="dxa"/>
            <w:vAlign w:val="bottom"/>
            <w:shd w:val="clear" w:color="auto" w:fill="E7E7E8"/>
          </w:tcPr>
          <w:p>
            <w:pPr>
              <w:ind w:left="120"/>
              <w:spacing w:after="0" w:line="157" w:lineRule="exact"/>
              <w:rPr>
                <w:sz w:val="20"/>
                <w:szCs w:val="20"/>
                <w:color w:val="auto"/>
              </w:rPr>
            </w:pPr>
            <w:r>
              <w:rPr>
                <w:rFonts w:ascii="Arial" w:cs="Arial" w:eastAsia="Arial" w:hAnsi="Arial"/>
                <w:sz w:val="14"/>
                <w:szCs w:val="14"/>
                <w:color w:val="auto"/>
              </w:rPr>
              <w:t>Executive Vice President,</w:t>
            </w:r>
          </w:p>
        </w:tc>
        <w:tc>
          <w:tcPr>
            <w:tcW w:w="700" w:type="dxa"/>
            <w:vAlign w:val="bottom"/>
            <w:gridSpan w:val="2"/>
            <w:shd w:val="clear" w:color="auto" w:fill="E7E7E8"/>
          </w:tcPr>
          <w:p>
            <w:pPr>
              <w:jc w:val="right"/>
              <w:ind w:right="70"/>
              <w:spacing w:after="0" w:line="157" w:lineRule="exact"/>
              <w:rPr>
                <w:sz w:val="20"/>
                <w:szCs w:val="20"/>
                <w:color w:val="auto"/>
              </w:rPr>
            </w:pPr>
            <w:r>
              <w:rPr>
                <w:rFonts w:ascii="Arial" w:cs="Arial" w:eastAsia="Arial" w:hAnsi="Arial"/>
                <w:sz w:val="14"/>
                <w:szCs w:val="14"/>
                <w:color w:val="auto"/>
              </w:rPr>
              <w:t>2014</w:t>
            </w:r>
          </w:p>
        </w:tc>
        <w:tc>
          <w:tcPr>
            <w:tcW w:w="9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957,577</w:t>
            </w:r>
          </w:p>
        </w:tc>
        <w:tc>
          <w:tcPr>
            <w:tcW w:w="940" w:type="dxa"/>
            <w:vAlign w:val="bottom"/>
            <w:shd w:val="clear" w:color="auto" w:fill="E7E7E8"/>
          </w:tcPr>
          <w:p>
            <w:pPr>
              <w:jc w:val="right"/>
              <w:ind w:right="130"/>
              <w:spacing w:after="0" w:line="157" w:lineRule="exact"/>
              <w:rPr>
                <w:sz w:val="20"/>
                <w:szCs w:val="20"/>
                <w:color w:val="auto"/>
              </w:rPr>
            </w:pPr>
            <w:r>
              <w:rPr>
                <w:rFonts w:ascii="Arial" w:cs="Arial" w:eastAsia="Arial" w:hAnsi="Arial"/>
                <w:sz w:val="14"/>
                <w:szCs w:val="14"/>
                <w:color w:val="auto"/>
              </w:rPr>
              <w:t>0</w:t>
            </w:r>
          </w:p>
        </w:tc>
        <w:tc>
          <w:tcPr>
            <w:tcW w:w="920" w:type="dxa"/>
            <w:vAlign w:val="bottom"/>
            <w:shd w:val="clear" w:color="auto" w:fill="E7E7E8"/>
          </w:tcPr>
          <w:p>
            <w:pPr>
              <w:jc w:val="right"/>
              <w:ind w:right="70"/>
              <w:spacing w:after="0" w:line="157" w:lineRule="exact"/>
              <w:rPr>
                <w:sz w:val="20"/>
                <w:szCs w:val="20"/>
                <w:color w:val="auto"/>
              </w:rPr>
            </w:pPr>
            <w:r>
              <w:rPr>
                <w:rFonts w:ascii="Arial" w:cs="Arial" w:eastAsia="Arial" w:hAnsi="Arial"/>
                <w:sz w:val="14"/>
                <w:szCs w:val="14"/>
                <w:color w:val="auto"/>
              </w:rPr>
              <w:t>2,807,018</w:t>
            </w:r>
          </w:p>
        </w:tc>
        <w:tc>
          <w:tcPr>
            <w:tcW w:w="9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925,396</w:t>
            </w:r>
          </w:p>
        </w:tc>
        <w:tc>
          <w:tcPr>
            <w:tcW w:w="11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1,490,000</w:t>
            </w:r>
          </w:p>
        </w:tc>
        <w:tc>
          <w:tcPr>
            <w:tcW w:w="11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2,465,919</w:t>
            </w:r>
          </w:p>
        </w:tc>
        <w:tc>
          <w:tcPr>
            <w:tcW w:w="1200" w:type="dxa"/>
            <w:vAlign w:val="bottom"/>
            <w:shd w:val="clear" w:color="auto" w:fill="E7E7E8"/>
          </w:tcPr>
          <w:p>
            <w:pPr>
              <w:jc w:val="right"/>
              <w:ind w:right="90"/>
              <w:spacing w:after="0" w:line="157" w:lineRule="exact"/>
              <w:rPr>
                <w:sz w:val="20"/>
                <w:szCs w:val="20"/>
                <w:color w:val="auto"/>
              </w:rPr>
            </w:pPr>
            <w:r>
              <w:rPr>
                <w:rFonts w:ascii="Arial" w:cs="Arial" w:eastAsia="Arial" w:hAnsi="Arial"/>
                <w:sz w:val="14"/>
                <w:szCs w:val="14"/>
                <w:color w:val="auto"/>
              </w:rPr>
              <w:t>402,095</w:t>
            </w:r>
          </w:p>
        </w:tc>
        <w:tc>
          <w:tcPr>
            <w:tcW w:w="92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9,048,005</w:t>
            </w:r>
          </w:p>
        </w:tc>
      </w:tr>
      <w:tr>
        <w:trPr>
          <w:trHeight w:val="157"/>
        </w:trPr>
        <w:tc>
          <w:tcPr>
            <w:tcW w:w="2420" w:type="dxa"/>
            <w:vAlign w:val="bottom"/>
            <w:shd w:val="clear" w:color="auto" w:fill="E7E7E8"/>
          </w:tcPr>
          <w:p>
            <w:pPr>
              <w:ind w:left="120"/>
              <w:spacing w:after="0" w:line="157" w:lineRule="exact"/>
              <w:rPr>
                <w:sz w:val="20"/>
                <w:szCs w:val="20"/>
                <w:color w:val="auto"/>
              </w:rPr>
            </w:pPr>
            <w:r>
              <w:rPr>
                <w:rFonts w:ascii="Arial" w:cs="Arial" w:eastAsia="Arial" w:hAnsi="Arial"/>
                <w:sz w:val="14"/>
                <w:szCs w:val="14"/>
                <w:color w:val="auto"/>
              </w:rPr>
              <w:t>External Affairs, General Counsel</w:t>
            </w:r>
          </w:p>
        </w:tc>
        <w:tc>
          <w:tcPr>
            <w:tcW w:w="700" w:type="dxa"/>
            <w:vAlign w:val="bottom"/>
            <w:gridSpan w:val="2"/>
            <w:shd w:val="clear" w:color="auto" w:fill="E7E7E8"/>
          </w:tcPr>
          <w:p>
            <w:pPr>
              <w:jc w:val="right"/>
              <w:ind w:right="70"/>
              <w:spacing w:after="0" w:line="157" w:lineRule="exact"/>
              <w:rPr>
                <w:sz w:val="20"/>
                <w:szCs w:val="20"/>
                <w:color w:val="auto"/>
              </w:rPr>
            </w:pPr>
            <w:r>
              <w:rPr>
                <w:rFonts w:ascii="Arial" w:cs="Arial" w:eastAsia="Arial" w:hAnsi="Arial"/>
                <w:sz w:val="14"/>
                <w:szCs w:val="14"/>
                <w:color w:val="auto"/>
              </w:rPr>
              <w:t>2013</w:t>
            </w:r>
          </w:p>
        </w:tc>
        <w:tc>
          <w:tcPr>
            <w:tcW w:w="9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900,000</w:t>
            </w:r>
          </w:p>
        </w:tc>
        <w:tc>
          <w:tcPr>
            <w:tcW w:w="940" w:type="dxa"/>
            <w:vAlign w:val="bottom"/>
            <w:shd w:val="clear" w:color="auto" w:fill="E7E7E8"/>
          </w:tcPr>
          <w:p>
            <w:pPr>
              <w:jc w:val="right"/>
              <w:ind w:right="130"/>
              <w:spacing w:after="0" w:line="157" w:lineRule="exact"/>
              <w:rPr>
                <w:sz w:val="20"/>
                <w:szCs w:val="20"/>
                <w:color w:val="auto"/>
              </w:rPr>
            </w:pPr>
            <w:r>
              <w:rPr>
                <w:rFonts w:ascii="Arial" w:cs="Arial" w:eastAsia="Arial" w:hAnsi="Arial"/>
                <w:sz w:val="14"/>
                <w:szCs w:val="14"/>
                <w:color w:val="auto"/>
              </w:rPr>
              <w:t>0</w:t>
            </w:r>
          </w:p>
        </w:tc>
        <w:tc>
          <w:tcPr>
            <w:tcW w:w="920" w:type="dxa"/>
            <w:vAlign w:val="bottom"/>
            <w:shd w:val="clear" w:color="auto" w:fill="E7E7E8"/>
          </w:tcPr>
          <w:p>
            <w:pPr>
              <w:jc w:val="right"/>
              <w:ind w:right="70"/>
              <w:spacing w:after="0" w:line="157" w:lineRule="exact"/>
              <w:rPr>
                <w:sz w:val="20"/>
                <w:szCs w:val="20"/>
                <w:color w:val="auto"/>
              </w:rPr>
            </w:pPr>
            <w:r>
              <w:rPr>
                <w:rFonts w:ascii="Arial" w:cs="Arial" w:eastAsia="Arial" w:hAnsi="Arial"/>
                <w:sz w:val="14"/>
                <w:szCs w:val="14"/>
                <w:color w:val="auto"/>
              </w:rPr>
              <w:t>2,555,732</w:t>
            </w:r>
          </w:p>
        </w:tc>
        <w:tc>
          <w:tcPr>
            <w:tcW w:w="940" w:type="dxa"/>
            <w:vAlign w:val="bottom"/>
            <w:shd w:val="clear" w:color="auto" w:fill="E7E7E8"/>
          </w:tcPr>
          <w:p>
            <w:pPr>
              <w:jc w:val="right"/>
              <w:ind w:right="10"/>
              <w:spacing w:after="0" w:line="157" w:lineRule="exact"/>
              <w:rPr>
                <w:sz w:val="20"/>
                <w:szCs w:val="20"/>
                <w:color w:val="auto"/>
              </w:rPr>
            </w:pPr>
            <w:r>
              <w:rPr>
                <w:rFonts w:ascii="Arial" w:cs="Arial" w:eastAsia="Arial" w:hAnsi="Arial"/>
                <w:sz w:val="14"/>
                <w:szCs w:val="14"/>
                <w:color w:val="auto"/>
              </w:rPr>
              <w:t>1,035,626</w:t>
            </w:r>
          </w:p>
        </w:tc>
        <w:tc>
          <w:tcPr>
            <w:tcW w:w="11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1,290,000</w:t>
            </w:r>
          </w:p>
        </w:tc>
        <w:tc>
          <w:tcPr>
            <w:tcW w:w="1140" w:type="dxa"/>
            <w:vAlign w:val="bottom"/>
            <w:shd w:val="clear" w:color="auto" w:fill="E7E7E8"/>
          </w:tcPr>
          <w:p>
            <w:pPr>
              <w:jc w:val="right"/>
              <w:ind w:right="30"/>
              <w:spacing w:after="0" w:line="157" w:lineRule="exact"/>
              <w:rPr>
                <w:sz w:val="20"/>
                <w:szCs w:val="20"/>
                <w:color w:val="auto"/>
              </w:rPr>
            </w:pPr>
            <w:r>
              <w:rPr>
                <w:rFonts w:ascii="Arial" w:cs="Arial" w:eastAsia="Arial" w:hAnsi="Arial"/>
                <w:sz w:val="14"/>
                <w:szCs w:val="14"/>
                <w:color w:val="auto"/>
              </w:rPr>
              <w:t>944,548</w:t>
            </w:r>
          </w:p>
        </w:tc>
        <w:tc>
          <w:tcPr>
            <w:tcW w:w="1200" w:type="dxa"/>
            <w:vAlign w:val="bottom"/>
            <w:shd w:val="clear" w:color="auto" w:fill="E7E7E8"/>
          </w:tcPr>
          <w:p>
            <w:pPr>
              <w:jc w:val="right"/>
              <w:ind w:right="90"/>
              <w:spacing w:after="0" w:line="157" w:lineRule="exact"/>
              <w:rPr>
                <w:sz w:val="20"/>
                <w:szCs w:val="20"/>
                <w:color w:val="auto"/>
              </w:rPr>
            </w:pPr>
            <w:r>
              <w:rPr>
                <w:rFonts w:ascii="Arial" w:cs="Arial" w:eastAsia="Arial" w:hAnsi="Arial"/>
                <w:sz w:val="14"/>
                <w:szCs w:val="14"/>
                <w:color w:val="auto"/>
              </w:rPr>
              <w:t>270,392</w:t>
            </w:r>
          </w:p>
        </w:tc>
        <w:tc>
          <w:tcPr>
            <w:tcW w:w="920" w:type="dxa"/>
            <w:vAlign w:val="bottom"/>
            <w:shd w:val="clear" w:color="auto" w:fill="E7E7E8"/>
          </w:tcPr>
          <w:p>
            <w:pPr>
              <w:jc w:val="right"/>
              <w:spacing w:after="0" w:line="157" w:lineRule="exact"/>
              <w:rPr>
                <w:sz w:val="20"/>
                <w:szCs w:val="20"/>
                <w:color w:val="auto"/>
              </w:rPr>
            </w:pPr>
            <w:r>
              <w:rPr>
                <w:rFonts w:ascii="Arial" w:cs="Arial" w:eastAsia="Arial" w:hAnsi="Arial"/>
                <w:sz w:val="14"/>
                <w:szCs w:val="14"/>
                <w:color w:val="auto"/>
              </w:rPr>
              <w:t>6,996,298</w:t>
            </w:r>
          </w:p>
        </w:tc>
      </w:tr>
      <w:tr>
        <w:trPr>
          <w:trHeight w:val="157"/>
        </w:trPr>
        <w:tc>
          <w:tcPr>
            <w:tcW w:w="2420" w:type="dxa"/>
            <w:vAlign w:val="bottom"/>
            <w:shd w:val="clear" w:color="auto" w:fill="E7E7E8"/>
          </w:tcPr>
          <w:p>
            <w:pPr>
              <w:ind w:left="120"/>
              <w:spacing w:after="0" w:line="157" w:lineRule="exact"/>
              <w:rPr>
                <w:sz w:val="20"/>
                <w:szCs w:val="20"/>
                <w:color w:val="auto"/>
              </w:rPr>
            </w:pPr>
            <w:r>
              <w:rPr>
                <w:rFonts w:ascii="Arial" w:cs="Arial" w:eastAsia="Arial" w:hAnsi="Arial"/>
                <w:sz w:val="14"/>
                <w:szCs w:val="14"/>
                <w:color w:val="auto"/>
              </w:rPr>
              <w:t>and Corporate Secretary</w:t>
            </w:r>
          </w:p>
        </w:tc>
        <w:tc>
          <w:tcPr>
            <w:tcW w:w="240" w:type="dxa"/>
            <w:vAlign w:val="bottom"/>
            <w:shd w:val="clear" w:color="auto" w:fill="E7E7E8"/>
          </w:tcPr>
          <w:p>
            <w:pPr>
              <w:spacing w:after="0"/>
              <w:rPr>
                <w:sz w:val="13"/>
                <w:szCs w:val="13"/>
                <w:color w:val="auto"/>
              </w:rPr>
            </w:pPr>
          </w:p>
        </w:tc>
        <w:tc>
          <w:tcPr>
            <w:tcW w:w="46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92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1140" w:type="dxa"/>
            <w:vAlign w:val="bottom"/>
            <w:shd w:val="clear" w:color="auto" w:fill="E7E7E8"/>
          </w:tcPr>
          <w:p>
            <w:pPr>
              <w:spacing w:after="0"/>
              <w:rPr>
                <w:sz w:val="13"/>
                <w:szCs w:val="13"/>
                <w:color w:val="auto"/>
              </w:rPr>
            </w:pPr>
          </w:p>
        </w:tc>
        <w:tc>
          <w:tcPr>
            <w:tcW w:w="1140" w:type="dxa"/>
            <w:vAlign w:val="bottom"/>
            <w:shd w:val="clear" w:color="auto" w:fill="E7E7E8"/>
          </w:tcPr>
          <w:p>
            <w:pPr>
              <w:spacing w:after="0"/>
              <w:rPr>
                <w:sz w:val="13"/>
                <w:szCs w:val="13"/>
                <w:color w:val="auto"/>
              </w:rPr>
            </w:pPr>
          </w:p>
        </w:tc>
        <w:tc>
          <w:tcPr>
            <w:tcW w:w="1200" w:type="dxa"/>
            <w:vAlign w:val="bottom"/>
            <w:shd w:val="clear" w:color="auto" w:fill="E7E7E8"/>
          </w:tcPr>
          <w:p>
            <w:pPr>
              <w:spacing w:after="0"/>
              <w:rPr>
                <w:sz w:val="13"/>
                <w:szCs w:val="13"/>
                <w:color w:val="auto"/>
              </w:rPr>
            </w:pPr>
          </w:p>
        </w:tc>
        <w:tc>
          <w:tcPr>
            <w:tcW w:w="920" w:type="dxa"/>
            <w:vAlign w:val="bottom"/>
            <w:shd w:val="clear" w:color="auto" w:fill="E7E7E8"/>
          </w:tcPr>
          <w:p>
            <w:pPr>
              <w:spacing w:after="0"/>
              <w:rPr>
                <w:sz w:val="13"/>
                <w:szCs w:val="13"/>
                <w:color w:val="auto"/>
              </w:rPr>
            </w:pPr>
          </w:p>
        </w:tc>
      </w:tr>
      <w:tr>
        <w:trPr>
          <w:trHeight w:val="161"/>
        </w:trPr>
        <w:tc>
          <w:tcPr>
            <w:tcW w:w="2420" w:type="dxa"/>
            <w:vAlign w:val="bottom"/>
          </w:tcPr>
          <w:p>
            <w:pPr>
              <w:spacing w:after="0"/>
              <w:rPr>
                <w:sz w:val="20"/>
                <w:szCs w:val="20"/>
                <w:color w:val="auto"/>
              </w:rPr>
            </w:pPr>
            <w:r>
              <w:rPr>
                <w:rFonts w:ascii="Arial" w:cs="Arial" w:eastAsia="Arial" w:hAnsi="Arial"/>
                <w:sz w:val="14"/>
                <w:szCs w:val="14"/>
                <w:color w:val="auto"/>
              </w:rPr>
              <w:t>Carlos Alban</w:t>
            </w:r>
          </w:p>
        </w:tc>
        <w:tc>
          <w:tcPr>
            <w:tcW w:w="700" w:type="dxa"/>
            <w:vAlign w:val="bottom"/>
            <w:gridSpan w:val="2"/>
          </w:tcPr>
          <w:p>
            <w:pPr>
              <w:jc w:val="right"/>
              <w:ind w:right="70"/>
              <w:spacing w:after="0"/>
              <w:rPr>
                <w:sz w:val="20"/>
                <w:szCs w:val="20"/>
                <w:color w:val="auto"/>
              </w:rPr>
            </w:pPr>
            <w:r>
              <w:rPr>
                <w:rFonts w:ascii="Arial" w:cs="Arial" w:eastAsia="Arial" w:hAnsi="Arial"/>
                <w:sz w:val="14"/>
                <w:szCs w:val="14"/>
                <w:color w:val="auto"/>
              </w:rPr>
              <w:t>2015</w:t>
            </w:r>
          </w:p>
        </w:tc>
        <w:tc>
          <w:tcPr>
            <w:tcW w:w="940" w:type="dxa"/>
            <w:vAlign w:val="bottom"/>
          </w:tcPr>
          <w:p>
            <w:pPr>
              <w:jc w:val="right"/>
              <w:ind w:right="30"/>
              <w:spacing w:after="0"/>
              <w:rPr>
                <w:sz w:val="20"/>
                <w:szCs w:val="20"/>
                <w:color w:val="auto"/>
              </w:rPr>
            </w:pPr>
            <w:r>
              <w:rPr>
                <w:rFonts w:ascii="Arial" w:cs="Arial" w:eastAsia="Arial" w:hAnsi="Arial"/>
                <w:sz w:val="14"/>
                <w:szCs w:val="14"/>
                <w:color w:val="auto"/>
              </w:rPr>
              <w:t>888,461</w:t>
            </w:r>
          </w:p>
        </w:tc>
        <w:tc>
          <w:tcPr>
            <w:tcW w:w="940" w:type="dxa"/>
            <w:vAlign w:val="bottom"/>
          </w:tcPr>
          <w:p>
            <w:pPr>
              <w:jc w:val="right"/>
              <w:ind w:right="130"/>
              <w:spacing w:after="0"/>
              <w:rPr>
                <w:sz w:val="20"/>
                <w:szCs w:val="20"/>
                <w:color w:val="auto"/>
              </w:rPr>
            </w:pPr>
            <w:r>
              <w:rPr>
                <w:rFonts w:ascii="Arial" w:cs="Arial" w:eastAsia="Arial" w:hAnsi="Arial"/>
                <w:sz w:val="14"/>
                <w:szCs w:val="14"/>
                <w:color w:val="auto"/>
              </w:rPr>
              <w:t>0</w:t>
            </w:r>
          </w:p>
        </w:tc>
        <w:tc>
          <w:tcPr>
            <w:tcW w:w="920" w:type="dxa"/>
            <w:vAlign w:val="bottom"/>
          </w:tcPr>
          <w:p>
            <w:pPr>
              <w:jc w:val="right"/>
              <w:ind w:right="70"/>
              <w:spacing w:after="0"/>
              <w:rPr>
                <w:sz w:val="20"/>
                <w:szCs w:val="20"/>
                <w:color w:val="auto"/>
              </w:rPr>
            </w:pPr>
            <w:r>
              <w:rPr>
                <w:rFonts w:ascii="Arial" w:cs="Arial" w:eastAsia="Arial" w:hAnsi="Arial"/>
                <w:sz w:val="14"/>
                <w:szCs w:val="14"/>
                <w:color w:val="auto"/>
              </w:rPr>
              <w:t>3,036,257</w:t>
            </w:r>
          </w:p>
        </w:tc>
        <w:tc>
          <w:tcPr>
            <w:tcW w:w="940" w:type="dxa"/>
            <w:vAlign w:val="bottom"/>
          </w:tcPr>
          <w:p>
            <w:pPr>
              <w:jc w:val="right"/>
              <w:ind w:right="10"/>
              <w:spacing w:after="0"/>
              <w:rPr>
                <w:sz w:val="20"/>
                <w:szCs w:val="20"/>
                <w:color w:val="auto"/>
              </w:rPr>
            </w:pPr>
            <w:r>
              <w:rPr>
                <w:rFonts w:ascii="Arial" w:cs="Arial" w:eastAsia="Arial" w:hAnsi="Arial"/>
                <w:sz w:val="14"/>
                <w:szCs w:val="14"/>
                <w:color w:val="auto"/>
              </w:rPr>
              <w:t>1,015,522</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1,200,000</w:t>
            </w:r>
          </w:p>
        </w:tc>
        <w:tc>
          <w:tcPr>
            <w:tcW w:w="1140" w:type="dxa"/>
            <w:vAlign w:val="bottom"/>
          </w:tcPr>
          <w:p>
            <w:pPr>
              <w:jc w:val="right"/>
              <w:ind w:right="30"/>
              <w:spacing w:after="0"/>
              <w:rPr>
                <w:sz w:val="20"/>
                <w:szCs w:val="20"/>
                <w:color w:val="auto"/>
              </w:rPr>
            </w:pPr>
            <w:r>
              <w:rPr>
                <w:rFonts w:ascii="Arial" w:cs="Arial" w:eastAsia="Arial" w:hAnsi="Arial"/>
                <w:sz w:val="14"/>
                <w:szCs w:val="14"/>
                <w:color w:val="auto"/>
              </w:rPr>
              <w:t>696,390</w:t>
            </w:r>
          </w:p>
        </w:tc>
        <w:tc>
          <w:tcPr>
            <w:tcW w:w="1200" w:type="dxa"/>
            <w:vAlign w:val="bottom"/>
          </w:tcPr>
          <w:p>
            <w:pPr>
              <w:jc w:val="right"/>
              <w:ind w:right="90"/>
              <w:spacing w:after="0"/>
              <w:rPr>
                <w:sz w:val="20"/>
                <w:szCs w:val="20"/>
                <w:color w:val="auto"/>
              </w:rPr>
            </w:pPr>
            <w:r>
              <w:rPr>
                <w:rFonts w:ascii="Arial" w:cs="Arial" w:eastAsia="Arial" w:hAnsi="Arial"/>
                <w:sz w:val="14"/>
                <w:szCs w:val="14"/>
                <w:color w:val="auto"/>
              </w:rPr>
              <w:t>213,009</w:t>
            </w:r>
          </w:p>
        </w:tc>
        <w:tc>
          <w:tcPr>
            <w:tcW w:w="920" w:type="dxa"/>
            <w:vAlign w:val="bottom"/>
          </w:tcPr>
          <w:p>
            <w:pPr>
              <w:jc w:val="right"/>
              <w:spacing w:after="0"/>
              <w:rPr>
                <w:sz w:val="20"/>
                <w:szCs w:val="20"/>
                <w:color w:val="auto"/>
              </w:rPr>
            </w:pPr>
            <w:r>
              <w:rPr>
                <w:rFonts w:ascii="Arial" w:cs="Arial" w:eastAsia="Arial" w:hAnsi="Arial"/>
                <w:sz w:val="14"/>
                <w:szCs w:val="14"/>
                <w:color w:val="auto"/>
              </w:rPr>
              <w:t>7,049,639</w:t>
            </w:r>
          </w:p>
        </w:tc>
      </w:tr>
      <w:tr>
        <w:trPr>
          <w:trHeight w:val="157"/>
        </w:trPr>
        <w:tc>
          <w:tcPr>
            <w:tcW w:w="2420" w:type="dxa"/>
            <w:vAlign w:val="bottom"/>
          </w:tcPr>
          <w:p>
            <w:pPr>
              <w:ind w:left="120"/>
              <w:spacing w:after="0" w:line="157" w:lineRule="exact"/>
              <w:rPr>
                <w:sz w:val="20"/>
                <w:szCs w:val="20"/>
                <w:color w:val="auto"/>
              </w:rPr>
            </w:pPr>
            <w:r>
              <w:rPr>
                <w:rFonts w:ascii="Arial" w:cs="Arial" w:eastAsia="Arial" w:hAnsi="Arial"/>
                <w:sz w:val="14"/>
                <w:szCs w:val="14"/>
                <w:color w:val="auto"/>
              </w:rPr>
              <w:t>Executive Vice President,</w:t>
            </w:r>
          </w:p>
        </w:tc>
        <w:tc>
          <w:tcPr>
            <w:tcW w:w="700" w:type="dxa"/>
            <w:vAlign w:val="bottom"/>
            <w:gridSpan w:val="2"/>
          </w:tcPr>
          <w:p>
            <w:pPr>
              <w:jc w:val="right"/>
              <w:ind w:right="70"/>
              <w:spacing w:after="0" w:line="157" w:lineRule="exact"/>
              <w:rPr>
                <w:sz w:val="20"/>
                <w:szCs w:val="20"/>
                <w:color w:val="auto"/>
              </w:rPr>
            </w:pPr>
            <w:r>
              <w:rPr>
                <w:rFonts w:ascii="Arial" w:cs="Arial" w:eastAsia="Arial" w:hAnsi="Arial"/>
                <w:sz w:val="14"/>
                <w:szCs w:val="14"/>
                <w:color w:val="auto"/>
              </w:rPr>
              <w:t>2014</w:t>
            </w:r>
          </w:p>
        </w:tc>
        <w:tc>
          <w:tcPr>
            <w:tcW w:w="940" w:type="dxa"/>
            <w:vAlign w:val="bottom"/>
          </w:tcPr>
          <w:p>
            <w:pPr>
              <w:jc w:val="right"/>
              <w:ind w:right="30"/>
              <w:spacing w:after="0" w:line="157" w:lineRule="exact"/>
              <w:rPr>
                <w:sz w:val="20"/>
                <w:szCs w:val="20"/>
                <w:color w:val="auto"/>
              </w:rPr>
            </w:pPr>
            <w:r>
              <w:rPr>
                <w:rFonts w:ascii="Arial" w:cs="Arial" w:eastAsia="Arial" w:hAnsi="Arial"/>
                <w:sz w:val="14"/>
                <w:szCs w:val="14"/>
                <w:color w:val="auto"/>
              </w:rPr>
              <w:t>844,461</w:t>
            </w:r>
          </w:p>
        </w:tc>
        <w:tc>
          <w:tcPr>
            <w:tcW w:w="940" w:type="dxa"/>
            <w:vAlign w:val="bottom"/>
          </w:tcPr>
          <w:p>
            <w:pPr>
              <w:jc w:val="right"/>
              <w:ind w:right="130"/>
              <w:spacing w:after="0" w:line="157" w:lineRule="exact"/>
              <w:rPr>
                <w:sz w:val="20"/>
                <w:szCs w:val="20"/>
                <w:color w:val="auto"/>
              </w:rPr>
            </w:pPr>
            <w:r>
              <w:rPr>
                <w:rFonts w:ascii="Arial" w:cs="Arial" w:eastAsia="Arial" w:hAnsi="Arial"/>
                <w:sz w:val="14"/>
                <w:szCs w:val="14"/>
                <w:color w:val="auto"/>
              </w:rPr>
              <w:t>0</w:t>
            </w:r>
          </w:p>
        </w:tc>
        <w:tc>
          <w:tcPr>
            <w:tcW w:w="920" w:type="dxa"/>
            <w:vAlign w:val="bottom"/>
          </w:tcPr>
          <w:p>
            <w:pPr>
              <w:jc w:val="right"/>
              <w:ind w:right="70"/>
              <w:spacing w:after="0" w:line="157" w:lineRule="exact"/>
              <w:rPr>
                <w:sz w:val="20"/>
                <w:szCs w:val="20"/>
                <w:color w:val="auto"/>
              </w:rPr>
            </w:pPr>
            <w:r>
              <w:rPr>
                <w:rFonts w:ascii="Arial" w:cs="Arial" w:eastAsia="Arial" w:hAnsi="Arial"/>
                <w:sz w:val="14"/>
                <w:szCs w:val="14"/>
                <w:color w:val="auto"/>
              </w:rPr>
              <w:t>2,430,109</w:t>
            </w:r>
          </w:p>
        </w:tc>
        <w:tc>
          <w:tcPr>
            <w:tcW w:w="940" w:type="dxa"/>
            <w:vAlign w:val="bottom"/>
          </w:tcPr>
          <w:p>
            <w:pPr>
              <w:jc w:val="right"/>
              <w:ind w:right="10"/>
              <w:spacing w:after="0" w:line="157" w:lineRule="exact"/>
              <w:rPr>
                <w:sz w:val="20"/>
                <w:szCs w:val="20"/>
                <w:color w:val="auto"/>
              </w:rPr>
            </w:pPr>
            <w:r>
              <w:rPr>
                <w:rFonts w:ascii="Arial" w:cs="Arial" w:eastAsia="Arial" w:hAnsi="Arial"/>
                <w:sz w:val="14"/>
                <w:szCs w:val="14"/>
                <w:color w:val="auto"/>
              </w:rPr>
              <w:t>801,145</w:t>
            </w:r>
          </w:p>
        </w:tc>
        <w:tc>
          <w:tcPr>
            <w:tcW w:w="1140" w:type="dxa"/>
            <w:vAlign w:val="bottom"/>
          </w:tcPr>
          <w:p>
            <w:pPr>
              <w:jc w:val="right"/>
              <w:ind w:right="30"/>
              <w:spacing w:after="0" w:line="157" w:lineRule="exact"/>
              <w:rPr>
                <w:sz w:val="20"/>
                <w:szCs w:val="20"/>
                <w:color w:val="auto"/>
              </w:rPr>
            </w:pPr>
            <w:r>
              <w:rPr>
                <w:rFonts w:ascii="Arial" w:cs="Arial" w:eastAsia="Arial" w:hAnsi="Arial"/>
                <w:sz w:val="14"/>
                <w:szCs w:val="14"/>
                <w:color w:val="auto"/>
              </w:rPr>
              <w:t>1,300,000</w:t>
            </w:r>
          </w:p>
        </w:tc>
        <w:tc>
          <w:tcPr>
            <w:tcW w:w="1140" w:type="dxa"/>
            <w:vAlign w:val="bottom"/>
          </w:tcPr>
          <w:p>
            <w:pPr>
              <w:jc w:val="right"/>
              <w:ind w:right="30"/>
              <w:spacing w:after="0" w:line="157" w:lineRule="exact"/>
              <w:rPr>
                <w:sz w:val="20"/>
                <w:szCs w:val="20"/>
                <w:color w:val="auto"/>
              </w:rPr>
            </w:pPr>
            <w:r>
              <w:rPr>
                <w:rFonts w:ascii="Arial" w:cs="Arial" w:eastAsia="Arial" w:hAnsi="Arial"/>
                <w:sz w:val="14"/>
                <w:szCs w:val="14"/>
                <w:color w:val="auto"/>
              </w:rPr>
              <w:t>2,297,655</w:t>
            </w:r>
          </w:p>
        </w:tc>
        <w:tc>
          <w:tcPr>
            <w:tcW w:w="1200" w:type="dxa"/>
            <w:vAlign w:val="bottom"/>
          </w:tcPr>
          <w:p>
            <w:pPr>
              <w:jc w:val="right"/>
              <w:ind w:right="90"/>
              <w:spacing w:after="0" w:line="157" w:lineRule="exact"/>
              <w:rPr>
                <w:sz w:val="20"/>
                <w:szCs w:val="20"/>
                <w:color w:val="auto"/>
              </w:rPr>
            </w:pPr>
            <w:r>
              <w:rPr>
                <w:rFonts w:ascii="Arial" w:cs="Arial" w:eastAsia="Arial" w:hAnsi="Arial"/>
                <w:sz w:val="14"/>
                <w:szCs w:val="14"/>
                <w:color w:val="auto"/>
              </w:rPr>
              <w:t>1,589,491</w:t>
            </w:r>
          </w:p>
        </w:tc>
        <w:tc>
          <w:tcPr>
            <w:tcW w:w="920" w:type="dxa"/>
            <w:vAlign w:val="bottom"/>
          </w:tcPr>
          <w:p>
            <w:pPr>
              <w:jc w:val="right"/>
              <w:spacing w:after="0" w:line="157" w:lineRule="exact"/>
              <w:rPr>
                <w:sz w:val="20"/>
                <w:szCs w:val="20"/>
                <w:color w:val="auto"/>
              </w:rPr>
            </w:pPr>
            <w:r>
              <w:rPr>
                <w:rFonts w:ascii="Arial" w:cs="Arial" w:eastAsia="Arial" w:hAnsi="Arial"/>
                <w:sz w:val="14"/>
                <w:szCs w:val="14"/>
                <w:color w:val="auto"/>
              </w:rPr>
              <w:t>9,262,861</w:t>
            </w:r>
          </w:p>
        </w:tc>
      </w:tr>
      <w:tr>
        <w:trPr>
          <w:trHeight w:val="152"/>
        </w:trPr>
        <w:tc>
          <w:tcPr>
            <w:tcW w:w="2420" w:type="dxa"/>
            <w:vAlign w:val="bottom"/>
          </w:tcPr>
          <w:p>
            <w:pPr>
              <w:ind w:left="120"/>
              <w:spacing w:after="0" w:line="152" w:lineRule="exact"/>
              <w:rPr>
                <w:sz w:val="20"/>
                <w:szCs w:val="20"/>
                <w:color w:val="auto"/>
              </w:rPr>
            </w:pPr>
            <w:r>
              <w:rPr>
                <w:rFonts w:ascii="Arial" w:cs="Arial" w:eastAsia="Arial" w:hAnsi="Arial"/>
                <w:sz w:val="14"/>
                <w:szCs w:val="14"/>
                <w:color w:val="auto"/>
              </w:rPr>
              <w:t>Commercial Operations</w:t>
            </w:r>
          </w:p>
        </w:tc>
        <w:tc>
          <w:tcPr>
            <w:tcW w:w="700" w:type="dxa"/>
            <w:vAlign w:val="bottom"/>
            <w:gridSpan w:val="2"/>
          </w:tcPr>
          <w:p>
            <w:pPr>
              <w:jc w:val="right"/>
              <w:ind w:right="70"/>
              <w:spacing w:after="0" w:line="152" w:lineRule="exact"/>
              <w:rPr>
                <w:sz w:val="20"/>
                <w:szCs w:val="20"/>
                <w:color w:val="auto"/>
              </w:rPr>
            </w:pPr>
            <w:r>
              <w:rPr>
                <w:rFonts w:ascii="Arial" w:cs="Arial" w:eastAsia="Arial" w:hAnsi="Arial"/>
                <w:sz w:val="14"/>
                <w:szCs w:val="14"/>
                <w:color w:val="auto"/>
              </w:rPr>
              <w:t>2013</w:t>
            </w:r>
          </w:p>
        </w:tc>
        <w:tc>
          <w:tcPr>
            <w:tcW w:w="940" w:type="dxa"/>
            <w:vAlign w:val="bottom"/>
          </w:tcPr>
          <w:p>
            <w:pPr>
              <w:jc w:val="right"/>
              <w:ind w:right="30"/>
              <w:spacing w:after="0" w:line="152" w:lineRule="exact"/>
              <w:rPr>
                <w:sz w:val="20"/>
                <w:szCs w:val="20"/>
                <w:color w:val="auto"/>
              </w:rPr>
            </w:pPr>
            <w:r>
              <w:rPr>
                <w:rFonts w:ascii="Arial" w:cs="Arial" w:eastAsia="Arial" w:hAnsi="Arial"/>
                <w:sz w:val="14"/>
                <w:szCs w:val="14"/>
                <w:color w:val="auto"/>
              </w:rPr>
              <w:t>710,000</w:t>
            </w:r>
          </w:p>
        </w:tc>
        <w:tc>
          <w:tcPr>
            <w:tcW w:w="940" w:type="dxa"/>
            <w:vAlign w:val="bottom"/>
          </w:tcPr>
          <w:p>
            <w:pPr>
              <w:jc w:val="right"/>
              <w:ind w:right="130"/>
              <w:spacing w:after="0" w:line="152" w:lineRule="exact"/>
              <w:rPr>
                <w:sz w:val="20"/>
                <w:szCs w:val="20"/>
                <w:color w:val="auto"/>
              </w:rPr>
            </w:pPr>
            <w:r>
              <w:rPr>
                <w:rFonts w:ascii="Arial" w:cs="Arial" w:eastAsia="Arial" w:hAnsi="Arial"/>
                <w:sz w:val="14"/>
                <w:szCs w:val="14"/>
                <w:color w:val="auto"/>
              </w:rPr>
              <w:t>0</w:t>
            </w:r>
          </w:p>
        </w:tc>
        <w:tc>
          <w:tcPr>
            <w:tcW w:w="920" w:type="dxa"/>
            <w:vAlign w:val="bottom"/>
          </w:tcPr>
          <w:p>
            <w:pPr>
              <w:jc w:val="right"/>
              <w:ind w:right="70"/>
              <w:spacing w:after="0" w:line="152" w:lineRule="exact"/>
              <w:rPr>
                <w:sz w:val="20"/>
                <w:szCs w:val="20"/>
                <w:color w:val="auto"/>
              </w:rPr>
            </w:pPr>
            <w:r>
              <w:rPr>
                <w:rFonts w:ascii="Arial" w:cs="Arial" w:eastAsia="Arial" w:hAnsi="Arial"/>
                <w:sz w:val="14"/>
                <w:szCs w:val="14"/>
                <w:color w:val="auto"/>
              </w:rPr>
              <w:t>2,034,396</w:t>
            </w:r>
          </w:p>
        </w:tc>
        <w:tc>
          <w:tcPr>
            <w:tcW w:w="940" w:type="dxa"/>
            <w:vAlign w:val="bottom"/>
          </w:tcPr>
          <w:p>
            <w:pPr>
              <w:jc w:val="right"/>
              <w:ind w:right="10"/>
              <w:spacing w:after="0" w:line="152" w:lineRule="exact"/>
              <w:rPr>
                <w:sz w:val="20"/>
                <w:szCs w:val="20"/>
                <w:color w:val="auto"/>
              </w:rPr>
            </w:pPr>
            <w:r>
              <w:rPr>
                <w:rFonts w:ascii="Arial" w:cs="Arial" w:eastAsia="Arial" w:hAnsi="Arial"/>
                <w:sz w:val="14"/>
                <w:szCs w:val="14"/>
                <w:color w:val="auto"/>
              </w:rPr>
              <w:t>795,752</w:t>
            </w:r>
          </w:p>
        </w:tc>
        <w:tc>
          <w:tcPr>
            <w:tcW w:w="1140" w:type="dxa"/>
            <w:vAlign w:val="bottom"/>
          </w:tcPr>
          <w:p>
            <w:pPr>
              <w:jc w:val="right"/>
              <w:ind w:right="30"/>
              <w:spacing w:after="0" w:line="152" w:lineRule="exact"/>
              <w:rPr>
                <w:sz w:val="20"/>
                <w:szCs w:val="20"/>
                <w:color w:val="auto"/>
              </w:rPr>
            </w:pPr>
            <w:r>
              <w:rPr>
                <w:rFonts w:ascii="Arial" w:cs="Arial" w:eastAsia="Arial" w:hAnsi="Arial"/>
                <w:sz w:val="14"/>
                <w:szCs w:val="14"/>
                <w:color w:val="auto"/>
              </w:rPr>
              <w:t>1,030,000</w:t>
            </w:r>
          </w:p>
        </w:tc>
        <w:tc>
          <w:tcPr>
            <w:tcW w:w="1140" w:type="dxa"/>
            <w:vAlign w:val="bottom"/>
          </w:tcPr>
          <w:p>
            <w:pPr>
              <w:jc w:val="right"/>
              <w:ind w:right="30"/>
              <w:spacing w:after="0" w:line="152" w:lineRule="exact"/>
              <w:rPr>
                <w:sz w:val="20"/>
                <w:szCs w:val="20"/>
                <w:color w:val="auto"/>
              </w:rPr>
            </w:pPr>
            <w:r>
              <w:rPr>
                <w:rFonts w:ascii="Arial" w:cs="Arial" w:eastAsia="Arial" w:hAnsi="Arial"/>
                <w:sz w:val="14"/>
                <w:szCs w:val="14"/>
                <w:color w:val="auto"/>
              </w:rPr>
              <w:t>416,924</w:t>
            </w:r>
          </w:p>
        </w:tc>
        <w:tc>
          <w:tcPr>
            <w:tcW w:w="1200" w:type="dxa"/>
            <w:vAlign w:val="bottom"/>
          </w:tcPr>
          <w:p>
            <w:pPr>
              <w:jc w:val="right"/>
              <w:ind w:right="90"/>
              <w:spacing w:after="0" w:line="152" w:lineRule="exact"/>
              <w:rPr>
                <w:sz w:val="20"/>
                <w:szCs w:val="20"/>
                <w:color w:val="auto"/>
              </w:rPr>
            </w:pPr>
            <w:r>
              <w:rPr>
                <w:rFonts w:ascii="Arial" w:cs="Arial" w:eastAsia="Arial" w:hAnsi="Arial"/>
                <w:sz w:val="14"/>
                <w:szCs w:val="14"/>
                <w:color w:val="auto"/>
              </w:rPr>
              <w:t>148,097</w:t>
            </w:r>
          </w:p>
        </w:tc>
        <w:tc>
          <w:tcPr>
            <w:tcW w:w="920" w:type="dxa"/>
            <w:vAlign w:val="bottom"/>
          </w:tcPr>
          <w:p>
            <w:pPr>
              <w:jc w:val="right"/>
              <w:spacing w:after="0" w:line="152" w:lineRule="exact"/>
              <w:rPr>
                <w:sz w:val="20"/>
                <w:szCs w:val="20"/>
                <w:color w:val="auto"/>
              </w:rPr>
            </w:pPr>
            <w:r>
              <w:rPr>
                <w:rFonts w:ascii="Arial" w:cs="Arial" w:eastAsia="Arial" w:hAnsi="Arial"/>
                <w:sz w:val="14"/>
                <w:szCs w:val="14"/>
                <w:color w:val="auto"/>
              </w:rPr>
              <w:t>5,135,169</w:t>
            </w:r>
          </w:p>
        </w:tc>
      </w:tr>
      <w:tr>
        <w:trPr>
          <w:trHeight w:val="131"/>
        </w:trPr>
        <w:tc>
          <w:tcPr>
            <w:tcW w:w="2420" w:type="dxa"/>
            <w:vAlign w:val="bottom"/>
            <w:shd w:val="clear" w:color="auto" w:fill="E7E7E8"/>
          </w:tcPr>
          <w:p>
            <w:pPr>
              <w:spacing w:after="0" w:line="131" w:lineRule="exact"/>
              <w:rPr>
                <w:sz w:val="20"/>
                <w:szCs w:val="20"/>
                <w:color w:val="auto"/>
              </w:rPr>
            </w:pPr>
            <w:r>
              <w:rPr>
                <w:rFonts w:ascii="Arial" w:cs="Arial" w:eastAsia="Arial" w:hAnsi="Arial"/>
                <w:sz w:val="14"/>
                <w:szCs w:val="14"/>
                <w:color w:val="auto"/>
              </w:rPr>
              <w:t>Michael E. Severino</w:t>
            </w:r>
          </w:p>
        </w:tc>
        <w:tc>
          <w:tcPr>
            <w:tcW w:w="700" w:type="dxa"/>
            <w:vAlign w:val="bottom"/>
            <w:gridSpan w:val="2"/>
            <w:shd w:val="clear" w:color="auto" w:fill="E7E7E8"/>
          </w:tcPr>
          <w:p>
            <w:pPr>
              <w:jc w:val="right"/>
              <w:ind w:right="70"/>
              <w:spacing w:after="0" w:line="131" w:lineRule="exact"/>
              <w:rPr>
                <w:sz w:val="20"/>
                <w:szCs w:val="20"/>
                <w:color w:val="auto"/>
              </w:rPr>
            </w:pPr>
            <w:r>
              <w:rPr>
                <w:rFonts w:ascii="Arial" w:cs="Arial" w:eastAsia="Arial" w:hAnsi="Arial"/>
                <w:sz w:val="14"/>
                <w:szCs w:val="14"/>
                <w:color w:val="auto"/>
              </w:rPr>
              <w:t>2015</w:t>
            </w:r>
          </w:p>
        </w:tc>
        <w:tc>
          <w:tcPr>
            <w:tcW w:w="940" w:type="dxa"/>
            <w:vAlign w:val="bottom"/>
            <w:shd w:val="clear" w:color="auto" w:fill="E7E7E8"/>
          </w:tcPr>
          <w:p>
            <w:pPr>
              <w:jc w:val="right"/>
              <w:ind w:right="30"/>
              <w:spacing w:after="0" w:line="131" w:lineRule="exact"/>
              <w:rPr>
                <w:sz w:val="20"/>
                <w:szCs w:val="20"/>
                <w:color w:val="auto"/>
              </w:rPr>
            </w:pPr>
            <w:r>
              <w:rPr>
                <w:rFonts w:ascii="Arial" w:cs="Arial" w:eastAsia="Arial" w:hAnsi="Arial"/>
                <w:sz w:val="14"/>
                <w:szCs w:val="14"/>
                <w:color w:val="auto"/>
              </w:rPr>
              <w:t>918,077</w:t>
            </w:r>
          </w:p>
        </w:tc>
        <w:tc>
          <w:tcPr>
            <w:tcW w:w="940" w:type="dxa"/>
            <w:vAlign w:val="bottom"/>
            <w:shd w:val="clear" w:color="auto" w:fill="E7E7E8"/>
          </w:tcPr>
          <w:p>
            <w:pPr>
              <w:jc w:val="right"/>
              <w:ind w:right="130"/>
              <w:spacing w:after="0" w:line="131" w:lineRule="exact"/>
              <w:rPr>
                <w:sz w:val="20"/>
                <w:szCs w:val="20"/>
                <w:color w:val="auto"/>
              </w:rPr>
            </w:pPr>
            <w:r>
              <w:rPr>
                <w:rFonts w:ascii="Arial" w:cs="Arial" w:eastAsia="Arial" w:hAnsi="Arial"/>
                <w:sz w:val="14"/>
                <w:szCs w:val="14"/>
                <w:color w:val="auto"/>
              </w:rPr>
              <w:t>0</w:t>
            </w:r>
          </w:p>
        </w:tc>
        <w:tc>
          <w:tcPr>
            <w:tcW w:w="920" w:type="dxa"/>
            <w:vAlign w:val="bottom"/>
            <w:shd w:val="clear" w:color="auto" w:fill="E7E7E8"/>
          </w:tcPr>
          <w:p>
            <w:pPr>
              <w:jc w:val="right"/>
              <w:ind w:right="70"/>
              <w:spacing w:after="0" w:line="131" w:lineRule="exact"/>
              <w:rPr>
                <w:sz w:val="20"/>
                <w:szCs w:val="20"/>
                <w:color w:val="auto"/>
              </w:rPr>
            </w:pPr>
            <w:r>
              <w:rPr>
                <w:rFonts w:ascii="Arial" w:cs="Arial" w:eastAsia="Arial" w:hAnsi="Arial"/>
                <w:sz w:val="14"/>
                <w:szCs w:val="14"/>
                <w:color w:val="auto"/>
              </w:rPr>
              <w:t>3,111,604</w:t>
            </w:r>
          </w:p>
        </w:tc>
        <w:tc>
          <w:tcPr>
            <w:tcW w:w="940" w:type="dxa"/>
            <w:vAlign w:val="bottom"/>
            <w:shd w:val="clear" w:color="auto" w:fill="E7E7E8"/>
          </w:tcPr>
          <w:p>
            <w:pPr>
              <w:jc w:val="right"/>
              <w:ind w:right="10"/>
              <w:spacing w:after="0" w:line="131" w:lineRule="exact"/>
              <w:rPr>
                <w:sz w:val="20"/>
                <w:szCs w:val="20"/>
                <w:color w:val="auto"/>
              </w:rPr>
            </w:pPr>
            <w:r>
              <w:rPr>
                <w:rFonts w:ascii="Arial" w:cs="Arial" w:eastAsia="Arial" w:hAnsi="Arial"/>
                <w:sz w:val="14"/>
                <w:szCs w:val="14"/>
                <w:color w:val="auto"/>
              </w:rPr>
              <w:t>1,040,621</w:t>
            </w:r>
          </w:p>
        </w:tc>
        <w:tc>
          <w:tcPr>
            <w:tcW w:w="1140" w:type="dxa"/>
            <w:vAlign w:val="bottom"/>
            <w:shd w:val="clear" w:color="auto" w:fill="E7E7E8"/>
          </w:tcPr>
          <w:p>
            <w:pPr>
              <w:jc w:val="right"/>
              <w:ind w:right="30"/>
              <w:spacing w:after="0" w:line="131" w:lineRule="exact"/>
              <w:rPr>
                <w:sz w:val="20"/>
                <w:szCs w:val="20"/>
                <w:color w:val="auto"/>
              </w:rPr>
            </w:pPr>
            <w:r>
              <w:rPr>
                <w:rFonts w:ascii="Arial" w:cs="Arial" w:eastAsia="Arial" w:hAnsi="Arial"/>
                <w:sz w:val="14"/>
                <w:szCs w:val="14"/>
                <w:color w:val="auto"/>
              </w:rPr>
              <w:t>1,238,700</w:t>
            </w:r>
          </w:p>
        </w:tc>
        <w:tc>
          <w:tcPr>
            <w:tcW w:w="1140" w:type="dxa"/>
            <w:vAlign w:val="bottom"/>
            <w:shd w:val="clear" w:color="auto" w:fill="E7E7E8"/>
          </w:tcPr>
          <w:p>
            <w:pPr>
              <w:jc w:val="right"/>
              <w:ind w:right="30"/>
              <w:spacing w:after="0" w:line="131" w:lineRule="exact"/>
              <w:rPr>
                <w:sz w:val="20"/>
                <w:szCs w:val="20"/>
                <w:color w:val="auto"/>
              </w:rPr>
            </w:pPr>
            <w:r>
              <w:rPr>
                <w:rFonts w:ascii="Arial" w:cs="Arial" w:eastAsia="Arial" w:hAnsi="Arial"/>
                <w:sz w:val="14"/>
                <w:szCs w:val="14"/>
                <w:color w:val="auto"/>
              </w:rPr>
              <w:t>228,599</w:t>
            </w:r>
          </w:p>
        </w:tc>
        <w:tc>
          <w:tcPr>
            <w:tcW w:w="1200" w:type="dxa"/>
            <w:vAlign w:val="bottom"/>
            <w:shd w:val="clear" w:color="auto" w:fill="E7E7E8"/>
          </w:tcPr>
          <w:p>
            <w:pPr>
              <w:jc w:val="right"/>
              <w:ind w:right="90"/>
              <w:spacing w:after="0" w:line="131" w:lineRule="exact"/>
              <w:rPr>
                <w:sz w:val="20"/>
                <w:szCs w:val="20"/>
                <w:color w:val="auto"/>
              </w:rPr>
            </w:pPr>
            <w:r>
              <w:rPr>
                <w:rFonts w:ascii="Arial" w:cs="Arial" w:eastAsia="Arial" w:hAnsi="Arial"/>
                <w:sz w:val="14"/>
                <w:szCs w:val="14"/>
                <w:color w:val="auto"/>
              </w:rPr>
              <w:t>66,204</w:t>
            </w:r>
          </w:p>
        </w:tc>
        <w:tc>
          <w:tcPr>
            <w:tcW w:w="920" w:type="dxa"/>
            <w:vAlign w:val="bottom"/>
            <w:shd w:val="clear" w:color="auto" w:fill="E7E7E8"/>
          </w:tcPr>
          <w:p>
            <w:pPr>
              <w:jc w:val="right"/>
              <w:spacing w:after="0" w:line="131" w:lineRule="exact"/>
              <w:rPr>
                <w:sz w:val="20"/>
                <w:szCs w:val="20"/>
                <w:color w:val="auto"/>
              </w:rPr>
            </w:pPr>
            <w:r>
              <w:rPr>
                <w:rFonts w:ascii="Arial" w:cs="Arial" w:eastAsia="Arial" w:hAnsi="Arial"/>
                <w:sz w:val="14"/>
                <w:szCs w:val="14"/>
                <w:color w:val="auto"/>
              </w:rPr>
              <w:t>6,603,805</w:t>
            </w:r>
          </w:p>
        </w:tc>
      </w:tr>
      <w:tr>
        <w:trPr>
          <w:trHeight w:val="183"/>
        </w:trPr>
        <w:tc>
          <w:tcPr>
            <w:tcW w:w="2420" w:type="dxa"/>
            <w:vAlign w:val="bottom"/>
            <w:shd w:val="clear" w:color="auto" w:fill="E7E7E8"/>
          </w:tcPr>
          <w:p>
            <w:pPr>
              <w:ind w:left="120"/>
              <w:spacing w:after="0"/>
              <w:rPr>
                <w:sz w:val="20"/>
                <w:szCs w:val="20"/>
                <w:color w:val="auto"/>
              </w:rPr>
            </w:pPr>
            <w:r>
              <w:rPr>
                <w:rFonts w:ascii="Arial" w:cs="Arial" w:eastAsia="Arial" w:hAnsi="Arial"/>
                <w:sz w:val="14"/>
                <w:szCs w:val="14"/>
                <w:color w:val="auto"/>
              </w:rPr>
              <w:t>Executive Vice President,</w:t>
            </w:r>
          </w:p>
        </w:tc>
        <w:tc>
          <w:tcPr>
            <w:tcW w:w="700" w:type="dxa"/>
            <w:vAlign w:val="bottom"/>
            <w:gridSpan w:val="2"/>
            <w:shd w:val="clear" w:color="auto" w:fill="E7E7E8"/>
          </w:tcPr>
          <w:p>
            <w:pPr>
              <w:jc w:val="right"/>
              <w:ind w:right="70"/>
              <w:spacing w:after="0"/>
              <w:rPr>
                <w:sz w:val="20"/>
                <w:szCs w:val="20"/>
                <w:color w:val="auto"/>
              </w:rPr>
            </w:pPr>
            <w:r>
              <w:rPr>
                <w:rFonts w:ascii="Arial" w:cs="Arial" w:eastAsia="Arial" w:hAnsi="Arial"/>
                <w:sz w:val="14"/>
                <w:szCs w:val="14"/>
                <w:color w:val="auto"/>
              </w:rPr>
              <w:t>2014</w:t>
            </w:r>
          </w:p>
        </w:tc>
        <w:tc>
          <w:tcPr>
            <w:tcW w:w="94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503,750</w:t>
            </w:r>
          </w:p>
        </w:tc>
        <w:tc>
          <w:tcPr>
            <w:tcW w:w="940" w:type="dxa"/>
            <w:vAlign w:val="bottom"/>
            <w:shd w:val="clear" w:color="auto" w:fill="E7E7E8"/>
          </w:tcPr>
          <w:p>
            <w:pPr>
              <w:jc w:val="right"/>
              <w:ind w:right="10"/>
              <w:spacing w:after="0" w:line="183" w:lineRule="exact"/>
              <w:rPr>
                <w:sz w:val="20"/>
                <w:szCs w:val="20"/>
                <w:color w:val="auto"/>
              </w:rPr>
            </w:pPr>
            <w:r>
              <w:rPr>
                <w:rFonts w:ascii="Arial" w:cs="Arial" w:eastAsia="Arial" w:hAnsi="Arial"/>
                <w:sz w:val="14"/>
                <w:szCs w:val="14"/>
                <w:color w:val="auto"/>
              </w:rPr>
              <w:t>1,000,000</w:t>
            </w:r>
            <w:r>
              <w:rPr>
                <w:rFonts w:ascii="Arial" w:cs="Arial" w:eastAsia="Arial" w:hAnsi="Arial"/>
                <w:sz w:val="20"/>
                <w:szCs w:val="20"/>
                <w:color w:val="auto"/>
                <w:vertAlign w:val="superscript"/>
              </w:rPr>
              <w:t>(9)</w:t>
            </w:r>
          </w:p>
        </w:tc>
        <w:tc>
          <w:tcPr>
            <w:tcW w:w="920" w:type="dxa"/>
            <w:vAlign w:val="bottom"/>
            <w:shd w:val="clear" w:color="auto" w:fill="E7E7E8"/>
          </w:tcPr>
          <w:p>
            <w:pPr>
              <w:jc w:val="right"/>
              <w:ind w:right="70"/>
              <w:spacing w:after="0"/>
              <w:rPr>
                <w:sz w:val="20"/>
                <w:szCs w:val="20"/>
                <w:color w:val="auto"/>
              </w:rPr>
            </w:pPr>
            <w:r>
              <w:rPr>
                <w:rFonts w:ascii="Arial" w:cs="Arial" w:eastAsia="Arial" w:hAnsi="Arial"/>
                <w:sz w:val="14"/>
                <w:szCs w:val="14"/>
                <w:color w:val="auto"/>
              </w:rPr>
              <w:t>7,710,065</w:t>
            </w:r>
          </w:p>
        </w:tc>
        <w:tc>
          <w:tcPr>
            <w:tcW w:w="940" w:type="dxa"/>
            <w:vAlign w:val="bottom"/>
            <w:shd w:val="clear" w:color="auto" w:fill="E7E7E8"/>
          </w:tcPr>
          <w:p>
            <w:pPr>
              <w:jc w:val="right"/>
              <w:ind w:right="10"/>
              <w:spacing w:after="0"/>
              <w:rPr>
                <w:sz w:val="20"/>
                <w:szCs w:val="20"/>
                <w:color w:val="auto"/>
              </w:rPr>
            </w:pPr>
            <w:r>
              <w:rPr>
                <w:rFonts w:ascii="Arial" w:cs="Arial" w:eastAsia="Arial" w:hAnsi="Arial"/>
                <w:sz w:val="14"/>
                <w:szCs w:val="14"/>
                <w:color w:val="auto"/>
              </w:rPr>
              <w:t>734,916</w:t>
            </w:r>
          </w:p>
        </w:tc>
        <w:tc>
          <w:tcPr>
            <w:tcW w:w="114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1,200,000</w:t>
            </w:r>
          </w:p>
        </w:tc>
        <w:tc>
          <w:tcPr>
            <w:tcW w:w="1140" w:type="dxa"/>
            <w:vAlign w:val="bottom"/>
            <w:shd w:val="clear" w:color="auto" w:fill="E7E7E8"/>
          </w:tcPr>
          <w:p>
            <w:pPr>
              <w:jc w:val="right"/>
              <w:ind w:right="30"/>
              <w:spacing w:after="0"/>
              <w:rPr>
                <w:sz w:val="20"/>
                <w:szCs w:val="20"/>
                <w:color w:val="auto"/>
              </w:rPr>
            </w:pPr>
            <w:r>
              <w:rPr>
                <w:rFonts w:ascii="Arial" w:cs="Arial" w:eastAsia="Arial" w:hAnsi="Arial"/>
                <w:sz w:val="14"/>
                <w:szCs w:val="14"/>
                <w:color w:val="auto"/>
              </w:rPr>
              <w:t>188,911</w:t>
            </w:r>
          </w:p>
        </w:tc>
        <w:tc>
          <w:tcPr>
            <w:tcW w:w="1200" w:type="dxa"/>
            <w:vAlign w:val="bottom"/>
            <w:shd w:val="clear" w:color="auto" w:fill="E7E7E8"/>
          </w:tcPr>
          <w:p>
            <w:pPr>
              <w:jc w:val="right"/>
              <w:ind w:right="90"/>
              <w:spacing w:after="0"/>
              <w:rPr>
                <w:sz w:val="20"/>
                <w:szCs w:val="20"/>
                <w:color w:val="auto"/>
              </w:rPr>
            </w:pPr>
            <w:r>
              <w:rPr>
                <w:rFonts w:ascii="Arial" w:cs="Arial" w:eastAsia="Arial" w:hAnsi="Arial"/>
                <w:sz w:val="14"/>
                <w:szCs w:val="14"/>
                <w:color w:val="auto"/>
              </w:rPr>
              <w:t>205,104</w:t>
            </w:r>
          </w:p>
        </w:tc>
        <w:tc>
          <w:tcPr>
            <w:tcW w:w="920" w:type="dxa"/>
            <w:vAlign w:val="bottom"/>
            <w:shd w:val="clear" w:color="auto" w:fill="E7E7E8"/>
          </w:tcPr>
          <w:p>
            <w:pPr>
              <w:jc w:val="right"/>
              <w:spacing w:after="0"/>
              <w:rPr>
                <w:sz w:val="20"/>
                <w:szCs w:val="20"/>
                <w:color w:val="auto"/>
              </w:rPr>
            </w:pPr>
            <w:r>
              <w:rPr>
                <w:rFonts w:ascii="Arial" w:cs="Arial" w:eastAsia="Arial" w:hAnsi="Arial"/>
                <w:sz w:val="14"/>
                <w:szCs w:val="14"/>
                <w:color w:val="auto"/>
              </w:rPr>
              <w:t>11,542,746</w:t>
            </w:r>
          </w:p>
        </w:tc>
      </w:tr>
      <w:tr>
        <w:trPr>
          <w:trHeight w:val="157"/>
        </w:trPr>
        <w:tc>
          <w:tcPr>
            <w:tcW w:w="2420" w:type="dxa"/>
            <w:vAlign w:val="bottom"/>
            <w:shd w:val="clear" w:color="auto" w:fill="E7E7E8"/>
          </w:tcPr>
          <w:p>
            <w:pPr>
              <w:ind w:left="120"/>
              <w:spacing w:after="0" w:line="157" w:lineRule="exact"/>
              <w:rPr>
                <w:sz w:val="20"/>
                <w:szCs w:val="20"/>
                <w:color w:val="auto"/>
              </w:rPr>
            </w:pPr>
            <w:r>
              <w:rPr>
                <w:rFonts w:ascii="Arial" w:cs="Arial" w:eastAsia="Arial" w:hAnsi="Arial"/>
                <w:sz w:val="14"/>
                <w:szCs w:val="14"/>
                <w:color w:val="auto"/>
              </w:rPr>
              <w:t>Research &amp; Development and</w:t>
            </w:r>
          </w:p>
        </w:tc>
        <w:tc>
          <w:tcPr>
            <w:tcW w:w="240" w:type="dxa"/>
            <w:vAlign w:val="bottom"/>
            <w:shd w:val="clear" w:color="auto" w:fill="E7E7E8"/>
          </w:tcPr>
          <w:p>
            <w:pPr>
              <w:spacing w:after="0"/>
              <w:rPr>
                <w:sz w:val="13"/>
                <w:szCs w:val="13"/>
                <w:color w:val="auto"/>
              </w:rPr>
            </w:pPr>
          </w:p>
        </w:tc>
        <w:tc>
          <w:tcPr>
            <w:tcW w:w="46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92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1140" w:type="dxa"/>
            <w:vAlign w:val="bottom"/>
            <w:shd w:val="clear" w:color="auto" w:fill="E7E7E8"/>
          </w:tcPr>
          <w:p>
            <w:pPr>
              <w:spacing w:after="0"/>
              <w:rPr>
                <w:sz w:val="13"/>
                <w:szCs w:val="13"/>
                <w:color w:val="auto"/>
              </w:rPr>
            </w:pPr>
          </w:p>
        </w:tc>
        <w:tc>
          <w:tcPr>
            <w:tcW w:w="1140" w:type="dxa"/>
            <w:vAlign w:val="bottom"/>
            <w:shd w:val="clear" w:color="auto" w:fill="E7E7E8"/>
          </w:tcPr>
          <w:p>
            <w:pPr>
              <w:spacing w:after="0"/>
              <w:rPr>
                <w:sz w:val="13"/>
                <w:szCs w:val="13"/>
                <w:color w:val="auto"/>
              </w:rPr>
            </w:pPr>
          </w:p>
        </w:tc>
        <w:tc>
          <w:tcPr>
            <w:tcW w:w="1200" w:type="dxa"/>
            <w:vAlign w:val="bottom"/>
            <w:shd w:val="clear" w:color="auto" w:fill="E7E7E8"/>
          </w:tcPr>
          <w:p>
            <w:pPr>
              <w:spacing w:after="0"/>
              <w:rPr>
                <w:sz w:val="13"/>
                <w:szCs w:val="13"/>
                <w:color w:val="auto"/>
              </w:rPr>
            </w:pPr>
          </w:p>
        </w:tc>
        <w:tc>
          <w:tcPr>
            <w:tcW w:w="920" w:type="dxa"/>
            <w:vAlign w:val="bottom"/>
            <w:shd w:val="clear" w:color="auto" w:fill="E7E7E8"/>
          </w:tcPr>
          <w:p>
            <w:pPr>
              <w:spacing w:after="0"/>
              <w:rPr>
                <w:sz w:val="13"/>
                <w:szCs w:val="13"/>
                <w:color w:val="auto"/>
              </w:rPr>
            </w:pPr>
          </w:p>
        </w:tc>
      </w:tr>
      <w:tr>
        <w:trPr>
          <w:trHeight w:val="157"/>
        </w:trPr>
        <w:tc>
          <w:tcPr>
            <w:tcW w:w="2420" w:type="dxa"/>
            <w:vAlign w:val="bottom"/>
            <w:shd w:val="clear" w:color="auto" w:fill="E7E7E8"/>
          </w:tcPr>
          <w:p>
            <w:pPr>
              <w:ind w:left="120"/>
              <w:spacing w:after="0" w:line="157" w:lineRule="exact"/>
              <w:rPr>
                <w:sz w:val="20"/>
                <w:szCs w:val="20"/>
                <w:color w:val="auto"/>
              </w:rPr>
            </w:pPr>
            <w:r>
              <w:rPr>
                <w:rFonts w:ascii="Arial" w:cs="Arial" w:eastAsia="Arial" w:hAnsi="Arial"/>
                <w:sz w:val="14"/>
                <w:szCs w:val="14"/>
                <w:color w:val="auto"/>
              </w:rPr>
              <w:t>Chief Scientific Officer</w:t>
            </w:r>
          </w:p>
        </w:tc>
        <w:tc>
          <w:tcPr>
            <w:tcW w:w="240" w:type="dxa"/>
            <w:vAlign w:val="bottom"/>
            <w:shd w:val="clear" w:color="auto" w:fill="E7E7E8"/>
          </w:tcPr>
          <w:p>
            <w:pPr>
              <w:spacing w:after="0"/>
              <w:rPr>
                <w:sz w:val="13"/>
                <w:szCs w:val="13"/>
                <w:color w:val="auto"/>
              </w:rPr>
            </w:pPr>
          </w:p>
        </w:tc>
        <w:tc>
          <w:tcPr>
            <w:tcW w:w="46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920" w:type="dxa"/>
            <w:vAlign w:val="bottom"/>
            <w:shd w:val="clear" w:color="auto" w:fill="E7E7E8"/>
          </w:tcPr>
          <w:p>
            <w:pPr>
              <w:spacing w:after="0"/>
              <w:rPr>
                <w:sz w:val="13"/>
                <w:szCs w:val="13"/>
                <w:color w:val="auto"/>
              </w:rPr>
            </w:pPr>
          </w:p>
        </w:tc>
        <w:tc>
          <w:tcPr>
            <w:tcW w:w="940" w:type="dxa"/>
            <w:vAlign w:val="bottom"/>
            <w:shd w:val="clear" w:color="auto" w:fill="E7E7E8"/>
          </w:tcPr>
          <w:p>
            <w:pPr>
              <w:spacing w:after="0"/>
              <w:rPr>
                <w:sz w:val="13"/>
                <w:szCs w:val="13"/>
                <w:color w:val="auto"/>
              </w:rPr>
            </w:pPr>
          </w:p>
        </w:tc>
        <w:tc>
          <w:tcPr>
            <w:tcW w:w="1140" w:type="dxa"/>
            <w:vAlign w:val="bottom"/>
            <w:shd w:val="clear" w:color="auto" w:fill="E7E7E8"/>
          </w:tcPr>
          <w:p>
            <w:pPr>
              <w:spacing w:after="0"/>
              <w:rPr>
                <w:sz w:val="13"/>
                <w:szCs w:val="13"/>
                <w:color w:val="auto"/>
              </w:rPr>
            </w:pPr>
          </w:p>
        </w:tc>
        <w:tc>
          <w:tcPr>
            <w:tcW w:w="1140" w:type="dxa"/>
            <w:vAlign w:val="bottom"/>
            <w:shd w:val="clear" w:color="auto" w:fill="E7E7E8"/>
          </w:tcPr>
          <w:p>
            <w:pPr>
              <w:spacing w:after="0"/>
              <w:rPr>
                <w:sz w:val="13"/>
                <w:szCs w:val="13"/>
                <w:color w:val="auto"/>
              </w:rPr>
            </w:pPr>
          </w:p>
        </w:tc>
        <w:tc>
          <w:tcPr>
            <w:tcW w:w="1200" w:type="dxa"/>
            <w:vAlign w:val="bottom"/>
            <w:shd w:val="clear" w:color="auto" w:fill="E7E7E8"/>
          </w:tcPr>
          <w:p>
            <w:pPr>
              <w:spacing w:after="0"/>
              <w:rPr>
                <w:sz w:val="13"/>
                <w:szCs w:val="13"/>
                <w:color w:val="auto"/>
              </w:rPr>
            </w:pPr>
          </w:p>
        </w:tc>
        <w:tc>
          <w:tcPr>
            <w:tcW w:w="920" w:type="dxa"/>
            <w:vAlign w:val="bottom"/>
            <w:shd w:val="clear" w:color="auto" w:fill="E7E7E8"/>
          </w:tcPr>
          <w:p>
            <w:pPr>
              <w:spacing w:after="0"/>
              <w:rPr>
                <w:sz w:val="13"/>
                <w:szCs w:val="13"/>
                <w:color w:val="auto"/>
              </w:rPr>
            </w:pPr>
          </w:p>
        </w:tc>
      </w:tr>
      <w:tr>
        <w:trPr>
          <w:trHeight w:val="105"/>
        </w:trPr>
        <w:tc>
          <w:tcPr>
            <w:tcW w:w="2420" w:type="dxa"/>
            <w:vAlign w:val="bottom"/>
            <w:tcBorders>
              <w:bottom w:val="single" w:sz="8" w:color="auto"/>
            </w:tcBorders>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940" w:type="dxa"/>
            <w:vAlign w:val="bottom"/>
          </w:tcPr>
          <w:p>
            <w:pPr>
              <w:spacing w:after="0"/>
              <w:rPr>
                <w:sz w:val="9"/>
                <w:szCs w:val="9"/>
                <w:color w:val="auto"/>
              </w:rPr>
            </w:pPr>
          </w:p>
        </w:tc>
        <w:tc>
          <w:tcPr>
            <w:tcW w:w="940" w:type="dxa"/>
            <w:vAlign w:val="bottom"/>
          </w:tcPr>
          <w:p>
            <w:pPr>
              <w:spacing w:after="0"/>
              <w:rPr>
                <w:sz w:val="9"/>
                <w:szCs w:val="9"/>
                <w:color w:val="auto"/>
              </w:rPr>
            </w:pPr>
          </w:p>
        </w:tc>
        <w:tc>
          <w:tcPr>
            <w:tcW w:w="9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920" w:type="dxa"/>
            <w:vAlign w:val="bottom"/>
          </w:tcPr>
          <w:p>
            <w:pPr>
              <w:spacing w:after="0"/>
              <w:rPr>
                <w:sz w:val="9"/>
                <w:szCs w:val="9"/>
                <w:color w:val="auto"/>
              </w:rPr>
            </w:pPr>
          </w:p>
        </w:tc>
      </w:tr>
    </w:tbl>
    <w:p>
      <w:pPr>
        <w:spacing w:after="0" w:line="212" w:lineRule="exact"/>
        <w:rPr>
          <w:sz w:val="20"/>
          <w:szCs w:val="20"/>
          <w:color w:val="auto"/>
        </w:rPr>
      </w:pPr>
    </w:p>
    <w:p>
      <w:pPr>
        <w:ind w:left="520" w:right="500" w:hanging="515"/>
        <w:spacing w:after="0" w:line="250"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year-over-year difference in base salary from 2014 to 2015 is a function of the number of pay periods in each year. There were 27 pay periods in 2014 and 26 pay periods in 2015.</w:t>
      </w:r>
    </w:p>
    <w:p>
      <w:pPr>
        <w:spacing w:after="0" w:line="193" w:lineRule="exact"/>
        <w:rPr>
          <w:rFonts w:ascii="Arial" w:cs="Arial" w:eastAsia="Arial" w:hAnsi="Arial"/>
          <w:sz w:val="17"/>
          <w:szCs w:val="17"/>
          <w:color w:val="auto"/>
        </w:rPr>
      </w:pPr>
    </w:p>
    <w:p>
      <w:pPr>
        <w:ind w:left="520" w:right="20" w:hanging="515"/>
        <w:spacing w:after="0" w:line="243"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accordance with Securities and Exchange Commission (SEC) rules, the amounts in this column represent the aggregate grant date fair value of the awards determined in accordance with Financial Accounting Standards Board (FASB) Accounting Standards Codification (ASC) Topic 718. AbbVie determines the grant date fair value of stock awards by multiplying the number of shares granted by the average of the high and low market prices of one share of AbbVie common stock on the award grant date.</w:t>
      </w:r>
    </w:p>
    <w:p>
      <w:pPr>
        <w:spacing w:after="0" w:line="188" w:lineRule="exact"/>
        <w:rPr>
          <w:rFonts w:ascii="Arial" w:cs="Arial" w:eastAsia="Arial" w:hAnsi="Arial"/>
          <w:sz w:val="17"/>
          <w:szCs w:val="17"/>
          <w:color w:val="auto"/>
        </w:rPr>
      </w:pPr>
    </w:p>
    <w:p>
      <w:pPr>
        <w:ind w:left="520" w:right="80" w:hanging="515"/>
        <w:spacing w:after="0" w:line="250"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 accordance with SEC rules, the amounts in this column represent the aggregate grant date fair value of the awards determined in accordance with FASB ASC Topic 718.</w:t>
      </w:r>
    </w:p>
    <w:p>
      <w:pPr>
        <w:spacing w:after="0" w:line="180" w:lineRule="exact"/>
        <w:rPr>
          <w:rFonts w:ascii="Arial" w:cs="Arial" w:eastAsia="Arial" w:hAnsi="Arial"/>
          <w:sz w:val="17"/>
          <w:szCs w:val="17"/>
          <w:color w:val="auto"/>
        </w:rPr>
      </w:pPr>
    </w:p>
    <w:p>
      <w:pPr>
        <w:ind w:left="520" w:hanging="515"/>
        <w:spacing w:after="0" w:line="243" w:lineRule="auto"/>
        <w:tabs>
          <w:tab w:leader="none" w:pos="5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These amounts were determined as of the option grant date using a Black-Scholes stock option valuation model. These amounts are being reported solely for the purpose of comparative disclosure in accordance with the SEC rules. There is no certainty that the amount determined using a Black-Scholes stock option valuation model would be the value at which employee stock options would be traded for cash. The weighted-average assumptions used to</w:t>
      </w:r>
    </w:p>
    <w:p>
      <w:pPr>
        <w:spacing w:after="0" w:line="209"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42  </w:t>
      </w:r>
      <w:r>
        <w:rPr>
          <w:sz w:val="1"/>
          <w:szCs w:val="1"/>
          <w:color w:val="auto"/>
        </w:rPr>
        <w:drawing>
          <wp:inline distT="0" distB="0" distL="0" distR="0">
            <wp:extent cx="622300" cy="107950"/>
            <wp:effectExtent l="0" t="0" r="0" b="0"/>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195"/>
        </w:trPr>
        <w:tc>
          <w:tcPr>
            <w:tcW w:w="6420" w:type="dxa"/>
            <w:vAlign w:val="bottom"/>
            <w:gridSpan w:val="4"/>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Table of Contents</w:t>
              </w:r>
            </w:hyperlink>
          </w:p>
        </w:tc>
        <w:tc>
          <w:tcPr>
            <w:tcW w:w="29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29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680" w:type="dxa"/>
            <w:vAlign w:val="bottom"/>
            <w:gridSpan w:val="6"/>
            <w:vMerge w:val="restart"/>
          </w:tcPr>
          <w:p>
            <w:pPr>
              <w:ind w:left="520"/>
              <w:spacing w:after="0"/>
              <w:rPr>
                <w:sz w:val="20"/>
                <w:szCs w:val="20"/>
                <w:color w:val="auto"/>
              </w:rPr>
            </w:pPr>
            <w:r>
              <w:rPr>
                <w:rFonts w:ascii="Arial" w:cs="Arial" w:eastAsia="Arial" w:hAnsi="Arial"/>
                <w:sz w:val="17"/>
                <w:szCs w:val="17"/>
                <w:color w:val="auto"/>
              </w:rPr>
              <w:t>estimate the grant date fair value of options granted in 2015, along with the weighted-average grant date fair value, are</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680" w:type="dxa"/>
            <w:vAlign w:val="bottom"/>
            <w:gridSpan w:val="6"/>
            <w:vMerge w:val="continue"/>
          </w:tcPr>
          <w:p>
            <w:pPr>
              <w:spacing w:after="0"/>
              <w:rPr>
                <w:sz w:val="17"/>
                <w:szCs w:val="17"/>
                <w:color w:val="auto"/>
              </w:rPr>
            </w:pPr>
          </w:p>
        </w:tc>
        <w:tc>
          <w:tcPr>
            <w:tcW w:w="1740" w:type="dxa"/>
            <w:vAlign w:val="bottom"/>
            <w:tcBorders>
              <w:bottom w:val="single" w:sz="8" w:color="444867"/>
            </w:tcBorders>
            <w:shd w:val="clear" w:color="auto" w:fill="444867"/>
          </w:tcPr>
          <w:p>
            <w:pPr>
              <w:ind w:left="60"/>
              <w:spacing w:after="0"/>
              <w:rPr>
                <w:sz w:val="20"/>
                <w:szCs w:val="20"/>
                <w:color w:val="auto"/>
              </w:rPr>
            </w:pPr>
            <w:r>
              <w:rPr>
                <w:rFonts w:ascii="Arial" w:cs="Arial" w:eastAsia="Arial" w:hAnsi="Arial"/>
                <w:sz w:val="10"/>
                <w:szCs w:val="10"/>
                <w:b w:val="1"/>
                <w:bCs w:val="1"/>
                <w:color w:val="FFFFFE"/>
              </w:rPr>
              <w:t>EXECUTIVE COMPENSATION</w:t>
            </w:r>
          </w:p>
        </w:tc>
        <w:tc>
          <w:tcPr>
            <w:tcW w:w="0" w:type="dxa"/>
            <w:vAlign w:val="bottom"/>
          </w:tcPr>
          <w:p>
            <w:pPr>
              <w:spacing w:after="0"/>
              <w:rPr>
                <w:sz w:val="1"/>
                <w:szCs w:val="1"/>
                <w:color w:val="auto"/>
              </w:rPr>
            </w:pPr>
          </w:p>
        </w:tc>
      </w:tr>
      <w:tr>
        <w:trPr>
          <w:trHeight w:val="181"/>
        </w:trPr>
        <w:tc>
          <w:tcPr>
            <w:tcW w:w="6420" w:type="dxa"/>
            <w:vAlign w:val="bottom"/>
            <w:gridSpan w:val="4"/>
          </w:tcPr>
          <w:p>
            <w:pPr>
              <w:ind w:left="520"/>
              <w:spacing w:after="0" w:line="180" w:lineRule="exact"/>
              <w:rPr>
                <w:sz w:val="20"/>
                <w:szCs w:val="20"/>
                <w:color w:val="auto"/>
              </w:rPr>
            </w:pPr>
            <w:r>
              <w:rPr>
                <w:rFonts w:ascii="Arial" w:cs="Arial" w:eastAsia="Arial" w:hAnsi="Arial"/>
                <w:sz w:val="17"/>
                <w:szCs w:val="17"/>
                <w:color w:val="auto"/>
              </w:rPr>
              <w:t>shown below:</w:t>
            </w:r>
          </w:p>
        </w:tc>
        <w:tc>
          <w:tcPr>
            <w:tcW w:w="29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4"/>
        </w:trPr>
        <w:tc>
          <w:tcPr>
            <w:tcW w:w="1320" w:type="dxa"/>
            <w:vAlign w:val="bottom"/>
          </w:tcPr>
          <w:p>
            <w:pPr>
              <w:spacing w:after="0"/>
              <w:rPr>
                <w:sz w:val="24"/>
                <w:szCs w:val="24"/>
                <w:color w:val="auto"/>
              </w:rPr>
            </w:pPr>
          </w:p>
        </w:tc>
        <w:tc>
          <w:tcPr>
            <w:tcW w:w="620" w:type="dxa"/>
            <w:vAlign w:val="bottom"/>
            <w:vMerge w:val="restart"/>
          </w:tcPr>
          <w:p>
            <w:pPr>
              <w:spacing w:after="0"/>
              <w:rPr>
                <w:sz w:val="24"/>
                <w:szCs w:val="24"/>
                <w:color w:val="auto"/>
              </w:rPr>
            </w:pPr>
          </w:p>
        </w:tc>
        <w:tc>
          <w:tcPr>
            <w:tcW w:w="20" w:type="dxa"/>
            <w:vAlign w:val="bottom"/>
            <w:vMerge w:val="restart"/>
          </w:tcPr>
          <w:p>
            <w:pPr>
              <w:spacing w:after="0"/>
              <w:rPr>
                <w:sz w:val="24"/>
                <w:szCs w:val="24"/>
                <w:color w:val="auto"/>
              </w:rPr>
            </w:pPr>
          </w:p>
        </w:tc>
        <w:tc>
          <w:tcPr>
            <w:tcW w:w="44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300" w:type="dxa"/>
            <w:vAlign w:val="bottom"/>
            <w:vMerge w:val="restart"/>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620" w:type="dxa"/>
            <w:vAlign w:val="bottom"/>
            <w:vMerge w:val="continue"/>
          </w:tcPr>
          <w:p>
            <w:pPr>
              <w:spacing w:after="0"/>
              <w:rPr>
                <w:sz w:val="16"/>
                <w:szCs w:val="16"/>
                <w:color w:val="auto"/>
              </w:rPr>
            </w:pPr>
          </w:p>
        </w:tc>
        <w:tc>
          <w:tcPr>
            <w:tcW w:w="20" w:type="dxa"/>
            <w:vAlign w:val="bottom"/>
            <w:tcBorders>
              <w:bottom w:val="single" w:sz="8" w:color="auto"/>
            </w:tcBorders>
            <w:vMerge w:val="continue"/>
          </w:tcPr>
          <w:p>
            <w:pPr>
              <w:spacing w:after="0"/>
              <w:rPr>
                <w:sz w:val="16"/>
                <w:szCs w:val="16"/>
                <w:color w:val="auto"/>
              </w:rPr>
            </w:pPr>
          </w:p>
        </w:tc>
        <w:tc>
          <w:tcPr>
            <w:tcW w:w="4460" w:type="dxa"/>
            <w:vAlign w:val="bottom"/>
            <w:tcBorders>
              <w:bottom w:val="single" w:sz="8" w:color="auto"/>
            </w:tcBorders>
          </w:tcPr>
          <w:p>
            <w:pPr>
              <w:spacing w:after="0" w:line="189" w:lineRule="exact"/>
              <w:rPr>
                <w:sz w:val="20"/>
                <w:szCs w:val="20"/>
                <w:color w:val="auto"/>
              </w:rPr>
            </w:pPr>
            <w:r>
              <w:rPr>
                <w:rFonts w:ascii="Arial" w:cs="Arial" w:eastAsia="Arial" w:hAnsi="Arial"/>
                <w:sz w:val="17"/>
                <w:szCs w:val="17"/>
                <w:b w:val="1"/>
                <w:bCs w:val="1"/>
                <w:color w:val="auto"/>
              </w:rPr>
              <w:t>Assumption</w:t>
            </w:r>
          </w:p>
        </w:tc>
        <w:tc>
          <w:tcPr>
            <w:tcW w:w="2960" w:type="dxa"/>
            <w:vAlign w:val="bottom"/>
            <w:tcBorders>
              <w:bottom w:val="single" w:sz="8" w:color="auto"/>
            </w:tcBorders>
          </w:tcPr>
          <w:p>
            <w:pPr>
              <w:jc w:val="right"/>
              <w:spacing w:after="0" w:line="189" w:lineRule="exact"/>
              <w:rPr>
                <w:sz w:val="20"/>
                <w:szCs w:val="20"/>
                <w:color w:val="auto"/>
              </w:rPr>
            </w:pPr>
            <w:r>
              <w:rPr>
                <w:rFonts w:ascii="Arial" w:cs="Arial" w:eastAsia="Arial" w:hAnsi="Arial"/>
                <w:sz w:val="17"/>
                <w:szCs w:val="17"/>
                <w:b w:val="1"/>
                <w:bCs w:val="1"/>
                <w:color w:val="444867"/>
              </w:rPr>
              <w:t>All NEOs</w:t>
            </w:r>
          </w:p>
        </w:tc>
        <w:tc>
          <w:tcPr>
            <w:tcW w:w="30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6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Risk-free interest rate</w:t>
            </w:r>
          </w:p>
        </w:tc>
        <w:tc>
          <w:tcPr>
            <w:tcW w:w="296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1.76%</w:t>
            </w:r>
          </w:p>
        </w:tc>
        <w:tc>
          <w:tcPr>
            <w:tcW w:w="3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80" w:type="dxa"/>
            <w:vAlign w:val="bottom"/>
            <w:gridSpan w:val="2"/>
          </w:tcPr>
          <w:p>
            <w:pPr>
              <w:spacing w:after="0"/>
              <w:rPr>
                <w:sz w:val="20"/>
                <w:szCs w:val="20"/>
                <w:color w:val="auto"/>
              </w:rPr>
            </w:pPr>
            <w:r>
              <w:rPr>
                <w:rFonts w:ascii="Arial" w:cs="Arial" w:eastAsia="Arial" w:hAnsi="Arial"/>
                <w:sz w:val="17"/>
                <w:szCs w:val="17"/>
                <w:color w:val="auto"/>
              </w:rPr>
              <w:t>Average life of options (years)</w:t>
            </w:r>
          </w:p>
        </w:tc>
        <w:tc>
          <w:tcPr>
            <w:tcW w:w="2960" w:type="dxa"/>
            <w:vAlign w:val="bottom"/>
          </w:tcPr>
          <w:p>
            <w:pPr>
              <w:jc w:val="right"/>
              <w:ind w:right="75"/>
              <w:spacing w:after="0"/>
              <w:rPr>
                <w:sz w:val="20"/>
                <w:szCs w:val="20"/>
                <w:color w:val="auto"/>
              </w:rPr>
            </w:pPr>
            <w:r>
              <w:rPr>
                <w:rFonts w:ascii="Arial" w:cs="Arial" w:eastAsia="Arial" w:hAnsi="Arial"/>
                <w:sz w:val="17"/>
                <w:szCs w:val="17"/>
                <w:color w:val="auto"/>
              </w:rPr>
              <w:t>6.0</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shd w:val="clear" w:color="auto" w:fill="E7E7E8"/>
          </w:tcPr>
          <w:p>
            <w:pPr>
              <w:spacing w:after="0"/>
              <w:rPr>
                <w:sz w:val="20"/>
                <w:szCs w:val="20"/>
                <w:color w:val="auto"/>
              </w:rPr>
            </w:pPr>
            <w:r>
              <w:rPr>
                <w:rFonts w:ascii="Arial" w:cs="Arial" w:eastAsia="Arial" w:hAnsi="Arial"/>
                <w:sz w:val="17"/>
                <w:szCs w:val="17"/>
                <w:color w:val="auto"/>
              </w:rPr>
              <w:t>Volatility</w:t>
            </w:r>
          </w:p>
        </w:tc>
        <w:tc>
          <w:tcPr>
            <w:tcW w:w="29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24.86%</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480" w:type="dxa"/>
            <w:vAlign w:val="bottom"/>
            <w:gridSpan w:val="2"/>
          </w:tcPr>
          <w:p>
            <w:pPr>
              <w:spacing w:after="0"/>
              <w:rPr>
                <w:sz w:val="20"/>
                <w:szCs w:val="20"/>
                <w:color w:val="auto"/>
              </w:rPr>
            </w:pPr>
            <w:r>
              <w:rPr>
                <w:rFonts w:ascii="Arial" w:cs="Arial" w:eastAsia="Arial" w:hAnsi="Arial"/>
                <w:sz w:val="17"/>
                <w:szCs w:val="17"/>
                <w:color w:val="auto"/>
              </w:rPr>
              <w:t>Dividend yield</w:t>
            </w:r>
          </w:p>
        </w:tc>
        <w:tc>
          <w:tcPr>
            <w:tcW w:w="2960" w:type="dxa"/>
            <w:vAlign w:val="bottom"/>
          </w:tcPr>
          <w:p>
            <w:pPr>
              <w:jc w:val="right"/>
              <w:spacing w:after="0"/>
              <w:rPr>
                <w:sz w:val="20"/>
                <w:szCs w:val="20"/>
                <w:color w:val="auto"/>
              </w:rPr>
            </w:pPr>
            <w:r>
              <w:rPr>
                <w:rFonts w:ascii="Arial" w:cs="Arial" w:eastAsia="Arial" w:hAnsi="Arial"/>
                <w:sz w:val="17"/>
                <w:szCs w:val="17"/>
                <w:color w:val="auto"/>
              </w:rPr>
              <w:t>3.27%</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3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60" w:type="dxa"/>
            <w:vAlign w:val="bottom"/>
            <w:tcBorders>
              <w:bottom w:val="single" w:sz="8" w:color="auto"/>
            </w:tcBorders>
            <w:shd w:val="clear" w:color="auto" w:fill="E7E7E8"/>
          </w:tcPr>
          <w:p>
            <w:pPr>
              <w:spacing w:after="0"/>
              <w:rPr>
                <w:sz w:val="20"/>
                <w:szCs w:val="20"/>
                <w:color w:val="auto"/>
              </w:rPr>
            </w:pPr>
            <w:r>
              <w:rPr>
                <w:rFonts w:ascii="Arial" w:cs="Arial" w:eastAsia="Arial" w:hAnsi="Arial"/>
                <w:sz w:val="17"/>
                <w:szCs w:val="17"/>
                <w:color w:val="auto"/>
              </w:rPr>
              <w:t>Fair value per stock option</w:t>
            </w:r>
          </w:p>
        </w:tc>
        <w:tc>
          <w:tcPr>
            <w:tcW w:w="2960" w:type="dxa"/>
            <w:vAlign w:val="bottom"/>
            <w:tcBorders>
              <w:bottom w:val="single" w:sz="8" w:color="auto"/>
            </w:tcBorders>
            <w:shd w:val="clear" w:color="auto" w:fill="E7E7E8"/>
          </w:tcPr>
          <w:p>
            <w:pPr>
              <w:jc w:val="right"/>
              <w:ind w:right="75"/>
              <w:spacing w:after="0"/>
              <w:rPr>
                <w:sz w:val="20"/>
                <w:szCs w:val="20"/>
                <w:color w:val="auto"/>
              </w:rPr>
            </w:pPr>
            <w:r>
              <w:rPr>
                <w:rFonts w:ascii="Arial" w:cs="Arial" w:eastAsia="Arial" w:hAnsi="Arial"/>
                <w:sz w:val="17"/>
                <w:szCs w:val="17"/>
                <w:color w:val="auto"/>
              </w:rPr>
              <w:t>$9.96</w:t>
            </w:r>
          </w:p>
        </w:tc>
        <w:tc>
          <w:tcPr>
            <w:tcW w:w="3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520" w:right="220" w:hanging="515"/>
        <w:spacing w:after="0" w:line="245" w:lineRule="auto"/>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compensation reported in this column for 2015 was earned as a performance-based incentive bonus pursuant to the AbbVie Performance Incentive Plan. Additional information regarding the plan can be found in the section of this proxy statement captioned "Compensation Plan Elements."</w:t>
      </w:r>
    </w:p>
    <w:p>
      <w:pPr>
        <w:spacing w:after="0" w:line="198" w:lineRule="exact"/>
        <w:rPr>
          <w:rFonts w:ascii="Arial" w:cs="Arial" w:eastAsia="Arial" w:hAnsi="Arial"/>
          <w:sz w:val="17"/>
          <w:szCs w:val="17"/>
          <w:color w:val="auto"/>
        </w:rPr>
      </w:pPr>
    </w:p>
    <w:p>
      <w:pPr>
        <w:ind w:left="520" w:hanging="515"/>
        <w:spacing w:after="0"/>
        <w:tabs>
          <w:tab w:leader="none" w:pos="520"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Except as provided below, the plan amounts shown below are reported in this column.</w:t>
      </w:r>
    </w:p>
    <w:p>
      <w:pPr>
        <w:spacing w:after="0" w:line="235" w:lineRule="exact"/>
        <w:rPr>
          <w:rFonts w:ascii="Arial" w:cs="Arial" w:eastAsia="Arial" w:hAnsi="Arial"/>
          <w:sz w:val="17"/>
          <w:szCs w:val="17"/>
          <w:color w:val="auto"/>
        </w:rPr>
      </w:pPr>
    </w:p>
    <w:p>
      <w:pPr>
        <w:jc w:val="both"/>
        <w:ind w:left="520" w:right="240"/>
        <w:spacing w:after="0" w:line="245" w:lineRule="auto"/>
        <w:rPr>
          <w:rFonts w:ascii="Arial" w:cs="Arial" w:eastAsia="Arial" w:hAnsi="Arial"/>
          <w:sz w:val="17"/>
          <w:szCs w:val="17"/>
          <w:color w:val="auto"/>
        </w:rPr>
      </w:pPr>
      <w:r>
        <w:rPr>
          <w:rFonts w:ascii="Arial" w:cs="Arial" w:eastAsia="Arial" w:hAnsi="Arial"/>
          <w:sz w:val="17"/>
          <w:szCs w:val="17"/>
          <w:color w:val="auto"/>
        </w:rPr>
        <w:t>The amounts shown beside each NEO's name are for 2015, 2014, and 2013, respectively, as applicable. The amounts shown for Dr. Severino are for 2015 and 2014. Negative amounts under the AbbVie Pension Plan and the AbbVie Supplemental Pension Plan are excluded from this column in accordance with SEC rules.</w:t>
      </w:r>
    </w:p>
    <w:p>
      <w:pPr>
        <w:spacing w:after="0" w:line="206"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7"/>
          <w:szCs w:val="17"/>
          <w:i w:val="1"/>
          <w:iCs w:val="1"/>
          <w:color w:val="auto"/>
        </w:rPr>
        <w:t>AbbVie Pension Plan</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 Gonzalez: $45,413 / $142,324 / $3,002; W. Chase: $(20,261) / $148,641 / $(43,043); L. Schumacher: $(11,019) / $166,274 / $33,119;</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 Alban: $(10,940) / $189,552 / $(42,843); and M. Severino: $15,872 / $18,610.</w:t>
      </w:r>
    </w:p>
    <w:p>
      <w:pPr>
        <w:spacing w:after="0" w:line="21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AbbVie Supplemental Pension Plan</w:t>
      </w:r>
    </w:p>
    <w:p>
      <w:pPr>
        <w:spacing w:after="0" w:line="25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 Gonzalez: $2,230,380 / $4,794,683 / $(717,929); W. Chase: $676,623 / $1,500,464 / $336,946; L. Schumacher: $218,282 / $2,072,222 /</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$783,337; C. Alban: $541,349 / $1,992,235 / $401,517; and M. Severino: $196,191 / $170,007.</w:t>
      </w:r>
    </w:p>
    <w:p>
      <w:pPr>
        <w:spacing w:after="0" w:line="249" w:lineRule="exact"/>
        <w:rPr>
          <w:sz w:val="20"/>
          <w:szCs w:val="20"/>
          <w:color w:val="auto"/>
        </w:rPr>
      </w:pPr>
    </w:p>
    <w:p>
      <w:pPr>
        <w:ind w:left="520" w:right="340"/>
        <w:spacing w:after="0" w:line="245" w:lineRule="auto"/>
        <w:rPr>
          <w:sz w:val="20"/>
          <w:szCs w:val="20"/>
          <w:color w:val="auto"/>
        </w:rPr>
      </w:pPr>
      <w:r>
        <w:rPr>
          <w:rFonts w:ascii="Arial" w:cs="Arial" w:eastAsia="Arial" w:hAnsi="Arial"/>
          <w:sz w:val="17"/>
          <w:szCs w:val="17"/>
          <w:color w:val="auto"/>
        </w:rPr>
        <w:t>The changes in pension value result primarily from the following factors: (i) the effect of changes in the actuarial assumptions AbbVie uses to calculate plan liability for financial reporting purposes; (ii) additional pension benefit accrual under the Pension Plan and the Supplemental Pension Plan; and (iii) the impact of the time value of money on the pension value.</w:t>
      </w:r>
    </w:p>
    <w:p>
      <w:pPr>
        <w:spacing w:after="0" w:line="206"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Non-Qualified Defined Contribution Plan Earnings</w:t>
      </w:r>
    </w:p>
    <w:p>
      <w:pPr>
        <w:spacing w:after="0" w:line="254" w:lineRule="exact"/>
        <w:rPr>
          <w:sz w:val="20"/>
          <w:szCs w:val="20"/>
          <w:color w:val="auto"/>
        </w:rPr>
      </w:pPr>
    </w:p>
    <w:p>
      <w:pPr>
        <w:ind w:left="520" w:right="620"/>
        <w:spacing w:after="0" w:line="250" w:lineRule="auto"/>
        <w:rPr>
          <w:sz w:val="20"/>
          <w:szCs w:val="20"/>
          <w:color w:val="auto"/>
        </w:rPr>
      </w:pPr>
      <w:r>
        <w:rPr>
          <w:rFonts w:ascii="Arial" w:cs="Arial" w:eastAsia="Arial" w:hAnsi="Arial"/>
          <w:sz w:val="17"/>
          <w:szCs w:val="17"/>
          <w:color w:val="auto"/>
        </w:rPr>
        <w:t>The totals in this column include reportable interest credited under the AbbVie Performance Incentive Plan and the AbbVie Supplemental Savings Plan.</w:t>
      </w:r>
    </w:p>
    <w:p>
      <w:pPr>
        <w:spacing w:after="0" w:line="23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R. Gonzalez: $171,523 / $107,802 / $41,612; W. Chase: $83,019 / $61,667 / $21,884; L. Schumacher: $297,150 / $227,423 / $128,092;</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C. Alban: $165,981 / $115,868 / $58,250; and M. Severino: $16,536 / $294.</w:t>
      </w:r>
    </w:p>
    <w:p>
      <w:pPr>
        <w:spacing w:after="0" w:line="196" w:lineRule="exact"/>
        <w:rPr>
          <w:sz w:val="20"/>
          <w:szCs w:val="20"/>
          <w:color w:val="auto"/>
        </w:rPr>
      </w:pPr>
    </w:p>
    <w:p>
      <w:pPr>
        <w:ind w:left="520" w:right="220" w:hanging="515"/>
        <w:spacing w:after="0" w:line="250"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amounts shown in this column include the change in pension value during the applicable year, which is attributable to changes in actuarial assumptions (primarily discount rate and mortality tables) and other factors based on plan design (primarily pay, service and age).</w:t>
      </w:r>
    </w:p>
    <w:p>
      <w:pPr>
        <w:spacing w:after="0" w:line="219" w:lineRule="exact"/>
        <w:rPr>
          <w:rFonts w:ascii="Arial" w:cs="Arial" w:eastAsia="Arial" w:hAnsi="Arial"/>
          <w:sz w:val="17"/>
          <w:szCs w:val="17"/>
          <w:color w:val="auto"/>
        </w:rPr>
      </w:pPr>
    </w:p>
    <w:p>
      <w:pPr>
        <w:ind w:left="520" w:right="40"/>
        <w:spacing w:after="0" w:line="241" w:lineRule="auto"/>
        <w:rPr>
          <w:rFonts w:ascii="Arial" w:cs="Arial" w:eastAsia="Arial" w:hAnsi="Arial"/>
          <w:sz w:val="17"/>
          <w:szCs w:val="17"/>
          <w:color w:val="auto"/>
        </w:rPr>
      </w:pPr>
      <w:r>
        <w:rPr>
          <w:rFonts w:ascii="Arial" w:cs="Arial" w:eastAsia="Arial" w:hAnsi="Arial"/>
          <w:sz w:val="17"/>
          <w:szCs w:val="17"/>
          <w:color w:val="auto"/>
        </w:rPr>
        <w:t>The present value of a pension benefit is determined, in part, by the discount rate used for accounting purposes. The discount rate is determined by reference to the prevailing market rate of interest. In 2015, interest rates increased and the discount rate used for the Pension Plan and the Supplemental Pension Plan was increased to reflect that change. An increase in the discount rate decreases the present value of participants' pension benefits while actual payments to be made to participants are not changed. The discount rate used for 2015 was 4.93% for the Pension Plan and 4.83% for the Supplemental Pension Plan, while the discount rates used for both the Pension Plan and the Supplemental Pension Plan in 2014 and 2013 were 4.45% and 5.36%, respectively. The mortality assumptions that apply for actuarial purposes also affect pension values. During 2014, the Society of Actuaries released new mortality tables reflecting longer life expectancies, which are now in use for Pension Plan and Supplemental Pension Plan accounting. This increase in assumed life expectancy resulted in an increase in the present value of participants' pension benefits in 2014. During 2015, the Society of Actuaries released an improved scale that adjusted the previously released 2014 scale, which AbbVie determined was appropriate to use in determining the funded status as of December 31, 2015.</w:t>
      </w:r>
    </w:p>
    <w:p>
      <w:pPr>
        <w:spacing w:after="0" w:line="245" w:lineRule="exact"/>
        <w:rPr>
          <w:rFonts w:ascii="Arial" w:cs="Arial" w:eastAsia="Arial" w:hAnsi="Arial"/>
          <w:sz w:val="17"/>
          <w:szCs w:val="17"/>
          <w:color w:val="auto"/>
        </w:rPr>
      </w:pPr>
    </w:p>
    <w:p>
      <w:pPr>
        <w:ind w:left="520" w:right="60"/>
        <w:spacing w:after="0" w:line="250" w:lineRule="auto"/>
        <w:rPr>
          <w:rFonts w:ascii="Arial" w:cs="Arial" w:eastAsia="Arial" w:hAnsi="Arial"/>
          <w:sz w:val="17"/>
          <w:szCs w:val="17"/>
          <w:color w:val="auto"/>
        </w:rPr>
      </w:pPr>
      <w:r>
        <w:rPr>
          <w:rFonts w:ascii="Arial" w:cs="Arial" w:eastAsia="Arial" w:hAnsi="Arial"/>
          <w:sz w:val="17"/>
          <w:szCs w:val="17"/>
          <w:color w:val="auto"/>
        </w:rPr>
        <w:t>In addition to the effect of the changes in actuarial assumptions, other factors built into the plans contributed to the change in pension value. The change in pension value numbers reflect the application of the benefit formulas</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46" w:name="page47"/>
    <w:bookmarkEnd w:id="46"/>
    <w:p>
      <w:pPr>
        <w:spacing w:after="0" w:line="197" w:lineRule="auto"/>
        <w:framePr w:w="1540" w:h="95" w:wrap="auto" w:vAnchor="page" w:hAnchor="page" w:x="420" w:y="594"/>
        <w:rPr>
          <w:rFonts w:ascii="Arial" w:cs="Arial" w:eastAsia="Arial" w:hAnsi="Arial"/>
          <w:sz w:val="10"/>
          <w:szCs w:val="10"/>
          <w:b w:val="1"/>
          <w:bCs w:val="1"/>
          <w:color w:val="FFFFFE"/>
        </w:rPr>
      </w:pPr>
      <w:r>
        <w:rPr>
          <w:rFonts w:ascii="Arial" w:cs="Arial" w:eastAsia="Arial" w:hAnsi="Arial"/>
          <w:sz w:val="10"/>
          <w:szCs w:val="10"/>
          <w:b w:val="1"/>
          <w:bCs w:val="1"/>
          <w:color w:val="FFFFFE"/>
        </w:rPr>
        <w:t>EXECUTIVE COMPENSATION</w:t>
      </w: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103630" cy="14097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190" w:lineRule="exact"/>
        <w:rPr>
          <w:rFonts w:ascii="Arial" w:cs="Arial" w:eastAsia="Arial" w:hAnsi="Arial"/>
          <w:sz w:val="10"/>
          <w:szCs w:val="10"/>
          <w:b w:val="1"/>
          <w:bCs w:val="1"/>
          <w:color w:val="FFFFFE"/>
        </w:rPr>
      </w:pPr>
    </w:p>
    <w:p>
      <w:pPr>
        <w:ind w:left="1740" w:right="600"/>
        <w:spacing w:after="0" w:line="255" w:lineRule="auto"/>
        <w:rPr>
          <w:sz w:val="20"/>
          <w:szCs w:val="20"/>
          <w:color w:val="auto"/>
        </w:rPr>
      </w:pPr>
      <w:r>
        <w:rPr>
          <w:rFonts w:ascii="Arial" w:cs="Arial" w:eastAsia="Arial" w:hAnsi="Arial"/>
          <w:sz w:val="16"/>
          <w:szCs w:val="16"/>
          <w:color w:val="auto"/>
        </w:rPr>
        <w:t>under the Pension Plan and the Supplemental Pension Plan, which are described in the section of this proxy statement captioned "Pension Benefits." As participants' pay changes, the formulas yield revised pension values. Furthermore, as a</w:t>
      </w:r>
    </w:p>
    <w:p>
      <w:pPr>
        <w:spacing w:after="0" w:line="1" w:lineRule="exact"/>
        <w:rPr>
          <w:rFonts w:ascii="Arial" w:cs="Arial" w:eastAsia="Arial" w:hAnsi="Arial"/>
          <w:sz w:val="10"/>
          <w:szCs w:val="10"/>
          <w:b w:val="1"/>
          <w:bCs w:val="1"/>
          <w:color w:val="FFFFFE"/>
        </w:rPr>
      </w:pPr>
    </w:p>
    <w:p>
      <w:pPr>
        <w:ind w:left="520" w:right="360"/>
        <w:spacing w:after="0" w:line="250" w:lineRule="auto"/>
        <w:rPr>
          <w:sz w:val="20"/>
          <w:szCs w:val="20"/>
          <w:color w:val="auto"/>
        </w:rPr>
      </w:pPr>
      <w:r>
        <w:rPr>
          <w:rFonts w:ascii="Arial" w:cs="Arial" w:eastAsia="Arial" w:hAnsi="Arial"/>
          <w:sz w:val="17"/>
          <w:szCs w:val="17"/>
          <w:color w:val="auto"/>
        </w:rPr>
        <w:t>participant ages and service credit accumulates year over year (before the participant is eligible for unreduced pension benefits), the present value of his or her pension benefits increases, even without changes in pay or actuarial assumptions.</w:t>
      </w:r>
    </w:p>
    <w:p>
      <w:pPr>
        <w:spacing w:after="0" w:line="194" w:lineRule="exact"/>
        <w:rPr>
          <w:rFonts w:ascii="Arial" w:cs="Arial" w:eastAsia="Arial" w:hAnsi="Arial"/>
          <w:sz w:val="10"/>
          <w:szCs w:val="10"/>
          <w:b w:val="1"/>
          <w:bCs w:val="1"/>
          <w:color w:val="FFFFFE"/>
        </w:rPr>
      </w:pPr>
    </w:p>
    <w:p>
      <w:pPr>
        <w:ind w:left="520" w:right="940" w:hanging="515"/>
        <w:spacing w:after="0" w:line="250"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amounts shown below are reported in this column. The amounts shown beside each NEO's name are for 2015, 2014, and 2013, respectively, as applicable.</w:t>
      </w:r>
    </w:p>
    <w:p>
      <w:pPr>
        <w:spacing w:after="0" w:line="214" w:lineRule="exact"/>
        <w:rPr>
          <w:rFonts w:ascii="Arial" w:cs="Arial" w:eastAsia="Arial" w:hAnsi="Arial"/>
          <w:sz w:val="17"/>
          <w:szCs w:val="17"/>
          <w:color w:val="auto"/>
        </w:rPr>
      </w:pPr>
    </w:p>
    <w:p>
      <w:pPr>
        <w:ind w:left="520"/>
        <w:spacing w:after="0"/>
        <w:rPr>
          <w:rFonts w:ascii="Arial" w:cs="Arial" w:eastAsia="Arial" w:hAnsi="Arial"/>
          <w:sz w:val="17"/>
          <w:szCs w:val="17"/>
          <w:color w:val="auto"/>
        </w:rPr>
      </w:pPr>
      <w:r>
        <w:rPr>
          <w:rFonts w:ascii="Arial" w:cs="Arial" w:eastAsia="Arial" w:hAnsi="Arial"/>
          <w:sz w:val="17"/>
          <w:szCs w:val="17"/>
          <w:i w:val="1"/>
          <w:iCs w:val="1"/>
          <w:color w:val="auto"/>
        </w:rPr>
        <w:t>Earnings for Non-Qualified Defined Benefit and Non-Qualified Defined Contribution Plans</w:t>
      </w:r>
    </w:p>
    <w:p>
      <w:pPr>
        <w:spacing w:after="0" w:line="254" w:lineRule="exact"/>
        <w:rPr>
          <w:rFonts w:ascii="Arial" w:cs="Arial" w:eastAsia="Arial" w:hAnsi="Arial"/>
          <w:sz w:val="10"/>
          <w:szCs w:val="10"/>
          <w:b w:val="1"/>
          <w:bCs w:val="1"/>
          <w:color w:val="FFFFFE"/>
        </w:rPr>
      </w:pPr>
    </w:p>
    <w:p>
      <w:pPr>
        <w:ind w:left="520"/>
        <w:spacing w:after="0"/>
        <w:rPr>
          <w:sz w:val="20"/>
          <w:szCs w:val="20"/>
          <w:color w:val="auto"/>
        </w:rPr>
      </w:pPr>
      <w:r>
        <w:rPr>
          <w:rFonts w:ascii="Arial" w:cs="Arial" w:eastAsia="Arial" w:hAnsi="Arial"/>
          <w:sz w:val="17"/>
          <w:szCs w:val="17"/>
          <w:color w:val="auto"/>
        </w:rPr>
        <w:t>R. Gonzalez: $120,030 / $94,209 / $73,532; W. Chase: $75,830 / $50,968 / $22,474; L. Schumacher: $280,224 / $302,097 / $188,374; C. Alban:</w:t>
      </w:r>
    </w:p>
    <w:p>
      <w:pPr>
        <w:spacing w:after="0" w:line="1" w:lineRule="exact"/>
        <w:rPr>
          <w:rFonts w:ascii="Arial" w:cs="Arial" w:eastAsia="Arial" w:hAnsi="Arial"/>
          <w:sz w:val="10"/>
          <w:szCs w:val="10"/>
          <w:b w:val="1"/>
          <w:bCs w:val="1"/>
          <w:color w:val="FFFFFE"/>
        </w:rPr>
      </w:pPr>
    </w:p>
    <w:p>
      <w:pPr>
        <w:ind w:left="520"/>
        <w:spacing w:after="0"/>
        <w:rPr>
          <w:sz w:val="20"/>
          <w:szCs w:val="20"/>
          <w:color w:val="auto"/>
        </w:rPr>
      </w:pPr>
      <w:r>
        <w:rPr>
          <w:rFonts w:ascii="Arial" w:cs="Arial" w:eastAsia="Arial" w:hAnsi="Arial"/>
          <w:sz w:val="17"/>
          <w:szCs w:val="17"/>
          <w:color w:val="auto"/>
        </w:rPr>
        <w:t>$142,584 / $137,370 / $79,626; and M. Severino: $437 / $0.</w:t>
      </w:r>
    </w:p>
    <w:p>
      <w:pPr>
        <w:spacing w:after="0" w:line="236" w:lineRule="exact"/>
        <w:rPr>
          <w:rFonts w:ascii="Arial" w:cs="Arial" w:eastAsia="Arial" w:hAnsi="Arial"/>
          <w:sz w:val="10"/>
          <w:szCs w:val="10"/>
          <w:b w:val="1"/>
          <w:bCs w:val="1"/>
          <w:color w:val="FFFFFE"/>
        </w:rPr>
      </w:pPr>
    </w:p>
    <w:p>
      <w:pPr>
        <w:ind w:left="520" w:right="20"/>
        <w:spacing w:after="0" w:line="243" w:lineRule="auto"/>
        <w:rPr>
          <w:sz w:val="20"/>
          <w:szCs w:val="20"/>
          <w:color w:val="auto"/>
        </w:rPr>
      </w:pPr>
      <w:r>
        <w:rPr>
          <w:rFonts w:ascii="Arial" w:cs="Arial" w:eastAsia="Arial" w:hAnsi="Arial"/>
          <w:sz w:val="17"/>
          <w:szCs w:val="17"/>
          <w:color w:val="auto"/>
        </w:rPr>
        <w:t>Each of the NEOs' awards under the AbbVie Performance Incentive Plan is paid in cash to the NEO on a current basis and may be deposited into a grantor trust established by the NEO, net of maximum tax withholdings. Each of the NEOs has also established grantor trusts in connection with the AbbVie Supplemental Pension Plan and the AbbVie Supplemental Savings Plan. These amounts include the earnings (net of the reportable interest included in footnote (6)).</w:t>
      </w:r>
    </w:p>
    <w:p>
      <w:pPr>
        <w:spacing w:after="0" w:line="222" w:lineRule="exact"/>
        <w:rPr>
          <w:rFonts w:ascii="Arial" w:cs="Arial" w:eastAsia="Arial" w:hAnsi="Arial"/>
          <w:sz w:val="10"/>
          <w:szCs w:val="10"/>
          <w:b w:val="1"/>
          <w:bCs w:val="1"/>
          <w:color w:val="FFFFFE"/>
        </w:rPr>
      </w:pPr>
    </w:p>
    <w:p>
      <w:pPr>
        <w:ind w:left="520"/>
        <w:spacing w:after="0"/>
        <w:rPr>
          <w:sz w:val="20"/>
          <w:szCs w:val="20"/>
          <w:color w:val="auto"/>
        </w:rPr>
      </w:pPr>
      <w:r>
        <w:rPr>
          <w:rFonts w:ascii="Arial" w:cs="Arial" w:eastAsia="Arial" w:hAnsi="Arial"/>
          <w:sz w:val="17"/>
          <w:szCs w:val="17"/>
          <w:i w:val="1"/>
          <w:iCs w:val="1"/>
          <w:color w:val="auto"/>
        </w:rPr>
        <w:t>Employer Contributions to Defined Contribution Plans</w:t>
      </w:r>
    </w:p>
    <w:p>
      <w:pPr>
        <w:spacing w:after="0" w:line="254" w:lineRule="exact"/>
        <w:rPr>
          <w:rFonts w:ascii="Arial" w:cs="Arial" w:eastAsia="Arial" w:hAnsi="Arial"/>
          <w:sz w:val="10"/>
          <w:szCs w:val="10"/>
          <w:b w:val="1"/>
          <w:bCs w:val="1"/>
          <w:color w:val="FFFFFE"/>
        </w:rPr>
      </w:pPr>
    </w:p>
    <w:p>
      <w:pPr>
        <w:ind w:left="520"/>
        <w:spacing w:after="0"/>
        <w:rPr>
          <w:sz w:val="20"/>
          <w:szCs w:val="20"/>
          <w:color w:val="auto"/>
        </w:rPr>
      </w:pPr>
      <w:r>
        <w:rPr>
          <w:rFonts w:ascii="Arial" w:cs="Arial" w:eastAsia="Arial" w:hAnsi="Arial"/>
          <w:sz w:val="17"/>
          <w:szCs w:val="17"/>
          <w:color w:val="auto"/>
        </w:rPr>
        <w:t>R. Gonzalez: $79,423 / $79,798 / $75,000; W. Chase: $47,519 / $46,186 / $39,500; L. Schumacher: $47,577 / $47,879 / $45,000; C. Alban:</w:t>
      </w:r>
    </w:p>
    <w:p>
      <w:pPr>
        <w:spacing w:after="0" w:line="1" w:lineRule="exact"/>
        <w:rPr>
          <w:rFonts w:ascii="Arial" w:cs="Arial" w:eastAsia="Arial" w:hAnsi="Arial"/>
          <w:sz w:val="10"/>
          <w:szCs w:val="10"/>
          <w:b w:val="1"/>
          <w:bCs w:val="1"/>
          <w:color w:val="FFFFFE"/>
        </w:rPr>
      </w:pPr>
    </w:p>
    <w:p>
      <w:pPr>
        <w:ind w:left="520"/>
        <w:spacing w:after="0"/>
        <w:rPr>
          <w:sz w:val="20"/>
          <w:szCs w:val="20"/>
          <w:color w:val="auto"/>
        </w:rPr>
      </w:pPr>
      <w:r>
        <w:rPr>
          <w:rFonts w:ascii="Arial" w:cs="Arial" w:eastAsia="Arial" w:hAnsi="Arial"/>
          <w:sz w:val="17"/>
          <w:szCs w:val="17"/>
          <w:color w:val="auto"/>
        </w:rPr>
        <w:t>$44,423 / $42,223 / $35,500; and M. Severino: $45,904 / $25,188.</w:t>
      </w:r>
    </w:p>
    <w:p>
      <w:pPr>
        <w:spacing w:after="0" w:line="236" w:lineRule="exact"/>
        <w:rPr>
          <w:rFonts w:ascii="Arial" w:cs="Arial" w:eastAsia="Arial" w:hAnsi="Arial"/>
          <w:sz w:val="10"/>
          <w:szCs w:val="10"/>
          <w:b w:val="1"/>
          <w:bCs w:val="1"/>
          <w:color w:val="FFFFFE"/>
        </w:rPr>
      </w:pPr>
    </w:p>
    <w:p>
      <w:pPr>
        <w:ind w:left="520"/>
        <w:spacing w:after="0" w:line="242" w:lineRule="auto"/>
        <w:rPr>
          <w:sz w:val="20"/>
          <w:szCs w:val="20"/>
          <w:color w:val="auto"/>
        </w:rPr>
      </w:pPr>
      <w:r>
        <w:rPr>
          <w:rFonts w:ascii="Arial" w:cs="Arial" w:eastAsia="Arial" w:hAnsi="Arial"/>
          <w:sz w:val="17"/>
          <w:szCs w:val="17"/>
          <w:color w:val="auto"/>
        </w:rPr>
        <w:t>These amounts include AbbVie contributions to the AbbVie Savings Plan and the AbbVie Supplemental Savings Plan. The Supplemental Savings Plan permits the NEOs to contribute amounts in excess of the annual limit set by the Internal Revenue Code for employee contributions to 401(k) plans up to the excess of (i) 18 percent of their base salary over (ii) the amount contributed to AbbVie's tax-qualified 401(k) plan. AbbVie matches participant contributions at the rate of 250 percent of the first 2 percent of compensation contributed to the plan. The NEOs have these amounts paid to them in cash on a current basis and deposited into a grantor trust established by the NEO, net of maximum tax withholdings.</w:t>
      </w:r>
    </w:p>
    <w:p>
      <w:pPr>
        <w:spacing w:after="0" w:line="223" w:lineRule="exact"/>
        <w:rPr>
          <w:rFonts w:ascii="Arial" w:cs="Arial" w:eastAsia="Arial" w:hAnsi="Arial"/>
          <w:sz w:val="10"/>
          <w:szCs w:val="10"/>
          <w:b w:val="1"/>
          <w:bCs w:val="1"/>
          <w:color w:val="FFFFFE"/>
        </w:rPr>
      </w:pPr>
    </w:p>
    <w:p>
      <w:pPr>
        <w:ind w:left="520"/>
        <w:spacing w:after="0"/>
        <w:rPr>
          <w:sz w:val="20"/>
          <w:szCs w:val="20"/>
          <w:color w:val="auto"/>
        </w:rPr>
      </w:pPr>
      <w:r>
        <w:rPr>
          <w:rFonts w:ascii="Arial" w:cs="Arial" w:eastAsia="Arial" w:hAnsi="Arial"/>
          <w:sz w:val="17"/>
          <w:szCs w:val="17"/>
          <w:i w:val="1"/>
          <w:iCs w:val="1"/>
          <w:color w:val="auto"/>
        </w:rPr>
        <w:t>Other 2015 Compensation</w:t>
      </w:r>
    </w:p>
    <w:p>
      <w:pPr>
        <w:spacing w:after="0" w:line="254" w:lineRule="exact"/>
        <w:rPr>
          <w:rFonts w:ascii="Arial" w:cs="Arial" w:eastAsia="Arial" w:hAnsi="Arial"/>
          <w:sz w:val="10"/>
          <w:szCs w:val="10"/>
          <w:b w:val="1"/>
          <w:bCs w:val="1"/>
          <w:color w:val="FFFFFE"/>
        </w:rPr>
      </w:pPr>
    </w:p>
    <w:p>
      <w:pPr>
        <w:ind w:left="520"/>
        <w:spacing w:after="0"/>
        <w:rPr>
          <w:sz w:val="20"/>
          <w:szCs w:val="20"/>
          <w:color w:val="auto"/>
        </w:rPr>
      </w:pPr>
      <w:r>
        <w:rPr>
          <w:rFonts w:ascii="Arial" w:cs="Arial" w:eastAsia="Arial" w:hAnsi="Arial"/>
          <w:sz w:val="17"/>
          <w:szCs w:val="17"/>
          <w:color w:val="auto"/>
        </w:rPr>
        <w:t>The totals shown in the table include the cost of providing a corporate automobile less the amount reimbursed by the NEO: R. Gonzalez:</w:t>
      </w:r>
    </w:p>
    <w:p>
      <w:pPr>
        <w:spacing w:after="0" w:line="1" w:lineRule="exact"/>
        <w:rPr>
          <w:rFonts w:ascii="Arial" w:cs="Arial" w:eastAsia="Arial" w:hAnsi="Arial"/>
          <w:sz w:val="10"/>
          <w:szCs w:val="10"/>
          <w:b w:val="1"/>
          <w:bCs w:val="1"/>
          <w:color w:val="FFFFFE"/>
        </w:rPr>
      </w:pPr>
    </w:p>
    <w:p>
      <w:pPr>
        <w:ind w:left="520" w:right="300"/>
        <w:spacing w:after="0" w:line="250" w:lineRule="auto"/>
        <w:rPr>
          <w:sz w:val="20"/>
          <w:szCs w:val="20"/>
          <w:color w:val="auto"/>
        </w:rPr>
      </w:pPr>
      <w:r>
        <w:rPr>
          <w:rFonts w:ascii="Arial" w:cs="Arial" w:eastAsia="Arial" w:hAnsi="Arial"/>
          <w:sz w:val="17"/>
          <w:szCs w:val="17"/>
          <w:color w:val="auto"/>
        </w:rPr>
        <w:t>$17,303; W. Chase: $24,001; L. Schumacher: $23,620; C. Alban: $16,003; and M. Severino: $18,265. AbbVie imputes income to the NEO for these costs and the NEO pays taxes on that income in accordance with tax regulations without gross-ups.</w:t>
      </w:r>
    </w:p>
    <w:p>
      <w:pPr>
        <w:spacing w:after="0" w:line="220" w:lineRule="exact"/>
        <w:rPr>
          <w:rFonts w:ascii="Arial" w:cs="Arial" w:eastAsia="Arial" w:hAnsi="Arial"/>
          <w:sz w:val="10"/>
          <w:szCs w:val="10"/>
          <w:b w:val="1"/>
          <w:bCs w:val="1"/>
          <w:color w:val="FFFFFE"/>
        </w:rPr>
      </w:pPr>
    </w:p>
    <w:p>
      <w:pPr>
        <w:ind w:left="520" w:right="40"/>
        <w:spacing w:after="0" w:line="245" w:lineRule="auto"/>
        <w:rPr>
          <w:sz w:val="20"/>
          <w:szCs w:val="20"/>
          <w:color w:val="auto"/>
        </w:rPr>
      </w:pPr>
      <w:r>
        <w:rPr>
          <w:rFonts w:ascii="Arial" w:cs="Arial" w:eastAsia="Arial" w:hAnsi="Arial"/>
          <w:sz w:val="17"/>
          <w:szCs w:val="17"/>
          <w:color w:val="auto"/>
        </w:rPr>
        <w:t>The totals shown in the table include the following costs associated with financial planning services: R. Gonzalez: $10,000; W. Chase: $10,000; L. Schumacher: $10,000; C. Alban: $9,999; and M. Severino: $0. AbbVie imputes income to the NEO for these costs and the NEO pays taxes on that income in accordance with tax regulations without gross-ups.</w:t>
      </w:r>
    </w:p>
    <w:p>
      <w:pPr>
        <w:spacing w:after="0" w:line="238" w:lineRule="exact"/>
        <w:rPr>
          <w:rFonts w:ascii="Arial" w:cs="Arial" w:eastAsia="Arial" w:hAnsi="Arial"/>
          <w:sz w:val="10"/>
          <w:szCs w:val="10"/>
          <w:b w:val="1"/>
          <w:bCs w:val="1"/>
          <w:color w:val="FFFFFE"/>
        </w:rPr>
      </w:pPr>
    </w:p>
    <w:p>
      <w:pPr>
        <w:ind w:left="520" w:right="20"/>
        <w:spacing w:after="0" w:line="243" w:lineRule="auto"/>
        <w:rPr>
          <w:sz w:val="20"/>
          <w:szCs w:val="20"/>
          <w:color w:val="auto"/>
        </w:rPr>
      </w:pPr>
      <w:r>
        <w:rPr>
          <w:rFonts w:ascii="Arial" w:cs="Arial" w:eastAsia="Arial" w:hAnsi="Arial"/>
          <w:sz w:val="17"/>
          <w:szCs w:val="17"/>
          <w:color w:val="auto"/>
        </w:rPr>
        <w:t>The totals shown in the table include the following costs for non-business-related air travel: R. Gonzalez: $491,188; W. Chase: $6,314; and L. Schumacher: $28,668. AbbVie determines the incremental cost for flights based on the direct cost to AbbVie, including fuel costs, parking, handling and landing fees, catering, travel fees, and other miscellaneous direct costs. AbbVie imputes income to the NEO for these costs and the NEO pays taxes on that income in accordance with tax regulations without gross-ups.</w:t>
      </w:r>
    </w:p>
    <w:p>
      <w:pPr>
        <w:spacing w:after="0" w:line="227" w:lineRule="exact"/>
        <w:rPr>
          <w:rFonts w:ascii="Arial" w:cs="Arial" w:eastAsia="Arial" w:hAnsi="Arial"/>
          <w:sz w:val="10"/>
          <w:szCs w:val="10"/>
          <w:b w:val="1"/>
          <w:bCs w:val="1"/>
          <w:color w:val="FFFFFE"/>
        </w:rPr>
      </w:pPr>
    </w:p>
    <w:p>
      <w:pPr>
        <w:jc w:val="both"/>
        <w:ind w:left="520" w:right="340"/>
        <w:spacing w:after="0" w:line="245" w:lineRule="auto"/>
        <w:rPr>
          <w:sz w:val="20"/>
          <w:szCs w:val="20"/>
          <w:color w:val="auto"/>
        </w:rPr>
      </w:pPr>
      <w:r>
        <w:rPr>
          <w:rFonts w:ascii="Arial" w:cs="Arial" w:eastAsia="Arial" w:hAnsi="Arial"/>
          <w:sz w:val="17"/>
          <w:szCs w:val="17"/>
          <w:color w:val="auto"/>
        </w:rPr>
        <w:t>For Mr. Gonzalez, the total includes $73,119 for costs associated with security, determined based on AbbVie's actual costs for such services. The security was provided on the recommendation of an independent security study. AbbVie imputes income to Mr. Gonzalez for a portion of these costs and he pays taxes on that income in accordance with tax regulations without gross-ups.</w:t>
      </w:r>
    </w:p>
    <w:p>
      <w:pPr>
        <w:spacing w:after="0" w:line="224" w:lineRule="exact"/>
        <w:rPr>
          <w:rFonts w:ascii="Arial" w:cs="Arial" w:eastAsia="Arial" w:hAnsi="Arial"/>
          <w:sz w:val="10"/>
          <w:szCs w:val="10"/>
          <w:b w:val="1"/>
          <w:bCs w:val="1"/>
          <w:color w:val="FFFFFE"/>
        </w:rPr>
      </w:pPr>
    </w:p>
    <w:p>
      <w:pPr>
        <w:ind w:left="520"/>
        <w:spacing w:after="0"/>
        <w:rPr>
          <w:sz w:val="20"/>
          <w:szCs w:val="20"/>
          <w:color w:val="auto"/>
        </w:rPr>
      </w:pPr>
      <w:r>
        <w:rPr>
          <w:rFonts w:ascii="Arial" w:cs="Arial" w:eastAsia="Arial" w:hAnsi="Arial"/>
          <w:sz w:val="17"/>
          <w:szCs w:val="17"/>
          <w:color w:val="auto"/>
        </w:rPr>
        <w:t>For Dr. Severino, the total includes $1,598 for relocation costs.</w:t>
      </w:r>
    </w:p>
    <w:p>
      <w:pPr>
        <w:spacing w:after="0" w:line="249" w:lineRule="exact"/>
        <w:rPr>
          <w:rFonts w:ascii="Arial" w:cs="Arial" w:eastAsia="Arial" w:hAnsi="Arial"/>
          <w:sz w:val="10"/>
          <w:szCs w:val="10"/>
          <w:b w:val="1"/>
          <w:bCs w:val="1"/>
          <w:color w:val="FFFFFE"/>
        </w:rPr>
      </w:pPr>
    </w:p>
    <w:p>
      <w:pPr>
        <w:ind w:left="520"/>
        <w:spacing w:after="0"/>
        <w:rPr>
          <w:sz w:val="20"/>
          <w:szCs w:val="20"/>
          <w:color w:val="auto"/>
        </w:rPr>
      </w:pPr>
      <w:r>
        <w:rPr>
          <w:rFonts w:ascii="Arial" w:cs="Arial" w:eastAsia="Arial" w:hAnsi="Arial"/>
          <w:sz w:val="17"/>
          <w:szCs w:val="17"/>
          <w:color w:val="auto"/>
        </w:rPr>
        <w:t>The NEOs also are eligible to participate in an executive disability benefit which is described on page 52 of this proxy statement.</w:t>
      </w:r>
    </w:p>
    <w:p>
      <w:pPr>
        <w:spacing w:after="0" w:line="196" w:lineRule="exact"/>
        <w:rPr>
          <w:rFonts w:ascii="Arial" w:cs="Arial" w:eastAsia="Arial" w:hAnsi="Arial"/>
          <w:sz w:val="10"/>
          <w:szCs w:val="10"/>
          <w:b w:val="1"/>
          <w:bCs w:val="1"/>
          <w:color w:val="FFFFFE"/>
        </w:rPr>
      </w:pPr>
    </w:p>
    <w:p>
      <w:pPr>
        <w:ind w:left="520" w:hanging="515"/>
        <w:spacing w:after="0"/>
        <w:tabs>
          <w:tab w:leader="none" w:pos="52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As part of Dr. Severino's hiring package, this amount was paid to replace a prior employer incentive award.</w:t>
      </w:r>
    </w:p>
    <w:p>
      <w:pPr>
        <w:spacing w:after="0" w:line="217" w:lineRule="exact"/>
        <w:rPr>
          <w:rFonts w:ascii="Arial" w:cs="Arial" w:eastAsia="Arial" w:hAnsi="Arial"/>
          <w:sz w:val="10"/>
          <w:szCs w:val="10"/>
          <w:b w:val="1"/>
          <w:bCs w:val="1"/>
          <w:color w:val="FFFFFE"/>
        </w:rPr>
      </w:pPr>
    </w:p>
    <w:p>
      <w:pPr>
        <w:ind w:left="60"/>
        <w:spacing w:after="0"/>
        <w:rPr>
          <w:sz w:val="20"/>
          <w:szCs w:val="20"/>
          <w:color w:val="auto"/>
        </w:rPr>
      </w:pPr>
      <w:r>
        <w:rPr>
          <w:rFonts w:ascii="Arial" w:cs="Arial" w:eastAsia="Arial" w:hAnsi="Arial"/>
          <w:sz w:val="17"/>
          <w:szCs w:val="17"/>
          <w:b w:val="1"/>
          <w:bCs w:val="1"/>
          <w:color w:val="auto"/>
        </w:rPr>
        <w:t xml:space="preserve">44  </w:t>
      </w:r>
      <w:r>
        <w:rPr>
          <w:sz w:val="1"/>
          <w:szCs w:val="1"/>
          <w:color w:val="auto"/>
        </w:rPr>
        <w:drawing>
          <wp:inline distT="0" distB="0" distL="0" distR="0">
            <wp:extent cx="622300" cy="107950"/>
            <wp:effectExtent l="0" t="0" r="0" b="0"/>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7" w:name="page48"/>
    <w:bookmarkEnd w:id="4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6150610</wp:posOffset>
            </wp:positionH>
            <wp:positionV relativeFrom="paragraph">
              <wp:posOffset>130810</wp:posOffset>
            </wp:positionV>
            <wp:extent cx="1103630" cy="14097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224" w:lineRule="exact"/>
        <w:rPr>
          <w:sz w:val="20"/>
          <w:szCs w:val="20"/>
          <w:color w:val="auto"/>
        </w:rPr>
      </w:pPr>
    </w:p>
    <w:p>
      <w:pPr>
        <w:ind w:left="9740"/>
        <w:spacing w:after="0"/>
        <w:rPr>
          <w:sz w:val="20"/>
          <w:szCs w:val="20"/>
          <w:color w:val="auto"/>
        </w:rPr>
      </w:pPr>
      <w:r>
        <w:rPr>
          <w:rFonts w:ascii="Arial" w:cs="Arial" w:eastAsia="Arial" w:hAnsi="Arial"/>
          <w:sz w:val="10"/>
          <w:szCs w:val="10"/>
          <w:b w:val="1"/>
          <w:bCs w:val="1"/>
          <w:color w:val="FFFFFE"/>
        </w:rPr>
        <w:t>EXECUTIVE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2015 Grants of Plan-Based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equity awards granted under the AbbVie 2013 Incentive Stock Program to the NEOs during 2015.</w:t>
      </w: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940" w:type="dxa"/>
            <w:vAlign w:val="bottom"/>
            <w:gridSpan w:val="3"/>
            <w:vMerge w:val="restart"/>
          </w:tcPr>
          <w:p>
            <w:pPr>
              <w:jc w:val="center"/>
              <w:ind w:right="160"/>
              <w:spacing w:after="0"/>
              <w:rPr>
                <w:sz w:val="20"/>
                <w:szCs w:val="20"/>
                <w:color w:val="auto"/>
              </w:rPr>
            </w:pPr>
            <w:r>
              <w:rPr>
                <w:rFonts w:ascii="Arial" w:cs="Arial" w:eastAsia="Arial" w:hAnsi="Arial"/>
                <w:sz w:val="17"/>
                <w:szCs w:val="17"/>
                <w:b w:val="1"/>
                <w:bCs w:val="1"/>
                <w:color w:val="444867"/>
                <w:w w:val="99"/>
              </w:rPr>
              <w:t>Estimated Future</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444867"/>
              </w:rPr>
              <w:t>Estimated</w:t>
            </w: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444867"/>
              </w:rPr>
              <w:t>Future</w:t>
            </w:r>
          </w:p>
        </w:tc>
        <w:tc>
          <w:tcPr>
            <w:tcW w:w="1220" w:type="dxa"/>
            <w:vAlign w:val="bottom"/>
            <w:vMerge w:val="restart"/>
          </w:tcPr>
          <w:p>
            <w:pPr>
              <w:jc w:val="right"/>
              <w:ind w:right="180"/>
              <w:spacing w:after="0"/>
              <w:rPr>
                <w:sz w:val="20"/>
                <w:szCs w:val="20"/>
                <w:color w:val="auto"/>
              </w:rPr>
            </w:pPr>
            <w:r>
              <w:rPr>
                <w:rFonts w:ascii="Arial" w:cs="Arial" w:eastAsia="Arial" w:hAnsi="Arial"/>
                <w:sz w:val="17"/>
                <w:szCs w:val="17"/>
                <w:b w:val="1"/>
                <w:bCs w:val="1"/>
                <w:color w:val="444867"/>
              </w:rPr>
              <w:t>All Other</w:t>
            </w:r>
          </w:p>
        </w:tc>
        <w:tc>
          <w:tcPr>
            <w:tcW w:w="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40" w:type="dxa"/>
            <w:vAlign w:val="bottom"/>
            <w:gridSpan w:val="3"/>
            <w:vMerge w:val="restart"/>
          </w:tcPr>
          <w:p>
            <w:pPr>
              <w:jc w:val="center"/>
              <w:ind w:right="140"/>
              <w:spacing w:after="0"/>
              <w:rPr>
                <w:sz w:val="20"/>
                <w:szCs w:val="20"/>
                <w:color w:val="auto"/>
              </w:rPr>
            </w:pPr>
            <w:r>
              <w:rPr>
                <w:rFonts w:ascii="Arial" w:cs="Arial" w:eastAsia="Arial" w:hAnsi="Arial"/>
                <w:sz w:val="17"/>
                <w:szCs w:val="17"/>
                <w:b w:val="1"/>
                <w:bCs w:val="1"/>
                <w:color w:val="444867"/>
                <w:w w:val="99"/>
              </w:rPr>
              <w:t>Payouts Under</w:t>
            </w:r>
          </w:p>
        </w:tc>
        <w:tc>
          <w:tcPr>
            <w:tcW w:w="104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444867"/>
              </w:rPr>
              <w:t>Payouts</w:t>
            </w:r>
          </w:p>
        </w:tc>
        <w:tc>
          <w:tcPr>
            <w:tcW w:w="1220" w:type="dxa"/>
            <w:vAlign w:val="bottom"/>
            <w:vMerge w:val="restart"/>
          </w:tcPr>
          <w:p>
            <w:pPr>
              <w:jc w:val="right"/>
              <w:ind w:right="180"/>
              <w:spacing w:after="0"/>
              <w:rPr>
                <w:sz w:val="20"/>
                <w:szCs w:val="20"/>
                <w:color w:val="auto"/>
              </w:rPr>
            </w:pPr>
            <w:r>
              <w:rPr>
                <w:rFonts w:ascii="Arial" w:cs="Arial" w:eastAsia="Arial" w:hAnsi="Arial"/>
                <w:sz w:val="17"/>
                <w:szCs w:val="17"/>
                <w:b w:val="1"/>
                <w:bCs w:val="1"/>
                <w:color w:val="444867"/>
              </w:rPr>
              <w:t>Option</w:t>
            </w:r>
          </w:p>
        </w:tc>
        <w:tc>
          <w:tcPr>
            <w:tcW w:w="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40" w:type="dxa"/>
            <w:vAlign w:val="bottom"/>
            <w:gridSpan w:val="3"/>
            <w:vMerge w:val="restart"/>
          </w:tcPr>
          <w:p>
            <w:pPr>
              <w:jc w:val="center"/>
              <w:ind w:right="160"/>
              <w:spacing w:after="0"/>
              <w:rPr>
                <w:sz w:val="20"/>
                <w:szCs w:val="20"/>
                <w:color w:val="auto"/>
              </w:rPr>
            </w:pPr>
            <w:r>
              <w:rPr>
                <w:rFonts w:ascii="Arial" w:cs="Arial" w:eastAsia="Arial" w:hAnsi="Arial"/>
                <w:sz w:val="17"/>
                <w:szCs w:val="17"/>
                <w:b w:val="1"/>
                <w:bCs w:val="1"/>
                <w:color w:val="444867"/>
                <w:w w:val="99"/>
              </w:rPr>
              <w:t>Non-Equity</w:t>
            </w:r>
          </w:p>
        </w:tc>
        <w:tc>
          <w:tcPr>
            <w:tcW w:w="104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444867"/>
              </w:rPr>
              <w:t>Under</w:t>
            </w:r>
          </w:p>
        </w:tc>
        <w:tc>
          <w:tcPr>
            <w:tcW w:w="1220" w:type="dxa"/>
            <w:vAlign w:val="bottom"/>
            <w:vMerge w:val="restart"/>
          </w:tcPr>
          <w:p>
            <w:pPr>
              <w:jc w:val="right"/>
              <w:ind w:right="180"/>
              <w:spacing w:after="0"/>
              <w:rPr>
                <w:sz w:val="20"/>
                <w:szCs w:val="20"/>
                <w:color w:val="auto"/>
              </w:rPr>
            </w:pPr>
            <w:r>
              <w:rPr>
                <w:rFonts w:ascii="Arial" w:cs="Arial" w:eastAsia="Arial" w:hAnsi="Arial"/>
                <w:sz w:val="17"/>
                <w:szCs w:val="17"/>
                <w:b w:val="1"/>
                <w:bCs w:val="1"/>
                <w:color w:val="444867"/>
              </w:rPr>
              <w:t>Awards:</w:t>
            </w:r>
          </w:p>
        </w:tc>
        <w:tc>
          <w:tcPr>
            <w:tcW w:w="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40" w:type="dxa"/>
            <w:vAlign w:val="bottom"/>
            <w:gridSpan w:val="3"/>
            <w:vMerge w:val="restart"/>
          </w:tcPr>
          <w:p>
            <w:pPr>
              <w:jc w:val="center"/>
              <w:ind w:right="160"/>
              <w:spacing w:after="0"/>
              <w:rPr>
                <w:sz w:val="20"/>
                <w:szCs w:val="20"/>
                <w:color w:val="auto"/>
              </w:rPr>
            </w:pPr>
            <w:r>
              <w:rPr>
                <w:rFonts w:ascii="Arial" w:cs="Arial" w:eastAsia="Arial" w:hAnsi="Arial"/>
                <w:sz w:val="17"/>
                <w:szCs w:val="17"/>
                <w:b w:val="1"/>
                <w:bCs w:val="1"/>
                <w:color w:val="444867"/>
                <w:w w:val="99"/>
              </w:rPr>
              <w:t>Incentive Plan</w:t>
            </w:r>
          </w:p>
        </w:tc>
        <w:tc>
          <w:tcPr>
            <w:tcW w:w="104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860" w:type="dxa"/>
            <w:vAlign w:val="bottom"/>
          </w:tcPr>
          <w:p>
            <w:pPr>
              <w:spacing w:after="0"/>
              <w:rPr>
                <w:sz w:val="7"/>
                <w:szCs w:val="7"/>
                <w:color w:val="auto"/>
              </w:rPr>
            </w:pPr>
          </w:p>
        </w:tc>
        <w:tc>
          <w:tcPr>
            <w:tcW w:w="11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040" w:type="dxa"/>
            <w:vAlign w:val="bottom"/>
          </w:tcPr>
          <w:p>
            <w:pPr>
              <w:spacing w:after="0"/>
              <w:rPr>
                <w:sz w:val="9"/>
                <w:szCs w:val="9"/>
                <w:color w:val="auto"/>
              </w:rPr>
            </w:pPr>
          </w:p>
        </w:tc>
        <w:tc>
          <w:tcPr>
            <w:tcW w:w="6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940" w:type="dxa"/>
            <w:vAlign w:val="bottom"/>
            <w:gridSpan w:val="3"/>
            <w:vMerge w:val="continue"/>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444867"/>
              </w:rPr>
              <w:t>Equity</w:t>
            </w:r>
          </w:p>
        </w:tc>
        <w:tc>
          <w:tcPr>
            <w:tcW w:w="1220" w:type="dxa"/>
            <w:vAlign w:val="bottom"/>
            <w:vMerge w:val="restart"/>
          </w:tcPr>
          <w:p>
            <w:pPr>
              <w:jc w:val="right"/>
              <w:ind w:right="180"/>
              <w:spacing w:after="0"/>
              <w:rPr>
                <w:sz w:val="20"/>
                <w:szCs w:val="20"/>
                <w:color w:val="auto"/>
              </w:rPr>
            </w:pPr>
            <w:r>
              <w:rPr>
                <w:rFonts w:ascii="Arial" w:cs="Arial" w:eastAsia="Arial" w:hAnsi="Arial"/>
                <w:sz w:val="17"/>
                <w:szCs w:val="17"/>
                <w:b w:val="1"/>
                <w:bCs w:val="1"/>
                <w:color w:val="444867"/>
              </w:rPr>
              <w:t>Numbers</w:t>
            </w: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444867"/>
              </w:rPr>
              <w:t>Exercise</w:t>
            </w:r>
          </w:p>
        </w:tc>
        <w:tc>
          <w:tcPr>
            <w:tcW w:w="1160" w:type="dxa"/>
            <w:vAlign w:val="bottom"/>
            <w:vMerge w:val="restart"/>
          </w:tcPr>
          <w:p>
            <w:pPr>
              <w:jc w:val="right"/>
              <w:ind w:right="355"/>
              <w:spacing w:after="0"/>
              <w:rPr>
                <w:sz w:val="20"/>
                <w:szCs w:val="20"/>
                <w:color w:val="auto"/>
              </w:rPr>
            </w:pPr>
            <w:r>
              <w:rPr>
                <w:rFonts w:ascii="Arial" w:cs="Arial" w:eastAsia="Arial" w:hAnsi="Arial"/>
                <w:sz w:val="17"/>
                <w:szCs w:val="17"/>
                <w:b w:val="1"/>
                <w:bCs w:val="1"/>
                <w:color w:val="444867"/>
              </w:rPr>
              <w:t>Closing</w:t>
            </w: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40" w:type="dxa"/>
            <w:vAlign w:val="bottom"/>
          </w:tcPr>
          <w:p>
            <w:pPr>
              <w:spacing w:after="0"/>
              <w:rPr>
                <w:sz w:val="7"/>
                <w:szCs w:val="7"/>
                <w:color w:val="auto"/>
              </w:rPr>
            </w:pPr>
          </w:p>
        </w:tc>
        <w:tc>
          <w:tcPr>
            <w:tcW w:w="620" w:type="dxa"/>
            <w:vAlign w:val="bottom"/>
          </w:tcPr>
          <w:p>
            <w:pPr>
              <w:spacing w:after="0"/>
              <w:rPr>
                <w:sz w:val="7"/>
                <w:szCs w:val="7"/>
                <w:color w:val="auto"/>
              </w:rPr>
            </w:pPr>
          </w:p>
        </w:tc>
        <w:tc>
          <w:tcPr>
            <w:tcW w:w="880" w:type="dxa"/>
            <w:vAlign w:val="bottom"/>
          </w:tcPr>
          <w:p>
            <w:pPr>
              <w:spacing w:after="0"/>
              <w:rPr>
                <w:sz w:val="7"/>
                <w:szCs w:val="7"/>
                <w:color w:val="auto"/>
              </w:rPr>
            </w:pPr>
          </w:p>
        </w:tc>
        <w:tc>
          <w:tcPr>
            <w:tcW w:w="1940" w:type="dxa"/>
            <w:vAlign w:val="bottom"/>
            <w:gridSpan w:val="3"/>
            <w:vMerge w:val="restart"/>
          </w:tcPr>
          <w:p>
            <w:pPr>
              <w:jc w:val="center"/>
              <w:ind w:right="160"/>
              <w:spacing w:after="0"/>
              <w:rPr>
                <w:sz w:val="20"/>
                <w:szCs w:val="20"/>
                <w:color w:val="auto"/>
              </w:rPr>
            </w:pPr>
            <w:r>
              <w:rPr>
                <w:rFonts w:ascii="Arial" w:cs="Arial" w:eastAsia="Arial" w:hAnsi="Arial"/>
                <w:sz w:val="17"/>
                <w:szCs w:val="17"/>
                <w:b w:val="1"/>
                <w:bCs w:val="1"/>
                <w:color w:val="444867"/>
                <w:w w:val="99"/>
              </w:rPr>
              <w:t>Awards(1)</w:t>
            </w:r>
          </w:p>
        </w:tc>
        <w:tc>
          <w:tcPr>
            <w:tcW w:w="1040" w:type="dxa"/>
            <w:vAlign w:val="bottom"/>
            <w:vMerge w:val="continue"/>
          </w:tcPr>
          <w:p>
            <w:pPr>
              <w:spacing w:after="0"/>
              <w:rPr>
                <w:sz w:val="7"/>
                <w:szCs w:val="7"/>
                <w:color w:val="auto"/>
              </w:rPr>
            </w:pPr>
          </w:p>
        </w:tc>
        <w:tc>
          <w:tcPr>
            <w:tcW w:w="1220" w:type="dxa"/>
            <w:vAlign w:val="bottom"/>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940" w:type="dxa"/>
            <w:vAlign w:val="bottom"/>
            <w:gridSpan w:val="3"/>
            <w:vMerge w:val="continue"/>
          </w:tcPr>
          <w:p>
            <w:pPr>
              <w:spacing w:after="0"/>
              <w:rPr>
                <w:sz w:val="10"/>
                <w:szCs w:val="10"/>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b w:val="1"/>
                <w:bCs w:val="1"/>
                <w:color w:val="444867"/>
              </w:rPr>
              <w:t>Incentive</w:t>
            </w:r>
          </w:p>
        </w:tc>
        <w:tc>
          <w:tcPr>
            <w:tcW w:w="1220" w:type="dxa"/>
            <w:vAlign w:val="bottom"/>
            <w:vMerge w:val="restart"/>
          </w:tcPr>
          <w:p>
            <w:pPr>
              <w:jc w:val="right"/>
              <w:ind w:right="180"/>
              <w:spacing w:after="0"/>
              <w:rPr>
                <w:sz w:val="20"/>
                <w:szCs w:val="20"/>
                <w:color w:val="auto"/>
              </w:rPr>
            </w:pPr>
            <w:r>
              <w:rPr>
                <w:rFonts w:ascii="Arial" w:cs="Arial" w:eastAsia="Arial" w:hAnsi="Arial"/>
                <w:sz w:val="17"/>
                <w:szCs w:val="17"/>
                <w:b w:val="1"/>
                <w:bCs w:val="1"/>
                <w:color w:val="444867"/>
              </w:rPr>
              <w:t>of</w:t>
            </w:r>
          </w:p>
        </w:tc>
        <w:tc>
          <w:tcPr>
            <w:tcW w:w="860" w:type="dxa"/>
            <w:vAlign w:val="bottom"/>
            <w:vMerge w:val="restart"/>
          </w:tcPr>
          <w:p>
            <w:pPr>
              <w:jc w:val="right"/>
              <w:spacing w:after="0"/>
              <w:rPr>
                <w:sz w:val="20"/>
                <w:szCs w:val="20"/>
                <w:color w:val="auto"/>
              </w:rPr>
            </w:pPr>
            <w:r>
              <w:rPr>
                <w:rFonts w:ascii="Arial" w:cs="Arial" w:eastAsia="Arial" w:hAnsi="Arial"/>
                <w:sz w:val="17"/>
                <w:szCs w:val="17"/>
                <w:b w:val="1"/>
                <w:bCs w:val="1"/>
                <w:color w:val="444867"/>
              </w:rPr>
              <w:t>or Base</w:t>
            </w:r>
          </w:p>
        </w:tc>
        <w:tc>
          <w:tcPr>
            <w:tcW w:w="1160" w:type="dxa"/>
            <w:vAlign w:val="bottom"/>
            <w:vMerge w:val="restart"/>
          </w:tcPr>
          <w:p>
            <w:pPr>
              <w:jc w:val="right"/>
              <w:ind w:right="355"/>
              <w:spacing w:after="0"/>
              <w:rPr>
                <w:sz w:val="20"/>
                <w:szCs w:val="20"/>
                <w:color w:val="auto"/>
              </w:rPr>
            </w:pPr>
            <w:r>
              <w:rPr>
                <w:rFonts w:ascii="Arial" w:cs="Arial" w:eastAsia="Arial" w:hAnsi="Arial"/>
                <w:sz w:val="17"/>
                <w:szCs w:val="17"/>
                <w:b w:val="1"/>
                <w:bCs w:val="1"/>
                <w:color w:val="444867"/>
              </w:rPr>
              <w:t>Market</w:t>
            </w:r>
          </w:p>
        </w:tc>
        <w:tc>
          <w:tcPr>
            <w:tcW w:w="1660" w:type="dxa"/>
            <w:vAlign w:val="bottom"/>
            <w:vMerge w:val="restart"/>
          </w:tcPr>
          <w:p>
            <w:pPr>
              <w:jc w:val="right"/>
              <w:ind w:right="265"/>
              <w:spacing w:after="0"/>
              <w:rPr>
                <w:sz w:val="20"/>
                <w:szCs w:val="20"/>
                <w:color w:val="auto"/>
              </w:rPr>
            </w:pPr>
            <w:r>
              <w:rPr>
                <w:rFonts w:ascii="Arial" w:cs="Arial" w:eastAsia="Arial" w:hAnsi="Arial"/>
                <w:sz w:val="17"/>
                <w:szCs w:val="17"/>
                <w:b w:val="1"/>
                <w:bCs w:val="1"/>
                <w:color w:val="444867"/>
              </w:rPr>
              <w:t>Grant Date</w:t>
            </w:r>
          </w:p>
        </w:tc>
        <w:tc>
          <w:tcPr>
            <w:tcW w:w="0" w:type="dxa"/>
            <w:vAlign w:val="bottom"/>
          </w:tcPr>
          <w:p>
            <w:pPr>
              <w:spacing w:after="0"/>
              <w:rPr>
                <w:sz w:val="1"/>
                <w:szCs w:val="1"/>
                <w:color w:val="auto"/>
              </w:rPr>
            </w:pPr>
          </w:p>
        </w:tc>
      </w:tr>
      <w:tr>
        <w:trPr>
          <w:trHeight w:val="55"/>
        </w:trPr>
        <w:tc>
          <w:tcPr>
            <w:tcW w:w="2040" w:type="dxa"/>
            <w:vAlign w:val="bottom"/>
          </w:tcPr>
          <w:p>
            <w:pPr>
              <w:spacing w:after="0"/>
              <w:rPr>
                <w:sz w:val="4"/>
                <w:szCs w:val="4"/>
                <w:color w:val="auto"/>
              </w:rPr>
            </w:pPr>
          </w:p>
        </w:tc>
        <w:tc>
          <w:tcPr>
            <w:tcW w:w="620" w:type="dxa"/>
            <w:vAlign w:val="bottom"/>
          </w:tcPr>
          <w:p>
            <w:pPr>
              <w:spacing w:after="0"/>
              <w:rPr>
                <w:sz w:val="4"/>
                <w:szCs w:val="4"/>
                <w:color w:val="auto"/>
              </w:rPr>
            </w:pPr>
          </w:p>
        </w:tc>
        <w:tc>
          <w:tcPr>
            <w:tcW w:w="880" w:type="dxa"/>
            <w:vAlign w:val="bottom"/>
          </w:tcPr>
          <w:p>
            <w:pPr>
              <w:spacing w:after="0"/>
              <w:rPr>
                <w:sz w:val="4"/>
                <w:szCs w:val="4"/>
                <w:color w:val="auto"/>
              </w:rPr>
            </w:pPr>
          </w:p>
        </w:tc>
        <w:tc>
          <w:tcPr>
            <w:tcW w:w="900" w:type="dxa"/>
            <w:vAlign w:val="bottom"/>
            <w:tcBorders>
              <w:top w:val="single" w:sz="8" w:color="auto"/>
            </w:tcBorders>
          </w:tcPr>
          <w:p>
            <w:pPr>
              <w:spacing w:after="0"/>
              <w:rPr>
                <w:sz w:val="4"/>
                <w:szCs w:val="4"/>
                <w:color w:val="auto"/>
              </w:rPr>
            </w:pPr>
          </w:p>
        </w:tc>
        <w:tc>
          <w:tcPr>
            <w:tcW w:w="88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vMerge w:val="continue"/>
          </w:tcPr>
          <w:p>
            <w:pPr>
              <w:spacing w:after="0"/>
              <w:rPr>
                <w:sz w:val="4"/>
                <w:szCs w:val="4"/>
                <w:color w:val="auto"/>
              </w:rPr>
            </w:pPr>
          </w:p>
        </w:tc>
        <w:tc>
          <w:tcPr>
            <w:tcW w:w="1220" w:type="dxa"/>
            <w:vAlign w:val="bottom"/>
            <w:vMerge w:val="continue"/>
          </w:tcPr>
          <w:p>
            <w:pPr>
              <w:spacing w:after="0"/>
              <w:rPr>
                <w:sz w:val="4"/>
                <w:szCs w:val="4"/>
                <w:color w:val="auto"/>
              </w:rPr>
            </w:pPr>
          </w:p>
        </w:tc>
        <w:tc>
          <w:tcPr>
            <w:tcW w:w="86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16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444867"/>
              </w:rPr>
              <w:t>Plan</w:t>
            </w:r>
          </w:p>
        </w:tc>
        <w:tc>
          <w:tcPr>
            <w:tcW w:w="1220" w:type="dxa"/>
            <w:vAlign w:val="bottom"/>
          </w:tcPr>
          <w:p>
            <w:pPr>
              <w:jc w:val="right"/>
              <w:ind w:right="180"/>
              <w:spacing w:after="0"/>
              <w:rPr>
                <w:sz w:val="20"/>
                <w:szCs w:val="20"/>
                <w:color w:val="auto"/>
              </w:rPr>
            </w:pPr>
            <w:r>
              <w:rPr>
                <w:rFonts w:ascii="Arial" w:cs="Arial" w:eastAsia="Arial" w:hAnsi="Arial"/>
                <w:sz w:val="17"/>
                <w:szCs w:val="17"/>
                <w:b w:val="1"/>
                <w:bCs w:val="1"/>
                <w:color w:val="444867"/>
              </w:rPr>
              <w:t>Securities</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444867"/>
              </w:rPr>
              <w:t>Price of</w:t>
            </w:r>
          </w:p>
        </w:tc>
        <w:tc>
          <w:tcPr>
            <w:tcW w:w="1160" w:type="dxa"/>
            <w:vAlign w:val="bottom"/>
          </w:tcPr>
          <w:p>
            <w:pPr>
              <w:jc w:val="right"/>
              <w:ind w:right="355"/>
              <w:spacing w:after="0"/>
              <w:rPr>
                <w:sz w:val="20"/>
                <w:szCs w:val="20"/>
                <w:color w:val="auto"/>
              </w:rPr>
            </w:pPr>
            <w:r>
              <w:rPr>
                <w:rFonts w:ascii="Arial" w:cs="Arial" w:eastAsia="Arial" w:hAnsi="Arial"/>
                <w:sz w:val="17"/>
                <w:szCs w:val="17"/>
                <w:b w:val="1"/>
                <w:bCs w:val="1"/>
                <w:color w:val="444867"/>
              </w:rPr>
              <w:t>Price</w:t>
            </w:r>
          </w:p>
        </w:tc>
        <w:tc>
          <w:tcPr>
            <w:tcW w:w="1660" w:type="dxa"/>
            <w:vAlign w:val="bottom"/>
          </w:tcPr>
          <w:p>
            <w:pPr>
              <w:jc w:val="right"/>
              <w:ind w:right="265"/>
              <w:spacing w:after="0"/>
              <w:rPr>
                <w:sz w:val="20"/>
                <w:szCs w:val="20"/>
                <w:color w:val="auto"/>
              </w:rPr>
            </w:pPr>
            <w:r>
              <w:rPr>
                <w:rFonts w:ascii="Arial" w:cs="Arial" w:eastAsia="Arial" w:hAnsi="Arial"/>
                <w:sz w:val="17"/>
                <w:szCs w:val="17"/>
                <w:b w:val="1"/>
                <w:bCs w:val="1"/>
                <w:color w:val="444867"/>
              </w:rPr>
              <w:t>Fair Value</w:t>
            </w: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b w:val="1"/>
                <w:bCs w:val="1"/>
                <w:color w:val="444867"/>
              </w:rPr>
              <w:t>Awards</w:t>
            </w:r>
          </w:p>
        </w:tc>
        <w:tc>
          <w:tcPr>
            <w:tcW w:w="1220" w:type="dxa"/>
            <w:vAlign w:val="bottom"/>
          </w:tcPr>
          <w:p>
            <w:pPr>
              <w:jc w:val="right"/>
              <w:ind w:right="180"/>
              <w:spacing w:after="0"/>
              <w:rPr>
                <w:sz w:val="20"/>
                <w:szCs w:val="20"/>
                <w:color w:val="auto"/>
              </w:rPr>
            </w:pPr>
            <w:r>
              <w:rPr>
                <w:rFonts w:ascii="Arial" w:cs="Arial" w:eastAsia="Arial" w:hAnsi="Arial"/>
                <w:sz w:val="17"/>
                <w:szCs w:val="17"/>
                <w:b w:val="1"/>
                <w:bCs w:val="1"/>
                <w:color w:val="444867"/>
              </w:rPr>
              <w:t>Underlying</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444867"/>
              </w:rPr>
              <w:t>Option</w:t>
            </w:r>
          </w:p>
        </w:tc>
        <w:tc>
          <w:tcPr>
            <w:tcW w:w="1160" w:type="dxa"/>
            <w:vAlign w:val="bottom"/>
          </w:tcPr>
          <w:p>
            <w:pPr>
              <w:jc w:val="right"/>
              <w:ind w:right="355"/>
              <w:spacing w:after="0"/>
              <w:rPr>
                <w:sz w:val="20"/>
                <w:szCs w:val="20"/>
                <w:color w:val="auto"/>
              </w:rPr>
            </w:pPr>
            <w:r>
              <w:rPr>
                <w:rFonts w:ascii="Arial" w:cs="Arial" w:eastAsia="Arial" w:hAnsi="Arial"/>
                <w:sz w:val="17"/>
                <w:szCs w:val="17"/>
                <w:b w:val="1"/>
                <w:bCs w:val="1"/>
                <w:color w:val="444867"/>
              </w:rPr>
              <w:t>on</w:t>
            </w:r>
          </w:p>
        </w:tc>
        <w:tc>
          <w:tcPr>
            <w:tcW w:w="1660" w:type="dxa"/>
            <w:vAlign w:val="bottom"/>
          </w:tcPr>
          <w:p>
            <w:pPr>
              <w:jc w:val="right"/>
              <w:ind w:right="265"/>
              <w:spacing w:after="0"/>
              <w:rPr>
                <w:sz w:val="20"/>
                <w:szCs w:val="20"/>
                <w:color w:val="auto"/>
              </w:rPr>
            </w:pPr>
            <w:r>
              <w:rPr>
                <w:rFonts w:ascii="Arial" w:cs="Arial" w:eastAsia="Arial" w:hAnsi="Arial"/>
                <w:sz w:val="17"/>
                <w:szCs w:val="17"/>
                <w:b w:val="1"/>
                <w:bCs w:val="1"/>
                <w:color w:val="444867"/>
              </w:rPr>
              <w:t>of Stock</w:t>
            </w:r>
          </w:p>
        </w:tc>
        <w:tc>
          <w:tcPr>
            <w:tcW w:w="0" w:type="dxa"/>
            <w:vAlign w:val="bottom"/>
          </w:tcPr>
          <w:p>
            <w:pPr>
              <w:spacing w:after="0"/>
              <w:rPr>
                <w:sz w:val="1"/>
                <w:szCs w:val="1"/>
                <w:color w:val="auto"/>
              </w:rPr>
            </w:pPr>
          </w:p>
        </w:tc>
      </w:tr>
      <w:tr>
        <w:trPr>
          <w:trHeight w:val="196"/>
        </w:trPr>
        <w:tc>
          <w:tcPr>
            <w:tcW w:w="20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80" w:type="dxa"/>
            <w:vAlign w:val="bottom"/>
          </w:tcPr>
          <w:p>
            <w:pPr>
              <w:jc w:val="right"/>
              <w:ind w:right="75"/>
              <w:spacing w:after="0"/>
              <w:rPr>
                <w:sz w:val="20"/>
                <w:szCs w:val="20"/>
                <w:color w:val="auto"/>
              </w:rPr>
            </w:pPr>
            <w:r>
              <w:rPr>
                <w:rFonts w:ascii="Arial" w:cs="Arial" w:eastAsia="Arial" w:hAnsi="Arial"/>
                <w:sz w:val="17"/>
                <w:szCs w:val="17"/>
                <w:b w:val="1"/>
                <w:bCs w:val="1"/>
                <w:color w:val="444867"/>
              </w:rPr>
              <w:t>Grant</w:t>
            </w:r>
          </w:p>
        </w:tc>
        <w:tc>
          <w:tcPr>
            <w:tcW w:w="900" w:type="dxa"/>
            <w:vAlign w:val="bottom"/>
          </w:tcPr>
          <w:p>
            <w:pPr>
              <w:jc w:val="right"/>
              <w:spacing w:after="0"/>
              <w:rPr>
                <w:sz w:val="20"/>
                <w:szCs w:val="20"/>
                <w:color w:val="auto"/>
              </w:rPr>
            </w:pPr>
            <w:r>
              <w:rPr>
                <w:rFonts w:ascii="Arial" w:cs="Arial" w:eastAsia="Arial" w:hAnsi="Arial"/>
                <w:sz w:val="17"/>
                <w:szCs w:val="17"/>
                <w:b w:val="1"/>
                <w:bCs w:val="1"/>
                <w:color w:val="444867"/>
              </w:rPr>
              <w:t>Target</w:t>
            </w:r>
          </w:p>
        </w:tc>
        <w:tc>
          <w:tcPr>
            <w:tcW w:w="1040" w:type="dxa"/>
            <w:vAlign w:val="bottom"/>
            <w:gridSpan w:val="2"/>
          </w:tcPr>
          <w:p>
            <w:pPr>
              <w:jc w:val="right"/>
              <w:ind w:right="160"/>
              <w:spacing w:after="0"/>
              <w:rPr>
                <w:sz w:val="20"/>
                <w:szCs w:val="20"/>
                <w:color w:val="auto"/>
              </w:rPr>
            </w:pPr>
            <w:r>
              <w:rPr>
                <w:rFonts w:ascii="Arial" w:cs="Arial" w:eastAsia="Arial" w:hAnsi="Arial"/>
                <w:sz w:val="17"/>
                <w:szCs w:val="17"/>
                <w:b w:val="1"/>
                <w:bCs w:val="1"/>
                <w:color w:val="444867"/>
              </w:rPr>
              <w:t>Maximum</w:t>
            </w:r>
          </w:p>
        </w:tc>
        <w:tc>
          <w:tcPr>
            <w:tcW w:w="1040" w:type="dxa"/>
            <w:vAlign w:val="bottom"/>
          </w:tcPr>
          <w:p>
            <w:pPr>
              <w:jc w:val="right"/>
              <w:spacing w:after="0"/>
              <w:rPr>
                <w:sz w:val="20"/>
                <w:szCs w:val="20"/>
                <w:color w:val="auto"/>
              </w:rPr>
            </w:pPr>
            <w:r>
              <w:rPr>
                <w:rFonts w:ascii="Arial" w:cs="Arial" w:eastAsia="Arial" w:hAnsi="Arial"/>
                <w:sz w:val="17"/>
                <w:szCs w:val="17"/>
                <w:b w:val="1"/>
                <w:bCs w:val="1"/>
                <w:color w:val="444867"/>
              </w:rPr>
              <w:t>Target</w:t>
            </w:r>
          </w:p>
        </w:tc>
        <w:tc>
          <w:tcPr>
            <w:tcW w:w="1220" w:type="dxa"/>
            <w:vAlign w:val="bottom"/>
          </w:tcPr>
          <w:p>
            <w:pPr>
              <w:jc w:val="right"/>
              <w:ind w:right="180"/>
              <w:spacing w:after="0"/>
              <w:rPr>
                <w:sz w:val="20"/>
                <w:szCs w:val="20"/>
                <w:color w:val="auto"/>
              </w:rPr>
            </w:pPr>
            <w:r>
              <w:rPr>
                <w:rFonts w:ascii="Arial" w:cs="Arial" w:eastAsia="Arial" w:hAnsi="Arial"/>
                <w:sz w:val="17"/>
                <w:szCs w:val="17"/>
                <w:b w:val="1"/>
                <w:bCs w:val="1"/>
                <w:color w:val="444867"/>
              </w:rPr>
              <w:t>Options</w:t>
            </w:r>
          </w:p>
        </w:tc>
        <w:tc>
          <w:tcPr>
            <w:tcW w:w="860" w:type="dxa"/>
            <w:vAlign w:val="bottom"/>
          </w:tcPr>
          <w:p>
            <w:pPr>
              <w:jc w:val="right"/>
              <w:spacing w:after="0"/>
              <w:rPr>
                <w:sz w:val="20"/>
                <w:szCs w:val="20"/>
                <w:color w:val="auto"/>
              </w:rPr>
            </w:pPr>
            <w:r>
              <w:rPr>
                <w:rFonts w:ascii="Arial" w:cs="Arial" w:eastAsia="Arial" w:hAnsi="Arial"/>
                <w:sz w:val="17"/>
                <w:szCs w:val="17"/>
                <w:b w:val="1"/>
                <w:bCs w:val="1"/>
                <w:color w:val="444867"/>
              </w:rPr>
              <w:t>Awards</w:t>
            </w:r>
          </w:p>
        </w:tc>
        <w:tc>
          <w:tcPr>
            <w:tcW w:w="1160" w:type="dxa"/>
            <w:vAlign w:val="bottom"/>
          </w:tcPr>
          <w:p>
            <w:pPr>
              <w:jc w:val="right"/>
              <w:ind w:right="355"/>
              <w:spacing w:after="0"/>
              <w:rPr>
                <w:sz w:val="20"/>
                <w:szCs w:val="20"/>
                <w:color w:val="auto"/>
              </w:rPr>
            </w:pPr>
            <w:r>
              <w:rPr>
                <w:rFonts w:ascii="Arial" w:cs="Arial" w:eastAsia="Arial" w:hAnsi="Arial"/>
                <w:sz w:val="17"/>
                <w:szCs w:val="17"/>
                <w:b w:val="1"/>
                <w:bCs w:val="1"/>
                <w:color w:val="444867"/>
              </w:rPr>
              <w:t>Grant</w:t>
            </w:r>
          </w:p>
        </w:tc>
        <w:tc>
          <w:tcPr>
            <w:tcW w:w="1660" w:type="dxa"/>
            <w:vAlign w:val="bottom"/>
          </w:tcPr>
          <w:p>
            <w:pPr>
              <w:jc w:val="right"/>
              <w:ind w:right="265"/>
              <w:spacing w:after="0"/>
              <w:rPr>
                <w:sz w:val="20"/>
                <w:szCs w:val="20"/>
                <w:color w:val="auto"/>
              </w:rPr>
            </w:pPr>
            <w:r>
              <w:rPr>
                <w:rFonts w:ascii="Arial" w:cs="Arial" w:eastAsia="Arial" w:hAnsi="Arial"/>
                <w:sz w:val="17"/>
                <w:szCs w:val="17"/>
                <w:b w:val="1"/>
                <w:bCs w:val="1"/>
                <w:color w:val="444867"/>
              </w:rPr>
              <w:t>and Option</w:t>
            </w:r>
          </w:p>
        </w:tc>
        <w:tc>
          <w:tcPr>
            <w:tcW w:w="0" w:type="dxa"/>
            <w:vAlign w:val="bottom"/>
          </w:tcPr>
          <w:p>
            <w:pPr>
              <w:spacing w:after="0"/>
              <w:rPr>
                <w:sz w:val="1"/>
                <w:szCs w:val="1"/>
                <w:color w:val="auto"/>
              </w:rPr>
            </w:pPr>
          </w:p>
        </w:tc>
      </w:tr>
      <w:tr>
        <w:trPr>
          <w:trHeight w:val="213"/>
        </w:trPr>
        <w:tc>
          <w:tcPr>
            <w:tcW w:w="20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444867"/>
              </w:rPr>
              <w:t>Name</w:t>
            </w:r>
          </w:p>
        </w:tc>
        <w:tc>
          <w:tcPr>
            <w:tcW w:w="6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444867"/>
              </w:rPr>
              <w:t>Date</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w:t>
            </w:r>
          </w:p>
        </w:tc>
        <w:tc>
          <w:tcPr>
            <w:tcW w:w="104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7"/>
                <w:szCs w:val="17"/>
                <w:b w:val="1"/>
                <w:bCs w:val="1"/>
                <w:color w:val="444867"/>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(#)(2)(3)</w:t>
            </w:r>
          </w:p>
        </w:tc>
        <w:tc>
          <w:tcPr>
            <w:tcW w:w="1220" w:type="dxa"/>
            <w:vAlign w:val="bottom"/>
            <w:tcBorders>
              <w:bottom w:val="single" w:sz="8" w:color="auto"/>
            </w:tcBorders>
          </w:tcPr>
          <w:p>
            <w:pPr>
              <w:jc w:val="right"/>
              <w:ind w:right="180"/>
              <w:spacing w:after="0"/>
              <w:rPr>
                <w:sz w:val="20"/>
                <w:szCs w:val="20"/>
                <w:color w:val="auto"/>
              </w:rPr>
            </w:pPr>
            <w:r>
              <w:rPr>
                <w:rFonts w:ascii="Arial" w:cs="Arial" w:eastAsia="Arial" w:hAnsi="Arial"/>
                <w:sz w:val="17"/>
                <w:szCs w:val="17"/>
                <w:b w:val="1"/>
                <w:bCs w:val="1"/>
                <w:color w:val="444867"/>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($/Sh.)</w:t>
            </w:r>
          </w:p>
        </w:tc>
        <w:tc>
          <w:tcPr>
            <w:tcW w:w="1160" w:type="dxa"/>
            <w:vAlign w:val="bottom"/>
            <w:tcBorders>
              <w:bottom w:val="single" w:sz="8" w:color="auto"/>
            </w:tcBorders>
          </w:tcPr>
          <w:p>
            <w:pPr>
              <w:jc w:val="right"/>
              <w:ind w:right="355"/>
              <w:spacing w:after="0"/>
              <w:rPr>
                <w:sz w:val="20"/>
                <w:szCs w:val="20"/>
                <w:color w:val="auto"/>
              </w:rPr>
            </w:pPr>
            <w:r>
              <w:rPr>
                <w:rFonts w:ascii="Arial" w:cs="Arial" w:eastAsia="Arial" w:hAnsi="Arial"/>
                <w:sz w:val="17"/>
                <w:szCs w:val="17"/>
                <w:b w:val="1"/>
                <w:bCs w:val="1"/>
                <w:color w:val="444867"/>
              </w:rPr>
              <w:t>Date</w:t>
            </w:r>
          </w:p>
        </w:tc>
        <w:tc>
          <w:tcPr>
            <w:tcW w:w="1660" w:type="dxa"/>
            <w:vAlign w:val="bottom"/>
            <w:tcBorders>
              <w:bottom w:val="single" w:sz="8" w:color="auto"/>
            </w:tcBorders>
          </w:tcPr>
          <w:p>
            <w:pPr>
              <w:jc w:val="right"/>
              <w:ind w:right="265"/>
              <w:spacing w:after="0"/>
              <w:rPr>
                <w:sz w:val="20"/>
                <w:szCs w:val="20"/>
                <w:color w:val="auto"/>
              </w:rPr>
            </w:pPr>
            <w:r>
              <w:rPr>
                <w:rFonts w:ascii="Arial" w:cs="Arial" w:eastAsia="Arial" w:hAnsi="Arial"/>
                <w:sz w:val="17"/>
                <w:szCs w:val="17"/>
                <w:b w:val="1"/>
                <w:bCs w:val="1"/>
                <w:color w:val="444867"/>
              </w:rPr>
              <w:t>Awards</w:t>
            </w:r>
          </w:p>
        </w:tc>
        <w:tc>
          <w:tcPr>
            <w:tcW w:w="0" w:type="dxa"/>
            <w:vAlign w:val="bottom"/>
          </w:tcPr>
          <w:p>
            <w:pPr>
              <w:spacing w:after="0"/>
              <w:rPr>
                <w:sz w:val="1"/>
                <w:szCs w:val="1"/>
                <w:color w:val="auto"/>
              </w:rPr>
            </w:pPr>
          </w:p>
        </w:tc>
      </w:tr>
      <w:tr>
        <w:trPr>
          <w:trHeight w:val="189"/>
        </w:trPr>
        <w:tc>
          <w:tcPr>
            <w:tcW w:w="204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R. Gonzalez</w:t>
            </w:r>
          </w:p>
        </w:tc>
        <w:tc>
          <w:tcPr>
            <w:tcW w:w="1500" w:type="dxa"/>
            <w:vAlign w:val="bottom"/>
            <w:gridSpan w:val="2"/>
            <w:shd w:val="clear" w:color="auto" w:fill="E7E7E8"/>
          </w:tcPr>
          <w:p>
            <w:pPr>
              <w:jc w:val="right"/>
              <w:ind w:right="75"/>
              <w:spacing w:after="0" w:line="189" w:lineRule="exact"/>
              <w:rPr>
                <w:sz w:val="20"/>
                <w:szCs w:val="20"/>
                <w:color w:val="auto"/>
              </w:rPr>
            </w:pPr>
            <w:r>
              <w:rPr>
                <w:rFonts w:ascii="Arial" w:cs="Arial" w:eastAsia="Arial" w:hAnsi="Arial"/>
                <w:sz w:val="17"/>
                <w:szCs w:val="17"/>
                <w:color w:val="auto"/>
              </w:rPr>
              <w:t>02/19/15</w:t>
            </w:r>
          </w:p>
        </w:tc>
        <w:tc>
          <w:tcPr>
            <w:tcW w:w="900" w:type="dxa"/>
            <w:vAlign w:val="bottom"/>
            <w:shd w:val="clear" w:color="auto" w:fill="E7E7E8"/>
          </w:tcPr>
          <w:p>
            <w:pPr>
              <w:spacing w:after="0"/>
              <w:rPr>
                <w:sz w:val="16"/>
                <w:szCs w:val="16"/>
                <w:color w:val="auto"/>
              </w:rPr>
            </w:pPr>
          </w:p>
        </w:tc>
        <w:tc>
          <w:tcPr>
            <w:tcW w:w="880" w:type="dxa"/>
            <w:vAlign w:val="bottom"/>
            <w:shd w:val="clear" w:color="auto" w:fill="E7E7E8"/>
          </w:tcPr>
          <w:p>
            <w:pPr>
              <w:spacing w:after="0"/>
              <w:rPr>
                <w:sz w:val="16"/>
                <w:szCs w:val="16"/>
                <w:color w:val="auto"/>
              </w:rPr>
            </w:pPr>
          </w:p>
        </w:tc>
        <w:tc>
          <w:tcPr>
            <w:tcW w:w="160" w:type="dxa"/>
            <w:vAlign w:val="bottom"/>
            <w:shd w:val="clear" w:color="auto" w:fill="E7E7E8"/>
          </w:tcPr>
          <w:p>
            <w:pPr>
              <w:spacing w:after="0"/>
              <w:rPr>
                <w:sz w:val="16"/>
                <w:szCs w:val="16"/>
                <w:color w:val="auto"/>
              </w:rPr>
            </w:pPr>
          </w:p>
        </w:tc>
        <w:tc>
          <w:tcPr>
            <w:tcW w:w="104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165,590</w:t>
            </w:r>
          </w:p>
        </w:tc>
        <w:tc>
          <w:tcPr>
            <w:tcW w:w="1220" w:type="dxa"/>
            <w:vAlign w:val="bottom"/>
            <w:shd w:val="clear" w:color="auto" w:fill="E7E7E8"/>
          </w:tcPr>
          <w:p>
            <w:pPr>
              <w:spacing w:after="0"/>
              <w:rPr>
                <w:sz w:val="16"/>
                <w:szCs w:val="16"/>
                <w:color w:val="auto"/>
              </w:rPr>
            </w:pPr>
          </w:p>
        </w:tc>
        <w:tc>
          <w:tcPr>
            <w:tcW w:w="860" w:type="dxa"/>
            <w:vAlign w:val="bottom"/>
            <w:shd w:val="clear" w:color="auto" w:fill="E7E7E8"/>
          </w:tcPr>
          <w:p>
            <w:pPr>
              <w:spacing w:after="0"/>
              <w:rPr>
                <w:sz w:val="16"/>
                <w:szCs w:val="16"/>
                <w:color w:val="auto"/>
              </w:rPr>
            </w:pPr>
          </w:p>
        </w:tc>
        <w:tc>
          <w:tcPr>
            <w:tcW w:w="1160" w:type="dxa"/>
            <w:vAlign w:val="bottom"/>
            <w:shd w:val="clear" w:color="auto" w:fill="E7E7E8"/>
          </w:tcPr>
          <w:p>
            <w:pPr>
              <w:spacing w:after="0"/>
              <w:rPr>
                <w:sz w:val="16"/>
                <w:szCs w:val="16"/>
                <w:color w:val="auto"/>
              </w:rPr>
            </w:pPr>
          </w:p>
        </w:tc>
        <w:tc>
          <w:tcPr>
            <w:tcW w:w="1660" w:type="dxa"/>
            <w:vAlign w:val="bottom"/>
            <w:shd w:val="clear" w:color="auto" w:fill="E7E7E8"/>
          </w:tcPr>
          <w:p>
            <w:pPr>
              <w:jc w:val="right"/>
              <w:ind w:right="85"/>
              <w:spacing w:after="0" w:line="189" w:lineRule="exact"/>
              <w:rPr>
                <w:sz w:val="20"/>
                <w:szCs w:val="20"/>
                <w:color w:val="auto"/>
              </w:rPr>
            </w:pPr>
            <w:r>
              <w:rPr>
                <w:rFonts w:ascii="Arial" w:cs="Arial" w:eastAsia="Arial" w:hAnsi="Arial"/>
                <w:sz w:val="13"/>
                <w:szCs w:val="13"/>
                <w:color w:val="auto"/>
              </w:rPr>
              <w:t>$9,747,455</w:t>
            </w:r>
            <w:r>
              <w:rPr>
                <w:rFonts w:ascii="Arial" w:cs="Arial" w:eastAsia="Arial" w:hAnsi="Arial"/>
                <w:sz w:val="21"/>
                <w:szCs w:val="21"/>
                <w:color w:val="auto"/>
                <w:vertAlign w:val="superscript"/>
              </w:rPr>
              <w:t>(4)</w:t>
            </w:r>
          </w:p>
        </w:tc>
        <w:tc>
          <w:tcPr>
            <w:tcW w:w="0" w:type="dxa"/>
            <w:vAlign w:val="bottom"/>
          </w:tcPr>
          <w:p>
            <w:pPr>
              <w:spacing w:after="0"/>
              <w:rPr>
                <w:sz w:val="1"/>
                <w:szCs w:val="1"/>
                <w:color w:val="auto"/>
              </w:rPr>
            </w:pPr>
          </w:p>
        </w:tc>
      </w:tr>
      <w:tr>
        <w:trPr>
          <w:trHeight w:val="196"/>
        </w:trPr>
        <w:tc>
          <w:tcPr>
            <w:tcW w:w="2040" w:type="dxa"/>
            <w:vAlign w:val="bottom"/>
            <w:shd w:val="clear" w:color="auto" w:fill="E7E7E8"/>
          </w:tcPr>
          <w:p>
            <w:pPr>
              <w:spacing w:after="0"/>
              <w:rPr>
                <w:sz w:val="17"/>
                <w:szCs w:val="17"/>
                <w:color w:val="auto"/>
              </w:rPr>
            </w:pPr>
          </w:p>
        </w:tc>
        <w:tc>
          <w:tcPr>
            <w:tcW w:w="1500" w:type="dxa"/>
            <w:vAlign w:val="bottom"/>
            <w:gridSpan w:val="2"/>
            <w:shd w:val="clear" w:color="auto" w:fill="E7E7E8"/>
          </w:tcPr>
          <w:p>
            <w:pPr>
              <w:jc w:val="right"/>
              <w:ind w:right="75"/>
              <w:spacing w:after="0"/>
              <w:rPr>
                <w:sz w:val="20"/>
                <w:szCs w:val="20"/>
                <w:color w:val="auto"/>
              </w:rPr>
            </w:pPr>
            <w:r>
              <w:rPr>
                <w:rFonts w:ascii="Arial" w:cs="Arial" w:eastAsia="Arial" w:hAnsi="Arial"/>
                <w:sz w:val="17"/>
                <w:szCs w:val="17"/>
                <w:color w:val="auto"/>
              </w:rPr>
              <w:t>02/19/15</w:t>
            </w:r>
          </w:p>
        </w:tc>
        <w:tc>
          <w:tcPr>
            <w:tcW w:w="90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040" w:type="dxa"/>
            <w:vAlign w:val="bottom"/>
            <w:shd w:val="clear" w:color="auto" w:fill="E7E7E8"/>
          </w:tcPr>
          <w:p>
            <w:pPr>
              <w:spacing w:after="0"/>
              <w:rPr>
                <w:sz w:val="17"/>
                <w:szCs w:val="17"/>
                <w:color w:val="auto"/>
              </w:rPr>
            </w:pPr>
          </w:p>
        </w:tc>
        <w:tc>
          <w:tcPr>
            <w:tcW w:w="12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327,290</w:t>
            </w:r>
            <w:r>
              <w:rPr>
                <w:rFonts w:ascii="Arial" w:cs="Arial" w:eastAsia="Arial" w:hAnsi="Arial"/>
                <w:sz w:val="22"/>
                <w:szCs w:val="22"/>
                <w:color w:val="auto"/>
                <w:vertAlign w:val="superscript"/>
              </w:rPr>
              <w:t>(5)</w:t>
            </w:r>
          </w:p>
        </w:tc>
        <w:tc>
          <w:tcPr>
            <w:tcW w:w="8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$58.88</w:t>
            </w:r>
          </w:p>
        </w:tc>
        <w:tc>
          <w:tcPr>
            <w:tcW w:w="1160" w:type="dxa"/>
            <w:vAlign w:val="bottom"/>
            <w:shd w:val="clear" w:color="auto" w:fill="E7E7E8"/>
          </w:tcPr>
          <w:p>
            <w:pPr>
              <w:jc w:val="right"/>
              <w:ind w:right="355"/>
              <w:spacing w:after="0"/>
              <w:rPr>
                <w:sz w:val="20"/>
                <w:szCs w:val="20"/>
                <w:color w:val="auto"/>
              </w:rPr>
            </w:pPr>
            <w:r>
              <w:rPr>
                <w:rFonts w:ascii="Arial" w:cs="Arial" w:eastAsia="Arial" w:hAnsi="Arial"/>
                <w:sz w:val="17"/>
                <w:szCs w:val="17"/>
                <w:color w:val="auto"/>
              </w:rPr>
              <w:t>$59.00</w:t>
            </w:r>
          </w:p>
        </w:tc>
        <w:tc>
          <w:tcPr>
            <w:tcW w:w="1660" w:type="dxa"/>
            <w:vAlign w:val="bottom"/>
            <w:shd w:val="clear" w:color="auto" w:fill="E7E7E8"/>
          </w:tcPr>
          <w:p>
            <w:pPr>
              <w:jc w:val="right"/>
              <w:ind w:right="85"/>
              <w:spacing w:after="0" w:line="195" w:lineRule="exact"/>
              <w:rPr>
                <w:sz w:val="20"/>
                <w:szCs w:val="20"/>
                <w:color w:val="auto"/>
              </w:rPr>
            </w:pPr>
            <w:r>
              <w:rPr>
                <w:rFonts w:ascii="Arial" w:cs="Arial" w:eastAsia="Arial" w:hAnsi="Arial"/>
                <w:sz w:val="14"/>
                <w:szCs w:val="14"/>
                <w:color w:val="auto"/>
              </w:rPr>
              <w:t>3,259,808</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99"/>
        </w:trPr>
        <w:tc>
          <w:tcPr>
            <w:tcW w:w="2040" w:type="dxa"/>
            <w:vAlign w:val="bottom"/>
          </w:tcPr>
          <w:p>
            <w:pPr>
              <w:spacing w:after="0"/>
              <w:rPr>
                <w:sz w:val="20"/>
                <w:szCs w:val="20"/>
                <w:color w:val="auto"/>
              </w:rPr>
            </w:pPr>
            <w:r>
              <w:rPr>
                <w:rFonts w:ascii="Arial" w:cs="Arial" w:eastAsia="Arial" w:hAnsi="Arial"/>
                <w:sz w:val="17"/>
                <w:szCs w:val="17"/>
                <w:color w:val="auto"/>
              </w:rPr>
              <w:t>W. Chase</w:t>
            </w:r>
          </w:p>
        </w:tc>
        <w:tc>
          <w:tcPr>
            <w:tcW w:w="1500" w:type="dxa"/>
            <w:vAlign w:val="bottom"/>
            <w:gridSpan w:val="2"/>
          </w:tcPr>
          <w:p>
            <w:pPr>
              <w:jc w:val="right"/>
              <w:ind w:right="75"/>
              <w:spacing w:after="0"/>
              <w:rPr>
                <w:sz w:val="20"/>
                <w:szCs w:val="20"/>
                <w:color w:val="auto"/>
              </w:rPr>
            </w:pPr>
            <w:r>
              <w:rPr>
                <w:rFonts w:ascii="Arial" w:cs="Arial" w:eastAsia="Arial" w:hAnsi="Arial"/>
                <w:sz w:val="17"/>
                <w:szCs w:val="17"/>
                <w:color w:val="auto"/>
              </w:rPr>
              <w:t>02/19/15</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56,040</w:t>
            </w: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jc w:val="right"/>
              <w:ind w:right="85"/>
              <w:spacing w:after="0" w:line="199" w:lineRule="exact"/>
              <w:rPr>
                <w:sz w:val="20"/>
                <w:szCs w:val="20"/>
                <w:color w:val="auto"/>
              </w:rPr>
            </w:pPr>
            <w:r>
              <w:rPr>
                <w:rFonts w:ascii="Arial" w:cs="Arial" w:eastAsia="Arial" w:hAnsi="Arial"/>
                <w:sz w:val="14"/>
                <w:szCs w:val="14"/>
                <w:color w:val="auto"/>
              </w:rPr>
              <w:t>3,298,795</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193"/>
        </w:trPr>
        <w:tc>
          <w:tcPr>
            <w:tcW w:w="2040" w:type="dxa"/>
            <w:vAlign w:val="bottom"/>
          </w:tcPr>
          <w:p>
            <w:pPr>
              <w:spacing w:after="0"/>
              <w:rPr>
                <w:sz w:val="16"/>
                <w:szCs w:val="16"/>
                <w:color w:val="auto"/>
              </w:rPr>
            </w:pPr>
          </w:p>
        </w:tc>
        <w:tc>
          <w:tcPr>
            <w:tcW w:w="1500" w:type="dxa"/>
            <w:vAlign w:val="bottom"/>
            <w:gridSpan w:val="2"/>
          </w:tcPr>
          <w:p>
            <w:pPr>
              <w:jc w:val="right"/>
              <w:ind w:right="75"/>
              <w:spacing w:after="0" w:line="194" w:lineRule="exact"/>
              <w:rPr>
                <w:sz w:val="20"/>
                <w:szCs w:val="20"/>
                <w:color w:val="auto"/>
              </w:rPr>
            </w:pPr>
            <w:r>
              <w:rPr>
                <w:rFonts w:ascii="Arial" w:cs="Arial" w:eastAsia="Arial" w:hAnsi="Arial"/>
                <w:sz w:val="17"/>
                <w:szCs w:val="17"/>
                <w:color w:val="auto"/>
              </w:rPr>
              <w:t>02/19/15</w:t>
            </w: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Arial" w:cs="Arial" w:eastAsia="Arial" w:hAnsi="Arial"/>
                <w:sz w:val="14"/>
                <w:szCs w:val="14"/>
                <w:color w:val="auto"/>
              </w:rPr>
              <w:t>110,770</w:t>
            </w:r>
            <w:r>
              <w:rPr>
                <w:rFonts w:ascii="Arial" w:cs="Arial" w:eastAsia="Arial" w:hAnsi="Arial"/>
                <w:sz w:val="22"/>
                <w:szCs w:val="22"/>
                <w:color w:val="auto"/>
                <w:vertAlign w:val="superscript"/>
              </w:rPr>
              <w:t>(5)</w:t>
            </w:r>
          </w:p>
        </w:tc>
        <w:tc>
          <w:tcPr>
            <w:tcW w:w="860" w:type="dxa"/>
            <w:vAlign w:val="bottom"/>
          </w:tcPr>
          <w:p>
            <w:pPr>
              <w:jc w:val="right"/>
              <w:ind w:right="15"/>
              <w:spacing w:after="0" w:line="194" w:lineRule="exact"/>
              <w:rPr>
                <w:sz w:val="20"/>
                <w:szCs w:val="20"/>
                <w:color w:val="auto"/>
              </w:rPr>
            </w:pPr>
            <w:r>
              <w:rPr>
                <w:rFonts w:ascii="Arial" w:cs="Arial" w:eastAsia="Arial" w:hAnsi="Arial"/>
                <w:sz w:val="17"/>
                <w:szCs w:val="17"/>
                <w:color w:val="auto"/>
              </w:rPr>
              <w:t>58.88</w:t>
            </w:r>
          </w:p>
        </w:tc>
        <w:tc>
          <w:tcPr>
            <w:tcW w:w="1160" w:type="dxa"/>
            <w:vAlign w:val="bottom"/>
          </w:tcPr>
          <w:p>
            <w:pPr>
              <w:jc w:val="right"/>
              <w:ind w:right="355"/>
              <w:spacing w:after="0" w:line="194" w:lineRule="exact"/>
              <w:rPr>
                <w:sz w:val="20"/>
                <w:szCs w:val="20"/>
                <w:color w:val="auto"/>
              </w:rPr>
            </w:pPr>
            <w:r>
              <w:rPr>
                <w:rFonts w:ascii="Arial" w:cs="Arial" w:eastAsia="Arial" w:hAnsi="Arial"/>
                <w:sz w:val="17"/>
                <w:szCs w:val="17"/>
                <w:color w:val="auto"/>
              </w:rPr>
              <w:t>59.00</w:t>
            </w:r>
          </w:p>
        </w:tc>
        <w:tc>
          <w:tcPr>
            <w:tcW w:w="1660" w:type="dxa"/>
            <w:vAlign w:val="bottom"/>
          </w:tcPr>
          <w:p>
            <w:pPr>
              <w:jc w:val="right"/>
              <w:ind w:right="85"/>
              <w:spacing w:after="0" w:line="193" w:lineRule="exact"/>
              <w:rPr>
                <w:sz w:val="20"/>
                <w:szCs w:val="20"/>
                <w:color w:val="auto"/>
              </w:rPr>
            </w:pPr>
            <w:r>
              <w:rPr>
                <w:rFonts w:ascii="Arial" w:cs="Arial" w:eastAsia="Arial" w:hAnsi="Arial"/>
                <w:sz w:val="14"/>
                <w:szCs w:val="14"/>
                <w:color w:val="auto"/>
              </w:rPr>
              <w:t>1,103,269</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96"/>
        </w:trPr>
        <w:tc>
          <w:tcPr>
            <w:tcW w:w="2040" w:type="dxa"/>
            <w:vAlign w:val="bottom"/>
            <w:shd w:val="clear" w:color="auto" w:fill="E7E7E8"/>
          </w:tcPr>
          <w:p>
            <w:pPr>
              <w:spacing w:after="0"/>
              <w:rPr>
                <w:sz w:val="20"/>
                <w:szCs w:val="20"/>
                <w:color w:val="auto"/>
              </w:rPr>
            </w:pPr>
            <w:r>
              <w:rPr>
                <w:rFonts w:ascii="Arial" w:cs="Arial" w:eastAsia="Arial" w:hAnsi="Arial"/>
                <w:sz w:val="17"/>
                <w:szCs w:val="17"/>
                <w:color w:val="auto"/>
              </w:rPr>
              <w:t>L. Schumacher</w:t>
            </w:r>
          </w:p>
        </w:tc>
        <w:tc>
          <w:tcPr>
            <w:tcW w:w="1500" w:type="dxa"/>
            <w:vAlign w:val="bottom"/>
            <w:gridSpan w:val="2"/>
            <w:shd w:val="clear" w:color="auto" w:fill="E7E7E8"/>
          </w:tcPr>
          <w:p>
            <w:pPr>
              <w:jc w:val="right"/>
              <w:ind w:right="75"/>
              <w:spacing w:after="0"/>
              <w:rPr>
                <w:sz w:val="20"/>
                <w:szCs w:val="20"/>
                <w:color w:val="auto"/>
              </w:rPr>
            </w:pPr>
            <w:r>
              <w:rPr>
                <w:rFonts w:ascii="Arial" w:cs="Arial" w:eastAsia="Arial" w:hAnsi="Arial"/>
                <w:sz w:val="17"/>
                <w:szCs w:val="17"/>
                <w:color w:val="auto"/>
              </w:rPr>
              <w:t>02/19/15</w:t>
            </w:r>
          </w:p>
        </w:tc>
        <w:tc>
          <w:tcPr>
            <w:tcW w:w="90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52,220</w:t>
            </w:r>
          </w:p>
        </w:tc>
        <w:tc>
          <w:tcPr>
            <w:tcW w:w="1220" w:type="dxa"/>
            <w:vAlign w:val="bottom"/>
            <w:shd w:val="clear" w:color="auto" w:fill="E7E7E8"/>
          </w:tcPr>
          <w:p>
            <w:pPr>
              <w:spacing w:after="0"/>
              <w:rPr>
                <w:sz w:val="17"/>
                <w:szCs w:val="17"/>
                <w:color w:val="auto"/>
              </w:rPr>
            </w:pPr>
          </w:p>
        </w:tc>
        <w:tc>
          <w:tcPr>
            <w:tcW w:w="860" w:type="dxa"/>
            <w:vAlign w:val="bottom"/>
            <w:shd w:val="clear" w:color="auto" w:fill="E7E7E8"/>
          </w:tcPr>
          <w:p>
            <w:pPr>
              <w:spacing w:after="0"/>
              <w:rPr>
                <w:sz w:val="17"/>
                <w:szCs w:val="17"/>
                <w:color w:val="auto"/>
              </w:rPr>
            </w:pPr>
          </w:p>
        </w:tc>
        <w:tc>
          <w:tcPr>
            <w:tcW w:w="1160" w:type="dxa"/>
            <w:vAlign w:val="bottom"/>
            <w:shd w:val="clear" w:color="auto" w:fill="E7E7E8"/>
          </w:tcPr>
          <w:p>
            <w:pPr>
              <w:spacing w:after="0"/>
              <w:rPr>
                <w:sz w:val="17"/>
                <w:szCs w:val="17"/>
                <w:color w:val="auto"/>
              </w:rPr>
            </w:pPr>
          </w:p>
        </w:tc>
        <w:tc>
          <w:tcPr>
            <w:tcW w:w="1660" w:type="dxa"/>
            <w:vAlign w:val="bottom"/>
            <w:shd w:val="clear" w:color="auto" w:fill="E7E7E8"/>
          </w:tcPr>
          <w:p>
            <w:pPr>
              <w:jc w:val="right"/>
              <w:ind w:right="85"/>
              <w:spacing w:after="0" w:line="195" w:lineRule="exact"/>
              <w:rPr>
                <w:sz w:val="20"/>
                <w:szCs w:val="20"/>
                <w:color w:val="auto"/>
              </w:rPr>
            </w:pPr>
            <w:r>
              <w:rPr>
                <w:rFonts w:ascii="Arial" w:cs="Arial" w:eastAsia="Arial" w:hAnsi="Arial"/>
                <w:sz w:val="14"/>
                <w:szCs w:val="14"/>
                <w:color w:val="auto"/>
              </w:rPr>
              <w:t>3,073,930</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2040" w:type="dxa"/>
            <w:vAlign w:val="bottom"/>
            <w:shd w:val="clear" w:color="auto" w:fill="E7E7E8"/>
          </w:tcPr>
          <w:p>
            <w:pPr>
              <w:spacing w:after="0"/>
              <w:rPr>
                <w:sz w:val="17"/>
                <w:szCs w:val="17"/>
                <w:color w:val="auto"/>
              </w:rPr>
            </w:pPr>
          </w:p>
        </w:tc>
        <w:tc>
          <w:tcPr>
            <w:tcW w:w="1500" w:type="dxa"/>
            <w:vAlign w:val="bottom"/>
            <w:gridSpan w:val="2"/>
            <w:shd w:val="clear" w:color="auto" w:fill="E7E7E8"/>
          </w:tcPr>
          <w:p>
            <w:pPr>
              <w:jc w:val="right"/>
              <w:ind w:right="75"/>
              <w:spacing w:after="0"/>
              <w:rPr>
                <w:sz w:val="20"/>
                <w:szCs w:val="20"/>
                <w:color w:val="auto"/>
              </w:rPr>
            </w:pPr>
            <w:r>
              <w:rPr>
                <w:rFonts w:ascii="Arial" w:cs="Arial" w:eastAsia="Arial" w:hAnsi="Arial"/>
                <w:sz w:val="17"/>
                <w:szCs w:val="17"/>
                <w:color w:val="auto"/>
              </w:rPr>
              <w:t>02/19/15</w:t>
            </w:r>
          </w:p>
        </w:tc>
        <w:tc>
          <w:tcPr>
            <w:tcW w:w="90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040" w:type="dxa"/>
            <w:vAlign w:val="bottom"/>
            <w:shd w:val="clear" w:color="auto" w:fill="E7E7E8"/>
          </w:tcPr>
          <w:p>
            <w:pPr>
              <w:spacing w:after="0"/>
              <w:rPr>
                <w:sz w:val="17"/>
                <w:szCs w:val="17"/>
                <w:color w:val="auto"/>
              </w:rPr>
            </w:pPr>
          </w:p>
        </w:tc>
        <w:tc>
          <w:tcPr>
            <w:tcW w:w="12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103,220</w:t>
            </w:r>
            <w:r>
              <w:rPr>
                <w:rFonts w:ascii="Arial" w:cs="Arial" w:eastAsia="Arial" w:hAnsi="Arial"/>
                <w:sz w:val="22"/>
                <w:szCs w:val="22"/>
                <w:color w:val="auto"/>
                <w:vertAlign w:val="superscript"/>
              </w:rPr>
              <w:t>(5)</w:t>
            </w:r>
          </w:p>
        </w:tc>
        <w:tc>
          <w:tcPr>
            <w:tcW w:w="860" w:type="dxa"/>
            <w:vAlign w:val="bottom"/>
            <w:shd w:val="clear" w:color="auto" w:fill="E7E7E8"/>
          </w:tcPr>
          <w:p>
            <w:pPr>
              <w:jc w:val="right"/>
              <w:ind w:right="15"/>
              <w:spacing w:after="0"/>
              <w:rPr>
                <w:sz w:val="20"/>
                <w:szCs w:val="20"/>
                <w:color w:val="auto"/>
              </w:rPr>
            </w:pPr>
            <w:r>
              <w:rPr>
                <w:rFonts w:ascii="Arial" w:cs="Arial" w:eastAsia="Arial" w:hAnsi="Arial"/>
                <w:sz w:val="17"/>
                <w:szCs w:val="17"/>
                <w:color w:val="auto"/>
              </w:rPr>
              <w:t>58.88</w:t>
            </w:r>
          </w:p>
        </w:tc>
        <w:tc>
          <w:tcPr>
            <w:tcW w:w="1160" w:type="dxa"/>
            <w:vAlign w:val="bottom"/>
            <w:shd w:val="clear" w:color="auto" w:fill="E7E7E8"/>
          </w:tcPr>
          <w:p>
            <w:pPr>
              <w:jc w:val="right"/>
              <w:ind w:right="355"/>
              <w:spacing w:after="0"/>
              <w:rPr>
                <w:sz w:val="20"/>
                <w:szCs w:val="20"/>
                <w:color w:val="auto"/>
              </w:rPr>
            </w:pPr>
            <w:r>
              <w:rPr>
                <w:rFonts w:ascii="Arial" w:cs="Arial" w:eastAsia="Arial" w:hAnsi="Arial"/>
                <w:sz w:val="17"/>
                <w:szCs w:val="17"/>
                <w:color w:val="auto"/>
              </w:rPr>
              <w:t>59.00</w:t>
            </w:r>
          </w:p>
        </w:tc>
        <w:tc>
          <w:tcPr>
            <w:tcW w:w="1660" w:type="dxa"/>
            <w:vAlign w:val="bottom"/>
            <w:shd w:val="clear" w:color="auto" w:fill="E7E7E8"/>
          </w:tcPr>
          <w:p>
            <w:pPr>
              <w:jc w:val="right"/>
              <w:ind w:right="85"/>
              <w:spacing w:after="0" w:line="195" w:lineRule="exact"/>
              <w:rPr>
                <w:sz w:val="20"/>
                <w:szCs w:val="20"/>
                <w:color w:val="auto"/>
              </w:rPr>
            </w:pPr>
            <w:r>
              <w:rPr>
                <w:rFonts w:ascii="Arial" w:cs="Arial" w:eastAsia="Arial" w:hAnsi="Arial"/>
                <w:sz w:val="14"/>
                <w:szCs w:val="14"/>
                <w:color w:val="auto"/>
              </w:rPr>
              <w:t>1,028,071</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99"/>
        </w:trPr>
        <w:tc>
          <w:tcPr>
            <w:tcW w:w="2040" w:type="dxa"/>
            <w:vAlign w:val="bottom"/>
          </w:tcPr>
          <w:p>
            <w:pPr>
              <w:spacing w:after="0"/>
              <w:rPr>
                <w:sz w:val="20"/>
                <w:szCs w:val="20"/>
                <w:color w:val="auto"/>
              </w:rPr>
            </w:pPr>
            <w:r>
              <w:rPr>
                <w:rFonts w:ascii="Arial" w:cs="Arial" w:eastAsia="Arial" w:hAnsi="Arial"/>
                <w:sz w:val="17"/>
                <w:szCs w:val="17"/>
                <w:color w:val="auto"/>
              </w:rPr>
              <w:t>C. Alban</w:t>
            </w:r>
          </w:p>
        </w:tc>
        <w:tc>
          <w:tcPr>
            <w:tcW w:w="1500" w:type="dxa"/>
            <w:vAlign w:val="bottom"/>
            <w:gridSpan w:val="2"/>
          </w:tcPr>
          <w:p>
            <w:pPr>
              <w:jc w:val="right"/>
              <w:ind w:right="75"/>
              <w:spacing w:after="0"/>
              <w:rPr>
                <w:sz w:val="20"/>
                <w:szCs w:val="20"/>
                <w:color w:val="auto"/>
              </w:rPr>
            </w:pPr>
            <w:r>
              <w:rPr>
                <w:rFonts w:ascii="Arial" w:cs="Arial" w:eastAsia="Arial" w:hAnsi="Arial"/>
                <w:sz w:val="17"/>
                <w:szCs w:val="17"/>
                <w:color w:val="auto"/>
              </w:rPr>
              <w:t>02/19/15</w:t>
            </w: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51,580</w:t>
            </w:r>
          </w:p>
        </w:tc>
        <w:tc>
          <w:tcPr>
            <w:tcW w:w="1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60" w:type="dxa"/>
            <w:vAlign w:val="bottom"/>
          </w:tcPr>
          <w:p>
            <w:pPr>
              <w:jc w:val="right"/>
              <w:ind w:right="85"/>
              <w:spacing w:after="0" w:line="199" w:lineRule="exact"/>
              <w:rPr>
                <w:sz w:val="20"/>
                <w:szCs w:val="20"/>
                <w:color w:val="auto"/>
              </w:rPr>
            </w:pPr>
            <w:r>
              <w:rPr>
                <w:rFonts w:ascii="Arial" w:cs="Arial" w:eastAsia="Arial" w:hAnsi="Arial"/>
                <w:sz w:val="14"/>
                <w:szCs w:val="14"/>
                <w:color w:val="auto"/>
              </w:rPr>
              <w:t>3,036,257</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193"/>
        </w:trPr>
        <w:tc>
          <w:tcPr>
            <w:tcW w:w="2040" w:type="dxa"/>
            <w:vAlign w:val="bottom"/>
          </w:tcPr>
          <w:p>
            <w:pPr>
              <w:spacing w:after="0"/>
              <w:rPr>
                <w:sz w:val="16"/>
                <w:szCs w:val="16"/>
                <w:color w:val="auto"/>
              </w:rPr>
            </w:pPr>
          </w:p>
        </w:tc>
        <w:tc>
          <w:tcPr>
            <w:tcW w:w="1500" w:type="dxa"/>
            <w:vAlign w:val="bottom"/>
            <w:gridSpan w:val="2"/>
          </w:tcPr>
          <w:p>
            <w:pPr>
              <w:jc w:val="right"/>
              <w:ind w:right="75"/>
              <w:spacing w:after="0" w:line="194" w:lineRule="exact"/>
              <w:rPr>
                <w:sz w:val="20"/>
                <w:szCs w:val="20"/>
                <w:color w:val="auto"/>
              </w:rPr>
            </w:pPr>
            <w:r>
              <w:rPr>
                <w:rFonts w:ascii="Arial" w:cs="Arial" w:eastAsia="Arial" w:hAnsi="Arial"/>
                <w:sz w:val="17"/>
                <w:szCs w:val="17"/>
                <w:color w:val="auto"/>
              </w:rPr>
              <w:t>02/19/15</w:t>
            </w:r>
          </w:p>
        </w:tc>
        <w:tc>
          <w:tcPr>
            <w:tcW w:w="9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20" w:type="dxa"/>
            <w:vAlign w:val="bottom"/>
          </w:tcPr>
          <w:p>
            <w:pPr>
              <w:jc w:val="right"/>
              <w:spacing w:after="0" w:line="193" w:lineRule="exact"/>
              <w:rPr>
                <w:sz w:val="20"/>
                <w:szCs w:val="20"/>
                <w:color w:val="auto"/>
              </w:rPr>
            </w:pPr>
            <w:r>
              <w:rPr>
                <w:rFonts w:ascii="Arial" w:cs="Arial" w:eastAsia="Arial" w:hAnsi="Arial"/>
                <w:sz w:val="14"/>
                <w:szCs w:val="14"/>
                <w:color w:val="auto"/>
              </w:rPr>
              <w:t>101,960</w:t>
            </w:r>
            <w:r>
              <w:rPr>
                <w:rFonts w:ascii="Arial" w:cs="Arial" w:eastAsia="Arial" w:hAnsi="Arial"/>
                <w:sz w:val="22"/>
                <w:szCs w:val="22"/>
                <w:color w:val="auto"/>
                <w:vertAlign w:val="superscript"/>
              </w:rPr>
              <w:t>(5)</w:t>
            </w:r>
          </w:p>
        </w:tc>
        <w:tc>
          <w:tcPr>
            <w:tcW w:w="860" w:type="dxa"/>
            <w:vAlign w:val="bottom"/>
          </w:tcPr>
          <w:p>
            <w:pPr>
              <w:jc w:val="right"/>
              <w:ind w:right="15"/>
              <w:spacing w:after="0" w:line="194" w:lineRule="exact"/>
              <w:rPr>
                <w:sz w:val="20"/>
                <w:szCs w:val="20"/>
                <w:color w:val="auto"/>
              </w:rPr>
            </w:pPr>
            <w:r>
              <w:rPr>
                <w:rFonts w:ascii="Arial" w:cs="Arial" w:eastAsia="Arial" w:hAnsi="Arial"/>
                <w:sz w:val="17"/>
                <w:szCs w:val="17"/>
                <w:color w:val="auto"/>
              </w:rPr>
              <w:t>58.88</w:t>
            </w:r>
          </w:p>
        </w:tc>
        <w:tc>
          <w:tcPr>
            <w:tcW w:w="1160" w:type="dxa"/>
            <w:vAlign w:val="bottom"/>
          </w:tcPr>
          <w:p>
            <w:pPr>
              <w:jc w:val="right"/>
              <w:ind w:right="355"/>
              <w:spacing w:after="0" w:line="194" w:lineRule="exact"/>
              <w:rPr>
                <w:sz w:val="20"/>
                <w:szCs w:val="20"/>
                <w:color w:val="auto"/>
              </w:rPr>
            </w:pPr>
            <w:r>
              <w:rPr>
                <w:rFonts w:ascii="Arial" w:cs="Arial" w:eastAsia="Arial" w:hAnsi="Arial"/>
                <w:sz w:val="17"/>
                <w:szCs w:val="17"/>
                <w:color w:val="auto"/>
              </w:rPr>
              <w:t>59.00</w:t>
            </w:r>
          </w:p>
        </w:tc>
        <w:tc>
          <w:tcPr>
            <w:tcW w:w="1660" w:type="dxa"/>
            <w:vAlign w:val="bottom"/>
          </w:tcPr>
          <w:p>
            <w:pPr>
              <w:jc w:val="right"/>
              <w:ind w:right="85"/>
              <w:spacing w:after="0" w:line="193" w:lineRule="exact"/>
              <w:rPr>
                <w:sz w:val="20"/>
                <w:szCs w:val="20"/>
                <w:color w:val="auto"/>
              </w:rPr>
            </w:pPr>
            <w:r>
              <w:rPr>
                <w:rFonts w:ascii="Arial" w:cs="Arial" w:eastAsia="Arial" w:hAnsi="Arial"/>
                <w:sz w:val="14"/>
                <w:szCs w:val="14"/>
                <w:color w:val="auto"/>
              </w:rPr>
              <w:t>1,015,522</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96"/>
        </w:trPr>
        <w:tc>
          <w:tcPr>
            <w:tcW w:w="2040" w:type="dxa"/>
            <w:vAlign w:val="bottom"/>
            <w:shd w:val="clear" w:color="auto" w:fill="E7E7E8"/>
          </w:tcPr>
          <w:p>
            <w:pPr>
              <w:spacing w:after="0"/>
              <w:rPr>
                <w:sz w:val="20"/>
                <w:szCs w:val="20"/>
                <w:color w:val="auto"/>
              </w:rPr>
            </w:pPr>
            <w:r>
              <w:rPr>
                <w:rFonts w:ascii="Arial" w:cs="Arial" w:eastAsia="Arial" w:hAnsi="Arial"/>
                <w:sz w:val="17"/>
                <w:szCs w:val="17"/>
                <w:color w:val="auto"/>
              </w:rPr>
              <w:t>M. Severino</w:t>
            </w:r>
          </w:p>
        </w:tc>
        <w:tc>
          <w:tcPr>
            <w:tcW w:w="1500" w:type="dxa"/>
            <w:vAlign w:val="bottom"/>
            <w:gridSpan w:val="2"/>
            <w:shd w:val="clear" w:color="auto" w:fill="E7E7E8"/>
          </w:tcPr>
          <w:p>
            <w:pPr>
              <w:jc w:val="right"/>
              <w:ind w:right="75"/>
              <w:spacing w:after="0"/>
              <w:rPr>
                <w:sz w:val="20"/>
                <w:szCs w:val="20"/>
                <w:color w:val="auto"/>
              </w:rPr>
            </w:pPr>
            <w:r>
              <w:rPr>
                <w:rFonts w:ascii="Arial" w:cs="Arial" w:eastAsia="Arial" w:hAnsi="Arial"/>
                <w:sz w:val="17"/>
                <w:szCs w:val="17"/>
                <w:color w:val="auto"/>
              </w:rPr>
              <w:t>02/19/15</w:t>
            </w:r>
          </w:p>
        </w:tc>
        <w:tc>
          <w:tcPr>
            <w:tcW w:w="90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040" w:type="dxa"/>
            <w:vAlign w:val="bottom"/>
            <w:shd w:val="clear" w:color="auto" w:fill="E7E7E8"/>
          </w:tcPr>
          <w:p>
            <w:pPr>
              <w:jc w:val="right"/>
              <w:spacing w:after="0"/>
              <w:rPr>
                <w:sz w:val="20"/>
                <w:szCs w:val="20"/>
                <w:color w:val="auto"/>
              </w:rPr>
            </w:pPr>
            <w:r>
              <w:rPr>
                <w:rFonts w:ascii="Arial" w:cs="Arial" w:eastAsia="Arial" w:hAnsi="Arial"/>
                <w:sz w:val="17"/>
                <w:szCs w:val="17"/>
                <w:color w:val="auto"/>
              </w:rPr>
              <w:t>52,860</w:t>
            </w:r>
          </w:p>
        </w:tc>
        <w:tc>
          <w:tcPr>
            <w:tcW w:w="1220" w:type="dxa"/>
            <w:vAlign w:val="bottom"/>
            <w:shd w:val="clear" w:color="auto" w:fill="E7E7E8"/>
          </w:tcPr>
          <w:p>
            <w:pPr>
              <w:spacing w:after="0"/>
              <w:rPr>
                <w:sz w:val="17"/>
                <w:szCs w:val="17"/>
                <w:color w:val="auto"/>
              </w:rPr>
            </w:pPr>
          </w:p>
        </w:tc>
        <w:tc>
          <w:tcPr>
            <w:tcW w:w="860" w:type="dxa"/>
            <w:vAlign w:val="bottom"/>
            <w:shd w:val="clear" w:color="auto" w:fill="E7E7E8"/>
          </w:tcPr>
          <w:p>
            <w:pPr>
              <w:spacing w:after="0"/>
              <w:rPr>
                <w:sz w:val="17"/>
                <w:szCs w:val="17"/>
                <w:color w:val="auto"/>
              </w:rPr>
            </w:pPr>
          </w:p>
        </w:tc>
        <w:tc>
          <w:tcPr>
            <w:tcW w:w="1160" w:type="dxa"/>
            <w:vAlign w:val="bottom"/>
            <w:shd w:val="clear" w:color="auto" w:fill="E7E7E8"/>
          </w:tcPr>
          <w:p>
            <w:pPr>
              <w:spacing w:after="0"/>
              <w:rPr>
                <w:sz w:val="17"/>
                <w:szCs w:val="17"/>
                <w:color w:val="auto"/>
              </w:rPr>
            </w:pPr>
          </w:p>
        </w:tc>
        <w:tc>
          <w:tcPr>
            <w:tcW w:w="1660" w:type="dxa"/>
            <w:vAlign w:val="bottom"/>
            <w:shd w:val="clear" w:color="auto" w:fill="E7E7E8"/>
          </w:tcPr>
          <w:p>
            <w:pPr>
              <w:jc w:val="right"/>
              <w:ind w:right="85"/>
              <w:spacing w:after="0" w:line="195" w:lineRule="exact"/>
              <w:rPr>
                <w:sz w:val="20"/>
                <w:szCs w:val="20"/>
                <w:color w:val="auto"/>
              </w:rPr>
            </w:pPr>
            <w:r>
              <w:rPr>
                <w:rFonts w:ascii="Arial" w:cs="Arial" w:eastAsia="Arial" w:hAnsi="Arial"/>
                <w:sz w:val="14"/>
                <w:szCs w:val="14"/>
                <w:color w:val="auto"/>
              </w:rPr>
              <w:t>3,111,604</w:t>
            </w:r>
            <w:r>
              <w:rPr>
                <w:rFonts w:ascii="Arial" w:cs="Arial" w:eastAsia="Arial" w:hAnsi="Arial"/>
                <w:sz w:val="22"/>
                <w:szCs w:val="22"/>
                <w:color w:val="auto"/>
                <w:vertAlign w:val="superscript"/>
              </w:rPr>
              <w:t>(4)</w:t>
            </w:r>
          </w:p>
        </w:tc>
        <w:tc>
          <w:tcPr>
            <w:tcW w:w="0" w:type="dxa"/>
            <w:vAlign w:val="bottom"/>
          </w:tcPr>
          <w:p>
            <w:pPr>
              <w:spacing w:after="0"/>
              <w:rPr>
                <w:sz w:val="1"/>
                <w:szCs w:val="1"/>
                <w:color w:val="auto"/>
              </w:rPr>
            </w:pPr>
          </w:p>
        </w:tc>
      </w:tr>
      <w:tr>
        <w:trPr>
          <w:trHeight w:val="196"/>
        </w:trPr>
        <w:tc>
          <w:tcPr>
            <w:tcW w:w="2040" w:type="dxa"/>
            <w:vAlign w:val="bottom"/>
            <w:shd w:val="clear" w:color="auto" w:fill="E7E7E8"/>
          </w:tcPr>
          <w:p>
            <w:pPr>
              <w:spacing w:after="0"/>
              <w:rPr>
                <w:sz w:val="17"/>
                <w:szCs w:val="17"/>
                <w:color w:val="auto"/>
              </w:rPr>
            </w:pPr>
          </w:p>
        </w:tc>
        <w:tc>
          <w:tcPr>
            <w:tcW w:w="1500" w:type="dxa"/>
            <w:vAlign w:val="bottom"/>
            <w:gridSpan w:val="2"/>
            <w:shd w:val="clear" w:color="auto" w:fill="E7E7E8"/>
          </w:tcPr>
          <w:p>
            <w:pPr>
              <w:jc w:val="right"/>
              <w:ind w:right="75"/>
              <w:spacing w:after="0"/>
              <w:rPr>
                <w:sz w:val="20"/>
                <w:szCs w:val="20"/>
                <w:color w:val="auto"/>
              </w:rPr>
            </w:pPr>
            <w:r>
              <w:rPr>
                <w:rFonts w:ascii="Arial" w:cs="Arial" w:eastAsia="Arial" w:hAnsi="Arial"/>
                <w:sz w:val="17"/>
                <w:szCs w:val="17"/>
                <w:color w:val="auto"/>
              </w:rPr>
              <w:t>02/19/15</w:t>
            </w:r>
          </w:p>
        </w:tc>
        <w:tc>
          <w:tcPr>
            <w:tcW w:w="900" w:type="dxa"/>
            <w:vAlign w:val="bottom"/>
            <w:shd w:val="clear" w:color="auto" w:fill="E7E7E8"/>
          </w:tcPr>
          <w:p>
            <w:pPr>
              <w:spacing w:after="0"/>
              <w:rPr>
                <w:sz w:val="17"/>
                <w:szCs w:val="17"/>
                <w:color w:val="auto"/>
              </w:rPr>
            </w:pPr>
          </w:p>
        </w:tc>
        <w:tc>
          <w:tcPr>
            <w:tcW w:w="880" w:type="dxa"/>
            <w:vAlign w:val="bottom"/>
            <w:shd w:val="clear" w:color="auto" w:fill="E7E7E8"/>
          </w:tcPr>
          <w:p>
            <w:pPr>
              <w:spacing w:after="0"/>
              <w:rPr>
                <w:sz w:val="17"/>
                <w:szCs w:val="17"/>
                <w:color w:val="auto"/>
              </w:rPr>
            </w:pPr>
          </w:p>
        </w:tc>
        <w:tc>
          <w:tcPr>
            <w:tcW w:w="160" w:type="dxa"/>
            <w:vAlign w:val="bottom"/>
            <w:shd w:val="clear" w:color="auto" w:fill="E7E7E8"/>
          </w:tcPr>
          <w:p>
            <w:pPr>
              <w:spacing w:after="0"/>
              <w:rPr>
                <w:sz w:val="17"/>
                <w:szCs w:val="17"/>
                <w:color w:val="auto"/>
              </w:rPr>
            </w:pPr>
          </w:p>
        </w:tc>
        <w:tc>
          <w:tcPr>
            <w:tcW w:w="1040" w:type="dxa"/>
            <w:vAlign w:val="bottom"/>
            <w:shd w:val="clear" w:color="auto" w:fill="E7E7E8"/>
          </w:tcPr>
          <w:p>
            <w:pPr>
              <w:spacing w:after="0"/>
              <w:rPr>
                <w:sz w:val="17"/>
                <w:szCs w:val="17"/>
                <w:color w:val="auto"/>
              </w:rPr>
            </w:pPr>
          </w:p>
        </w:tc>
        <w:tc>
          <w:tcPr>
            <w:tcW w:w="122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104,480</w:t>
            </w:r>
            <w:r>
              <w:rPr>
                <w:rFonts w:ascii="Arial" w:cs="Arial" w:eastAsia="Arial" w:hAnsi="Arial"/>
                <w:sz w:val="22"/>
                <w:szCs w:val="22"/>
                <w:color w:val="auto"/>
                <w:vertAlign w:val="superscript"/>
              </w:rPr>
              <w:t>(5)</w:t>
            </w:r>
          </w:p>
        </w:tc>
        <w:tc>
          <w:tcPr>
            <w:tcW w:w="860" w:type="dxa"/>
            <w:vAlign w:val="bottom"/>
            <w:shd w:val="clear" w:color="auto" w:fill="E7E7E8"/>
          </w:tcPr>
          <w:p>
            <w:pPr>
              <w:jc w:val="right"/>
              <w:ind w:right="15"/>
              <w:spacing w:after="0"/>
              <w:rPr>
                <w:sz w:val="20"/>
                <w:szCs w:val="20"/>
                <w:color w:val="auto"/>
              </w:rPr>
            </w:pPr>
            <w:r>
              <w:rPr>
                <w:rFonts w:ascii="Arial" w:cs="Arial" w:eastAsia="Arial" w:hAnsi="Arial"/>
                <w:sz w:val="17"/>
                <w:szCs w:val="17"/>
                <w:color w:val="auto"/>
              </w:rPr>
              <w:t>58.88</w:t>
            </w:r>
          </w:p>
        </w:tc>
        <w:tc>
          <w:tcPr>
            <w:tcW w:w="1160" w:type="dxa"/>
            <w:vAlign w:val="bottom"/>
            <w:shd w:val="clear" w:color="auto" w:fill="E7E7E8"/>
          </w:tcPr>
          <w:p>
            <w:pPr>
              <w:jc w:val="right"/>
              <w:ind w:right="355"/>
              <w:spacing w:after="0"/>
              <w:rPr>
                <w:sz w:val="20"/>
                <w:szCs w:val="20"/>
                <w:color w:val="auto"/>
              </w:rPr>
            </w:pPr>
            <w:r>
              <w:rPr>
                <w:rFonts w:ascii="Arial" w:cs="Arial" w:eastAsia="Arial" w:hAnsi="Arial"/>
                <w:sz w:val="17"/>
                <w:szCs w:val="17"/>
                <w:color w:val="auto"/>
              </w:rPr>
              <w:t>59.00</w:t>
            </w:r>
          </w:p>
        </w:tc>
        <w:tc>
          <w:tcPr>
            <w:tcW w:w="1660" w:type="dxa"/>
            <w:vAlign w:val="bottom"/>
            <w:shd w:val="clear" w:color="auto" w:fill="E7E7E8"/>
          </w:tcPr>
          <w:p>
            <w:pPr>
              <w:jc w:val="right"/>
              <w:ind w:right="85"/>
              <w:spacing w:after="0" w:line="195" w:lineRule="exact"/>
              <w:rPr>
                <w:sz w:val="20"/>
                <w:szCs w:val="20"/>
                <w:color w:val="auto"/>
              </w:rPr>
            </w:pPr>
            <w:r>
              <w:rPr>
                <w:rFonts w:ascii="Arial" w:cs="Arial" w:eastAsia="Arial" w:hAnsi="Arial"/>
                <w:sz w:val="14"/>
                <w:szCs w:val="14"/>
                <w:color w:val="auto"/>
              </w:rPr>
              <w:t>1,040,621</w:t>
            </w:r>
            <w:r>
              <w:rPr>
                <w:rFonts w:ascii="Arial" w:cs="Arial" w:eastAsia="Arial" w:hAnsi="Arial"/>
                <w:sz w:val="22"/>
                <w:szCs w:val="22"/>
                <w:color w:val="auto"/>
                <w:vertAlign w:val="superscript"/>
              </w:rPr>
              <w:t>(6)</w:t>
            </w:r>
          </w:p>
        </w:tc>
        <w:tc>
          <w:tcPr>
            <w:tcW w:w="0" w:type="dxa"/>
            <w:vAlign w:val="bottom"/>
          </w:tcPr>
          <w:p>
            <w:pPr>
              <w:spacing w:after="0"/>
              <w:rPr>
                <w:sz w:val="1"/>
                <w:szCs w:val="1"/>
                <w:color w:val="auto"/>
              </w:rPr>
            </w:pPr>
          </w:p>
        </w:tc>
      </w:tr>
      <w:tr>
        <w:trPr>
          <w:trHeight w:val="105"/>
        </w:trPr>
        <w:tc>
          <w:tcPr>
            <w:tcW w:w="20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880" w:type="dxa"/>
            <w:vAlign w:val="bottom"/>
          </w:tcPr>
          <w:p>
            <w:pPr>
              <w:spacing w:after="0"/>
              <w:rPr>
                <w:sz w:val="9"/>
                <w:szCs w:val="9"/>
                <w:color w:val="auto"/>
              </w:rPr>
            </w:pPr>
          </w:p>
        </w:tc>
        <w:tc>
          <w:tcPr>
            <w:tcW w:w="9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16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520" w:right="160" w:hanging="515"/>
        <w:spacing w:after="0" w:line="243"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During 2015, each of the NEOs participated in the AbbVie Performance Incentive Plan. The annual cash incentive award earned by the NEO in 2015 under the plan is shown in the Summary Compensation Table in the column captioned "Non-Equity Incentive Plan Compensation." No future pay-outs will be made with respect to the 2015 awards under the plan. The plan is described in greater detail in the section of this proxy statement captioned "Compensation Discussion and Analysis—Compensation Plan Elements—Short-Term Incentives."</w:t>
      </w:r>
    </w:p>
    <w:p>
      <w:pPr>
        <w:spacing w:after="0" w:line="201" w:lineRule="exact"/>
        <w:rPr>
          <w:rFonts w:ascii="Arial" w:cs="Arial" w:eastAsia="Arial" w:hAnsi="Arial"/>
          <w:sz w:val="17"/>
          <w:szCs w:val="17"/>
          <w:color w:val="auto"/>
        </w:rPr>
      </w:pPr>
    </w:p>
    <w:p>
      <w:pPr>
        <w:ind w:left="520" w:right="80" w:hanging="515"/>
        <w:spacing w:after="0" w:line="243"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These are performance-vested restricted stock awards that have a five-year term and vest upon AbbVie achieving a minimum return on equity target, with no more than one-third of the award vesting in any one year. In 2015, AbbVie reached its minimum return on equity target and one-third of each of the awards granted on February 19, 2015 vested on February 29, 2016. The return on equity targets are described in the section of this proxy statement captioned "Compensation Discussion and Analysis—Compensation Plan Elements—Long-Term Incentives."</w:t>
      </w:r>
    </w:p>
    <w:p>
      <w:pPr>
        <w:spacing w:after="0" w:line="188" w:lineRule="exact"/>
        <w:rPr>
          <w:rFonts w:ascii="Arial" w:cs="Arial" w:eastAsia="Arial" w:hAnsi="Arial"/>
          <w:sz w:val="17"/>
          <w:szCs w:val="17"/>
          <w:color w:val="auto"/>
        </w:rPr>
      </w:pPr>
    </w:p>
    <w:p>
      <w:pPr>
        <w:jc w:val="both"/>
        <w:ind w:left="520" w:right="60" w:hanging="515"/>
        <w:spacing w:after="0" w:line="245"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Shares of outstanding restricted stock receive dividends at the same rate as all other stockholders. In the event of a grantee's death or disability, these awards are deemed fully earned. Upon a change in control, the treatment of these awards is determined as described in the section of this proxy statement captioned "Potential Payments upon Termination or Change in Control—Equity Awards."</w:t>
      </w:r>
    </w:p>
    <w:p>
      <w:pPr>
        <w:spacing w:after="0" w:line="185" w:lineRule="exact"/>
        <w:rPr>
          <w:rFonts w:ascii="Arial" w:cs="Arial" w:eastAsia="Arial" w:hAnsi="Arial"/>
          <w:sz w:val="17"/>
          <w:szCs w:val="17"/>
          <w:color w:val="auto"/>
        </w:rPr>
      </w:pPr>
    </w:p>
    <w:p>
      <w:pPr>
        <w:ind w:left="520" w:right="200" w:hanging="515"/>
        <w:spacing w:after="0" w:line="250"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grant date fair value of stock awards is determined by multiplying the number of shares granted by the average of the high and low market prices of one share of AbbVie common stock on the award grant date.</w:t>
      </w:r>
    </w:p>
    <w:p>
      <w:pPr>
        <w:spacing w:after="0" w:line="193" w:lineRule="exact"/>
        <w:rPr>
          <w:rFonts w:ascii="Arial" w:cs="Arial" w:eastAsia="Arial" w:hAnsi="Arial"/>
          <w:sz w:val="17"/>
          <w:szCs w:val="17"/>
          <w:color w:val="auto"/>
        </w:rPr>
      </w:pPr>
    </w:p>
    <w:p>
      <w:pPr>
        <w:ind w:left="520" w:right="20" w:hanging="515"/>
        <w:spacing w:after="0" w:line="242"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One-third of the shares of common stock covered by these options are exercisable after one year, two-thirds after two years, and all after three years. The options vest in the event of the grantee's death or disability. Upon a change in control, the treatment of these awards is determined as described in the section of this proxy statement captioned "Potential Payments upon Termination or Change in Control—Equity Awards." Under the AbbVie 2013 Incentive Stock Program, these options have an exercise price equal to the average of the high and low market prices (rounded up to the next even penny) of one share of AbbVie common stock on the date of grant. These options do not contain a replacement option feature.</w:t>
      </w:r>
    </w:p>
    <w:p>
      <w:pPr>
        <w:spacing w:after="0" w:line="189" w:lineRule="exact"/>
        <w:rPr>
          <w:rFonts w:ascii="Arial" w:cs="Arial" w:eastAsia="Arial" w:hAnsi="Arial"/>
          <w:sz w:val="17"/>
          <w:szCs w:val="17"/>
          <w:color w:val="auto"/>
        </w:rPr>
      </w:pPr>
    </w:p>
    <w:p>
      <w:pPr>
        <w:ind w:left="520" w:right="380" w:hanging="515"/>
        <w:spacing w:after="0" w:line="250"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grant date fair value of option awards is determined as of the option grant date using a Black-Scholes stock option valuation model. The assumptions used to determine the grant date fair value are described in footnote (4) to the Summary Compensation Table.</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48" w:name="page49"/>
    <w:bookmarkEnd w:id="4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103630" cy="14097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EXECUTIVE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2015 Outstanding Equity Awards at Fiscal Year 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summarizes the outstanding AbbVie equity awards held by the NEOs at year end.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500" w:type="dxa"/>
            <w:vAlign w:val="bottom"/>
          </w:tcPr>
          <w:p>
            <w:pPr>
              <w:spacing w:after="0"/>
              <w:rPr>
                <w:sz w:val="18"/>
                <w:szCs w:val="18"/>
                <w:color w:val="auto"/>
              </w:rPr>
            </w:pPr>
          </w:p>
        </w:tc>
        <w:tc>
          <w:tcPr>
            <w:tcW w:w="1160" w:type="dxa"/>
            <w:vAlign w:val="bottom"/>
            <w:tcBorders>
              <w:bottom w:val="single" w:sz="8" w:color="444867"/>
            </w:tcBorders>
          </w:tcPr>
          <w:p>
            <w:pPr>
              <w:spacing w:after="0"/>
              <w:rPr>
                <w:sz w:val="18"/>
                <w:szCs w:val="18"/>
                <w:color w:val="auto"/>
              </w:rPr>
            </w:pPr>
          </w:p>
        </w:tc>
        <w:tc>
          <w:tcPr>
            <w:tcW w:w="100" w:type="dxa"/>
            <w:vAlign w:val="bottom"/>
            <w:tcBorders>
              <w:bottom w:val="single" w:sz="8" w:color="444867"/>
            </w:tcBorders>
          </w:tcPr>
          <w:p>
            <w:pPr>
              <w:spacing w:after="0"/>
              <w:rPr>
                <w:sz w:val="18"/>
                <w:szCs w:val="18"/>
                <w:color w:val="auto"/>
              </w:rPr>
            </w:pPr>
          </w:p>
        </w:tc>
        <w:tc>
          <w:tcPr>
            <w:tcW w:w="2280" w:type="dxa"/>
            <w:vAlign w:val="bottom"/>
            <w:tcBorders>
              <w:bottom w:val="single" w:sz="8" w:color="444867"/>
            </w:tcBorders>
            <w:gridSpan w:val="3"/>
          </w:tcPr>
          <w:p>
            <w:pPr>
              <w:jc w:val="right"/>
              <w:ind w:right="355"/>
              <w:spacing w:after="0"/>
              <w:rPr>
                <w:sz w:val="20"/>
                <w:szCs w:val="20"/>
                <w:color w:val="auto"/>
              </w:rPr>
            </w:pPr>
            <w:r>
              <w:rPr>
                <w:rFonts w:ascii="Arial" w:cs="Arial" w:eastAsia="Arial" w:hAnsi="Arial"/>
                <w:sz w:val="17"/>
                <w:szCs w:val="17"/>
                <w:b w:val="1"/>
                <w:bCs w:val="1"/>
                <w:color w:val="444867"/>
              </w:rPr>
              <w:t>Option Awards(1)(2)</w:t>
            </w:r>
          </w:p>
        </w:tc>
        <w:tc>
          <w:tcPr>
            <w:tcW w:w="1060" w:type="dxa"/>
            <w:vAlign w:val="bottom"/>
            <w:tcBorders>
              <w:bottom w:val="single" w:sz="8" w:color="444867"/>
            </w:tcBorders>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Borders>
              <w:bottom w:val="single" w:sz="8" w:color="444867"/>
            </w:tcBorders>
          </w:tcPr>
          <w:p>
            <w:pPr>
              <w:spacing w:after="0"/>
              <w:rPr>
                <w:sz w:val="18"/>
                <w:szCs w:val="18"/>
                <w:color w:val="auto"/>
              </w:rPr>
            </w:pPr>
          </w:p>
        </w:tc>
        <w:tc>
          <w:tcPr>
            <w:tcW w:w="2460" w:type="dxa"/>
            <w:vAlign w:val="bottom"/>
            <w:tcBorders>
              <w:bottom w:val="single" w:sz="8" w:color="444867"/>
            </w:tcBorders>
            <w:gridSpan w:val="2"/>
          </w:tcPr>
          <w:p>
            <w:pPr>
              <w:jc w:val="right"/>
              <w:ind w:right="422"/>
              <w:spacing w:after="0"/>
              <w:rPr>
                <w:sz w:val="20"/>
                <w:szCs w:val="20"/>
                <w:color w:val="auto"/>
              </w:rPr>
            </w:pPr>
            <w:r>
              <w:rPr>
                <w:rFonts w:ascii="Arial" w:cs="Arial" w:eastAsia="Arial" w:hAnsi="Arial"/>
                <w:sz w:val="17"/>
                <w:szCs w:val="17"/>
                <w:b w:val="1"/>
                <w:bCs w:val="1"/>
                <w:color w:val="444867"/>
              </w:rPr>
              <w:t>Stock Awards(1)</w:t>
            </w:r>
          </w:p>
        </w:tc>
        <w:tc>
          <w:tcPr>
            <w:tcW w:w="1180" w:type="dxa"/>
            <w:vAlign w:val="bottom"/>
            <w:tcBorders>
              <w:bottom w:val="single" w:sz="8" w:color="444867"/>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5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Borders>
              <w:right w:val="single" w:sz="8" w:color="061844"/>
            </w:tcBorders>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220" w:type="dxa"/>
            <w:vAlign w:val="bottom"/>
          </w:tcPr>
          <w:p>
            <w:pPr>
              <w:jc w:val="right"/>
              <w:ind w:right="222"/>
              <w:spacing w:after="0" w:line="172" w:lineRule="exact"/>
              <w:rPr>
                <w:sz w:val="20"/>
                <w:szCs w:val="20"/>
                <w:color w:val="auto"/>
              </w:rPr>
            </w:pPr>
            <w:r>
              <w:rPr>
                <w:rFonts w:ascii="Arial" w:cs="Arial" w:eastAsia="Arial" w:hAnsi="Arial"/>
                <w:sz w:val="17"/>
                <w:szCs w:val="17"/>
                <w:b w:val="1"/>
                <w:bCs w:val="1"/>
                <w:color w:val="444867"/>
              </w:rPr>
              <w:t>Equity</w:t>
            </w:r>
          </w:p>
        </w:tc>
        <w:tc>
          <w:tcPr>
            <w:tcW w:w="1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jc w:val="right"/>
              <w:ind w:right="222"/>
              <w:spacing w:after="0"/>
              <w:rPr>
                <w:sz w:val="20"/>
                <w:szCs w:val="20"/>
                <w:color w:val="auto"/>
              </w:rPr>
            </w:pPr>
            <w:r>
              <w:rPr>
                <w:rFonts w:ascii="Arial" w:cs="Arial" w:eastAsia="Arial" w:hAnsi="Arial"/>
                <w:sz w:val="17"/>
                <w:szCs w:val="17"/>
                <w:b w:val="1"/>
                <w:bCs w:val="1"/>
                <w:color w:val="444867"/>
              </w:rPr>
              <w:t>Incentive</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444867"/>
              </w:rPr>
              <w:t>Equity</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jc w:val="right"/>
              <w:ind w:right="222"/>
              <w:spacing w:after="0"/>
              <w:rPr>
                <w:sz w:val="20"/>
                <w:szCs w:val="20"/>
                <w:color w:val="auto"/>
              </w:rPr>
            </w:pPr>
            <w:r>
              <w:rPr>
                <w:rFonts w:ascii="Arial" w:cs="Arial" w:eastAsia="Arial" w:hAnsi="Arial"/>
                <w:sz w:val="17"/>
                <w:szCs w:val="17"/>
                <w:b w:val="1"/>
                <w:bCs w:val="1"/>
                <w:color w:val="444867"/>
              </w:rPr>
              <w:t>Plan</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444867"/>
              </w:rPr>
              <w:t>Incentive</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jc w:val="right"/>
              <w:ind w:right="222"/>
              <w:spacing w:after="0"/>
              <w:rPr>
                <w:sz w:val="20"/>
                <w:szCs w:val="20"/>
                <w:color w:val="auto"/>
              </w:rPr>
            </w:pPr>
            <w:r>
              <w:rPr>
                <w:rFonts w:ascii="Arial" w:cs="Arial" w:eastAsia="Arial" w:hAnsi="Arial"/>
                <w:sz w:val="17"/>
                <w:szCs w:val="17"/>
                <w:b w:val="1"/>
                <w:bCs w:val="1"/>
                <w:color w:val="444867"/>
              </w:rPr>
              <w:t>Awards:</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444867"/>
              </w:rPr>
              <w:t>Plan Awards:</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jc w:val="right"/>
              <w:ind w:right="222"/>
              <w:spacing w:after="0"/>
              <w:rPr>
                <w:sz w:val="20"/>
                <w:szCs w:val="20"/>
                <w:color w:val="auto"/>
              </w:rPr>
            </w:pPr>
            <w:r>
              <w:rPr>
                <w:rFonts w:ascii="Arial" w:cs="Arial" w:eastAsia="Arial" w:hAnsi="Arial"/>
                <w:sz w:val="17"/>
                <w:szCs w:val="17"/>
                <w:b w:val="1"/>
                <w:bCs w:val="1"/>
                <w:color w:val="444867"/>
              </w:rPr>
              <w:t>Number of</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444867"/>
              </w:rPr>
              <w:t>Market or</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jc w:val="right"/>
              <w:ind w:right="222"/>
              <w:spacing w:after="0"/>
              <w:rPr>
                <w:sz w:val="20"/>
                <w:szCs w:val="20"/>
                <w:color w:val="auto"/>
              </w:rPr>
            </w:pPr>
            <w:r>
              <w:rPr>
                <w:rFonts w:ascii="Arial" w:cs="Arial" w:eastAsia="Arial" w:hAnsi="Arial"/>
                <w:sz w:val="17"/>
                <w:szCs w:val="17"/>
                <w:b w:val="1"/>
                <w:bCs w:val="1"/>
                <w:color w:val="444867"/>
              </w:rPr>
              <w:t>Unearned</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444867"/>
              </w:rPr>
              <w:t>Payout Value</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b w:val="1"/>
                <w:bCs w:val="1"/>
                <w:color w:val="444867"/>
              </w:rPr>
              <w:t>Number of</w:t>
            </w:r>
          </w:p>
        </w:tc>
        <w:tc>
          <w:tcPr>
            <w:tcW w:w="100" w:type="dxa"/>
            <w:vAlign w:val="bottom"/>
          </w:tcPr>
          <w:p>
            <w:pPr>
              <w:spacing w:after="0"/>
              <w:rPr>
                <w:sz w:val="17"/>
                <w:szCs w:val="17"/>
                <w:color w:val="auto"/>
              </w:rPr>
            </w:pPr>
          </w:p>
        </w:tc>
        <w:tc>
          <w:tcPr>
            <w:tcW w:w="1320" w:type="dxa"/>
            <w:vAlign w:val="bottom"/>
            <w:gridSpan w:val="2"/>
          </w:tcPr>
          <w:p>
            <w:pPr>
              <w:jc w:val="right"/>
              <w:ind w:right="169"/>
              <w:spacing w:after="0"/>
              <w:rPr>
                <w:sz w:val="20"/>
                <w:szCs w:val="20"/>
                <w:color w:val="auto"/>
              </w:rPr>
            </w:pPr>
            <w:r>
              <w:rPr>
                <w:rFonts w:ascii="Arial" w:cs="Arial" w:eastAsia="Arial" w:hAnsi="Arial"/>
                <w:sz w:val="17"/>
                <w:szCs w:val="17"/>
                <w:b w:val="1"/>
                <w:bCs w:val="1"/>
                <w:color w:val="444867"/>
              </w:rPr>
              <w:t>Number of</w:t>
            </w: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right w:val="single" w:sz="8" w:color="061844"/>
            </w:tcBorders>
          </w:tcPr>
          <w:p>
            <w:pPr>
              <w:spacing w:after="0"/>
              <w:rPr>
                <w:sz w:val="17"/>
                <w:szCs w:val="17"/>
                <w:color w:val="auto"/>
              </w:rPr>
            </w:pPr>
          </w:p>
        </w:tc>
        <w:tc>
          <w:tcPr>
            <w:tcW w:w="1360" w:type="dxa"/>
            <w:vAlign w:val="bottom"/>
            <w:gridSpan w:val="2"/>
          </w:tcPr>
          <w:p>
            <w:pPr>
              <w:jc w:val="right"/>
              <w:ind w:right="118"/>
              <w:spacing w:after="0"/>
              <w:rPr>
                <w:sz w:val="20"/>
                <w:szCs w:val="20"/>
                <w:color w:val="auto"/>
              </w:rPr>
            </w:pPr>
            <w:r>
              <w:rPr>
                <w:rFonts w:ascii="Arial" w:cs="Arial" w:eastAsia="Arial" w:hAnsi="Arial"/>
                <w:sz w:val="17"/>
                <w:szCs w:val="17"/>
                <w:b w:val="1"/>
                <w:bCs w:val="1"/>
                <w:color w:val="444867"/>
              </w:rPr>
              <w:t>Number of</w:t>
            </w:r>
          </w:p>
        </w:tc>
        <w:tc>
          <w:tcPr>
            <w:tcW w:w="1240" w:type="dxa"/>
            <w:vAlign w:val="bottom"/>
          </w:tcPr>
          <w:p>
            <w:pPr>
              <w:jc w:val="right"/>
              <w:ind w:right="75"/>
              <w:spacing w:after="0"/>
              <w:rPr>
                <w:sz w:val="20"/>
                <w:szCs w:val="20"/>
                <w:color w:val="auto"/>
              </w:rPr>
            </w:pPr>
            <w:r>
              <w:rPr>
                <w:rFonts w:ascii="Arial" w:cs="Arial" w:eastAsia="Arial" w:hAnsi="Arial"/>
                <w:sz w:val="17"/>
                <w:szCs w:val="17"/>
                <w:b w:val="1"/>
                <w:bCs w:val="1"/>
                <w:color w:val="444867"/>
              </w:rPr>
              <w:t>Market</w:t>
            </w:r>
          </w:p>
        </w:tc>
        <w:tc>
          <w:tcPr>
            <w:tcW w:w="1220" w:type="dxa"/>
            <w:vAlign w:val="bottom"/>
          </w:tcPr>
          <w:p>
            <w:pPr>
              <w:jc w:val="right"/>
              <w:ind w:right="222"/>
              <w:spacing w:after="0"/>
              <w:rPr>
                <w:sz w:val="20"/>
                <w:szCs w:val="20"/>
                <w:color w:val="auto"/>
              </w:rPr>
            </w:pPr>
            <w:r>
              <w:rPr>
                <w:rFonts w:ascii="Arial" w:cs="Arial" w:eastAsia="Arial" w:hAnsi="Arial"/>
                <w:sz w:val="17"/>
                <w:szCs w:val="17"/>
                <w:b w:val="1"/>
                <w:bCs w:val="1"/>
                <w:color w:val="444867"/>
              </w:rPr>
              <w:t>Shares</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444867"/>
              </w:rPr>
              <w:t>of Unearned</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b w:val="1"/>
                <w:bCs w:val="1"/>
                <w:color w:val="444867"/>
              </w:rPr>
              <w:t>Securities</w:t>
            </w:r>
          </w:p>
        </w:tc>
        <w:tc>
          <w:tcPr>
            <w:tcW w:w="100" w:type="dxa"/>
            <w:vAlign w:val="bottom"/>
          </w:tcPr>
          <w:p>
            <w:pPr>
              <w:spacing w:after="0"/>
              <w:rPr>
                <w:sz w:val="17"/>
                <w:szCs w:val="17"/>
                <w:color w:val="auto"/>
              </w:rPr>
            </w:pPr>
          </w:p>
        </w:tc>
        <w:tc>
          <w:tcPr>
            <w:tcW w:w="1320" w:type="dxa"/>
            <w:vAlign w:val="bottom"/>
            <w:gridSpan w:val="2"/>
          </w:tcPr>
          <w:p>
            <w:pPr>
              <w:jc w:val="right"/>
              <w:ind w:right="169"/>
              <w:spacing w:after="0"/>
              <w:rPr>
                <w:sz w:val="20"/>
                <w:szCs w:val="20"/>
                <w:color w:val="auto"/>
              </w:rPr>
            </w:pPr>
            <w:r>
              <w:rPr>
                <w:rFonts w:ascii="Arial" w:cs="Arial" w:eastAsia="Arial" w:hAnsi="Arial"/>
                <w:sz w:val="17"/>
                <w:szCs w:val="17"/>
                <w:b w:val="1"/>
                <w:bCs w:val="1"/>
                <w:color w:val="444867"/>
              </w:rPr>
              <w:t>Securities</w:t>
            </w: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18"/>
              <w:spacing w:after="0"/>
              <w:rPr>
                <w:sz w:val="20"/>
                <w:szCs w:val="20"/>
                <w:color w:val="auto"/>
              </w:rPr>
            </w:pPr>
            <w:r>
              <w:rPr>
                <w:rFonts w:ascii="Arial" w:cs="Arial" w:eastAsia="Arial" w:hAnsi="Arial"/>
                <w:sz w:val="17"/>
                <w:szCs w:val="17"/>
                <w:b w:val="1"/>
                <w:bCs w:val="1"/>
                <w:color w:val="444867"/>
              </w:rPr>
              <w:t>Shares of</w:t>
            </w:r>
          </w:p>
        </w:tc>
        <w:tc>
          <w:tcPr>
            <w:tcW w:w="1240" w:type="dxa"/>
            <w:vAlign w:val="bottom"/>
          </w:tcPr>
          <w:p>
            <w:pPr>
              <w:jc w:val="right"/>
              <w:ind w:right="75"/>
              <w:spacing w:after="0"/>
              <w:rPr>
                <w:sz w:val="20"/>
                <w:szCs w:val="20"/>
                <w:color w:val="auto"/>
              </w:rPr>
            </w:pPr>
            <w:r>
              <w:rPr>
                <w:rFonts w:ascii="Arial" w:cs="Arial" w:eastAsia="Arial" w:hAnsi="Arial"/>
                <w:sz w:val="17"/>
                <w:szCs w:val="17"/>
                <w:b w:val="1"/>
                <w:bCs w:val="1"/>
                <w:color w:val="444867"/>
              </w:rPr>
              <w:t>Value of</w:t>
            </w:r>
          </w:p>
        </w:tc>
        <w:tc>
          <w:tcPr>
            <w:tcW w:w="1220" w:type="dxa"/>
            <w:vAlign w:val="bottom"/>
          </w:tcPr>
          <w:p>
            <w:pPr>
              <w:jc w:val="right"/>
              <w:ind w:right="222"/>
              <w:spacing w:after="0"/>
              <w:rPr>
                <w:sz w:val="20"/>
                <w:szCs w:val="20"/>
                <w:color w:val="auto"/>
              </w:rPr>
            </w:pPr>
            <w:r>
              <w:rPr>
                <w:rFonts w:ascii="Arial" w:cs="Arial" w:eastAsia="Arial" w:hAnsi="Arial"/>
                <w:sz w:val="17"/>
                <w:szCs w:val="17"/>
                <w:b w:val="1"/>
                <w:bCs w:val="1"/>
                <w:color w:val="444867"/>
              </w:rPr>
              <w:t>or Other</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444867"/>
              </w:rPr>
              <w:t>Shares</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b w:val="1"/>
                <w:bCs w:val="1"/>
                <w:color w:val="444867"/>
              </w:rPr>
              <w:t>Underlying</w:t>
            </w:r>
          </w:p>
        </w:tc>
        <w:tc>
          <w:tcPr>
            <w:tcW w:w="100" w:type="dxa"/>
            <w:vAlign w:val="bottom"/>
          </w:tcPr>
          <w:p>
            <w:pPr>
              <w:spacing w:after="0"/>
              <w:rPr>
                <w:sz w:val="17"/>
                <w:szCs w:val="17"/>
                <w:color w:val="auto"/>
              </w:rPr>
            </w:pPr>
          </w:p>
        </w:tc>
        <w:tc>
          <w:tcPr>
            <w:tcW w:w="1320" w:type="dxa"/>
            <w:vAlign w:val="bottom"/>
            <w:gridSpan w:val="2"/>
          </w:tcPr>
          <w:p>
            <w:pPr>
              <w:jc w:val="right"/>
              <w:ind w:right="169"/>
              <w:spacing w:after="0"/>
              <w:rPr>
                <w:sz w:val="20"/>
                <w:szCs w:val="20"/>
                <w:color w:val="auto"/>
              </w:rPr>
            </w:pPr>
            <w:r>
              <w:rPr>
                <w:rFonts w:ascii="Arial" w:cs="Arial" w:eastAsia="Arial" w:hAnsi="Arial"/>
                <w:sz w:val="17"/>
                <w:szCs w:val="17"/>
                <w:b w:val="1"/>
                <w:bCs w:val="1"/>
                <w:color w:val="444867"/>
              </w:rPr>
              <w:t>Underlying</w:t>
            </w:r>
          </w:p>
        </w:tc>
        <w:tc>
          <w:tcPr>
            <w:tcW w:w="9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jc w:val="right"/>
              <w:ind w:right="118"/>
              <w:spacing w:after="0"/>
              <w:rPr>
                <w:sz w:val="20"/>
                <w:szCs w:val="20"/>
                <w:color w:val="auto"/>
              </w:rPr>
            </w:pPr>
            <w:r>
              <w:rPr>
                <w:rFonts w:ascii="Arial" w:cs="Arial" w:eastAsia="Arial" w:hAnsi="Arial"/>
                <w:sz w:val="17"/>
                <w:szCs w:val="17"/>
                <w:b w:val="1"/>
                <w:bCs w:val="1"/>
                <w:color w:val="444867"/>
              </w:rPr>
              <w:t>Stock</w:t>
            </w:r>
          </w:p>
        </w:tc>
        <w:tc>
          <w:tcPr>
            <w:tcW w:w="1240" w:type="dxa"/>
            <w:vAlign w:val="bottom"/>
          </w:tcPr>
          <w:p>
            <w:pPr>
              <w:jc w:val="right"/>
              <w:ind w:right="75"/>
              <w:spacing w:after="0"/>
              <w:rPr>
                <w:sz w:val="20"/>
                <w:szCs w:val="20"/>
                <w:color w:val="auto"/>
              </w:rPr>
            </w:pPr>
            <w:r>
              <w:rPr>
                <w:rFonts w:ascii="Arial" w:cs="Arial" w:eastAsia="Arial" w:hAnsi="Arial"/>
                <w:sz w:val="17"/>
                <w:szCs w:val="17"/>
                <w:b w:val="1"/>
                <w:bCs w:val="1"/>
                <w:color w:val="444867"/>
              </w:rPr>
              <w:t>Shares of</w:t>
            </w:r>
          </w:p>
        </w:tc>
        <w:tc>
          <w:tcPr>
            <w:tcW w:w="1220" w:type="dxa"/>
            <w:vAlign w:val="bottom"/>
          </w:tcPr>
          <w:p>
            <w:pPr>
              <w:jc w:val="right"/>
              <w:ind w:right="222"/>
              <w:spacing w:after="0"/>
              <w:rPr>
                <w:sz w:val="20"/>
                <w:szCs w:val="20"/>
                <w:color w:val="auto"/>
              </w:rPr>
            </w:pPr>
            <w:r>
              <w:rPr>
                <w:rFonts w:ascii="Arial" w:cs="Arial" w:eastAsia="Arial" w:hAnsi="Arial"/>
                <w:sz w:val="17"/>
                <w:szCs w:val="17"/>
                <w:b w:val="1"/>
                <w:bCs w:val="1"/>
                <w:color w:val="444867"/>
              </w:rPr>
              <w:t>Rights</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444867"/>
              </w:rPr>
              <w:t>or Other</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b w:val="1"/>
                <w:bCs w:val="1"/>
                <w:color w:val="444867"/>
                <w:w w:val="98"/>
              </w:rPr>
              <w:t>Unexercised</w:t>
            </w:r>
          </w:p>
        </w:tc>
        <w:tc>
          <w:tcPr>
            <w:tcW w:w="100" w:type="dxa"/>
            <w:vAlign w:val="bottom"/>
          </w:tcPr>
          <w:p>
            <w:pPr>
              <w:spacing w:after="0"/>
              <w:rPr>
                <w:sz w:val="17"/>
                <w:szCs w:val="17"/>
                <w:color w:val="auto"/>
              </w:rPr>
            </w:pPr>
          </w:p>
        </w:tc>
        <w:tc>
          <w:tcPr>
            <w:tcW w:w="1320" w:type="dxa"/>
            <w:vAlign w:val="bottom"/>
            <w:gridSpan w:val="2"/>
          </w:tcPr>
          <w:p>
            <w:pPr>
              <w:jc w:val="right"/>
              <w:ind w:right="169"/>
              <w:spacing w:after="0"/>
              <w:rPr>
                <w:sz w:val="20"/>
                <w:szCs w:val="20"/>
                <w:color w:val="auto"/>
              </w:rPr>
            </w:pPr>
            <w:r>
              <w:rPr>
                <w:rFonts w:ascii="Arial" w:cs="Arial" w:eastAsia="Arial" w:hAnsi="Arial"/>
                <w:sz w:val="17"/>
                <w:szCs w:val="17"/>
                <w:b w:val="1"/>
                <w:bCs w:val="1"/>
                <w:color w:val="444867"/>
              </w:rPr>
              <w:t>Unexercised</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444867"/>
              </w:rPr>
              <w:t>Option</w:t>
            </w:r>
          </w:p>
        </w:tc>
        <w:tc>
          <w:tcPr>
            <w:tcW w:w="1220" w:type="dxa"/>
            <w:vAlign w:val="bottom"/>
            <w:tcBorders>
              <w:right w:val="single" w:sz="8" w:color="061844"/>
            </w:tcBorders>
            <w:gridSpan w:val="2"/>
          </w:tcPr>
          <w:p>
            <w:pPr>
              <w:jc w:val="right"/>
              <w:ind w:right="160"/>
              <w:spacing w:after="0"/>
              <w:rPr>
                <w:sz w:val="20"/>
                <w:szCs w:val="20"/>
                <w:color w:val="auto"/>
              </w:rPr>
            </w:pPr>
            <w:r>
              <w:rPr>
                <w:rFonts w:ascii="Arial" w:cs="Arial" w:eastAsia="Arial" w:hAnsi="Arial"/>
                <w:sz w:val="17"/>
                <w:szCs w:val="17"/>
                <w:b w:val="1"/>
                <w:bCs w:val="1"/>
                <w:color w:val="444867"/>
              </w:rPr>
              <w:t>Option</w:t>
            </w:r>
          </w:p>
        </w:tc>
        <w:tc>
          <w:tcPr>
            <w:tcW w:w="300" w:type="dxa"/>
            <w:vAlign w:val="bottom"/>
          </w:tcPr>
          <w:p>
            <w:pPr>
              <w:spacing w:after="0"/>
              <w:rPr>
                <w:sz w:val="17"/>
                <w:szCs w:val="17"/>
                <w:color w:val="auto"/>
              </w:rPr>
            </w:pPr>
          </w:p>
        </w:tc>
        <w:tc>
          <w:tcPr>
            <w:tcW w:w="1060" w:type="dxa"/>
            <w:vAlign w:val="bottom"/>
          </w:tcPr>
          <w:p>
            <w:pPr>
              <w:jc w:val="right"/>
              <w:ind w:right="118"/>
              <w:spacing w:after="0"/>
              <w:rPr>
                <w:sz w:val="20"/>
                <w:szCs w:val="20"/>
                <w:color w:val="auto"/>
              </w:rPr>
            </w:pPr>
            <w:r>
              <w:rPr>
                <w:rFonts w:ascii="Arial" w:cs="Arial" w:eastAsia="Arial" w:hAnsi="Arial"/>
                <w:sz w:val="17"/>
                <w:szCs w:val="17"/>
                <w:b w:val="1"/>
                <w:bCs w:val="1"/>
                <w:color w:val="444867"/>
              </w:rPr>
              <w:t>That</w:t>
            </w:r>
          </w:p>
        </w:tc>
        <w:tc>
          <w:tcPr>
            <w:tcW w:w="1240" w:type="dxa"/>
            <w:vAlign w:val="bottom"/>
          </w:tcPr>
          <w:p>
            <w:pPr>
              <w:jc w:val="right"/>
              <w:ind w:right="75"/>
              <w:spacing w:after="0"/>
              <w:rPr>
                <w:sz w:val="20"/>
                <w:szCs w:val="20"/>
                <w:color w:val="auto"/>
              </w:rPr>
            </w:pPr>
            <w:r>
              <w:rPr>
                <w:rFonts w:ascii="Arial" w:cs="Arial" w:eastAsia="Arial" w:hAnsi="Arial"/>
                <w:sz w:val="17"/>
                <w:szCs w:val="17"/>
                <w:b w:val="1"/>
                <w:bCs w:val="1"/>
                <w:color w:val="444867"/>
              </w:rPr>
              <w:t>Stock That</w:t>
            </w:r>
          </w:p>
        </w:tc>
        <w:tc>
          <w:tcPr>
            <w:tcW w:w="1220" w:type="dxa"/>
            <w:vAlign w:val="bottom"/>
          </w:tcPr>
          <w:p>
            <w:pPr>
              <w:jc w:val="right"/>
              <w:ind w:right="222"/>
              <w:spacing w:after="0"/>
              <w:rPr>
                <w:sz w:val="20"/>
                <w:szCs w:val="20"/>
                <w:color w:val="auto"/>
              </w:rPr>
            </w:pPr>
            <w:r>
              <w:rPr>
                <w:rFonts w:ascii="Arial" w:cs="Arial" w:eastAsia="Arial" w:hAnsi="Arial"/>
                <w:sz w:val="17"/>
                <w:szCs w:val="17"/>
                <w:b w:val="1"/>
                <w:bCs w:val="1"/>
                <w:color w:val="444867"/>
              </w:rPr>
              <w:t>That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444867"/>
              </w:rPr>
              <w:t>Rights That</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b w:val="1"/>
                <w:bCs w:val="1"/>
                <w:color w:val="444867"/>
              </w:rPr>
              <w:t>Options (#)</w:t>
            </w:r>
          </w:p>
        </w:tc>
        <w:tc>
          <w:tcPr>
            <w:tcW w:w="100" w:type="dxa"/>
            <w:vAlign w:val="bottom"/>
          </w:tcPr>
          <w:p>
            <w:pPr>
              <w:spacing w:after="0"/>
              <w:rPr>
                <w:sz w:val="17"/>
                <w:szCs w:val="17"/>
                <w:color w:val="auto"/>
              </w:rPr>
            </w:pPr>
          </w:p>
        </w:tc>
        <w:tc>
          <w:tcPr>
            <w:tcW w:w="1320" w:type="dxa"/>
            <w:vAlign w:val="bottom"/>
            <w:gridSpan w:val="2"/>
          </w:tcPr>
          <w:p>
            <w:pPr>
              <w:jc w:val="right"/>
              <w:ind w:right="169"/>
              <w:spacing w:after="0"/>
              <w:rPr>
                <w:sz w:val="20"/>
                <w:szCs w:val="20"/>
                <w:color w:val="auto"/>
              </w:rPr>
            </w:pPr>
            <w:r>
              <w:rPr>
                <w:rFonts w:ascii="Arial" w:cs="Arial" w:eastAsia="Arial" w:hAnsi="Arial"/>
                <w:sz w:val="17"/>
                <w:szCs w:val="17"/>
                <w:b w:val="1"/>
                <w:bCs w:val="1"/>
                <w:color w:val="444867"/>
              </w:rPr>
              <w:t>Options (#)</w:t>
            </w:r>
          </w:p>
        </w:tc>
        <w:tc>
          <w:tcPr>
            <w:tcW w:w="960" w:type="dxa"/>
            <w:vAlign w:val="bottom"/>
          </w:tcPr>
          <w:p>
            <w:pPr>
              <w:jc w:val="right"/>
              <w:ind w:right="95"/>
              <w:spacing w:after="0"/>
              <w:rPr>
                <w:sz w:val="20"/>
                <w:szCs w:val="20"/>
                <w:color w:val="auto"/>
              </w:rPr>
            </w:pPr>
            <w:r>
              <w:rPr>
                <w:rFonts w:ascii="Arial" w:cs="Arial" w:eastAsia="Arial" w:hAnsi="Arial"/>
                <w:sz w:val="17"/>
                <w:szCs w:val="17"/>
                <w:b w:val="1"/>
                <w:bCs w:val="1"/>
                <w:color w:val="444867"/>
              </w:rPr>
              <w:t>Exercise</w:t>
            </w:r>
          </w:p>
        </w:tc>
        <w:tc>
          <w:tcPr>
            <w:tcW w:w="1220" w:type="dxa"/>
            <w:vAlign w:val="bottom"/>
            <w:tcBorders>
              <w:right w:val="single" w:sz="8" w:color="061844"/>
            </w:tcBorders>
            <w:gridSpan w:val="2"/>
          </w:tcPr>
          <w:p>
            <w:pPr>
              <w:jc w:val="right"/>
              <w:ind w:right="160"/>
              <w:spacing w:after="0"/>
              <w:rPr>
                <w:sz w:val="20"/>
                <w:szCs w:val="20"/>
                <w:color w:val="auto"/>
              </w:rPr>
            </w:pPr>
            <w:r>
              <w:rPr>
                <w:rFonts w:ascii="Arial" w:cs="Arial" w:eastAsia="Arial" w:hAnsi="Arial"/>
                <w:sz w:val="17"/>
                <w:szCs w:val="17"/>
                <w:b w:val="1"/>
                <w:bCs w:val="1"/>
                <w:color w:val="444867"/>
              </w:rPr>
              <w:t>Expiration</w:t>
            </w:r>
          </w:p>
        </w:tc>
        <w:tc>
          <w:tcPr>
            <w:tcW w:w="300" w:type="dxa"/>
            <w:vAlign w:val="bottom"/>
          </w:tcPr>
          <w:p>
            <w:pPr>
              <w:spacing w:after="0"/>
              <w:rPr>
                <w:sz w:val="17"/>
                <w:szCs w:val="17"/>
                <w:color w:val="auto"/>
              </w:rPr>
            </w:pPr>
          </w:p>
        </w:tc>
        <w:tc>
          <w:tcPr>
            <w:tcW w:w="1060" w:type="dxa"/>
            <w:vAlign w:val="bottom"/>
          </w:tcPr>
          <w:p>
            <w:pPr>
              <w:jc w:val="right"/>
              <w:ind w:right="118"/>
              <w:spacing w:after="0"/>
              <w:rPr>
                <w:sz w:val="20"/>
                <w:szCs w:val="20"/>
                <w:color w:val="auto"/>
              </w:rPr>
            </w:pPr>
            <w:r>
              <w:rPr>
                <w:rFonts w:ascii="Arial" w:cs="Arial" w:eastAsia="Arial" w:hAnsi="Arial"/>
                <w:sz w:val="17"/>
                <w:szCs w:val="17"/>
                <w:b w:val="1"/>
                <w:bCs w:val="1"/>
                <w:color w:val="444867"/>
              </w:rPr>
              <w:t>Have Not</w:t>
            </w:r>
          </w:p>
        </w:tc>
        <w:tc>
          <w:tcPr>
            <w:tcW w:w="1240" w:type="dxa"/>
            <w:vAlign w:val="bottom"/>
          </w:tcPr>
          <w:p>
            <w:pPr>
              <w:jc w:val="right"/>
              <w:ind w:right="75"/>
              <w:spacing w:after="0"/>
              <w:rPr>
                <w:sz w:val="20"/>
                <w:szCs w:val="20"/>
                <w:color w:val="auto"/>
              </w:rPr>
            </w:pPr>
            <w:r>
              <w:rPr>
                <w:rFonts w:ascii="Arial" w:cs="Arial" w:eastAsia="Arial" w:hAnsi="Arial"/>
                <w:sz w:val="17"/>
                <w:szCs w:val="17"/>
                <w:b w:val="1"/>
                <w:bCs w:val="1"/>
                <w:color w:val="444867"/>
              </w:rPr>
              <w:t>Have Not</w:t>
            </w:r>
          </w:p>
        </w:tc>
        <w:tc>
          <w:tcPr>
            <w:tcW w:w="1220" w:type="dxa"/>
            <w:vAlign w:val="bottom"/>
          </w:tcPr>
          <w:p>
            <w:pPr>
              <w:jc w:val="right"/>
              <w:ind w:right="222"/>
              <w:spacing w:after="0"/>
              <w:rPr>
                <w:sz w:val="20"/>
                <w:szCs w:val="20"/>
                <w:color w:val="auto"/>
              </w:rPr>
            </w:pPr>
            <w:r>
              <w:rPr>
                <w:rFonts w:ascii="Arial" w:cs="Arial" w:eastAsia="Arial" w:hAnsi="Arial"/>
                <w:sz w:val="17"/>
                <w:szCs w:val="17"/>
                <w:b w:val="1"/>
                <w:bCs w:val="1"/>
                <w:color w:val="444867"/>
              </w:rPr>
              <w:t>Have Not</w:t>
            </w:r>
          </w:p>
        </w:tc>
        <w:tc>
          <w:tcPr>
            <w:tcW w:w="1180" w:type="dxa"/>
            <w:vAlign w:val="bottom"/>
          </w:tcPr>
          <w:p>
            <w:pPr>
              <w:jc w:val="right"/>
              <w:spacing w:after="0"/>
              <w:rPr>
                <w:sz w:val="20"/>
                <w:szCs w:val="20"/>
                <w:color w:val="auto"/>
              </w:rPr>
            </w:pPr>
            <w:r>
              <w:rPr>
                <w:rFonts w:ascii="Arial" w:cs="Arial" w:eastAsia="Arial" w:hAnsi="Arial"/>
                <w:sz w:val="17"/>
                <w:szCs w:val="17"/>
                <w:b w:val="1"/>
                <w:bCs w:val="1"/>
                <w:color w:val="444867"/>
              </w:rPr>
              <w:t>Have Not</w:t>
            </w:r>
          </w:p>
        </w:tc>
        <w:tc>
          <w:tcPr>
            <w:tcW w:w="0" w:type="dxa"/>
            <w:vAlign w:val="bottom"/>
          </w:tcPr>
          <w:p>
            <w:pPr>
              <w:spacing w:after="0"/>
              <w:rPr>
                <w:sz w:val="1"/>
                <w:szCs w:val="1"/>
                <w:color w:val="auto"/>
              </w:rPr>
            </w:pPr>
          </w:p>
        </w:tc>
      </w:tr>
      <w:tr>
        <w:trPr>
          <w:trHeight w:val="213"/>
        </w:trPr>
        <w:tc>
          <w:tcPr>
            <w:tcW w:w="15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444867"/>
              </w:rPr>
              <w:t>Name</w:t>
            </w:r>
          </w:p>
        </w:tc>
        <w:tc>
          <w:tcPr>
            <w:tcW w:w="11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444867"/>
              </w:rPr>
              <w:t>Exercisable</w:t>
            </w:r>
          </w:p>
        </w:tc>
        <w:tc>
          <w:tcPr>
            <w:tcW w:w="1420" w:type="dxa"/>
            <w:vAlign w:val="bottom"/>
            <w:tcBorders>
              <w:bottom w:val="single" w:sz="8" w:color="auto"/>
            </w:tcBorders>
            <w:gridSpan w:val="3"/>
          </w:tcPr>
          <w:p>
            <w:pPr>
              <w:jc w:val="right"/>
              <w:ind w:right="169"/>
              <w:spacing w:after="0"/>
              <w:rPr>
                <w:sz w:val="20"/>
                <w:szCs w:val="20"/>
                <w:color w:val="auto"/>
              </w:rPr>
            </w:pPr>
            <w:r>
              <w:rPr>
                <w:rFonts w:ascii="Arial" w:cs="Arial" w:eastAsia="Arial" w:hAnsi="Arial"/>
                <w:sz w:val="17"/>
                <w:szCs w:val="17"/>
                <w:b w:val="1"/>
                <w:bCs w:val="1"/>
                <w:color w:val="444867"/>
              </w:rPr>
              <w:t>Unexercisable</w:t>
            </w:r>
          </w:p>
        </w:tc>
        <w:tc>
          <w:tcPr>
            <w:tcW w:w="96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b w:val="1"/>
                <w:bCs w:val="1"/>
                <w:color w:val="444867"/>
              </w:rPr>
              <w:t>Price ($)</w:t>
            </w:r>
          </w:p>
        </w:tc>
        <w:tc>
          <w:tcPr>
            <w:tcW w:w="1220" w:type="dxa"/>
            <w:vAlign w:val="bottom"/>
            <w:tcBorders>
              <w:bottom w:val="single" w:sz="8" w:color="auto"/>
              <w:right w:val="single" w:sz="8" w:color="061844"/>
            </w:tcBorders>
            <w:gridSpan w:val="2"/>
          </w:tcPr>
          <w:p>
            <w:pPr>
              <w:jc w:val="right"/>
              <w:ind w:right="160"/>
              <w:spacing w:after="0"/>
              <w:rPr>
                <w:sz w:val="20"/>
                <w:szCs w:val="20"/>
                <w:color w:val="auto"/>
              </w:rPr>
            </w:pPr>
            <w:r>
              <w:rPr>
                <w:rFonts w:ascii="Arial" w:cs="Arial" w:eastAsia="Arial" w:hAnsi="Arial"/>
                <w:sz w:val="17"/>
                <w:szCs w:val="17"/>
                <w:b w:val="1"/>
                <w:bCs w:val="1"/>
                <w:color w:val="444867"/>
              </w:rPr>
              <w:t>Date</w:t>
            </w: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8"/>
              <w:spacing w:after="0"/>
              <w:rPr>
                <w:sz w:val="20"/>
                <w:szCs w:val="20"/>
                <w:color w:val="auto"/>
              </w:rPr>
            </w:pPr>
            <w:r>
              <w:rPr>
                <w:rFonts w:ascii="Arial" w:cs="Arial" w:eastAsia="Arial" w:hAnsi="Arial"/>
                <w:sz w:val="17"/>
                <w:szCs w:val="17"/>
                <w:b w:val="1"/>
                <w:bCs w:val="1"/>
                <w:color w:val="444867"/>
              </w:rPr>
              <w:t>Vested (#)</w:t>
            </w:r>
          </w:p>
        </w:tc>
        <w:tc>
          <w:tcPr>
            <w:tcW w:w="1240" w:type="dxa"/>
            <w:vAlign w:val="bottom"/>
            <w:tcBorders>
              <w:bottom w:val="single" w:sz="8" w:color="auto"/>
            </w:tcBorders>
          </w:tcPr>
          <w:p>
            <w:pPr>
              <w:jc w:val="right"/>
              <w:ind w:right="75"/>
              <w:spacing w:after="0"/>
              <w:rPr>
                <w:sz w:val="20"/>
                <w:szCs w:val="20"/>
                <w:color w:val="auto"/>
              </w:rPr>
            </w:pPr>
            <w:r>
              <w:rPr>
                <w:rFonts w:ascii="Arial" w:cs="Arial" w:eastAsia="Arial" w:hAnsi="Arial"/>
                <w:sz w:val="17"/>
                <w:szCs w:val="17"/>
                <w:b w:val="1"/>
                <w:bCs w:val="1"/>
                <w:color w:val="444867"/>
              </w:rPr>
              <w:t>Vested ($)</w:t>
            </w:r>
          </w:p>
        </w:tc>
        <w:tc>
          <w:tcPr>
            <w:tcW w:w="1220" w:type="dxa"/>
            <w:vAlign w:val="bottom"/>
            <w:tcBorders>
              <w:bottom w:val="single" w:sz="8" w:color="auto"/>
            </w:tcBorders>
          </w:tcPr>
          <w:p>
            <w:pPr>
              <w:jc w:val="right"/>
              <w:ind w:right="222"/>
              <w:spacing w:after="0"/>
              <w:rPr>
                <w:sz w:val="20"/>
                <w:szCs w:val="20"/>
                <w:color w:val="auto"/>
              </w:rPr>
            </w:pPr>
            <w:r>
              <w:rPr>
                <w:rFonts w:ascii="Arial" w:cs="Arial" w:eastAsia="Arial" w:hAnsi="Arial"/>
                <w:sz w:val="17"/>
                <w:szCs w:val="17"/>
                <w:b w:val="1"/>
                <w:bCs w:val="1"/>
                <w:color w:val="444867"/>
              </w:rPr>
              <w:t>Vested (#)</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Vested ($)</w:t>
            </w:r>
          </w:p>
        </w:tc>
        <w:tc>
          <w:tcPr>
            <w:tcW w:w="0" w:type="dxa"/>
            <w:vAlign w:val="bottom"/>
          </w:tcPr>
          <w:p>
            <w:pPr>
              <w:spacing w:after="0"/>
              <w:rPr>
                <w:sz w:val="1"/>
                <w:szCs w:val="1"/>
                <w:color w:val="auto"/>
              </w:rPr>
            </w:pPr>
          </w:p>
        </w:tc>
      </w:tr>
      <w:tr>
        <w:trPr>
          <w:trHeight w:val="189"/>
        </w:trPr>
        <w:tc>
          <w:tcPr>
            <w:tcW w:w="150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R. Gonzalez</w:t>
            </w:r>
          </w:p>
        </w:tc>
        <w:tc>
          <w:tcPr>
            <w:tcW w:w="1160" w:type="dxa"/>
            <w:vAlign w:val="bottom"/>
            <w:shd w:val="clear" w:color="auto" w:fill="E7E7E8"/>
          </w:tcPr>
          <w:p>
            <w:pPr>
              <w:jc w:val="right"/>
              <w:ind w:right="55"/>
              <w:spacing w:after="0" w:line="189" w:lineRule="exact"/>
              <w:rPr>
                <w:sz w:val="20"/>
                <w:szCs w:val="20"/>
                <w:color w:val="auto"/>
              </w:rPr>
            </w:pPr>
            <w:r>
              <w:rPr>
                <w:rFonts w:ascii="Arial" w:cs="Arial" w:eastAsia="Arial" w:hAnsi="Arial"/>
                <w:sz w:val="17"/>
                <w:szCs w:val="17"/>
                <w:color w:val="auto"/>
              </w:rPr>
              <w:t>18,366</w:t>
            </w:r>
          </w:p>
        </w:tc>
        <w:tc>
          <w:tcPr>
            <w:tcW w:w="100" w:type="dxa"/>
            <w:vAlign w:val="bottom"/>
            <w:shd w:val="clear" w:color="auto" w:fill="E7E7E8"/>
          </w:tcPr>
          <w:p>
            <w:pPr>
              <w:spacing w:after="0"/>
              <w:rPr>
                <w:sz w:val="16"/>
                <w:szCs w:val="16"/>
                <w:color w:val="auto"/>
              </w:rPr>
            </w:pPr>
          </w:p>
        </w:tc>
        <w:tc>
          <w:tcPr>
            <w:tcW w:w="1080" w:type="dxa"/>
            <w:vAlign w:val="bottom"/>
            <w:shd w:val="clear" w:color="auto" w:fill="E7E7E8"/>
          </w:tcPr>
          <w:p>
            <w:pPr>
              <w:spacing w:after="0"/>
              <w:rPr>
                <w:sz w:val="16"/>
                <w:szCs w:val="16"/>
                <w:color w:val="auto"/>
              </w:rPr>
            </w:pPr>
          </w:p>
        </w:tc>
        <w:tc>
          <w:tcPr>
            <w:tcW w:w="240" w:type="dxa"/>
            <w:vAlign w:val="bottom"/>
            <w:shd w:val="clear" w:color="auto" w:fill="E7E7E8"/>
          </w:tcPr>
          <w:p>
            <w:pPr>
              <w:spacing w:after="0"/>
              <w:rPr>
                <w:sz w:val="16"/>
                <w:szCs w:val="16"/>
                <w:color w:val="auto"/>
              </w:rPr>
            </w:pPr>
          </w:p>
        </w:tc>
        <w:tc>
          <w:tcPr>
            <w:tcW w:w="960" w:type="dxa"/>
            <w:vAlign w:val="bottom"/>
            <w:shd w:val="clear" w:color="auto" w:fill="E7E7E8"/>
          </w:tcPr>
          <w:p>
            <w:pPr>
              <w:jc w:val="right"/>
              <w:ind w:right="95"/>
              <w:spacing w:after="0" w:line="189" w:lineRule="exact"/>
              <w:rPr>
                <w:sz w:val="20"/>
                <w:szCs w:val="20"/>
                <w:color w:val="auto"/>
              </w:rPr>
            </w:pPr>
            <w:r>
              <w:rPr>
                <w:rFonts w:ascii="Arial" w:cs="Arial" w:eastAsia="Arial" w:hAnsi="Arial"/>
                <w:sz w:val="17"/>
                <w:szCs w:val="17"/>
                <w:color w:val="auto"/>
              </w:rPr>
              <w:t>24.2082</w:t>
            </w:r>
          </w:p>
        </w:tc>
        <w:tc>
          <w:tcPr>
            <w:tcW w:w="106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02/17/2021</w:t>
            </w:r>
          </w:p>
        </w:tc>
        <w:tc>
          <w:tcPr>
            <w:tcW w:w="160" w:type="dxa"/>
            <w:vAlign w:val="bottom"/>
            <w:tcBorders>
              <w:right w:val="single" w:sz="8" w:color="061844"/>
            </w:tcBorders>
            <w:shd w:val="clear" w:color="auto" w:fill="E7E7E8"/>
          </w:tcPr>
          <w:p>
            <w:pPr>
              <w:spacing w:after="0"/>
              <w:rPr>
                <w:sz w:val="16"/>
                <w:szCs w:val="16"/>
                <w:color w:val="auto"/>
              </w:rPr>
            </w:pPr>
          </w:p>
        </w:tc>
        <w:tc>
          <w:tcPr>
            <w:tcW w:w="300" w:type="dxa"/>
            <w:vAlign w:val="bottom"/>
            <w:shd w:val="clear" w:color="auto" w:fill="E7E7E8"/>
          </w:tcPr>
          <w:p>
            <w:pPr>
              <w:spacing w:after="0"/>
              <w:rPr>
                <w:sz w:val="16"/>
                <w:szCs w:val="16"/>
                <w:color w:val="auto"/>
              </w:rPr>
            </w:pPr>
          </w:p>
        </w:tc>
        <w:tc>
          <w:tcPr>
            <w:tcW w:w="1060" w:type="dxa"/>
            <w:vAlign w:val="bottom"/>
            <w:shd w:val="clear" w:color="auto" w:fill="E7E7E8"/>
          </w:tcPr>
          <w:p>
            <w:pPr>
              <w:spacing w:after="0"/>
              <w:rPr>
                <w:sz w:val="16"/>
                <w:szCs w:val="16"/>
                <w:color w:val="auto"/>
              </w:rPr>
            </w:pPr>
          </w:p>
        </w:tc>
        <w:tc>
          <w:tcPr>
            <w:tcW w:w="1240" w:type="dxa"/>
            <w:vAlign w:val="bottom"/>
            <w:shd w:val="clear" w:color="auto" w:fill="E7E7E8"/>
          </w:tcPr>
          <w:p>
            <w:pPr>
              <w:spacing w:after="0"/>
              <w:rPr>
                <w:sz w:val="16"/>
                <w:szCs w:val="16"/>
                <w:color w:val="auto"/>
              </w:rPr>
            </w:pPr>
          </w:p>
        </w:tc>
        <w:tc>
          <w:tcPr>
            <w:tcW w:w="1220" w:type="dxa"/>
            <w:vAlign w:val="bottom"/>
            <w:shd w:val="clear" w:color="auto" w:fill="E7E7E8"/>
          </w:tcPr>
          <w:p>
            <w:pPr>
              <w:jc w:val="right"/>
              <w:ind w:right="42"/>
              <w:spacing w:after="0" w:line="189" w:lineRule="exact"/>
              <w:rPr>
                <w:sz w:val="20"/>
                <w:szCs w:val="20"/>
                <w:color w:val="auto"/>
              </w:rPr>
            </w:pPr>
            <w:r>
              <w:rPr>
                <w:rFonts w:ascii="Arial" w:cs="Arial" w:eastAsia="Arial" w:hAnsi="Arial"/>
                <w:sz w:val="13"/>
                <w:szCs w:val="13"/>
                <w:color w:val="auto"/>
              </w:rPr>
              <w:t>85,907</w:t>
            </w:r>
            <w:r>
              <w:rPr>
                <w:rFonts w:ascii="Arial" w:cs="Arial" w:eastAsia="Arial" w:hAnsi="Arial"/>
                <w:sz w:val="21"/>
                <w:szCs w:val="21"/>
                <w:color w:val="auto"/>
                <w:vertAlign w:val="superscript"/>
              </w:rPr>
              <w:t>(3)</w:t>
            </w:r>
          </w:p>
        </w:tc>
        <w:tc>
          <w:tcPr>
            <w:tcW w:w="118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$5,117,480</w:t>
            </w:r>
          </w:p>
        </w:tc>
        <w:tc>
          <w:tcPr>
            <w:tcW w:w="0" w:type="dxa"/>
            <w:vAlign w:val="bottom"/>
          </w:tcPr>
          <w:p>
            <w:pPr>
              <w:spacing w:after="0"/>
              <w:rPr>
                <w:sz w:val="1"/>
                <w:szCs w:val="1"/>
                <w:color w:val="auto"/>
              </w:rPr>
            </w:pPr>
          </w:p>
        </w:tc>
      </w:tr>
      <w:tr>
        <w:trPr>
          <w:trHeight w:val="196"/>
        </w:trPr>
        <w:tc>
          <w:tcPr>
            <w:tcW w:w="1500" w:type="dxa"/>
            <w:vAlign w:val="bottom"/>
            <w:shd w:val="clear" w:color="auto" w:fill="E7E7E8"/>
          </w:tcPr>
          <w:p>
            <w:pPr>
              <w:spacing w:after="0"/>
              <w:rPr>
                <w:sz w:val="17"/>
                <w:szCs w:val="17"/>
                <w:color w:val="auto"/>
              </w:rPr>
            </w:pPr>
          </w:p>
        </w:tc>
        <w:tc>
          <w:tcPr>
            <w:tcW w:w="11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53,650</w:t>
            </w:r>
          </w:p>
        </w:tc>
        <w:tc>
          <w:tcPr>
            <w:tcW w:w="100" w:type="dxa"/>
            <w:vAlign w:val="bottom"/>
            <w:shd w:val="clear" w:color="auto" w:fill="E7E7E8"/>
          </w:tcPr>
          <w:p>
            <w:pPr>
              <w:spacing w:after="0"/>
              <w:rPr>
                <w:sz w:val="17"/>
                <w:szCs w:val="17"/>
                <w:color w:val="auto"/>
              </w:rPr>
            </w:pPr>
          </w:p>
        </w:tc>
        <w:tc>
          <w:tcPr>
            <w:tcW w:w="1080" w:type="dxa"/>
            <w:vAlign w:val="bottom"/>
            <w:shd w:val="clear" w:color="auto" w:fill="E7E7E8"/>
          </w:tcPr>
          <w:p>
            <w:pPr>
              <w:spacing w:after="0"/>
              <w:rPr>
                <w:sz w:val="17"/>
                <w:szCs w:val="17"/>
                <w:color w:val="auto"/>
              </w:rPr>
            </w:pPr>
          </w:p>
        </w:tc>
        <w:tc>
          <w:tcPr>
            <w:tcW w:w="240" w:type="dxa"/>
            <w:vAlign w:val="bottom"/>
            <w:shd w:val="clear" w:color="auto" w:fill="E7E7E8"/>
          </w:tcPr>
          <w:p>
            <w:pPr>
              <w:spacing w:after="0"/>
              <w:rPr>
                <w:sz w:val="17"/>
                <w:szCs w:val="17"/>
                <w:color w:val="auto"/>
              </w:rPr>
            </w:pPr>
          </w:p>
        </w:tc>
        <w:tc>
          <w:tcPr>
            <w:tcW w:w="960" w:type="dxa"/>
            <w:vAlign w:val="bottom"/>
            <w:shd w:val="clear" w:color="auto" w:fill="E7E7E8"/>
          </w:tcPr>
          <w:p>
            <w:pPr>
              <w:jc w:val="right"/>
              <w:ind w:right="95"/>
              <w:spacing w:after="0"/>
              <w:rPr>
                <w:sz w:val="20"/>
                <w:szCs w:val="20"/>
                <w:color w:val="auto"/>
              </w:rPr>
            </w:pPr>
            <w:r>
              <w:rPr>
                <w:rFonts w:ascii="Arial" w:cs="Arial" w:eastAsia="Arial" w:hAnsi="Arial"/>
                <w:sz w:val="17"/>
                <w:szCs w:val="17"/>
                <w:color w:val="auto"/>
              </w:rPr>
              <w:t>29.2265</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02/16/2022</w:t>
            </w:r>
          </w:p>
        </w:tc>
        <w:tc>
          <w:tcPr>
            <w:tcW w:w="160" w:type="dxa"/>
            <w:vAlign w:val="bottom"/>
            <w:tcBorders>
              <w:right w:val="single" w:sz="8" w:color="061844"/>
            </w:tcBorders>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1220" w:type="dxa"/>
            <w:vAlign w:val="bottom"/>
            <w:shd w:val="clear" w:color="auto" w:fill="E7E7E8"/>
          </w:tcPr>
          <w:p>
            <w:pPr>
              <w:jc w:val="right"/>
              <w:ind w:right="42"/>
              <w:spacing w:after="0" w:line="195" w:lineRule="exact"/>
              <w:rPr>
                <w:sz w:val="20"/>
                <w:szCs w:val="20"/>
                <w:color w:val="auto"/>
              </w:rPr>
            </w:pPr>
            <w:r>
              <w:rPr>
                <w:rFonts w:ascii="Arial" w:cs="Arial" w:eastAsia="Arial" w:hAnsi="Arial"/>
                <w:sz w:val="14"/>
                <w:szCs w:val="14"/>
                <w:color w:val="auto"/>
              </w:rPr>
              <w:t>108,640</w:t>
            </w:r>
            <w:r>
              <w:rPr>
                <w:rFonts w:ascii="Arial" w:cs="Arial" w:eastAsia="Arial" w:hAnsi="Arial"/>
                <w:sz w:val="22"/>
                <w:szCs w:val="22"/>
                <w:color w:val="auto"/>
                <w:vertAlign w:val="superscript"/>
              </w:rPr>
              <w:t>(3)</w:t>
            </w:r>
          </w:p>
        </w:tc>
        <w:tc>
          <w:tcPr>
            <w:tcW w:w="1180" w:type="dxa"/>
            <w:vAlign w:val="bottom"/>
            <w:shd w:val="clear" w:color="auto" w:fill="E7E7E8"/>
          </w:tcPr>
          <w:p>
            <w:pPr>
              <w:jc w:val="right"/>
              <w:spacing w:after="0"/>
              <w:rPr>
                <w:sz w:val="20"/>
                <w:szCs w:val="20"/>
                <w:color w:val="auto"/>
              </w:rPr>
            </w:pPr>
            <w:r>
              <w:rPr>
                <w:rFonts w:ascii="Arial" w:cs="Arial" w:eastAsia="Arial" w:hAnsi="Arial"/>
                <w:sz w:val="17"/>
                <w:szCs w:val="17"/>
                <w:color w:val="auto"/>
              </w:rPr>
              <w:t>6,471,685</w:t>
            </w:r>
          </w:p>
        </w:tc>
        <w:tc>
          <w:tcPr>
            <w:tcW w:w="0" w:type="dxa"/>
            <w:vAlign w:val="bottom"/>
          </w:tcPr>
          <w:p>
            <w:pPr>
              <w:spacing w:after="0"/>
              <w:rPr>
                <w:sz w:val="1"/>
                <w:szCs w:val="1"/>
                <w:color w:val="auto"/>
              </w:rPr>
            </w:pPr>
          </w:p>
        </w:tc>
      </w:tr>
      <w:tr>
        <w:trPr>
          <w:trHeight w:val="196"/>
        </w:trPr>
        <w:tc>
          <w:tcPr>
            <w:tcW w:w="1500" w:type="dxa"/>
            <w:vAlign w:val="bottom"/>
            <w:shd w:val="clear" w:color="auto" w:fill="E7E7E8"/>
          </w:tcPr>
          <w:p>
            <w:pPr>
              <w:spacing w:after="0"/>
              <w:rPr>
                <w:sz w:val="17"/>
                <w:szCs w:val="17"/>
                <w:color w:val="auto"/>
              </w:rPr>
            </w:pPr>
          </w:p>
        </w:tc>
        <w:tc>
          <w:tcPr>
            <w:tcW w:w="11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110,476</w:t>
            </w:r>
          </w:p>
        </w:tc>
        <w:tc>
          <w:tcPr>
            <w:tcW w:w="1420" w:type="dxa"/>
            <w:vAlign w:val="bottom"/>
            <w:gridSpan w:val="3"/>
            <w:shd w:val="clear" w:color="auto" w:fill="E7E7E8"/>
          </w:tcPr>
          <w:p>
            <w:pPr>
              <w:jc w:val="right"/>
              <w:ind w:right="9"/>
              <w:spacing w:after="0" w:line="195" w:lineRule="exact"/>
              <w:rPr>
                <w:sz w:val="20"/>
                <w:szCs w:val="20"/>
                <w:color w:val="auto"/>
              </w:rPr>
            </w:pPr>
            <w:r>
              <w:rPr>
                <w:rFonts w:ascii="Arial" w:cs="Arial" w:eastAsia="Arial" w:hAnsi="Arial"/>
                <w:sz w:val="14"/>
                <w:szCs w:val="14"/>
                <w:color w:val="auto"/>
              </w:rPr>
              <w:t>175,477</w:t>
            </w:r>
            <w:r>
              <w:rPr>
                <w:rFonts w:ascii="Arial" w:cs="Arial" w:eastAsia="Arial" w:hAnsi="Arial"/>
                <w:sz w:val="22"/>
                <w:szCs w:val="22"/>
                <w:color w:val="auto"/>
                <w:vertAlign w:val="superscript"/>
              </w:rPr>
              <w:t>(3)</w:t>
            </w:r>
          </w:p>
        </w:tc>
        <w:tc>
          <w:tcPr>
            <w:tcW w:w="960" w:type="dxa"/>
            <w:vAlign w:val="bottom"/>
            <w:shd w:val="clear" w:color="auto" w:fill="E7E7E8"/>
          </w:tcPr>
          <w:p>
            <w:pPr>
              <w:jc w:val="right"/>
              <w:ind w:right="95"/>
              <w:spacing w:after="0"/>
              <w:rPr>
                <w:sz w:val="20"/>
                <w:szCs w:val="20"/>
                <w:color w:val="auto"/>
              </w:rPr>
            </w:pPr>
            <w:r>
              <w:rPr>
                <w:rFonts w:ascii="Arial" w:cs="Arial" w:eastAsia="Arial" w:hAnsi="Arial"/>
                <w:sz w:val="17"/>
                <w:szCs w:val="17"/>
                <w:color w:val="auto"/>
              </w:rPr>
              <w:t>35.8800</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02/13/2023</w:t>
            </w:r>
          </w:p>
        </w:tc>
        <w:tc>
          <w:tcPr>
            <w:tcW w:w="160" w:type="dxa"/>
            <w:vAlign w:val="bottom"/>
            <w:tcBorders>
              <w:right w:val="single" w:sz="8" w:color="061844"/>
            </w:tcBorders>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1220" w:type="dxa"/>
            <w:vAlign w:val="bottom"/>
            <w:shd w:val="clear" w:color="auto" w:fill="E7E7E8"/>
          </w:tcPr>
          <w:p>
            <w:pPr>
              <w:jc w:val="right"/>
              <w:ind w:right="42"/>
              <w:spacing w:after="0" w:line="195" w:lineRule="exact"/>
              <w:rPr>
                <w:sz w:val="20"/>
                <w:szCs w:val="20"/>
                <w:color w:val="auto"/>
              </w:rPr>
            </w:pPr>
            <w:r>
              <w:rPr>
                <w:rFonts w:ascii="Arial" w:cs="Arial" w:eastAsia="Arial" w:hAnsi="Arial"/>
                <w:sz w:val="14"/>
                <w:szCs w:val="14"/>
                <w:color w:val="auto"/>
              </w:rPr>
              <w:t>165,590</w:t>
            </w:r>
            <w:r>
              <w:rPr>
                <w:rFonts w:ascii="Arial" w:cs="Arial" w:eastAsia="Arial" w:hAnsi="Arial"/>
                <w:sz w:val="22"/>
                <w:szCs w:val="22"/>
                <w:color w:val="auto"/>
                <w:vertAlign w:val="superscript"/>
              </w:rPr>
              <w:t>(3)</w:t>
            </w:r>
          </w:p>
        </w:tc>
        <w:tc>
          <w:tcPr>
            <w:tcW w:w="1180" w:type="dxa"/>
            <w:vAlign w:val="bottom"/>
            <w:shd w:val="clear" w:color="auto" w:fill="E7E7E8"/>
          </w:tcPr>
          <w:p>
            <w:pPr>
              <w:jc w:val="right"/>
              <w:spacing w:after="0"/>
              <w:rPr>
                <w:sz w:val="20"/>
                <w:szCs w:val="20"/>
                <w:color w:val="auto"/>
              </w:rPr>
            </w:pPr>
            <w:r>
              <w:rPr>
                <w:rFonts w:ascii="Arial" w:cs="Arial" w:eastAsia="Arial" w:hAnsi="Arial"/>
                <w:sz w:val="17"/>
                <w:szCs w:val="17"/>
                <w:color w:val="auto"/>
              </w:rPr>
              <w:t>9,864,196</w:t>
            </w:r>
          </w:p>
        </w:tc>
        <w:tc>
          <w:tcPr>
            <w:tcW w:w="0" w:type="dxa"/>
            <w:vAlign w:val="bottom"/>
          </w:tcPr>
          <w:p>
            <w:pPr>
              <w:spacing w:after="0"/>
              <w:rPr>
                <w:sz w:val="1"/>
                <w:szCs w:val="1"/>
                <w:color w:val="auto"/>
              </w:rPr>
            </w:pPr>
          </w:p>
        </w:tc>
      </w:tr>
      <w:tr>
        <w:trPr>
          <w:trHeight w:val="196"/>
        </w:trPr>
        <w:tc>
          <w:tcPr>
            <w:tcW w:w="1500" w:type="dxa"/>
            <w:vAlign w:val="bottom"/>
            <w:shd w:val="clear" w:color="auto" w:fill="E7E7E8"/>
          </w:tcPr>
          <w:p>
            <w:pPr>
              <w:spacing w:after="0"/>
              <w:rPr>
                <w:sz w:val="17"/>
                <w:szCs w:val="17"/>
                <w:color w:val="auto"/>
              </w:rPr>
            </w:pPr>
          </w:p>
        </w:tc>
        <w:tc>
          <w:tcPr>
            <w:tcW w:w="11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93,677</w:t>
            </w:r>
          </w:p>
        </w:tc>
        <w:tc>
          <w:tcPr>
            <w:tcW w:w="1420" w:type="dxa"/>
            <w:vAlign w:val="bottom"/>
            <w:gridSpan w:val="3"/>
            <w:shd w:val="clear" w:color="auto" w:fill="E7E7E8"/>
          </w:tcPr>
          <w:p>
            <w:pPr>
              <w:jc w:val="right"/>
              <w:ind w:right="9"/>
              <w:spacing w:after="0" w:line="195" w:lineRule="exact"/>
              <w:rPr>
                <w:sz w:val="20"/>
                <w:szCs w:val="20"/>
                <w:color w:val="auto"/>
              </w:rPr>
            </w:pPr>
            <w:r>
              <w:rPr>
                <w:rFonts w:ascii="Arial" w:cs="Arial" w:eastAsia="Arial" w:hAnsi="Arial"/>
                <w:sz w:val="14"/>
                <w:szCs w:val="14"/>
                <w:color w:val="auto"/>
              </w:rPr>
              <w:t>187,353</w:t>
            </w:r>
            <w:r>
              <w:rPr>
                <w:rFonts w:ascii="Arial" w:cs="Arial" w:eastAsia="Arial" w:hAnsi="Arial"/>
                <w:sz w:val="22"/>
                <w:szCs w:val="22"/>
                <w:color w:val="auto"/>
                <w:vertAlign w:val="superscript"/>
              </w:rPr>
              <w:t>(3)</w:t>
            </w:r>
          </w:p>
        </w:tc>
        <w:tc>
          <w:tcPr>
            <w:tcW w:w="960" w:type="dxa"/>
            <w:vAlign w:val="bottom"/>
            <w:shd w:val="clear" w:color="auto" w:fill="E7E7E8"/>
          </w:tcPr>
          <w:p>
            <w:pPr>
              <w:jc w:val="right"/>
              <w:ind w:right="95"/>
              <w:spacing w:after="0"/>
              <w:rPr>
                <w:sz w:val="20"/>
                <w:szCs w:val="20"/>
                <w:color w:val="auto"/>
              </w:rPr>
            </w:pPr>
            <w:r>
              <w:rPr>
                <w:rFonts w:ascii="Arial" w:cs="Arial" w:eastAsia="Arial" w:hAnsi="Arial"/>
                <w:sz w:val="17"/>
                <w:szCs w:val="17"/>
                <w:color w:val="auto"/>
              </w:rPr>
              <w:t>51.4200</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02/19/2024</w:t>
            </w:r>
          </w:p>
        </w:tc>
        <w:tc>
          <w:tcPr>
            <w:tcW w:w="160" w:type="dxa"/>
            <w:vAlign w:val="bottom"/>
            <w:tcBorders>
              <w:right w:val="single" w:sz="8" w:color="061844"/>
            </w:tcBorders>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c>
          <w:tcPr>
            <w:tcW w:w="11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shd w:val="clear" w:color="auto" w:fill="E7E7E8"/>
          </w:tcPr>
          <w:p>
            <w:pPr>
              <w:spacing w:after="0"/>
              <w:rPr>
                <w:sz w:val="17"/>
                <w:szCs w:val="17"/>
                <w:color w:val="auto"/>
              </w:rPr>
            </w:pPr>
          </w:p>
        </w:tc>
        <w:tc>
          <w:tcPr>
            <w:tcW w:w="1160" w:type="dxa"/>
            <w:vAlign w:val="bottom"/>
            <w:shd w:val="clear" w:color="auto" w:fill="E7E7E8"/>
          </w:tcPr>
          <w:p>
            <w:pPr>
              <w:spacing w:after="0"/>
              <w:rPr>
                <w:sz w:val="17"/>
                <w:szCs w:val="17"/>
                <w:color w:val="auto"/>
              </w:rPr>
            </w:pPr>
          </w:p>
        </w:tc>
        <w:tc>
          <w:tcPr>
            <w:tcW w:w="1420" w:type="dxa"/>
            <w:vAlign w:val="bottom"/>
            <w:gridSpan w:val="3"/>
            <w:shd w:val="clear" w:color="auto" w:fill="E7E7E8"/>
          </w:tcPr>
          <w:p>
            <w:pPr>
              <w:jc w:val="right"/>
              <w:ind w:right="9"/>
              <w:spacing w:after="0" w:line="195" w:lineRule="exact"/>
              <w:rPr>
                <w:sz w:val="20"/>
                <w:szCs w:val="20"/>
                <w:color w:val="auto"/>
              </w:rPr>
            </w:pPr>
            <w:r>
              <w:rPr>
                <w:rFonts w:ascii="Arial" w:cs="Arial" w:eastAsia="Arial" w:hAnsi="Arial"/>
                <w:sz w:val="14"/>
                <w:szCs w:val="14"/>
                <w:color w:val="auto"/>
              </w:rPr>
              <w:t>327,290</w:t>
            </w:r>
            <w:r>
              <w:rPr>
                <w:rFonts w:ascii="Arial" w:cs="Arial" w:eastAsia="Arial" w:hAnsi="Arial"/>
                <w:sz w:val="22"/>
                <w:szCs w:val="22"/>
                <w:color w:val="auto"/>
                <w:vertAlign w:val="superscript"/>
              </w:rPr>
              <w:t>(3)</w:t>
            </w:r>
          </w:p>
        </w:tc>
        <w:tc>
          <w:tcPr>
            <w:tcW w:w="960" w:type="dxa"/>
            <w:vAlign w:val="bottom"/>
            <w:shd w:val="clear" w:color="auto" w:fill="E7E7E8"/>
          </w:tcPr>
          <w:p>
            <w:pPr>
              <w:jc w:val="right"/>
              <w:ind w:right="95"/>
              <w:spacing w:after="0"/>
              <w:rPr>
                <w:sz w:val="20"/>
                <w:szCs w:val="20"/>
                <w:color w:val="auto"/>
              </w:rPr>
            </w:pPr>
            <w:r>
              <w:rPr>
                <w:rFonts w:ascii="Arial" w:cs="Arial" w:eastAsia="Arial" w:hAnsi="Arial"/>
                <w:sz w:val="17"/>
                <w:szCs w:val="17"/>
                <w:color w:val="auto"/>
              </w:rPr>
              <w:t>58.8800</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02/18/2025</w:t>
            </w:r>
          </w:p>
        </w:tc>
        <w:tc>
          <w:tcPr>
            <w:tcW w:w="160" w:type="dxa"/>
            <w:vAlign w:val="bottom"/>
            <w:tcBorders>
              <w:right w:val="single" w:sz="8" w:color="061844"/>
            </w:tcBorders>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c>
          <w:tcPr>
            <w:tcW w:w="11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00" w:type="dxa"/>
            <w:vAlign w:val="bottom"/>
          </w:tcPr>
          <w:p>
            <w:pPr>
              <w:spacing w:after="0"/>
              <w:rPr>
                <w:sz w:val="20"/>
                <w:szCs w:val="20"/>
                <w:color w:val="auto"/>
              </w:rPr>
            </w:pPr>
            <w:r>
              <w:rPr>
                <w:rFonts w:ascii="Arial" w:cs="Arial" w:eastAsia="Arial" w:hAnsi="Arial"/>
                <w:sz w:val="17"/>
                <w:szCs w:val="17"/>
                <w:color w:val="auto"/>
              </w:rPr>
              <w:t>W. Chase</w:t>
            </w: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6,600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27.2940</w:t>
            </w:r>
          </w:p>
        </w:tc>
        <w:tc>
          <w:tcPr>
            <w:tcW w:w="1060" w:type="dxa"/>
            <w:vAlign w:val="bottom"/>
          </w:tcPr>
          <w:p>
            <w:pPr>
              <w:jc w:val="right"/>
              <w:spacing w:after="0"/>
              <w:rPr>
                <w:sz w:val="20"/>
                <w:szCs w:val="20"/>
                <w:color w:val="auto"/>
              </w:rPr>
            </w:pPr>
            <w:r>
              <w:rPr>
                <w:rFonts w:ascii="Arial" w:cs="Arial" w:eastAsia="Arial" w:hAnsi="Arial"/>
                <w:sz w:val="17"/>
                <w:szCs w:val="17"/>
                <w:color w:val="auto"/>
              </w:rPr>
              <w:t>02/15/2017</w:t>
            </w:r>
          </w:p>
        </w:tc>
        <w:tc>
          <w:tcPr>
            <w:tcW w:w="160" w:type="dxa"/>
            <w:vAlign w:val="bottom"/>
            <w:tcBorders>
              <w:right w:val="single" w:sz="8" w:color="061844"/>
            </w:tcBorders>
          </w:tcPr>
          <w:p>
            <w:pPr>
              <w:spacing w:after="0"/>
              <w:rPr>
                <w:sz w:val="17"/>
                <w:szCs w:val="17"/>
                <w:color w:val="auto"/>
              </w:rPr>
            </w:pPr>
          </w:p>
        </w:tc>
        <w:tc>
          <w:tcPr>
            <w:tcW w:w="1360" w:type="dxa"/>
            <w:vAlign w:val="bottom"/>
            <w:gridSpan w:val="2"/>
          </w:tcPr>
          <w:p>
            <w:pPr>
              <w:jc w:val="right"/>
              <w:spacing w:after="0" w:line="199" w:lineRule="exact"/>
              <w:rPr>
                <w:sz w:val="20"/>
                <w:szCs w:val="20"/>
                <w:color w:val="auto"/>
              </w:rPr>
            </w:pPr>
            <w:r>
              <w:rPr>
                <w:rFonts w:ascii="Arial" w:cs="Arial" w:eastAsia="Arial" w:hAnsi="Arial"/>
                <w:sz w:val="14"/>
                <w:szCs w:val="14"/>
                <w:color w:val="auto"/>
              </w:rPr>
              <w:t>44,401</w:t>
            </w:r>
            <w:r>
              <w:rPr>
                <w:rFonts w:ascii="Arial" w:cs="Arial" w:eastAsia="Arial" w:hAnsi="Arial"/>
                <w:sz w:val="23"/>
                <w:szCs w:val="23"/>
                <w:color w:val="auto"/>
                <w:vertAlign w:val="superscript"/>
              </w:rPr>
              <w:t>(3)</w:t>
            </w: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$2,644,968</w:t>
            </w:r>
          </w:p>
        </w:tc>
        <w:tc>
          <w:tcPr>
            <w:tcW w:w="1220" w:type="dxa"/>
            <w:vAlign w:val="bottom"/>
            <w:vMerge w:val="restart"/>
          </w:tcPr>
          <w:p>
            <w:pPr>
              <w:jc w:val="right"/>
              <w:ind w:right="42"/>
              <w:spacing w:after="0"/>
              <w:rPr>
                <w:sz w:val="20"/>
                <w:szCs w:val="20"/>
                <w:color w:val="auto"/>
              </w:rPr>
            </w:pPr>
            <w:r>
              <w:rPr>
                <w:rFonts w:ascii="Arial" w:cs="Arial" w:eastAsia="Arial" w:hAnsi="Arial"/>
                <w:sz w:val="17"/>
                <w:szCs w:val="17"/>
                <w:color w:val="auto"/>
              </w:rPr>
              <w:t>18,900</w:t>
            </w:r>
            <w:r>
              <w:rPr>
                <w:rFonts w:ascii="Arial" w:cs="Arial" w:eastAsia="Arial" w:hAnsi="Arial"/>
                <w:sz w:val="28"/>
                <w:szCs w:val="28"/>
                <w:color w:val="auto"/>
                <w:vertAlign w:val="superscript"/>
              </w:rPr>
              <w:t>(3)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25,500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28.8628</w:t>
            </w:r>
          </w:p>
        </w:tc>
        <w:tc>
          <w:tcPr>
            <w:tcW w:w="1060" w:type="dxa"/>
            <w:vAlign w:val="bottom"/>
          </w:tcPr>
          <w:p>
            <w:pPr>
              <w:jc w:val="right"/>
              <w:spacing w:after="0"/>
              <w:rPr>
                <w:sz w:val="20"/>
                <w:szCs w:val="20"/>
                <w:color w:val="auto"/>
              </w:rPr>
            </w:pPr>
            <w:r>
              <w:rPr>
                <w:rFonts w:ascii="Arial" w:cs="Arial" w:eastAsia="Arial" w:hAnsi="Arial"/>
                <w:sz w:val="17"/>
                <w:szCs w:val="17"/>
                <w:color w:val="auto"/>
              </w:rPr>
              <w:t>02/14/2018</w:t>
            </w: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1,125,873</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12,800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28.1251</w:t>
            </w:r>
          </w:p>
        </w:tc>
        <w:tc>
          <w:tcPr>
            <w:tcW w:w="1060" w:type="dxa"/>
            <w:vAlign w:val="bottom"/>
          </w:tcPr>
          <w:p>
            <w:pPr>
              <w:jc w:val="right"/>
              <w:spacing w:after="0"/>
              <w:rPr>
                <w:sz w:val="20"/>
                <w:szCs w:val="20"/>
                <w:color w:val="auto"/>
              </w:rPr>
            </w:pPr>
            <w:r>
              <w:rPr>
                <w:rFonts w:ascii="Arial" w:cs="Arial" w:eastAsia="Arial" w:hAnsi="Arial"/>
                <w:sz w:val="17"/>
                <w:szCs w:val="17"/>
                <w:color w:val="auto"/>
              </w:rPr>
              <w:t>02/19/2019</w:t>
            </w: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jc w:val="right"/>
              <w:ind w:right="42"/>
              <w:spacing w:after="0" w:line="195" w:lineRule="exact"/>
              <w:rPr>
                <w:sz w:val="20"/>
                <w:szCs w:val="20"/>
                <w:color w:val="auto"/>
              </w:rPr>
            </w:pPr>
            <w:r>
              <w:rPr>
                <w:rFonts w:ascii="Arial" w:cs="Arial" w:eastAsia="Arial" w:hAnsi="Arial"/>
                <w:sz w:val="14"/>
                <w:szCs w:val="14"/>
                <w:color w:val="auto"/>
              </w:rPr>
              <w:t>35,846</w:t>
            </w:r>
            <w:r>
              <w:rPr>
                <w:rFonts w:ascii="Arial" w:cs="Arial" w:eastAsia="Arial" w:hAnsi="Arial"/>
                <w:sz w:val="22"/>
                <w:szCs w:val="22"/>
                <w:color w:val="auto"/>
                <w:vertAlign w:val="superscript"/>
              </w:rPr>
              <w:t>(3)</w:t>
            </w:r>
          </w:p>
        </w:tc>
        <w:tc>
          <w:tcPr>
            <w:tcW w:w="1180" w:type="dxa"/>
            <w:vAlign w:val="bottom"/>
          </w:tcPr>
          <w:p>
            <w:pPr>
              <w:jc w:val="right"/>
              <w:spacing w:after="0"/>
              <w:rPr>
                <w:sz w:val="20"/>
                <w:szCs w:val="20"/>
                <w:color w:val="auto"/>
              </w:rPr>
            </w:pPr>
            <w:r>
              <w:rPr>
                <w:rFonts w:ascii="Arial" w:cs="Arial" w:eastAsia="Arial" w:hAnsi="Arial"/>
                <w:sz w:val="17"/>
                <w:szCs w:val="17"/>
                <w:color w:val="auto"/>
              </w:rPr>
              <w:t>2,135,346</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13,400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28.3122</w:t>
            </w:r>
          </w:p>
        </w:tc>
        <w:tc>
          <w:tcPr>
            <w:tcW w:w="1060" w:type="dxa"/>
            <w:vAlign w:val="bottom"/>
          </w:tcPr>
          <w:p>
            <w:pPr>
              <w:jc w:val="right"/>
              <w:spacing w:after="0"/>
              <w:rPr>
                <w:sz w:val="20"/>
                <w:szCs w:val="20"/>
                <w:color w:val="auto"/>
              </w:rPr>
            </w:pPr>
            <w:r>
              <w:rPr>
                <w:rFonts w:ascii="Arial" w:cs="Arial" w:eastAsia="Arial" w:hAnsi="Arial"/>
                <w:sz w:val="17"/>
                <w:szCs w:val="17"/>
                <w:color w:val="auto"/>
              </w:rPr>
              <w:t>02/18/2020</w:t>
            </w: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jc w:val="right"/>
              <w:ind w:right="42"/>
              <w:spacing w:after="0" w:line="197" w:lineRule="exact"/>
              <w:rPr>
                <w:sz w:val="20"/>
                <w:szCs w:val="20"/>
                <w:color w:val="auto"/>
              </w:rPr>
            </w:pPr>
            <w:r>
              <w:rPr>
                <w:rFonts w:ascii="Arial" w:cs="Arial" w:eastAsia="Arial" w:hAnsi="Arial"/>
                <w:sz w:val="14"/>
                <w:szCs w:val="14"/>
                <w:color w:val="auto"/>
              </w:rPr>
              <w:t>56,040</w:t>
            </w:r>
            <w:r>
              <w:rPr>
                <w:rFonts w:ascii="Arial" w:cs="Arial" w:eastAsia="Arial" w:hAnsi="Arial"/>
                <w:sz w:val="22"/>
                <w:szCs w:val="22"/>
                <w:color w:val="auto"/>
                <w:vertAlign w:val="superscript"/>
              </w:rPr>
              <w:t>(3)</w:t>
            </w:r>
          </w:p>
        </w:tc>
        <w:tc>
          <w:tcPr>
            <w:tcW w:w="1180" w:type="dxa"/>
            <w:vAlign w:val="bottom"/>
          </w:tcPr>
          <w:p>
            <w:pPr>
              <w:jc w:val="right"/>
              <w:spacing w:after="0"/>
              <w:rPr>
                <w:sz w:val="20"/>
                <w:szCs w:val="20"/>
                <w:color w:val="auto"/>
              </w:rPr>
            </w:pPr>
            <w:r>
              <w:rPr>
                <w:rFonts w:ascii="Arial" w:cs="Arial" w:eastAsia="Arial" w:hAnsi="Arial"/>
                <w:sz w:val="17"/>
                <w:szCs w:val="17"/>
                <w:color w:val="auto"/>
              </w:rPr>
              <w:t>3,338,303</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19,000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24.2082</w:t>
            </w:r>
          </w:p>
        </w:tc>
        <w:tc>
          <w:tcPr>
            <w:tcW w:w="1060" w:type="dxa"/>
            <w:vAlign w:val="bottom"/>
          </w:tcPr>
          <w:p>
            <w:pPr>
              <w:jc w:val="right"/>
              <w:spacing w:after="0"/>
              <w:rPr>
                <w:sz w:val="20"/>
                <w:szCs w:val="20"/>
                <w:color w:val="auto"/>
              </w:rPr>
            </w:pPr>
            <w:r>
              <w:rPr>
                <w:rFonts w:ascii="Arial" w:cs="Arial" w:eastAsia="Arial" w:hAnsi="Arial"/>
                <w:sz w:val="17"/>
                <w:szCs w:val="17"/>
                <w:color w:val="auto"/>
              </w:rPr>
              <w:t>02/17/2021</w:t>
            </w: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19,600</w:t>
            </w:r>
          </w:p>
        </w:tc>
        <w:tc>
          <w:tcPr>
            <w:tcW w:w="1420" w:type="dxa"/>
            <w:vAlign w:val="bottom"/>
            <w:gridSpan w:val="3"/>
            <w:vMerge w:val="restart"/>
          </w:tcPr>
          <w:p>
            <w:pPr>
              <w:jc w:val="right"/>
              <w:ind w:right="9"/>
              <w:spacing w:after="0"/>
              <w:rPr>
                <w:sz w:val="20"/>
                <w:szCs w:val="20"/>
                <w:color w:val="auto"/>
              </w:rPr>
            </w:pPr>
            <w:r>
              <w:rPr>
                <w:rFonts w:ascii="Arial" w:cs="Arial" w:eastAsia="Arial" w:hAnsi="Arial"/>
                <w:sz w:val="17"/>
                <w:szCs w:val="17"/>
                <w:color w:val="auto"/>
              </w:rPr>
              <w:t>38,610</w:t>
            </w:r>
            <w:r>
              <w:rPr>
                <w:rFonts w:ascii="Arial" w:cs="Arial" w:eastAsia="Arial" w:hAnsi="Arial"/>
                <w:sz w:val="28"/>
                <w:szCs w:val="28"/>
                <w:color w:val="auto"/>
                <w:vertAlign w:val="superscript"/>
              </w:rPr>
              <w:t>(3)</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29.2265</w:t>
            </w:r>
          </w:p>
        </w:tc>
        <w:tc>
          <w:tcPr>
            <w:tcW w:w="1060" w:type="dxa"/>
            <w:vAlign w:val="bottom"/>
          </w:tcPr>
          <w:p>
            <w:pPr>
              <w:jc w:val="right"/>
              <w:spacing w:after="0"/>
              <w:rPr>
                <w:sz w:val="20"/>
                <w:szCs w:val="20"/>
                <w:color w:val="auto"/>
              </w:rPr>
            </w:pPr>
            <w:r>
              <w:rPr>
                <w:rFonts w:ascii="Arial" w:cs="Arial" w:eastAsia="Arial" w:hAnsi="Arial"/>
                <w:sz w:val="17"/>
                <w:szCs w:val="17"/>
                <w:color w:val="auto"/>
              </w:rPr>
              <w:t>02/16/2022</w:t>
            </w: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77,220</w:t>
            </w:r>
          </w:p>
        </w:tc>
        <w:tc>
          <w:tcPr>
            <w:tcW w:w="1420" w:type="dxa"/>
            <w:vAlign w:val="bottom"/>
            <w:gridSpan w:val="3"/>
            <w:vMerge w:val="continue"/>
          </w:tcPr>
          <w:p>
            <w:pPr>
              <w:spacing w:after="0"/>
              <w:rPr>
                <w:sz w:val="17"/>
                <w:szCs w:val="17"/>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35.8800</w:t>
            </w:r>
          </w:p>
        </w:tc>
        <w:tc>
          <w:tcPr>
            <w:tcW w:w="1060" w:type="dxa"/>
            <w:vAlign w:val="bottom"/>
          </w:tcPr>
          <w:p>
            <w:pPr>
              <w:jc w:val="right"/>
              <w:spacing w:after="0"/>
              <w:rPr>
                <w:sz w:val="20"/>
                <w:szCs w:val="20"/>
                <w:color w:val="auto"/>
              </w:rPr>
            </w:pPr>
            <w:r>
              <w:rPr>
                <w:rFonts w:ascii="Arial" w:cs="Arial" w:eastAsia="Arial" w:hAnsi="Arial"/>
                <w:sz w:val="17"/>
                <w:szCs w:val="17"/>
                <w:color w:val="auto"/>
              </w:rPr>
              <w:t>02/13/2023</w:t>
            </w: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30,914</w:t>
            </w:r>
          </w:p>
        </w:tc>
        <w:tc>
          <w:tcPr>
            <w:tcW w:w="1420" w:type="dxa"/>
            <w:vAlign w:val="bottom"/>
            <w:gridSpan w:val="3"/>
          </w:tcPr>
          <w:p>
            <w:pPr>
              <w:jc w:val="right"/>
              <w:ind w:right="9"/>
              <w:spacing w:after="0" w:line="195" w:lineRule="exact"/>
              <w:rPr>
                <w:sz w:val="20"/>
                <w:szCs w:val="20"/>
                <w:color w:val="auto"/>
              </w:rPr>
            </w:pPr>
            <w:r>
              <w:rPr>
                <w:rFonts w:ascii="Arial" w:cs="Arial" w:eastAsia="Arial" w:hAnsi="Arial"/>
                <w:sz w:val="14"/>
                <w:szCs w:val="14"/>
                <w:color w:val="auto"/>
              </w:rPr>
              <w:t>61,826</w:t>
            </w:r>
            <w:r>
              <w:rPr>
                <w:rFonts w:ascii="Arial" w:cs="Arial" w:eastAsia="Arial" w:hAnsi="Arial"/>
                <w:sz w:val="22"/>
                <w:szCs w:val="22"/>
                <w:color w:val="auto"/>
                <w:vertAlign w:val="superscript"/>
              </w:rPr>
              <w:t>(3)</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51.4200</w:t>
            </w:r>
          </w:p>
        </w:tc>
        <w:tc>
          <w:tcPr>
            <w:tcW w:w="1060" w:type="dxa"/>
            <w:vAlign w:val="bottom"/>
          </w:tcPr>
          <w:p>
            <w:pPr>
              <w:jc w:val="right"/>
              <w:spacing w:after="0"/>
              <w:rPr>
                <w:sz w:val="20"/>
                <w:szCs w:val="20"/>
                <w:color w:val="auto"/>
              </w:rPr>
            </w:pPr>
            <w:r>
              <w:rPr>
                <w:rFonts w:ascii="Arial" w:cs="Arial" w:eastAsia="Arial" w:hAnsi="Arial"/>
                <w:sz w:val="17"/>
                <w:szCs w:val="17"/>
                <w:color w:val="auto"/>
              </w:rPr>
              <w:t>02/19/2024</w:t>
            </w: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gridSpan w:val="3"/>
          </w:tcPr>
          <w:p>
            <w:pPr>
              <w:jc w:val="right"/>
              <w:ind w:right="9"/>
              <w:spacing w:after="0" w:line="193" w:lineRule="exact"/>
              <w:rPr>
                <w:sz w:val="20"/>
                <w:szCs w:val="20"/>
                <w:color w:val="auto"/>
              </w:rPr>
            </w:pPr>
            <w:r>
              <w:rPr>
                <w:rFonts w:ascii="Arial" w:cs="Arial" w:eastAsia="Arial" w:hAnsi="Arial"/>
                <w:sz w:val="14"/>
                <w:szCs w:val="14"/>
                <w:color w:val="auto"/>
              </w:rPr>
              <w:t>110,770</w:t>
            </w:r>
            <w:r>
              <w:rPr>
                <w:rFonts w:ascii="Arial" w:cs="Arial" w:eastAsia="Arial" w:hAnsi="Arial"/>
                <w:sz w:val="22"/>
                <w:szCs w:val="22"/>
                <w:color w:val="auto"/>
                <w:vertAlign w:val="superscript"/>
              </w:rPr>
              <w:t>(3)</w:t>
            </w:r>
          </w:p>
        </w:tc>
        <w:tc>
          <w:tcPr>
            <w:tcW w:w="960" w:type="dxa"/>
            <w:vAlign w:val="bottom"/>
          </w:tcPr>
          <w:p>
            <w:pPr>
              <w:jc w:val="right"/>
              <w:ind w:right="95"/>
              <w:spacing w:after="0" w:line="194" w:lineRule="exact"/>
              <w:rPr>
                <w:sz w:val="20"/>
                <w:szCs w:val="20"/>
                <w:color w:val="auto"/>
              </w:rPr>
            </w:pPr>
            <w:r>
              <w:rPr>
                <w:rFonts w:ascii="Arial" w:cs="Arial" w:eastAsia="Arial" w:hAnsi="Arial"/>
                <w:sz w:val="17"/>
                <w:szCs w:val="17"/>
                <w:color w:val="auto"/>
              </w:rPr>
              <w:t>58.8800</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02/18/2025</w:t>
            </w:r>
          </w:p>
        </w:tc>
        <w:tc>
          <w:tcPr>
            <w:tcW w:w="160" w:type="dxa"/>
            <w:vAlign w:val="bottom"/>
            <w:tcBorders>
              <w:right w:val="single" w:sz="8" w:color="061844"/>
            </w:tcBorders>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00" w:type="dxa"/>
            <w:vAlign w:val="bottom"/>
            <w:shd w:val="clear" w:color="auto" w:fill="E7E7E8"/>
          </w:tcPr>
          <w:p>
            <w:pPr>
              <w:spacing w:after="0"/>
              <w:rPr>
                <w:sz w:val="20"/>
                <w:szCs w:val="20"/>
                <w:color w:val="auto"/>
              </w:rPr>
            </w:pPr>
            <w:r>
              <w:rPr>
                <w:rFonts w:ascii="Arial" w:cs="Arial" w:eastAsia="Arial" w:hAnsi="Arial"/>
                <w:sz w:val="17"/>
                <w:szCs w:val="17"/>
                <w:color w:val="auto"/>
              </w:rPr>
              <w:t>L. Schumacher</w:t>
            </w:r>
          </w:p>
        </w:tc>
        <w:tc>
          <w:tcPr>
            <w:tcW w:w="11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66,300</w:t>
            </w:r>
          </w:p>
        </w:tc>
        <w:tc>
          <w:tcPr>
            <w:tcW w:w="100" w:type="dxa"/>
            <w:vAlign w:val="bottom"/>
            <w:shd w:val="clear" w:color="auto" w:fill="E7E7E8"/>
          </w:tcPr>
          <w:p>
            <w:pPr>
              <w:spacing w:after="0"/>
              <w:rPr>
                <w:sz w:val="17"/>
                <w:szCs w:val="17"/>
                <w:color w:val="auto"/>
              </w:rPr>
            </w:pPr>
          </w:p>
        </w:tc>
        <w:tc>
          <w:tcPr>
            <w:tcW w:w="1080" w:type="dxa"/>
            <w:vAlign w:val="bottom"/>
            <w:shd w:val="clear" w:color="auto" w:fill="E7E7E8"/>
          </w:tcPr>
          <w:p>
            <w:pPr>
              <w:spacing w:after="0"/>
              <w:rPr>
                <w:sz w:val="17"/>
                <w:szCs w:val="17"/>
                <w:color w:val="auto"/>
              </w:rPr>
            </w:pPr>
          </w:p>
        </w:tc>
        <w:tc>
          <w:tcPr>
            <w:tcW w:w="240" w:type="dxa"/>
            <w:vAlign w:val="bottom"/>
            <w:shd w:val="clear" w:color="auto" w:fill="E7E7E8"/>
          </w:tcPr>
          <w:p>
            <w:pPr>
              <w:spacing w:after="0"/>
              <w:rPr>
                <w:sz w:val="17"/>
                <w:szCs w:val="17"/>
                <w:color w:val="auto"/>
              </w:rPr>
            </w:pPr>
          </w:p>
        </w:tc>
        <w:tc>
          <w:tcPr>
            <w:tcW w:w="960" w:type="dxa"/>
            <w:vAlign w:val="bottom"/>
            <w:shd w:val="clear" w:color="auto" w:fill="E7E7E8"/>
          </w:tcPr>
          <w:p>
            <w:pPr>
              <w:jc w:val="right"/>
              <w:ind w:right="95"/>
              <w:spacing w:after="0"/>
              <w:rPr>
                <w:sz w:val="20"/>
                <w:szCs w:val="20"/>
                <w:color w:val="auto"/>
              </w:rPr>
            </w:pPr>
            <w:r>
              <w:rPr>
                <w:rFonts w:ascii="Arial" w:cs="Arial" w:eastAsia="Arial" w:hAnsi="Arial"/>
                <w:sz w:val="17"/>
                <w:szCs w:val="17"/>
                <w:color w:val="auto"/>
              </w:rPr>
              <w:t>28.8628</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02/14/2018</w:t>
            </w:r>
          </w:p>
        </w:tc>
        <w:tc>
          <w:tcPr>
            <w:tcW w:w="160" w:type="dxa"/>
            <w:vAlign w:val="bottom"/>
            <w:tcBorders>
              <w:right w:val="single" w:sz="8" w:color="061844"/>
            </w:tcBorders>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060" w:type="dxa"/>
            <w:vAlign w:val="bottom"/>
            <w:shd w:val="clear" w:color="auto" w:fill="E7E7E8"/>
          </w:tcPr>
          <w:p>
            <w:pPr>
              <w:jc w:val="right"/>
              <w:spacing w:after="0" w:line="195" w:lineRule="exact"/>
              <w:rPr>
                <w:sz w:val="20"/>
                <w:szCs w:val="20"/>
                <w:color w:val="auto"/>
              </w:rPr>
            </w:pPr>
            <w:r>
              <w:rPr>
                <w:rFonts w:ascii="Arial" w:cs="Arial" w:eastAsia="Arial" w:hAnsi="Arial"/>
                <w:sz w:val="14"/>
                <w:szCs w:val="14"/>
                <w:color w:val="auto"/>
              </w:rPr>
              <w:t>59,202</w:t>
            </w:r>
            <w:r>
              <w:rPr>
                <w:rFonts w:ascii="Arial" w:cs="Arial" w:eastAsia="Arial" w:hAnsi="Arial"/>
                <w:sz w:val="22"/>
                <w:szCs w:val="22"/>
                <w:color w:val="auto"/>
                <w:vertAlign w:val="superscript"/>
              </w:rPr>
              <w:t>(3)</w:t>
            </w:r>
          </w:p>
        </w:tc>
        <w:tc>
          <w:tcPr>
            <w:tcW w:w="1240" w:type="dxa"/>
            <w:vAlign w:val="bottom"/>
            <w:shd w:val="clear" w:color="auto" w:fill="E7E7E8"/>
          </w:tcPr>
          <w:p>
            <w:pPr>
              <w:jc w:val="right"/>
              <w:ind w:right="75"/>
              <w:spacing w:after="0"/>
              <w:rPr>
                <w:sz w:val="20"/>
                <w:szCs w:val="20"/>
                <w:color w:val="auto"/>
              </w:rPr>
            </w:pPr>
            <w:r>
              <w:rPr>
                <w:rFonts w:ascii="Arial" w:cs="Arial" w:eastAsia="Arial" w:hAnsi="Arial"/>
                <w:sz w:val="17"/>
                <w:szCs w:val="17"/>
                <w:color w:val="auto"/>
              </w:rPr>
              <w:t>3,526,663</w:t>
            </w:r>
          </w:p>
        </w:tc>
        <w:tc>
          <w:tcPr>
            <w:tcW w:w="1220" w:type="dxa"/>
            <w:vAlign w:val="bottom"/>
            <w:vMerge w:val="restart"/>
            <w:shd w:val="clear" w:color="auto" w:fill="E7E7E8"/>
          </w:tcPr>
          <w:p>
            <w:pPr>
              <w:jc w:val="right"/>
              <w:ind w:right="42"/>
              <w:spacing w:after="0"/>
              <w:rPr>
                <w:sz w:val="20"/>
                <w:szCs w:val="20"/>
                <w:color w:val="auto"/>
              </w:rPr>
            </w:pPr>
            <w:r>
              <w:rPr>
                <w:rFonts w:ascii="Arial" w:cs="Arial" w:eastAsia="Arial" w:hAnsi="Arial"/>
                <w:sz w:val="17"/>
                <w:szCs w:val="17"/>
                <w:color w:val="auto"/>
              </w:rPr>
              <w:t>23,743</w:t>
            </w:r>
            <w:r>
              <w:rPr>
                <w:rFonts w:ascii="Arial" w:cs="Arial" w:eastAsia="Arial" w:hAnsi="Arial"/>
                <w:sz w:val="28"/>
                <w:szCs w:val="28"/>
                <w:color w:val="auto"/>
                <w:vertAlign w:val="superscript"/>
              </w:rPr>
              <w:t>(3)</w:t>
            </w:r>
          </w:p>
        </w:tc>
        <w:tc>
          <w:tcPr>
            <w:tcW w:w="11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shd w:val="clear" w:color="auto" w:fill="E7E7E8"/>
          </w:tcPr>
          <w:p>
            <w:pPr>
              <w:spacing w:after="0"/>
              <w:rPr>
                <w:sz w:val="17"/>
                <w:szCs w:val="17"/>
                <w:color w:val="auto"/>
              </w:rPr>
            </w:pPr>
          </w:p>
        </w:tc>
        <w:tc>
          <w:tcPr>
            <w:tcW w:w="11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38,940</w:t>
            </w:r>
          </w:p>
        </w:tc>
        <w:tc>
          <w:tcPr>
            <w:tcW w:w="100" w:type="dxa"/>
            <w:vAlign w:val="bottom"/>
            <w:shd w:val="clear" w:color="auto" w:fill="E7E7E8"/>
          </w:tcPr>
          <w:p>
            <w:pPr>
              <w:spacing w:after="0"/>
              <w:rPr>
                <w:sz w:val="17"/>
                <w:szCs w:val="17"/>
                <w:color w:val="auto"/>
              </w:rPr>
            </w:pPr>
          </w:p>
        </w:tc>
        <w:tc>
          <w:tcPr>
            <w:tcW w:w="1080" w:type="dxa"/>
            <w:vAlign w:val="bottom"/>
            <w:shd w:val="clear" w:color="auto" w:fill="E7E7E8"/>
          </w:tcPr>
          <w:p>
            <w:pPr>
              <w:spacing w:after="0"/>
              <w:rPr>
                <w:sz w:val="17"/>
                <w:szCs w:val="17"/>
                <w:color w:val="auto"/>
              </w:rPr>
            </w:pPr>
          </w:p>
        </w:tc>
        <w:tc>
          <w:tcPr>
            <w:tcW w:w="240" w:type="dxa"/>
            <w:vAlign w:val="bottom"/>
            <w:shd w:val="clear" w:color="auto" w:fill="E7E7E8"/>
          </w:tcPr>
          <w:p>
            <w:pPr>
              <w:spacing w:after="0"/>
              <w:rPr>
                <w:sz w:val="17"/>
                <w:szCs w:val="17"/>
                <w:color w:val="auto"/>
              </w:rPr>
            </w:pPr>
          </w:p>
        </w:tc>
        <w:tc>
          <w:tcPr>
            <w:tcW w:w="960" w:type="dxa"/>
            <w:vAlign w:val="bottom"/>
            <w:shd w:val="clear" w:color="auto" w:fill="E7E7E8"/>
          </w:tcPr>
          <w:p>
            <w:pPr>
              <w:jc w:val="right"/>
              <w:ind w:right="95"/>
              <w:spacing w:after="0"/>
              <w:rPr>
                <w:sz w:val="20"/>
                <w:szCs w:val="20"/>
                <w:color w:val="auto"/>
              </w:rPr>
            </w:pPr>
            <w:r>
              <w:rPr>
                <w:rFonts w:ascii="Arial" w:cs="Arial" w:eastAsia="Arial" w:hAnsi="Arial"/>
                <w:sz w:val="17"/>
                <w:szCs w:val="17"/>
                <w:color w:val="auto"/>
              </w:rPr>
              <w:t>28.1251</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02/19/2019</w:t>
            </w:r>
          </w:p>
        </w:tc>
        <w:tc>
          <w:tcPr>
            <w:tcW w:w="160" w:type="dxa"/>
            <w:vAlign w:val="bottom"/>
            <w:tcBorders>
              <w:right w:val="single" w:sz="8" w:color="061844"/>
            </w:tcBorders>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1220" w:type="dxa"/>
            <w:vAlign w:val="bottom"/>
            <w:vMerge w:val="continue"/>
            <w:shd w:val="clear" w:color="auto" w:fill="E7E7E8"/>
          </w:tcPr>
          <w:p>
            <w:pPr>
              <w:spacing w:after="0"/>
              <w:rPr>
                <w:sz w:val="17"/>
                <w:szCs w:val="17"/>
                <w:color w:val="auto"/>
              </w:rPr>
            </w:pPr>
          </w:p>
        </w:tc>
        <w:tc>
          <w:tcPr>
            <w:tcW w:w="1180" w:type="dxa"/>
            <w:vAlign w:val="bottom"/>
            <w:shd w:val="clear" w:color="auto" w:fill="E7E7E8"/>
          </w:tcPr>
          <w:p>
            <w:pPr>
              <w:jc w:val="right"/>
              <w:spacing w:after="0"/>
              <w:rPr>
                <w:sz w:val="20"/>
                <w:szCs w:val="20"/>
                <w:color w:val="auto"/>
              </w:rPr>
            </w:pPr>
            <w:r>
              <w:rPr>
                <w:rFonts w:ascii="Arial" w:cs="Arial" w:eastAsia="Arial" w:hAnsi="Arial"/>
                <w:sz w:val="17"/>
                <w:szCs w:val="17"/>
                <w:color w:val="auto"/>
              </w:rPr>
              <w:t>1,414,371</w:t>
            </w:r>
          </w:p>
        </w:tc>
        <w:tc>
          <w:tcPr>
            <w:tcW w:w="0" w:type="dxa"/>
            <w:vAlign w:val="bottom"/>
          </w:tcPr>
          <w:p>
            <w:pPr>
              <w:spacing w:after="0"/>
              <w:rPr>
                <w:sz w:val="1"/>
                <w:szCs w:val="1"/>
                <w:color w:val="auto"/>
              </w:rPr>
            </w:pPr>
          </w:p>
        </w:tc>
      </w:tr>
      <w:tr>
        <w:trPr>
          <w:trHeight w:val="196"/>
        </w:trPr>
        <w:tc>
          <w:tcPr>
            <w:tcW w:w="1500" w:type="dxa"/>
            <w:vAlign w:val="bottom"/>
            <w:shd w:val="clear" w:color="auto" w:fill="E7E7E8"/>
          </w:tcPr>
          <w:p>
            <w:pPr>
              <w:spacing w:after="0"/>
              <w:rPr>
                <w:sz w:val="17"/>
                <w:szCs w:val="17"/>
                <w:color w:val="auto"/>
              </w:rPr>
            </w:pPr>
          </w:p>
        </w:tc>
        <w:tc>
          <w:tcPr>
            <w:tcW w:w="11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42,533</w:t>
            </w:r>
          </w:p>
        </w:tc>
        <w:tc>
          <w:tcPr>
            <w:tcW w:w="100" w:type="dxa"/>
            <w:vAlign w:val="bottom"/>
            <w:shd w:val="clear" w:color="auto" w:fill="E7E7E8"/>
          </w:tcPr>
          <w:p>
            <w:pPr>
              <w:spacing w:after="0"/>
              <w:rPr>
                <w:sz w:val="17"/>
                <w:szCs w:val="17"/>
                <w:color w:val="auto"/>
              </w:rPr>
            </w:pPr>
          </w:p>
        </w:tc>
        <w:tc>
          <w:tcPr>
            <w:tcW w:w="1080" w:type="dxa"/>
            <w:vAlign w:val="bottom"/>
            <w:shd w:val="clear" w:color="auto" w:fill="E7E7E8"/>
          </w:tcPr>
          <w:p>
            <w:pPr>
              <w:spacing w:after="0"/>
              <w:rPr>
                <w:sz w:val="17"/>
                <w:szCs w:val="17"/>
                <w:color w:val="auto"/>
              </w:rPr>
            </w:pPr>
          </w:p>
        </w:tc>
        <w:tc>
          <w:tcPr>
            <w:tcW w:w="240" w:type="dxa"/>
            <w:vAlign w:val="bottom"/>
            <w:shd w:val="clear" w:color="auto" w:fill="E7E7E8"/>
          </w:tcPr>
          <w:p>
            <w:pPr>
              <w:spacing w:after="0"/>
              <w:rPr>
                <w:sz w:val="17"/>
                <w:szCs w:val="17"/>
                <w:color w:val="auto"/>
              </w:rPr>
            </w:pPr>
          </w:p>
        </w:tc>
        <w:tc>
          <w:tcPr>
            <w:tcW w:w="960" w:type="dxa"/>
            <w:vAlign w:val="bottom"/>
            <w:shd w:val="clear" w:color="auto" w:fill="E7E7E8"/>
          </w:tcPr>
          <w:p>
            <w:pPr>
              <w:jc w:val="right"/>
              <w:ind w:right="95"/>
              <w:spacing w:after="0"/>
              <w:rPr>
                <w:sz w:val="20"/>
                <w:szCs w:val="20"/>
                <w:color w:val="auto"/>
              </w:rPr>
            </w:pPr>
            <w:r>
              <w:rPr>
                <w:rFonts w:ascii="Arial" w:cs="Arial" w:eastAsia="Arial" w:hAnsi="Arial"/>
                <w:sz w:val="17"/>
                <w:szCs w:val="17"/>
                <w:color w:val="auto"/>
              </w:rPr>
              <w:t>28.3122</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02/18/2020</w:t>
            </w:r>
          </w:p>
        </w:tc>
        <w:tc>
          <w:tcPr>
            <w:tcW w:w="160" w:type="dxa"/>
            <w:vAlign w:val="bottom"/>
            <w:tcBorders>
              <w:right w:val="single" w:sz="8" w:color="061844"/>
            </w:tcBorders>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1220" w:type="dxa"/>
            <w:vAlign w:val="bottom"/>
            <w:shd w:val="clear" w:color="auto" w:fill="E7E7E8"/>
          </w:tcPr>
          <w:p>
            <w:pPr>
              <w:jc w:val="right"/>
              <w:ind w:right="42"/>
              <w:spacing w:after="0" w:line="195" w:lineRule="exact"/>
              <w:rPr>
                <w:sz w:val="20"/>
                <w:szCs w:val="20"/>
                <w:color w:val="auto"/>
              </w:rPr>
            </w:pPr>
            <w:r>
              <w:rPr>
                <w:rFonts w:ascii="Arial" w:cs="Arial" w:eastAsia="Arial" w:hAnsi="Arial"/>
                <w:sz w:val="14"/>
                <w:szCs w:val="14"/>
                <w:color w:val="auto"/>
              </w:rPr>
              <w:t>36,393</w:t>
            </w:r>
            <w:r>
              <w:rPr>
                <w:rFonts w:ascii="Arial" w:cs="Arial" w:eastAsia="Arial" w:hAnsi="Arial"/>
                <w:sz w:val="22"/>
                <w:szCs w:val="22"/>
                <w:color w:val="auto"/>
                <w:vertAlign w:val="superscript"/>
              </w:rPr>
              <w:t>(3)</w:t>
            </w:r>
          </w:p>
        </w:tc>
        <w:tc>
          <w:tcPr>
            <w:tcW w:w="1180" w:type="dxa"/>
            <w:vAlign w:val="bottom"/>
            <w:shd w:val="clear" w:color="auto" w:fill="E7E7E8"/>
          </w:tcPr>
          <w:p>
            <w:pPr>
              <w:jc w:val="right"/>
              <w:spacing w:after="0"/>
              <w:rPr>
                <w:sz w:val="20"/>
                <w:szCs w:val="20"/>
                <w:color w:val="auto"/>
              </w:rPr>
            </w:pPr>
            <w:r>
              <w:rPr>
                <w:rFonts w:ascii="Arial" w:cs="Arial" w:eastAsia="Arial" w:hAnsi="Arial"/>
                <w:sz w:val="17"/>
                <w:szCs w:val="17"/>
                <w:color w:val="auto"/>
              </w:rPr>
              <w:t>2,167,931</w:t>
            </w:r>
          </w:p>
        </w:tc>
        <w:tc>
          <w:tcPr>
            <w:tcW w:w="0" w:type="dxa"/>
            <w:vAlign w:val="bottom"/>
          </w:tcPr>
          <w:p>
            <w:pPr>
              <w:spacing w:after="0"/>
              <w:rPr>
                <w:sz w:val="1"/>
                <w:szCs w:val="1"/>
                <w:color w:val="auto"/>
              </w:rPr>
            </w:pPr>
          </w:p>
        </w:tc>
      </w:tr>
      <w:tr>
        <w:trPr>
          <w:trHeight w:val="196"/>
        </w:trPr>
        <w:tc>
          <w:tcPr>
            <w:tcW w:w="1500" w:type="dxa"/>
            <w:vAlign w:val="bottom"/>
            <w:shd w:val="clear" w:color="auto" w:fill="E7E7E8"/>
          </w:tcPr>
          <w:p>
            <w:pPr>
              <w:spacing w:after="0"/>
              <w:rPr>
                <w:sz w:val="17"/>
                <w:szCs w:val="17"/>
                <w:color w:val="auto"/>
              </w:rPr>
            </w:pPr>
          </w:p>
        </w:tc>
        <w:tc>
          <w:tcPr>
            <w:tcW w:w="11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38,333</w:t>
            </w:r>
          </w:p>
        </w:tc>
        <w:tc>
          <w:tcPr>
            <w:tcW w:w="100" w:type="dxa"/>
            <w:vAlign w:val="bottom"/>
            <w:shd w:val="clear" w:color="auto" w:fill="E7E7E8"/>
          </w:tcPr>
          <w:p>
            <w:pPr>
              <w:spacing w:after="0"/>
              <w:rPr>
                <w:sz w:val="17"/>
                <w:szCs w:val="17"/>
                <w:color w:val="auto"/>
              </w:rPr>
            </w:pPr>
          </w:p>
        </w:tc>
        <w:tc>
          <w:tcPr>
            <w:tcW w:w="1080" w:type="dxa"/>
            <w:vAlign w:val="bottom"/>
            <w:shd w:val="clear" w:color="auto" w:fill="E7E7E8"/>
          </w:tcPr>
          <w:p>
            <w:pPr>
              <w:spacing w:after="0"/>
              <w:rPr>
                <w:sz w:val="17"/>
                <w:szCs w:val="17"/>
                <w:color w:val="auto"/>
              </w:rPr>
            </w:pPr>
          </w:p>
        </w:tc>
        <w:tc>
          <w:tcPr>
            <w:tcW w:w="240" w:type="dxa"/>
            <w:vAlign w:val="bottom"/>
            <w:shd w:val="clear" w:color="auto" w:fill="E7E7E8"/>
          </w:tcPr>
          <w:p>
            <w:pPr>
              <w:spacing w:after="0"/>
              <w:rPr>
                <w:sz w:val="17"/>
                <w:szCs w:val="17"/>
                <w:color w:val="auto"/>
              </w:rPr>
            </w:pPr>
          </w:p>
        </w:tc>
        <w:tc>
          <w:tcPr>
            <w:tcW w:w="960" w:type="dxa"/>
            <w:vAlign w:val="bottom"/>
            <w:shd w:val="clear" w:color="auto" w:fill="E7E7E8"/>
          </w:tcPr>
          <w:p>
            <w:pPr>
              <w:jc w:val="right"/>
              <w:ind w:right="95"/>
              <w:spacing w:after="0"/>
              <w:rPr>
                <w:sz w:val="20"/>
                <w:szCs w:val="20"/>
                <w:color w:val="auto"/>
              </w:rPr>
            </w:pPr>
            <w:r>
              <w:rPr>
                <w:rFonts w:ascii="Arial" w:cs="Arial" w:eastAsia="Arial" w:hAnsi="Arial"/>
                <w:sz w:val="17"/>
                <w:szCs w:val="17"/>
                <w:color w:val="auto"/>
              </w:rPr>
              <w:t>24.2082</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02/17/2021</w:t>
            </w:r>
          </w:p>
        </w:tc>
        <w:tc>
          <w:tcPr>
            <w:tcW w:w="160" w:type="dxa"/>
            <w:vAlign w:val="bottom"/>
            <w:tcBorders>
              <w:right w:val="single" w:sz="8" w:color="061844"/>
            </w:tcBorders>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1220" w:type="dxa"/>
            <w:vAlign w:val="bottom"/>
            <w:shd w:val="clear" w:color="auto" w:fill="E7E7E8"/>
          </w:tcPr>
          <w:p>
            <w:pPr>
              <w:jc w:val="right"/>
              <w:ind w:right="42"/>
              <w:spacing w:after="0" w:line="195" w:lineRule="exact"/>
              <w:rPr>
                <w:sz w:val="20"/>
                <w:szCs w:val="20"/>
                <w:color w:val="auto"/>
              </w:rPr>
            </w:pPr>
            <w:r>
              <w:rPr>
                <w:rFonts w:ascii="Arial" w:cs="Arial" w:eastAsia="Arial" w:hAnsi="Arial"/>
                <w:sz w:val="14"/>
                <w:szCs w:val="14"/>
                <w:color w:val="auto"/>
              </w:rPr>
              <w:t>52,220</w:t>
            </w:r>
            <w:r>
              <w:rPr>
                <w:rFonts w:ascii="Arial" w:cs="Arial" w:eastAsia="Arial" w:hAnsi="Arial"/>
                <w:sz w:val="22"/>
                <w:szCs w:val="22"/>
                <w:color w:val="auto"/>
                <w:vertAlign w:val="superscript"/>
              </w:rPr>
              <w:t>(3)</w:t>
            </w:r>
          </w:p>
        </w:tc>
        <w:tc>
          <w:tcPr>
            <w:tcW w:w="1180" w:type="dxa"/>
            <w:vAlign w:val="bottom"/>
            <w:shd w:val="clear" w:color="auto" w:fill="E7E7E8"/>
          </w:tcPr>
          <w:p>
            <w:pPr>
              <w:jc w:val="right"/>
              <w:spacing w:after="0"/>
              <w:rPr>
                <w:sz w:val="20"/>
                <w:szCs w:val="20"/>
                <w:color w:val="auto"/>
              </w:rPr>
            </w:pPr>
            <w:r>
              <w:rPr>
                <w:rFonts w:ascii="Arial" w:cs="Arial" w:eastAsia="Arial" w:hAnsi="Arial"/>
                <w:sz w:val="17"/>
                <w:szCs w:val="17"/>
                <w:color w:val="auto"/>
              </w:rPr>
              <w:t>3,110,745</w:t>
            </w:r>
          </w:p>
        </w:tc>
        <w:tc>
          <w:tcPr>
            <w:tcW w:w="0" w:type="dxa"/>
            <w:vAlign w:val="bottom"/>
          </w:tcPr>
          <w:p>
            <w:pPr>
              <w:spacing w:after="0"/>
              <w:rPr>
                <w:sz w:val="1"/>
                <w:szCs w:val="1"/>
                <w:color w:val="auto"/>
              </w:rPr>
            </w:pPr>
          </w:p>
        </w:tc>
      </w:tr>
      <w:tr>
        <w:trPr>
          <w:trHeight w:val="196"/>
        </w:trPr>
        <w:tc>
          <w:tcPr>
            <w:tcW w:w="1500" w:type="dxa"/>
            <w:vAlign w:val="bottom"/>
            <w:shd w:val="clear" w:color="auto" w:fill="E7E7E8"/>
          </w:tcPr>
          <w:p>
            <w:pPr>
              <w:spacing w:after="0"/>
              <w:rPr>
                <w:sz w:val="17"/>
                <w:szCs w:val="17"/>
                <w:color w:val="auto"/>
              </w:rPr>
            </w:pPr>
          </w:p>
        </w:tc>
        <w:tc>
          <w:tcPr>
            <w:tcW w:w="11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79,800</w:t>
            </w:r>
          </w:p>
        </w:tc>
        <w:tc>
          <w:tcPr>
            <w:tcW w:w="100" w:type="dxa"/>
            <w:vAlign w:val="bottom"/>
            <w:shd w:val="clear" w:color="auto" w:fill="E7E7E8"/>
          </w:tcPr>
          <w:p>
            <w:pPr>
              <w:spacing w:after="0"/>
              <w:rPr>
                <w:sz w:val="17"/>
                <w:szCs w:val="17"/>
                <w:color w:val="auto"/>
              </w:rPr>
            </w:pPr>
          </w:p>
        </w:tc>
        <w:tc>
          <w:tcPr>
            <w:tcW w:w="1320" w:type="dxa"/>
            <w:vAlign w:val="bottom"/>
            <w:gridSpan w:val="2"/>
            <w:vMerge w:val="restart"/>
            <w:shd w:val="clear" w:color="auto" w:fill="E7E7E8"/>
          </w:tcPr>
          <w:p>
            <w:pPr>
              <w:jc w:val="right"/>
              <w:ind w:right="9"/>
              <w:spacing w:after="0"/>
              <w:rPr>
                <w:sz w:val="20"/>
                <w:szCs w:val="20"/>
                <w:color w:val="auto"/>
              </w:rPr>
            </w:pPr>
            <w:r>
              <w:rPr>
                <w:rFonts w:ascii="Arial" w:cs="Arial" w:eastAsia="Arial" w:hAnsi="Arial"/>
                <w:sz w:val="17"/>
                <w:szCs w:val="17"/>
                <w:color w:val="auto"/>
              </w:rPr>
              <w:t>48,503</w:t>
            </w:r>
            <w:r>
              <w:rPr>
                <w:rFonts w:ascii="Arial" w:cs="Arial" w:eastAsia="Arial" w:hAnsi="Arial"/>
                <w:sz w:val="28"/>
                <w:szCs w:val="28"/>
                <w:color w:val="auto"/>
                <w:vertAlign w:val="superscript"/>
              </w:rPr>
              <w:t>(3)</w:t>
            </w:r>
          </w:p>
        </w:tc>
        <w:tc>
          <w:tcPr>
            <w:tcW w:w="960" w:type="dxa"/>
            <w:vAlign w:val="bottom"/>
            <w:shd w:val="clear" w:color="auto" w:fill="E7E7E8"/>
          </w:tcPr>
          <w:p>
            <w:pPr>
              <w:jc w:val="right"/>
              <w:ind w:right="95"/>
              <w:spacing w:after="0"/>
              <w:rPr>
                <w:sz w:val="20"/>
                <w:szCs w:val="20"/>
                <w:color w:val="auto"/>
              </w:rPr>
            </w:pPr>
            <w:r>
              <w:rPr>
                <w:rFonts w:ascii="Arial" w:cs="Arial" w:eastAsia="Arial" w:hAnsi="Arial"/>
                <w:sz w:val="17"/>
                <w:szCs w:val="17"/>
                <w:color w:val="auto"/>
              </w:rPr>
              <w:t>29.2265</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02/16/2022</w:t>
            </w:r>
          </w:p>
        </w:tc>
        <w:tc>
          <w:tcPr>
            <w:tcW w:w="160" w:type="dxa"/>
            <w:vAlign w:val="bottom"/>
            <w:tcBorders>
              <w:right w:val="single" w:sz="8" w:color="061844"/>
            </w:tcBorders>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c>
          <w:tcPr>
            <w:tcW w:w="11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shd w:val="clear" w:color="auto" w:fill="E7E7E8"/>
          </w:tcPr>
          <w:p>
            <w:pPr>
              <w:spacing w:after="0"/>
              <w:rPr>
                <w:sz w:val="17"/>
                <w:szCs w:val="17"/>
                <w:color w:val="auto"/>
              </w:rPr>
            </w:pPr>
          </w:p>
        </w:tc>
        <w:tc>
          <w:tcPr>
            <w:tcW w:w="11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97,007</w:t>
            </w:r>
          </w:p>
        </w:tc>
        <w:tc>
          <w:tcPr>
            <w:tcW w:w="100" w:type="dxa"/>
            <w:vAlign w:val="bottom"/>
            <w:shd w:val="clear" w:color="auto" w:fill="E7E7E8"/>
          </w:tcPr>
          <w:p>
            <w:pPr>
              <w:spacing w:after="0"/>
              <w:rPr>
                <w:sz w:val="17"/>
                <w:szCs w:val="17"/>
                <w:color w:val="auto"/>
              </w:rPr>
            </w:pPr>
          </w:p>
        </w:tc>
        <w:tc>
          <w:tcPr>
            <w:tcW w:w="1320" w:type="dxa"/>
            <w:vAlign w:val="bottom"/>
            <w:gridSpan w:val="2"/>
            <w:vMerge w:val="continue"/>
            <w:shd w:val="clear" w:color="auto" w:fill="E7E7E8"/>
          </w:tcPr>
          <w:p>
            <w:pPr>
              <w:spacing w:after="0"/>
              <w:rPr>
                <w:sz w:val="17"/>
                <w:szCs w:val="17"/>
                <w:color w:val="auto"/>
              </w:rPr>
            </w:pPr>
          </w:p>
        </w:tc>
        <w:tc>
          <w:tcPr>
            <w:tcW w:w="960" w:type="dxa"/>
            <w:vAlign w:val="bottom"/>
            <w:shd w:val="clear" w:color="auto" w:fill="E7E7E8"/>
          </w:tcPr>
          <w:p>
            <w:pPr>
              <w:jc w:val="right"/>
              <w:ind w:right="95"/>
              <w:spacing w:after="0"/>
              <w:rPr>
                <w:sz w:val="20"/>
                <w:szCs w:val="20"/>
                <w:color w:val="auto"/>
              </w:rPr>
            </w:pPr>
            <w:r>
              <w:rPr>
                <w:rFonts w:ascii="Arial" w:cs="Arial" w:eastAsia="Arial" w:hAnsi="Arial"/>
                <w:sz w:val="17"/>
                <w:szCs w:val="17"/>
                <w:color w:val="auto"/>
              </w:rPr>
              <w:t>35.8800</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02/13/2023</w:t>
            </w:r>
          </w:p>
        </w:tc>
        <w:tc>
          <w:tcPr>
            <w:tcW w:w="160" w:type="dxa"/>
            <w:vAlign w:val="bottom"/>
            <w:tcBorders>
              <w:right w:val="single" w:sz="8" w:color="061844"/>
            </w:tcBorders>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c>
          <w:tcPr>
            <w:tcW w:w="11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shd w:val="clear" w:color="auto" w:fill="E7E7E8"/>
          </w:tcPr>
          <w:p>
            <w:pPr>
              <w:spacing w:after="0"/>
              <w:rPr>
                <w:sz w:val="17"/>
                <w:szCs w:val="17"/>
                <w:color w:val="auto"/>
              </w:rPr>
            </w:pPr>
          </w:p>
        </w:tc>
        <w:tc>
          <w:tcPr>
            <w:tcW w:w="11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31,380</w:t>
            </w:r>
          </w:p>
        </w:tc>
        <w:tc>
          <w:tcPr>
            <w:tcW w:w="100" w:type="dxa"/>
            <w:vAlign w:val="bottom"/>
            <w:shd w:val="clear" w:color="auto" w:fill="E7E7E8"/>
          </w:tcPr>
          <w:p>
            <w:pPr>
              <w:spacing w:after="0"/>
              <w:rPr>
                <w:sz w:val="17"/>
                <w:szCs w:val="17"/>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7"/>
                <w:szCs w:val="17"/>
                <w:color w:val="auto"/>
              </w:rPr>
              <w:t>62,760</w:t>
            </w:r>
          </w:p>
        </w:tc>
        <w:tc>
          <w:tcPr>
            <w:tcW w:w="24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w w:val="81"/>
              </w:rPr>
              <w:t>(3)</w:t>
            </w:r>
          </w:p>
        </w:tc>
        <w:tc>
          <w:tcPr>
            <w:tcW w:w="960" w:type="dxa"/>
            <w:vAlign w:val="bottom"/>
            <w:shd w:val="clear" w:color="auto" w:fill="E7E7E8"/>
          </w:tcPr>
          <w:p>
            <w:pPr>
              <w:jc w:val="right"/>
              <w:ind w:right="95"/>
              <w:spacing w:after="0"/>
              <w:rPr>
                <w:sz w:val="20"/>
                <w:szCs w:val="20"/>
                <w:color w:val="auto"/>
              </w:rPr>
            </w:pPr>
            <w:r>
              <w:rPr>
                <w:rFonts w:ascii="Arial" w:cs="Arial" w:eastAsia="Arial" w:hAnsi="Arial"/>
                <w:sz w:val="17"/>
                <w:szCs w:val="17"/>
                <w:color w:val="auto"/>
              </w:rPr>
              <w:t>51.4200</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02/19/2024</w:t>
            </w:r>
          </w:p>
        </w:tc>
        <w:tc>
          <w:tcPr>
            <w:tcW w:w="160" w:type="dxa"/>
            <w:vAlign w:val="bottom"/>
            <w:tcBorders>
              <w:right w:val="single" w:sz="8" w:color="061844"/>
            </w:tcBorders>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c>
          <w:tcPr>
            <w:tcW w:w="11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shd w:val="clear" w:color="auto" w:fill="E7E7E8"/>
          </w:tcPr>
          <w:p>
            <w:pPr>
              <w:spacing w:after="0"/>
              <w:rPr>
                <w:sz w:val="17"/>
                <w:szCs w:val="17"/>
                <w:color w:val="auto"/>
              </w:rPr>
            </w:pPr>
          </w:p>
        </w:tc>
        <w:tc>
          <w:tcPr>
            <w:tcW w:w="1160" w:type="dxa"/>
            <w:vAlign w:val="bottom"/>
            <w:shd w:val="clear" w:color="auto" w:fill="E7E7E8"/>
          </w:tcPr>
          <w:p>
            <w:pPr>
              <w:spacing w:after="0"/>
              <w:rPr>
                <w:sz w:val="17"/>
                <w:szCs w:val="17"/>
                <w:color w:val="auto"/>
              </w:rPr>
            </w:pPr>
          </w:p>
        </w:tc>
        <w:tc>
          <w:tcPr>
            <w:tcW w:w="100" w:type="dxa"/>
            <w:vAlign w:val="bottom"/>
            <w:shd w:val="clear" w:color="auto" w:fill="E7E7E8"/>
          </w:tcPr>
          <w:p>
            <w:pPr>
              <w:spacing w:after="0"/>
              <w:rPr>
                <w:sz w:val="17"/>
                <w:szCs w:val="17"/>
                <w:color w:val="auto"/>
              </w:rPr>
            </w:pPr>
          </w:p>
        </w:tc>
        <w:tc>
          <w:tcPr>
            <w:tcW w:w="1080" w:type="dxa"/>
            <w:vAlign w:val="bottom"/>
            <w:shd w:val="clear" w:color="auto" w:fill="E7E7E8"/>
          </w:tcPr>
          <w:p>
            <w:pPr>
              <w:jc w:val="right"/>
              <w:spacing w:after="0"/>
              <w:rPr>
                <w:sz w:val="20"/>
                <w:szCs w:val="20"/>
                <w:color w:val="auto"/>
              </w:rPr>
            </w:pPr>
            <w:r>
              <w:rPr>
                <w:rFonts w:ascii="Arial" w:cs="Arial" w:eastAsia="Arial" w:hAnsi="Arial"/>
                <w:sz w:val="17"/>
                <w:szCs w:val="17"/>
                <w:color w:val="auto"/>
              </w:rPr>
              <w:t>103,220</w:t>
            </w:r>
          </w:p>
        </w:tc>
        <w:tc>
          <w:tcPr>
            <w:tcW w:w="240" w:type="dxa"/>
            <w:vAlign w:val="bottom"/>
            <w:shd w:val="clear" w:color="auto" w:fill="E7E7E8"/>
          </w:tcPr>
          <w:p>
            <w:pPr>
              <w:jc w:val="right"/>
              <w:ind w:right="9"/>
              <w:spacing w:after="0"/>
              <w:rPr>
                <w:sz w:val="20"/>
                <w:szCs w:val="20"/>
                <w:color w:val="auto"/>
              </w:rPr>
            </w:pPr>
            <w:r>
              <w:rPr>
                <w:rFonts w:ascii="Arial" w:cs="Arial" w:eastAsia="Arial" w:hAnsi="Arial"/>
                <w:sz w:val="14"/>
                <w:szCs w:val="14"/>
                <w:color w:val="auto"/>
                <w:w w:val="81"/>
              </w:rPr>
              <w:t>(3)</w:t>
            </w:r>
          </w:p>
        </w:tc>
        <w:tc>
          <w:tcPr>
            <w:tcW w:w="960" w:type="dxa"/>
            <w:vAlign w:val="bottom"/>
            <w:shd w:val="clear" w:color="auto" w:fill="E7E7E8"/>
          </w:tcPr>
          <w:p>
            <w:pPr>
              <w:jc w:val="right"/>
              <w:ind w:right="95"/>
              <w:spacing w:after="0"/>
              <w:rPr>
                <w:sz w:val="20"/>
                <w:szCs w:val="20"/>
                <w:color w:val="auto"/>
              </w:rPr>
            </w:pPr>
            <w:r>
              <w:rPr>
                <w:rFonts w:ascii="Arial" w:cs="Arial" w:eastAsia="Arial" w:hAnsi="Arial"/>
                <w:sz w:val="17"/>
                <w:szCs w:val="17"/>
                <w:color w:val="auto"/>
              </w:rPr>
              <w:t>58.8800</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02/18/2025</w:t>
            </w:r>
          </w:p>
        </w:tc>
        <w:tc>
          <w:tcPr>
            <w:tcW w:w="160" w:type="dxa"/>
            <w:vAlign w:val="bottom"/>
            <w:tcBorders>
              <w:right w:val="single" w:sz="8" w:color="061844"/>
            </w:tcBorders>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1220" w:type="dxa"/>
            <w:vAlign w:val="bottom"/>
            <w:shd w:val="clear" w:color="auto" w:fill="E7E7E8"/>
          </w:tcPr>
          <w:p>
            <w:pPr>
              <w:spacing w:after="0"/>
              <w:rPr>
                <w:sz w:val="17"/>
                <w:szCs w:val="17"/>
                <w:color w:val="auto"/>
              </w:rPr>
            </w:pPr>
          </w:p>
        </w:tc>
        <w:tc>
          <w:tcPr>
            <w:tcW w:w="1180" w:type="dxa"/>
            <w:vAlign w:val="bottom"/>
            <w:shd w:val="clear" w:color="auto" w:fill="E7E7E8"/>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1500" w:type="dxa"/>
            <w:vAlign w:val="bottom"/>
          </w:tcPr>
          <w:p>
            <w:pPr>
              <w:spacing w:after="0"/>
              <w:rPr>
                <w:sz w:val="20"/>
                <w:szCs w:val="20"/>
                <w:color w:val="auto"/>
              </w:rPr>
            </w:pPr>
            <w:r>
              <w:rPr>
                <w:rFonts w:ascii="Arial" w:cs="Arial" w:eastAsia="Arial" w:hAnsi="Arial"/>
                <w:sz w:val="17"/>
                <w:szCs w:val="17"/>
                <w:color w:val="auto"/>
              </w:rPr>
              <w:t>C. Alban</w:t>
            </w: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45,800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24.2082</w:t>
            </w:r>
          </w:p>
        </w:tc>
        <w:tc>
          <w:tcPr>
            <w:tcW w:w="1060" w:type="dxa"/>
            <w:vAlign w:val="bottom"/>
          </w:tcPr>
          <w:p>
            <w:pPr>
              <w:jc w:val="right"/>
              <w:spacing w:after="0"/>
              <w:rPr>
                <w:sz w:val="20"/>
                <w:szCs w:val="20"/>
                <w:color w:val="auto"/>
              </w:rPr>
            </w:pPr>
            <w:r>
              <w:rPr>
                <w:rFonts w:ascii="Arial" w:cs="Arial" w:eastAsia="Arial" w:hAnsi="Arial"/>
                <w:sz w:val="17"/>
                <w:szCs w:val="17"/>
                <w:color w:val="auto"/>
              </w:rPr>
              <w:t>02/17/2021</w:t>
            </w:r>
          </w:p>
        </w:tc>
        <w:tc>
          <w:tcPr>
            <w:tcW w:w="160" w:type="dxa"/>
            <w:vAlign w:val="bottom"/>
            <w:tcBorders>
              <w:right w:val="single" w:sz="8" w:color="061844"/>
            </w:tcBorders>
          </w:tcPr>
          <w:p>
            <w:pPr>
              <w:spacing w:after="0"/>
              <w:rPr>
                <w:sz w:val="17"/>
                <w:szCs w:val="17"/>
                <w:color w:val="auto"/>
              </w:rPr>
            </w:pPr>
          </w:p>
        </w:tc>
        <w:tc>
          <w:tcPr>
            <w:tcW w:w="1360" w:type="dxa"/>
            <w:vAlign w:val="bottom"/>
            <w:gridSpan w:val="2"/>
          </w:tcPr>
          <w:p>
            <w:pPr>
              <w:jc w:val="right"/>
              <w:spacing w:after="0" w:line="199" w:lineRule="exact"/>
              <w:rPr>
                <w:sz w:val="20"/>
                <w:szCs w:val="20"/>
                <w:color w:val="auto"/>
              </w:rPr>
            </w:pPr>
            <w:r>
              <w:rPr>
                <w:rFonts w:ascii="Arial" w:cs="Arial" w:eastAsia="Arial" w:hAnsi="Arial"/>
                <w:sz w:val="14"/>
                <w:szCs w:val="14"/>
                <w:color w:val="auto"/>
              </w:rPr>
              <w:t>35,521</w:t>
            </w:r>
            <w:r>
              <w:rPr>
                <w:rFonts w:ascii="Arial" w:cs="Arial" w:eastAsia="Arial" w:hAnsi="Arial"/>
                <w:sz w:val="23"/>
                <w:szCs w:val="23"/>
                <w:color w:val="auto"/>
                <w:vertAlign w:val="superscript"/>
              </w:rPr>
              <w:t>(3)</w:t>
            </w:r>
          </w:p>
        </w:tc>
        <w:tc>
          <w:tcPr>
            <w:tcW w:w="1240" w:type="dxa"/>
            <w:vAlign w:val="bottom"/>
          </w:tcPr>
          <w:p>
            <w:pPr>
              <w:jc w:val="right"/>
              <w:ind w:right="75"/>
              <w:spacing w:after="0"/>
              <w:rPr>
                <w:sz w:val="20"/>
                <w:szCs w:val="20"/>
                <w:color w:val="auto"/>
              </w:rPr>
            </w:pPr>
            <w:r>
              <w:rPr>
                <w:rFonts w:ascii="Arial" w:cs="Arial" w:eastAsia="Arial" w:hAnsi="Arial"/>
                <w:sz w:val="17"/>
                <w:szCs w:val="17"/>
                <w:color w:val="auto"/>
              </w:rPr>
              <w:t>2,115,986</w:t>
            </w:r>
          </w:p>
        </w:tc>
        <w:tc>
          <w:tcPr>
            <w:tcW w:w="1220" w:type="dxa"/>
            <w:vAlign w:val="bottom"/>
            <w:vMerge w:val="restart"/>
          </w:tcPr>
          <w:p>
            <w:pPr>
              <w:jc w:val="right"/>
              <w:ind w:right="42"/>
              <w:spacing w:after="0"/>
              <w:rPr>
                <w:sz w:val="20"/>
                <w:szCs w:val="20"/>
                <w:color w:val="auto"/>
              </w:rPr>
            </w:pPr>
            <w:r>
              <w:rPr>
                <w:rFonts w:ascii="Arial" w:cs="Arial" w:eastAsia="Arial" w:hAnsi="Arial"/>
                <w:sz w:val="17"/>
                <w:szCs w:val="17"/>
                <w:color w:val="auto"/>
              </w:rPr>
              <w:t>18,900</w:t>
            </w:r>
            <w:r>
              <w:rPr>
                <w:rFonts w:ascii="Arial" w:cs="Arial" w:eastAsia="Arial" w:hAnsi="Arial"/>
                <w:sz w:val="28"/>
                <w:szCs w:val="28"/>
                <w:color w:val="auto"/>
                <w:vertAlign w:val="superscript"/>
              </w:rPr>
              <w:t>(3)</w:t>
            </w:r>
          </w:p>
        </w:tc>
        <w:tc>
          <w:tcPr>
            <w:tcW w:w="1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48,100</w:t>
            </w: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29.2265</w:t>
            </w:r>
          </w:p>
        </w:tc>
        <w:tc>
          <w:tcPr>
            <w:tcW w:w="1060" w:type="dxa"/>
            <w:vAlign w:val="bottom"/>
          </w:tcPr>
          <w:p>
            <w:pPr>
              <w:jc w:val="right"/>
              <w:spacing w:after="0"/>
              <w:rPr>
                <w:sz w:val="20"/>
                <w:szCs w:val="20"/>
                <w:color w:val="auto"/>
              </w:rPr>
            </w:pPr>
            <w:r>
              <w:rPr>
                <w:rFonts w:ascii="Arial" w:cs="Arial" w:eastAsia="Arial" w:hAnsi="Arial"/>
                <w:sz w:val="17"/>
                <w:szCs w:val="17"/>
                <w:color w:val="auto"/>
              </w:rPr>
              <w:t>02/16/2022</w:t>
            </w: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vMerge w:val="continue"/>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1,125,873</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77,220</w:t>
            </w:r>
          </w:p>
        </w:tc>
        <w:tc>
          <w:tcPr>
            <w:tcW w:w="1420" w:type="dxa"/>
            <w:vAlign w:val="bottom"/>
            <w:gridSpan w:val="3"/>
          </w:tcPr>
          <w:p>
            <w:pPr>
              <w:jc w:val="right"/>
              <w:ind w:right="9"/>
              <w:spacing w:after="0" w:line="195" w:lineRule="exact"/>
              <w:rPr>
                <w:sz w:val="20"/>
                <w:szCs w:val="20"/>
                <w:color w:val="auto"/>
              </w:rPr>
            </w:pPr>
            <w:r>
              <w:rPr>
                <w:rFonts w:ascii="Arial" w:cs="Arial" w:eastAsia="Arial" w:hAnsi="Arial"/>
                <w:sz w:val="14"/>
                <w:szCs w:val="14"/>
                <w:color w:val="auto"/>
              </w:rPr>
              <w:t>38,610</w:t>
            </w:r>
            <w:r>
              <w:rPr>
                <w:rFonts w:ascii="Arial" w:cs="Arial" w:eastAsia="Arial" w:hAnsi="Arial"/>
                <w:sz w:val="22"/>
                <w:szCs w:val="22"/>
                <w:color w:val="auto"/>
                <w:vertAlign w:val="superscript"/>
              </w:rPr>
              <w:t>(3)</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35.8800</w:t>
            </w:r>
          </w:p>
        </w:tc>
        <w:tc>
          <w:tcPr>
            <w:tcW w:w="1060" w:type="dxa"/>
            <w:vAlign w:val="bottom"/>
          </w:tcPr>
          <w:p>
            <w:pPr>
              <w:jc w:val="right"/>
              <w:spacing w:after="0"/>
              <w:rPr>
                <w:sz w:val="20"/>
                <w:szCs w:val="20"/>
                <w:color w:val="auto"/>
              </w:rPr>
            </w:pPr>
            <w:r>
              <w:rPr>
                <w:rFonts w:ascii="Arial" w:cs="Arial" w:eastAsia="Arial" w:hAnsi="Arial"/>
                <w:sz w:val="17"/>
                <w:szCs w:val="17"/>
                <w:color w:val="auto"/>
              </w:rPr>
              <w:t>02/13/2023</w:t>
            </w: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jc w:val="right"/>
              <w:ind w:right="42"/>
              <w:spacing w:after="0" w:line="195" w:lineRule="exact"/>
              <w:rPr>
                <w:sz w:val="20"/>
                <w:szCs w:val="20"/>
                <w:color w:val="auto"/>
              </w:rPr>
            </w:pPr>
            <w:r>
              <w:rPr>
                <w:rFonts w:ascii="Arial" w:cs="Arial" w:eastAsia="Arial" w:hAnsi="Arial"/>
                <w:sz w:val="14"/>
                <w:szCs w:val="14"/>
                <w:color w:val="auto"/>
              </w:rPr>
              <w:t>31,506</w:t>
            </w:r>
            <w:r>
              <w:rPr>
                <w:rFonts w:ascii="Arial" w:cs="Arial" w:eastAsia="Arial" w:hAnsi="Arial"/>
                <w:sz w:val="22"/>
                <w:szCs w:val="22"/>
                <w:color w:val="auto"/>
                <w:vertAlign w:val="superscript"/>
              </w:rPr>
              <w:t>(3)</w:t>
            </w:r>
          </w:p>
        </w:tc>
        <w:tc>
          <w:tcPr>
            <w:tcW w:w="1180" w:type="dxa"/>
            <w:vAlign w:val="bottom"/>
          </w:tcPr>
          <w:p>
            <w:pPr>
              <w:jc w:val="right"/>
              <w:spacing w:after="0"/>
              <w:rPr>
                <w:sz w:val="20"/>
                <w:szCs w:val="20"/>
                <w:color w:val="auto"/>
              </w:rPr>
            </w:pPr>
            <w:r>
              <w:rPr>
                <w:rFonts w:ascii="Arial" w:cs="Arial" w:eastAsia="Arial" w:hAnsi="Arial"/>
                <w:sz w:val="17"/>
                <w:szCs w:val="17"/>
                <w:color w:val="auto"/>
              </w:rPr>
              <w:t>1,876,812</w:t>
            </w:r>
          </w:p>
        </w:tc>
        <w:tc>
          <w:tcPr>
            <w:tcW w:w="0" w:type="dxa"/>
            <w:vAlign w:val="bottom"/>
          </w:tcPr>
          <w:p>
            <w:pPr>
              <w:spacing w:after="0"/>
              <w:rPr>
                <w:sz w:val="1"/>
                <w:szCs w:val="1"/>
                <w:color w:val="auto"/>
              </w:rPr>
            </w:pPr>
          </w:p>
        </w:tc>
      </w:tr>
      <w:tr>
        <w:trPr>
          <w:trHeight w:val="196"/>
        </w:trPr>
        <w:tc>
          <w:tcPr>
            <w:tcW w:w="1500" w:type="dxa"/>
            <w:vAlign w:val="bottom"/>
          </w:tcPr>
          <w:p>
            <w:pPr>
              <w:spacing w:after="0"/>
              <w:rPr>
                <w:sz w:val="17"/>
                <w:szCs w:val="17"/>
                <w:color w:val="auto"/>
              </w:rPr>
            </w:pPr>
          </w:p>
        </w:tc>
        <w:tc>
          <w:tcPr>
            <w:tcW w:w="1160" w:type="dxa"/>
            <w:vAlign w:val="bottom"/>
          </w:tcPr>
          <w:p>
            <w:pPr>
              <w:jc w:val="right"/>
              <w:ind w:right="55"/>
              <w:spacing w:after="0"/>
              <w:rPr>
                <w:sz w:val="20"/>
                <w:szCs w:val="20"/>
                <w:color w:val="auto"/>
              </w:rPr>
            </w:pPr>
            <w:r>
              <w:rPr>
                <w:rFonts w:ascii="Arial" w:cs="Arial" w:eastAsia="Arial" w:hAnsi="Arial"/>
                <w:sz w:val="17"/>
                <w:szCs w:val="17"/>
                <w:color w:val="auto"/>
              </w:rPr>
              <w:t>27,167</w:t>
            </w:r>
          </w:p>
        </w:tc>
        <w:tc>
          <w:tcPr>
            <w:tcW w:w="1420" w:type="dxa"/>
            <w:vAlign w:val="bottom"/>
            <w:gridSpan w:val="3"/>
          </w:tcPr>
          <w:p>
            <w:pPr>
              <w:jc w:val="right"/>
              <w:ind w:right="9"/>
              <w:spacing w:after="0" w:line="195" w:lineRule="exact"/>
              <w:rPr>
                <w:sz w:val="20"/>
                <w:szCs w:val="20"/>
                <w:color w:val="auto"/>
              </w:rPr>
            </w:pPr>
            <w:r>
              <w:rPr>
                <w:rFonts w:ascii="Arial" w:cs="Arial" w:eastAsia="Arial" w:hAnsi="Arial"/>
                <w:sz w:val="14"/>
                <w:szCs w:val="14"/>
                <w:color w:val="auto"/>
              </w:rPr>
              <w:t>54,333</w:t>
            </w:r>
            <w:r>
              <w:rPr>
                <w:rFonts w:ascii="Arial" w:cs="Arial" w:eastAsia="Arial" w:hAnsi="Arial"/>
                <w:sz w:val="22"/>
                <w:szCs w:val="22"/>
                <w:color w:val="auto"/>
                <w:vertAlign w:val="superscript"/>
              </w:rPr>
              <w:t>(3)</w:t>
            </w:r>
          </w:p>
        </w:tc>
        <w:tc>
          <w:tcPr>
            <w:tcW w:w="960" w:type="dxa"/>
            <w:vAlign w:val="bottom"/>
          </w:tcPr>
          <w:p>
            <w:pPr>
              <w:jc w:val="right"/>
              <w:ind w:right="95"/>
              <w:spacing w:after="0"/>
              <w:rPr>
                <w:sz w:val="20"/>
                <w:szCs w:val="20"/>
                <w:color w:val="auto"/>
              </w:rPr>
            </w:pPr>
            <w:r>
              <w:rPr>
                <w:rFonts w:ascii="Arial" w:cs="Arial" w:eastAsia="Arial" w:hAnsi="Arial"/>
                <w:sz w:val="17"/>
                <w:szCs w:val="17"/>
                <w:color w:val="auto"/>
              </w:rPr>
              <w:t>51.4200</w:t>
            </w:r>
          </w:p>
        </w:tc>
        <w:tc>
          <w:tcPr>
            <w:tcW w:w="1060" w:type="dxa"/>
            <w:vAlign w:val="bottom"/>
          </w:tcPr>
          <w:p>
            <w:pPr>
              <w:jc w:val="right"/>
              <w:spacing w:after="0"/>
              <w:rPr>
                <w:sz w:val="20"/>
                <w:szCs w:val="20"/>
                <w:color w:val="auto"/>
              </w:rPr>
            </w:pPr>
            <w:r>
              <w:rPr>
                <w:rFonts w:ascii="Arial" w:cs="Arial" w:eastAsia="Arial" w:hAnsi="Arial"/>
                <w:sz w:val="17"/>
                <w:szCs w:val="17"/>
                <w:color w:val="auto"/>
              </w:rPr>
              <w:t>02/19/2024</w:t>
            </w:r>
          </w:p>
        </w:tc>
        <w:tc>
          <w:tcPr>
            <w:tcW w:w="160" w:type="dxa"/>
            <w:vAlign w:val="bottom"/>
            <w:tcBorders>
              <w:right w:val="single" w:sz="8" w:color="061844"/>
            </w:tcBorders>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20" w:type="dxa"/>
            <w:vAlign w:val="bottom"/>
          </w:tcPr>
          <w:p>
            <w:pPr>
              <w:jc w:val="right"/>
              <w:ind w:right="42"/>
              <w:spacing w:after="0" w:line="195" w:lineRule="exact"/>
              <w:rPr>
                <w:sz w:val="20"/>
                <w:szCs w:val="20"/>
                <w:color w:val="auto"/>
              </w:rPr>
            </w:pPr>
            <w:r>
              <w:rPr>
                <w:rFonts w:ascii="Arial" w:cs="Arial" w:eastAsia="Arial" w:hAnsi="Arial"/>
                <w:sz w:val="14"/>
                <w:szCs w:val="14"/>
                <w:color w:val="auto"/>
              </w:rPr>
              <w:t>51,580</w:t>
            </w:r>
            <w:r>
              <w:rPr>
                <w:rFonts w:ascii="Arial" w:cs="Arial" w:eastAsia="Arial" w:hAnsi="Arial"/>
                <w:sz w:val="22"/>
                <w:szCs w:val="22"/>
                <w:color w:val="auto"/>
                <w:vertAlign w:val="superscript"/>
              </w:rPr>
              <w:t>(3)</w:t>
            </w:r>
          </w:p>
        </w:tc>
        <w:tc>
          <w:tcPr>
            <w:tcW w:w="1180" w:type="dxa"/>
            <w:vAlign w:val="bottom"/>
          </w:tcPr>
          <w:p>
            <w:pPr>
              <w:jc w:val="right"/>
              <w:spacing w:after="0"/>
              <w:rPr>
                <w:sz w:val="20"/>
                <w:szCs w:val="20"/>
                <w:color w:val="auto"/>
              </w:rPr>
            </w:pPr>
            <w:r>
              <w:rPr>
                <w:rFonts w:ascii="Arial" w:cs="Arial" w:eastAsia="Arial" w:hAnsi="Arial"/>
                <w:sz w:val="17"/>
                <w:szCs w:val="17"/>
                <w:color w:val="auto"/>
              </w:rPr>
              <w:t>3,072,621</w:t>
            </w:r>
          </w:p>
        </w:tc>
        <w:tc>
          <w:tcPr>
            <w:tcW w:w="0" w:type="dxa"/>
            <w:vAlign w:val="bottom"/>
          </w:tcPr>
          <w:p>
            <w:pPr>
              <w:spacing w:after="0"/>
              <w:rPr>
                <w:sz w:val="1"/>
                <w:szCs w:val="1"/>
                <w:color w:val="auto"/>
              </w:rPr>
            </w:pPr>
          </w:p>
        </w:tc>
      </w:tr>
      <w:tr>
        <w:trPr>
          <w:trHeight w:val="193"/>
        </w:trPr>
        <w:tc>
          <w:tcPr>
            <w:tcW w:w="15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20" w:type="dxa"/>
            <w:vAlign w:val="bottom"/>
            <w:gridSpan w:val="3"/>
          </w:tcPr>
          <w:p>
            <w:pPr>
              <w:jc w:val="right"/>
              <w:ind w:right="9"/>
              <w:spacing w:after="0" w:line="193" w:lineRule="exact"/>
              <w:rPr>
                <w:sz w:val="20"/>
                <w:szCs w:val="20"/>
                <w:color w:val="auto"/>
              </w:rPr>
            </w:pPr>
            <w:r>
              <w:rPr>
                <w:rFonts w:ascii="Arial" w:cs="Arial" w:eastAsia="Arial" w:hAnsi="Arial"/>
                <w:sz w:val="14"/>
                <w:szCs w:val="14"/>
                <w:color w:val="auto"/>
              </w:rPr>
              <w:t>101,960</w:t>
            </w:r>
            <w:r>
              <w:rPr>
                <w:rFonts w:ascii="Arial" w:cs="Arial" w:eastAsia="Arial" w:hAnsi="Arial"/>
                <w:sz w:val="22"/>
                <w:szCs w:val="22"/>
                <w:color w:val="auto"/>
                <w:vertAlign w:val="superscript"/>
              </w:rPr>
              <w:t>(3)</w:t>
            </w:r>
          </w:p>
        </w:tc>
        <w:tc>
          <w:tcPr>
            <w:tcW w:w="960" w:type="dxa"/>
            <w:vAlign w:val="bottom"/>
          </w:tcPr>
          <w:p>
            <w:pPr>
              <w:jc w:val="right"/>
              <w:ind w:right="95"/>
              <w:spacing w:after="0" w:line="194" w:lineRule="exact"/>
              <w:rPr>
                <w:sz w:val="20"/>
                <w:szCs w:val="20"/>
                <w:color w:val="auto"/>
              </w:rPr>
            </w:pPr>
            <w:r>
              <w:rPr>
                <w:rFonts w:ascii="Arial" w:cs="Arial" w:eastAsia="Arial" w:hAnsi="Arial"/>
                <w:sz w:val="17"/>
                <w:szCs w:val="17"/>
                <w:color w:val="auto"/>
              </w:rPr>
              <w:t>58.8800</w:t>
            </w:r>
          </w:p>
        </w:tc>
        <w:tc>
          <w:tcPr>
            <w:tcW w:w="1060" w:type="dxa"/>
            <w:vAlign w:val="bottom"/>
          </w:tcPr>
          <w:p>
            <w:pPr>
              <w:jc w:val="right"/>
              <w:spacing w:after="0" w:line="194" w:lineRule="exact"/>
              <w:rPr>
                <w:sz w:val="20"/>
                <w:szCs w:val="20"/>
                <w:color w:val="auto"/>
              </w:rPr>
            </w:pPr>
            <w:r>
              <w:rPr>
                <w:rFonts w:ascii="Arial" w:cs="Arial" w:eastAsia="Arial" w:hAnsi="Arial"/>
                <w:sz w:val="17"/>
                <w:szCs w:val="17"/>
                <w:color w:val="auto"/>
              </w:rPr>
              <w:t>02/18/2025</w:t>
            </w:r>
          </w:p>
        </w:tc>
        <w:tc>
          <w:tcPr>
            <w:tcW w:w="160" w:type="dxa"/>
            <w:vAlign w:val="bottom"/>
            <w:tcBorders>
              <w:right w:val="single" w:sz="8" w:color="061844"/>
            </w:tcBorders>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500" w:type="dxa"/>
            <w:vAlign w:val="bottom"/>
            <w:shd w:val="clear" w:color="auto" w:fill="E7E7E8"/>
          </w:tcPr>
          <w:p>
            <w:pPr>
              <w:spacing w:after="0"/>
              <w:rPr>
                <w:sz w:val="20"/>
                <w:szCs w:val="20"/>
                <w:color w:val="auto"/>
              </w:rPr>
            </w:pPr>
            <w:r>
              <w:rPr>
                <w:rFonts w:ascii="Arial" w:cs="Arial" w:eastAsia="Arial" w:hAnsi="Arial"/>
                <w:sz w:val="17"/>
                <w:szCs w:val="17"/>
                <w:color w:val="auto"/>
              </w:rPr>
              <w:t>M. Severino</w:t>
            </w:r>
          </w:p>
        </w:tc>
        <w:tc>
          <w:tcPr>
            <w:tcW w:w="1160" w:type="dxa"/>
            <w:vAlign w:val="bottom"/>
            <w:shd w:val="clear" w:color="auto" w:fill="E7E7E8"/>
          </w:tcPr>
          <w:p>
            <w:pPr>
              <w:jc w:val="right"/>
              <w:ind w:right="55"/>
              <w:spacing w:after="0"/>
              <w:rPr>
                <w:sz w:val="20"/>
                <w:szCs w:val="20"/>
                <w:color w:val="auto"/>
              </w:rPr>
            </w:pPr>
            <w:r>
              <w:rPr>
                <w:rFonts w:ascii="Arial" w:cs="Arial" w:eastAsia="Arial" w:hAnsi="Arial"/>
                <w:sz w:val="17"/>
                <w:szCs w:val="17"/>
                <w:color w:val="auto"/>
              </w:rPr>
              <w:t>24,770</w:t>
            </w:r>
          </w:p>
        </w:tc>
        <w:tc>
          <w:tcPr>
            <w:tcW w:w="1420" w:type="dxa"/>
            <w:vAlign w:val="bottom"/>
            <w:gridSpan w:val="3"/>
            <w:shd w:val="clear" w:color="auto" w:fill="E7E7E8"/>
          </w:tcPr>
          <w:p>
            <w:pPr>
              <w:jc w:val="right"/>
              <w:ind w:right="9"/>
              <w:spacing w:after="0" w:line="195" w:lineRule="exact"/>
              <w:rPr>
                <w:sz w:val="20"/>
                <w:szCs w:val="20"/>
                <w:color w:val="auto"/>
              </w:rPr>
            </w:pPr>
            <w:r>
              <w:rPr>
                <w:rFonts w:ascii="Arial" w:cs="Arial" w:eastAsia="Arial" w:hAnsi="Arial"/>
                <w:sz w:val="14"/>
                <w:szCs w:val="14"/>
                <w:color w:val="auto"/>
              </w:rPr>
              <w:t>49,539</w:t>
            </w:r>
            <w:r>
              <w:rPr>
                <w:rFonts w:ascii="Arial" w:cs="Arial" w:eastAsia="Arial" w:hAnsi="Arial"/>
                <w:sz w:val="22"/>
                <w:szCs w:val="22"/>
                <w:color w:val="auto"/>
                <w:vertAlign w:val="superscript"/>
              </w:rPr>
              <w:t>(3)</w:t>
            </w:r>
          </w:p>
        </w:tc>
        <w:tc>
          <w:tcPr>
            <w:tcW w:w="960" w:type="dxa"/>
            <w:vAlign w:val="bottom"/>
            <w:shd w:val="clear" w:color="auto" w:fill="E7E7E8"/>
          </w:tcPr>
          <w:p>
            <w:pPr>
              <w:jc w:val="right"/>
              <w:ind w:right="95"/>
              <w:spacing w:after="0"/>
              <w:rPr>
                <w:sz w:val="20"/>
                <w:szCs w:val="20"/>
                <w:color w:val="auto"/>
              </w:rPr>
            </w:pPr>
            <w:r>
              <w:rPr>
                <w:rFonts w:ascii="Arial" w:cs="Arial" w:eastAsia="Arial" w:hAnsi="Arial"/>
                <w:sz w:val="17"/>
                <w:szCs w:val="17"/>
                <w:color w:val="auto"/>
              </w:rPr>
              <w:t>54.4400</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06/01/2024</w:t>
            </w:r>
          </w:p>
        </w:tc>
        <w:tc>
          <w:tcPr>
            <w:tcW w:w="160" w:type="dxa"/>
            <w:vAlign w:val="bottom"/>
            <w:tcBorders>
              <w:right w:val="single" w:sz="8" w:color="061844"/>
            </w:tcBorders>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1220" w:type="dxa"/>
            <w:vAlign w:val="bottom"/>
            <w:shd w:val="clear" w:color="auto" w:fill="E7E7E8"/>
          </w:tcPr>
          <w:p>
            <w:pPr>
              <w:jc w:val="right"/>
              <w:ind w:right="42"/>
              <w:spacing w:after="0" w:line="195" w:lineRule="exact"/>
              <w:rPr>
                <w:sz w:val="20"/>
                <w:szCs w:val="20"/>
                <w:color w:val="auto"/>
              </w:rPr>
            </w:pPr>
            <w:r>
              <w:rPr>
                <w:rFonts w:ascii="Arial" w:cs="Arial" w:eastAsia="Arial" w:hAnsi="Arial"/>
                <w:sz w:val="14"/>
                <w:szCs w:val="14"/>
                <w:color w:val="auto"/>
              </w:rPr>
              <w:t>94,416</w:t>
            </w:r>
            <w:r>
              <w:rPr>
                <w:rFonts w:ascii="Arial" w:cs="Arial" w:eastAsia="Arial" w:hAnsi="Arial"/>
                <w:sz w:val="22"/>
                <w:szCs w:val="22"/>
                <w:color w:val="auto"/>
                <w:vertAlign w:val="superscript"/>
              </w:rPr>
              <w:t>(3)</w:t>
            </w:r>
          </w:p>
        </w:tc>
        <w:tc>
          <w:tcPr>
            <w:tcW w:w="1180" w:type="dxa"/>
            <w:vAlign w:val="bottom"/>
            <w:shd w:val="clear" w:color="auto" w:fill="E7E7E8"/>
          </w:tcPr>
          <w:p>
            <w:pPr>
              <w:jc w:val="right"/>
              <w:spacing w:after="0"/>
              <w:rPr>
                <w:sz w:val="20"/>
                <w:szCs w:val="20"/>
                <w:color w:val="auto"/>
              </w:rPr>
            </w:pPr>
            <w:r>
              <w:rPr>
                <w:rFonts w:ascii="Arial" w:cs="Arial" w:eastAsia="Arial" w:hAnsi="Arial"/>
                <w:sz w:val="17"/>
                <w:szCs w:val="17"/>
                <w:color w:val="auto"/>
              </w:rPr>
              <w:t>5,624,361</w:t>
            </w:r>
          </w:p>
        </w:tc>
        <w:tc>
          <w:tcPr>
            <w:tcW w:w="0" w:type="dxa"/>
            <w:vAlign w:val="bottom"/>
          </w:tcPr>
          <w:p>
            <w:pPr>
              <w:spacing w:after="0"/>
              <w:rPr>
                <w:sz w:val="1"/>
                <w:szCs w:val="1"/>
                <w:color w:val="auto"/>
              </w:rPr>
            </w:pPr>
          </w:p>
        </w:tc>
      </w:tr>
      <w:tr>
        <w:trPr>
          <w:trHeight w:val="196"/>
        </w:trPr>
        <w:tc>
          <w:tcPr>
            <w:tcW w:w="1500" w:type="dxa"/>
            <w:vAlign w:val="bottom"/>
            <w:shd w:val="clear" w:color="auto" w:fill="E7E7E8"/>
          </w:tcPr>
          <w:p>
            <w:pPr>
              <w:spacing w:after="0"/>
              <w:rPr>
                <w:sz w:val="17"/>
                <w:szCs w:val="17"/>
                <w:color w:val="auto"/>
              </w:rPr>
            </w:pPr>
          </w:p>
        </w:tc>
        <w:tc>
          <w:tcPr>
            <w:tcW w:w="1160" w:type="dxa"/>
            <w:vAlign w:val="bottom"/>
            <w:shd w:val="clear" w:color="auto" w:fill="E7E7E8"/>
          </w:tcPr>
          <w:p>
            <w:pPr>
              <w:spacing w:after="0"/>
              <w:rPr>
                <w:sz w:val="17"/>
                <w:szCs w:val="17"/>
                <w:color w:val="auto"/>
              </w:rPr>
            </w:pPr>
          </w:p>
        </w:tc>
        <w:tc>
          <w:tcPr>
            <w:tcW w:w="1420" w:type="dxa"/>
            <w:vAlign w:val="bottom"/>
            <w:gridSpan w:val="3"/>
            <w:shd w:val="clear" w:color="auto" w:fill="E7E7E8"/>
          </w:tcPr>
          <w:p>
            <w:pPr>
              <w:jc w:val="right"/>
              <w:ind w:right="9"/>
              <w:spacing w:after="0" w:line="195" w:lineRule="exact"/>
              <w:rPr>
                <w:sz w:val="20"/>
                <w:szCs w:val="20"/>
                <w:color w:val="auto"/>
              </w:rPr>
            </w:pPr>
            <w:r>
              <w:rPr>
                <w:rFonts w:ascii="Arial" w:cs="Arial" w:eastAsia="Arial" w:hAnsi="Arial"/>
                <w:sz w:val="14"/>
                <w:szCs w:val="14"/>
                <w:color w:val="auto"/>
              </w:rPr>
              <w:t>104,480</w:t>
            </w:r>
            <w:r>
              <w:rPr>
                <w:rFonts w:ascii="Arial" w:cs="Arial" w:eastAsia="Arial" w:hAnsi="Arial"/>
                <w:sz w:val="22"/>
                <w:szCs w:val="22"/>
                <w:color w:val="auto"/>
                <w:vertAlign w:val="superscript"/>
              </w:rPr>
              <w:t>(3)</w:t>
            </w:r>
          </w:p>
        </w:tc>
        <w:tc>
          <w:tcPr>
            <w:tcW w:w="960" w:type="dxa"/>
            <w:vAlign w:val="bottom"/>
            <w:shd w:val="clear" w:color="auto" w:fill="E7E7E8"/>
          </w:tcPr>
          <w:p>
            <w:pPr>
              <w:jc w:val="right"/>
              <w:ind w:right="95"/>
              <w:spacing w:after="0"/>
              <w:rPr>
                <w:sz w:val="20"/>
                <w:szCs w:val="20"/>
                <w:color w:val="auto"/>
              </w:rPr>
            </w:pPr>
            <w:r>
              <w:rPr>
                <w:rFonts w:ascii="Arial" w:cs="Arial" w:eastAsia="Arial" w:hAnsi="Arial"/>
                <w:sz w:val="17"/>
                <w:szCs w:val="17"/>
                <w:color w:val="auto"/>
              </w:rPr>
              <w:t>58.8800</w:t>
            </w:r>
          </w:p>
        </w:tc>
        <w:tc>
          <w:tcPr>
            <w:tcW w:w="1060" w:type="dxa"/>
            <w:vAlign w:val="bottom"/>
            <w:shd w:val="clear" w:color="auto" w:fill="E7E7E8"/>
          </w:tcPr>
          <w:p>
            <w:pPr>
              <w:jc w:val="right"/>
              <w:spacing w:after="0"/>
              <w:rPr>
                <w:sz w:val="20"/>
                <w:szCs w:val="20"/>
                <w:color w:val="auto"/>
              </w:rPr>
            </w:pPr>
            <w:r>
              <w:rPr>
                <w:rFonts w:ascii="Arial" w:cs="Arial" w:eastAsia="Arial" w:hAnsi="Arial"/>
                <w:sz w:val="17"/>
                <w:szCs w:val="17"/>
                <w:color w:val="auto"/>
              </w:rPr>
              <w:t>02/18/2025</w:t>
            </w:r>
          </w:p>
        </w:tc>
        <w:tc>
          <w:tcPr>
            <w:tcW w:w="160" w:type="dxa"/>
            <w:vAlign w:val="bottom"/>
            <w:tcBorders>
              <w:right w:val="single" w:sz="8" w:color="061844"/>
            </w:tcBorders>
            <w:shd w:val="clear" w:color="auto" w:fill="E7E7E8"/>
          </w:tcPr>
          <w:p>
            <w:pPr>
              <w:spacing w:after="0"/>
              <w:rPr>
                <w:sz w:val="17"/>
                <w:szCs w:val="17"/>
                <w:color w:val="auto"/>
              </w:rPr>
            </w:pPr>
          </w:p>
        </w:tc>
        <w:tc>
          <w:tcPr>
            <w:tcW w:w="300" w:type="dxa"/>
            <w:vAlign w:val="bottom"/>
            <w:shd w:val="clear" w:color="auto" w:fill="E7E7E8"/>
          </w:tcPr>
          <w:p>
            <w:pPr>
              <w:spacing w:after="0"/>
              <w:rPr>
                <w:sz w:val="17"/>
                <w:szCs w:val="17"/>
                <w:color w:val="auto"/>
              </w:rPr>
            </w:pPr>
          </w:p>
        </w:tc>
        <w:tc>
          <w:tcPr>
            <w:tcW w:w="1060" w:type="dxa"/>
            <w:vAlign w:val="bottom"/>
            <w:shd w:val="clear" w:color="auto" w:fill="E7E7E8"/>
          </w:tcPr>
          <w:p>
            <w:pPr>
              <w:spacing w:after="0"/>
              <w:rPr>
                <w:sz w:val="17"/>
                <w:szCs w:val="17"/>
                <w:color w:val="auto"/>
              </w:rPr>
            </w:pPr>
          </w:p>
        </w:tc>
        <w:tc>
          <w:tcPr>
            <w:tcW w:w="1240" w:type="dxa"/>
            <w:vAlign w:val="bottom"/>
            <w:shd w:val="clear" w:color="auto" w:fill="E7E7E8"/>
          </w:tcPr>
          <w:p>
            <w:pPr>
              <w:spacing w:after="0"/>
              <w:rPr>
                <w:sz w:val="17"/>
                <w:szCs w:val="17"/>
                <w:color w:val="auto"/>
              </w:rPr>
            </w:pPr>
          </w:p>
        </w:tc>
        <w:tc>
          <w:tcPr>
            <w:tcW w:w="1220" w:type="dxa"/>
            <w:vAlign w:val="bottom"/>
            <w:shd w:val="clear" w:color="auto" w:fill="E7E7E8"/>
          </w:tcPr>
          <w:p>
            <w:pPr>
              <w:jc w:val="right"/>
              <w:ind w:right="42"/>
              <w:spacing w:after="0" w:line="195" w:lineRule="exact"/>
              <w:rPr>
                <w:sz w:val="20"/>
                <w:szCs w:val="20"/>
                <w:color w:val="auto"/>
              </w:rPr>
            </w:pPr>
            <w:r>
              <w:rPr>
                <w:rFonts w:ascii="Arial" w:cs="Arial" w:eastAsia="Arial" w:hAnsi="Arial"/>
                <w:sz w:val="14"/>
                <w:szCs w:val="14"/>
                <w:color w:val="auto"/>
              </w:rPr>
              <w:t>52,860</w:t>
            </w:r>
            <w:r>
              <w:rPr>
                <w:rFonts w:ascii="Arial" w:cs="Arial" w:eastAsia="Arial" w:hAnsi="Arial"/>
                <w:sz w:val="22"/>
                <w:szCs w:val="22"/>
                <w:color w:val="auto"/>
                <w:vertAlign w:val="superscript"/>
              </w:rPr>
              <w:t>(3)</w:t>
            </w:r>
          </w:p>
        </w:tc>
        <w:tc>
          <w:tcPr>
            <w:tcW w:w="1180" w:type="dxa"/>
            <w:vAlign w:val="bottom"/>
            <w:shd w:val="clear" w:color="auto" w:fill="E7E7E8"/>
          </w:tcPr>
          <w:p>
            <w:pPr>
              <w:jc w:val="right"/>
              <w:spacing w:after="0"/>
              <w:rPr>
                <w:sz w:val="20"/>
                <w:szCs w:val="20"/>
                <w:color w:val="auto"/>
              </w:rPr>
            </w:pPr>
            <w:r>
              <w:rPr>
                <w:rFonts w:ascii="Arial" w:cs="Arial" w:eastAsia="Arial" w:hAnsi="Arial"/>
                <w:sz w:val="17"/>
                <w:szCs w:val="17"/>
                <w:color w:val="auto"/>
              </w:rPr>
              <w:t>3,148,870</w:t>
            </w:r>
          </w:p>
        </w:tc>
        <w:tc>
          <w:tcPr>
            <w:tcW w:w="0" w:type="dxa"/>
            <w:vAlign w:val="bottom"/>
          </w:tcPr>
          <w:p>
            <w:pPr>
              <w:spacing w:after="0"/>
              <w:rPr>
                <w:sz w:val="1"/>
                <w:szCs w:val="1"/>
                <w:color w:val="auto"/>
              </w:rPr>
            </w:pPr>
          </w:p>
        </w:tc>
      </w:tr>
      <w:tr>
        <w:trPr>
          <w:trHeight w:val="105"/>
        </w:trPr>
        <w:tc>
          <w:tcPr>
            <w:tcW w:w="1500" w:type="dxa"/>
            <w:vAlign w:val="bottom"/>
            <w:tcBorders>
              <w:bottom w:val="single" w:sz="8" w:color="auto"/>
            </w:tcBorders>
          </w:tcPr>
          <w:p>
            <w:pPr>
              <w:spacing w:after="0"/>
              <w:rPr>
                <w:sz w:val="9"/>
                <w:szCs w:val="9"/>
                <w:color w:val="auto"/>
              </w:rPr>
            </w:pPr>
          </w:p>
        </w:tc>
        <w:tc>
          <w:tcPr>
            <w:tcW w:w="11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6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520" w:hanging="515"/>
        <w:spacing w:after="0" w:line="242"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Four of AbbVie's NEOs were employed by Abbott Laboratories (Abbott) prior to AbbVie's separation from Abbott on January 1, 2013 (the "Separation"). When AbbVie separated from Abbott, outstanding Abbott equity awards generally converted into adjusted awards based on Abbott common shares and AbbVie common stock (except to the extent prohibited by local law or with respect to certain awards described below). Such awards are subject to substantially the same terms, vesting conditions and other restrictions that applied to the original Abbott awards immediately before the Separation. Abbott restricted stock awards granted on December 1, 2012 converted in full into AbbVie restricted stock awards as of the Separation, as described in note (e) to footnote (3) below.</w:t>
      </w:r>
    </w:p>
    <w:p>
      <w:pPr>
        <w:spacing w:after="0" w:line="241" w:lineRule="exact"/>
        <w:rPr>
          <w:rFonts w:ascii="Arial" w:cs="Arial" w:eastAsia="Arial" w:hAnsi="Arial"/>
          <w:sz w:val="17"/>
          <w:szCs w:val="17"/>
          <w:color w:val="auto"/>
        </w:rPr>
      </w:pPr>
    </w:p>
    <w:p>
      <w:pPr>
        <w:ind w:left="520" w:right="220"/>
        <w:spacing w:after="0" w:line="250" w:lineRule="auto"/>
        <w:rPr>
          <w:rFonts w:ascii="Arial" w:cs="Arial" w:eastAsia="Arial" w:hAnsi="Arial"/>
          <w:sz w:val="17"/>
          <w:szCs w:val="17"/>
          <w:color w:val="auto"/>
        </w:rPr>
      </w:pPr>
      <w:r>
        <w:rPr>
          <w:rFonts w:ascii="Arial" w:cs="Arial" w:eastAsia="Arial" w:hAnsi="Arial"/>
          <w:sz w:val="17"/>
          <w:szCs w:val="17"/>
          <w:color w:val="auto"/>
        </w:rPr>
        <w:t>Each Abbott stock option was converted into an adjusted Abbott stock option and an AbbVie stock option, with adjustments to the stock option exercise prices that were intended to preserve the value of the original Abbott</w:t>
      </w:r>
    </w:p>
    <w:p>
      <w:pPr>
        <w:spacing w:after="0" w:line="18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46  </w:t>
      </w:r>
      <w:r>
        <w:rPr>
          <w:sz w:val="1"/>
          <w:szCs w:val="1"/>
          <w:color w:val="auto"/>
        </w:rPr>
        <w:drawing>
          <wp:inline distT="0" distB="0" distL="0" distR="0">
            <wp:extent cx="622300" cy="107950"/>
            <wp:effectExtent l="0" t="0" r="0" b="0"/>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195"/>
        </w:trPr>
        <w:tc>
          <w:tcPr>
            <w:tcW w:w="9680" w:type="dxa"/>
            <w:vAlign w:val="bottom"/>
            <w:gridSpan w:val="2"/>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Table of Contents</w:t>
              </w:r>
            </w:hyperlink>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680" w:type="dxa"/>
            <w:vAlign w:val="bottom"/>
            <w:gridSpan w:val="2"/>
            <w:vMerge w:val="restart"/>
          </w:tcPr>
          <w:p>
            <w:pPr>
              <w:ind w:left="520"/>
              <w:spacing w:after="0"/>
              <w:rPr>
                <w:sz w:val="20"/>
                <w:szCs w:val="20"/>
                <w:color w:val="auto"/>
              </w:rPr>
            </w:pPr>
            <w:r>
              <w:rPr>
                <w:rFonts w:ascii="Arial" w:cs="Arial" w:eastAsia="Arial" w:hAnsi="Arial"/>
                <w:sz w:val="17"/>
                <w:szCs w:val="17"/>
                <w:color w:val="auto"/>
              </w:rPr>
              <w:t>award as measured immediately before and immediately after the Separation. Each such adjusted Abbott stock option</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680" w:type="dxa"/>
            <w:vAlign w:val="bottom"/>
            <w:gridSpan w:val="2"/>
            <w:vMerge w:val="continue"/>
          </w:tcPr>
          <w:p>
            <w:pPr>
              <w:spacing w:after="0"/>
              <w:rPr>
                <w:sz w:val="17"/>
                <w:szCs w:val="17"/>
                <w:color w:val="auto"/>
              </w:rPr>
            </w:pPr>
          </w:p>
        </w:tc>
        <w:tc>
          <w:tcPr>
            <w:tcW w:w="1740" w:type="dxa"/>
            <w:vAlign w:val="bottom"/>
            <w:tcBorders>
              <w:bottom w:val="single" w:sz="8" w:color="444867"/>
            </w:tcBorders>
            <w:shd w:val="clear" w:color="auto" w:fill="444867"/>
          </w:tcPr>
          <w:p>
            <w:pPr>
              <w:ind w:left="60"/>
              <w:spacing w:after="0"/>
              <w:rPr>
                <w:sz w:val="20"/>
                <w:szCs w:val="20"/>
                <w:color w:val="auto"/>
              </w:rPr>
            </w:pPr>
            <w:r>
              <w:rPr>
                <w:rFonts w:ascii="Arial" w:cs="Arial" w:eastAsia="Arial" w:hAnsi="Arial"/>
                <w:sz w:val="10"/>
                <w:szCs w:val="10"/>
                <w:b w:val="1"/>
                <w:bCs w:val="1"/>
                <w:color w:val="FFFFFE"/>
              </w:rPr>
              <w:t>EXECUTIVE COMPENSATION</w:t>
            </w:r>
          </w:p>
        </w:tc>
        <w:tc>
          <w:tcPr>
            <w:tcW w:w="0" w:type="dxa"/>
            <w:vAlign w:val="bottom"/>
          </w:tcPr>
          <w:p>
            <w:pPr>
              <w:spacing w:after="0"/>
              <w:rPr>
                <w:sz w:val="1"/>
                <w:szCs w:val="1"/>
                <w:color w:val="auto"/>
              </w:rPr>
            </w:pPr>
          </w:p>
        </w:tc>
      </w:tr>
      <w:tr>
        <w:trPr>
          <w:trHeight w:val="173"/>
        </w:trPr>
        <w:tc>
          <w:tcPr>
            <w:tcW w:w="9680" w:type="dxa"/>
            <w:vAlign w:val="bottom"/>
            <w:gridSpan w:val="2"/>
          </w:tcPr>
          <w:p>
            <w:pPr>
              <w:ind w:left="520"/>
              <w:spacing w:after="0" w:line="173" w:lineRule="exact"/>
              <w:rPr>
                <w:sz w:val="20"/>
                <w:szCs w:val="20"/>
                <w:color w:val="auto"/>
              </w:rPr>
            </w:pPr>
            <w:r>
              <w:rPr>
                <w:rFonts w:ascii="Arial" w:cs="Arial" w:eastAsia="Arial" w:hAnsi="Arial"/>
                <w:sz w:val="17"/>
                <w:szCs w:val="17"/>
                <w:color w:val="auto"/>
                <w:w w:val="99"/>
              </w:rPr>
              <w:t>and AbbVie stock option is subject to substantially the same terms, vesting conditions, post-termination exercise rules and</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680" w:type="dxa"/>
            <w:vAlign w:val="bottom"/>
            <w:gridSpan w:val="2"/>
          </w:tcPr>
          <w:p>
            <w:pPr>
              <w:ind w:left="520"/>
              <w:spacing w:after="0"/>
              <w:rPr>
                <w:sz w:val="20"/>
                <w:szCs w:val="20"/>
                <w:color w:val="auto"/>
              </w:rPr>
            </w:pPr>
            <w:r>
              <w:rPr>
                <w:rFonts w:ascii="Arial" w:cs="Arial" w:eastAsia="Arial" w:hAnsi="Arial"/>
                <w:sz w:val="17"/>
                <w:szCs w:val="17"/>
                <w:color w:val="auto"/>
              </w:rPr>
              <w:t>other restrictions that applied to the original Abbott stock option immediately before the Separation.</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4"/>
        </w:trPr>
        <w:tc>
          <w:tcPr>
            <w:tcW w:w="9680" w:type="dxa"/>
            <w:vAlign w:val="bottom"/>
            <w:gridSpan w:val="2"/>
          </w:tcPr>
          <w:p>
            <w:pPr>
              <w:ind w:left="520"/>
              <w:spacing w:after="0"/>
              <w:rPr>
                <w:sz w:val="20"/>
                <w:szCs w:val="20"/>
                <w:color w:val="auto"/>
              </w:rPr>
            </w:pPr>
            <w:r>
              <w:rPr>
                <w:rFonts w:ascii="Arial" w:cs="Arial" w:eastAsia="Arial" w:hAnsi="Arial"/>
                <w:sz w:val="17"/>
                <w:szCs w:val="17"/>
                <w:color w:val="auto"/>
              </w:rPr>
              <w:t>As a result of the Separation, the NEOs held the following Abbott equity awards as of December 31, 2015:</w:t>
            </w: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ind w:left="1040" w:hanging="513"/>
        <w:spacing w:after="0"/>
        <w:tabs>
          <w:tab w:leader="none" w:pos="10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W. Chase: Vested options to purchase 6,533 Abbott common shares with an exercise price of $27.03 per share.</w:t>
      </w:r>
    </w:p>
    <w:p>
      <w:pPr>
        <w:spacing w:after="0" w:line="196" w:lineRule="exact"/>
        <w:rPr>
          <w:rFonts w:ascii="Arial" w:cs="Arial" w:eastAsia="Arial" w:hAnsi="Arial"/>
          <w:sz w:val="17"/>
          <w:szCs w:val="17"/>
          <w:color w:val="auto"/>
        </w:rPr>
      </w:pPr>
    </w:p>
    <w:p>
      <w:pPr>
        <w:ind w:left="1040" w:right="480" w:hanging="513"/>
        <w:spacing w:after="0" w:line="250" w:lineRule="auto"/>
        <w:tabs>
          <w:tab w:leader="none" w:pos="10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L. Schumacher: Vested options to purchase 265,906 Abbott common shares with exercise prices ranging from $22.39 to $27.03 per share.</w:t>
      </w:r>
    </w:p>
    <w:p>
      <w:pPr>
        <w:spacing w:after="0" w:line="180" w:lineRule="exact"/>
        <w:rPr>
          <w:rFonts w:ascii="Arial" w:cs="Arial" w:eastAsia="Arial" w:hAnsi="Arial"/>
          <w:sz w:val="17"/>
          <w:szCs w:val="17"/>
          <w:color w:val="auto"/>
        </w:rPr>
      </w:pPr>
    </w:p>
    <w:p>
      <w:pPr>
        <w:ind w:left="1040" w:hanging="513"/>
        <w:spacing w:after="0"/>
        <w:tabs>
          <w:tab w:leader="none" w:pos="1040" w:val="left"/>
        </w:tabs>
        <w:numPr>
          <w:ilvl w:val="1"/>
          <w:numId w:val="40"/>
        </w:numPr>
        <w:rPr>
          <w:rFonts w:ascii="Arial" w:cs="Arial" w:eastAsia="Arial" w:hAnsi="Arial"/>
          <w:sz w:val="17"/>
          <w:szCs w:val="17"/>
          <w:color w:val="auto"/>
        </w:rPr>
      </w:pPr>
      <w:r>
        <w:rPr>
          <w:rFonts w:ascii="Arial" w:cs="Arial" w:eastAsia="Arial" w:hAnsi="Arial"/>
          <w:sz w:val="17"/>
          <w:szCs w:val="17"/>
          <w:color w:val="auto"/>
        </w:rPr>
        <w:t>C. Alban: Vested options to purchase 16,033 Abbott common shares with an exercise price of $27.03 per share.</w:t>
      </w:r>
    </w:p>
    <w:p>
      <w:pPr>
        <w:spacing w:after="0" w:line="200" w:lineRule="exact"/>
        <w:rPr>
          <w:rFonts w:ascii="Arial" w:cs="Arial" w:eastAsia="Arial" w:hAnsi="Arial"/>
          <w:sz w:val="17"/>
          <w:szCs w:val="17"/>
          <w:color w:val="auto"/>
        </w:rPr>
      </w:pPr>
    </w:p>
    <w:p>
      <w:pPr>
        <w:spacing w:after="0" w:line="218" w:lineRule="exact"/>
        <w:rPr>
          <w:rFonts w:ascii="Arial" w:cs="Arial" w:eastAsia="Arial" w:hAnsi="Arial"/>
          <w:sz w:val="17"/>
          <w:szCs w:val="17"/>
          <w:color w:val="auto"/>
        </w:rPr>
      </w:pPr>
    </w:p>
    <w:p>
      <w:pPr>
        <w:ind w:left="520" w:hanging="515"/>
        <w:spacing w:after="0"/>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Except as noted, the stock options are fully vested.</w:t>
      </w:r>
    </w:p>
    <w:p>
      <w:pPr>
        <w:spacing w:after="0" w:line="196" w:lineRule="exact"/>
        <w:rPr>
          <w:rFonts w:ascii="Arial" w:cs="Arial" w:eastAsia="Arial" w:hAnsi="Arial"/>
          <w:sz w:val="17"/>
          <w:szCs w:val="17"/>
          <w:color w:val="auto"/>
        </w:rPr>
      </w:pPr>
    </w:p>
    <w:p>
      <w:pPr>
        <w:ind w:left="520" w:hanging="515"/>
        <w:spacing w:after="0"/>
        <w:tabs>
          <w:tab w:leader="none" w:pos="52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vesting dates of AbbVie unexercisable stock options and unvested restricted stock awards outstanding at December 31, 2015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Borders>
              <w:bottom w:val="single" w:sz="8" w:color="444867"/>
            </w:tcBorders>
          </w:tcPr>
          <w:p>
            <w:pPr>
              <w:spacing w:after="0"/>
              <w:rPr>
                <w:sz w:val="14"/>
                <w:szCs w:val="14"/>
                <w:color w:val="auto"/>
              </w:rPr>
            </w:pPr>
          </w:p>
        </w:tc>
        <w:tc>
          <w:tcPr>
            <w:tcW w:w="1100" w:type="dxa"/>
            <w:vAlign w:val="bottom"/>
            <w:tcBorders>
              <w:bottom w:val="single" w:sz="8" w:color="444867"/>
            </w:tcBorders>
          </w:tcPr>
          <w:p>
            <w:pPr>
              <w:spacing w:after="0"/>
              <w:rPr>
                <w:sz w:val="14"/>
                <w:szCs w:val="14"/>
                <w:color w:val="auto"/>
              </w:rPr>
            </w:pPr>
          </w:p>
        </w:tc>
        <w:tc>
          <w:tcPr>
            <w:tcW w:w="360" w:type="dxa"/>
            <w:vAlign w:val="bottom"/>
            <w:tcBorders>
              <w:bottom w:val="single" w:sz="8" w:color="444867"/>
            </w:tcBorders>
          </w:tcPr>
          <w:p>
            <w:pPr>
              <w:spacing w:after="0"/>
              <w:rPr>
                <w:sz w:val="14"/>
                <w:szCs w:val="14"/>
                <w:color w:val="auto"/>
              </w:rPr>
            </w:pPr>
          </w:p>
        </w:tc>
        <w:tc>
          <w:tcPr>
            <w:tcW w:w="2760" w:type="dxa"/>
            <w:vAlign w:val="bottom"/>
            <w:tcBorders>
              <w:bottom w:val="single" w:sz="8" w:color="444867"/>
            </w:tcBorders>
            <w:gridSpan w:val="2"/>
          </w:tcPr>
          <w:p>
            <w:pPr>
              <w:jc w:val="right"/>
              <w:ind w:right="950"/>
              <w:spacing w:after="0"/>
              <w:rPr>
                <w:sz w:val="20"/>
                <w:szCs w:val="20"/>
                <w:color w:val="auto"/>
              </w:rPr>
            </w:pPr>
            <w:r>
              <w:rPr>
                <w:rFonts w:ascii="Arial" w:cs="Arial" w:eastAsia="Arial" w:hAnsi="Arial"/>
                <w:sz w:val="14"/>
                <w:szCs w:val="14"/>
                <w:b w:val="1"/>
                <w:bCs w:val="1"/>
                <w:color w:val="444867"/>
              </w:rPr>
              <w:t>Option Awards</w:t>
            </w:r>
          </w:p>
        </w:tc>
        <w:tc>
          <w:tcPr>
            <w:tcW w:w="1240" w:type="dxa"/>
            <w:vAlign w:val="bottom"/>
            <w:tcBorders>
              <w:bottom w:val="single" w:sz="8" w:color="444867"/>
            </w:tcBorders>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Borders>
              <w:bottom w:val="single" w:sz="8" w:color="444867"/>
            </w:tcBorders>
          </w:tcPr>
          <w:p>
            <w:pPr>
              <w:spacing w:after="0"/>
              <w:rPr>
                <w:sz w:val="14"/>
                <w:szCs w:val="14"/>
                <w:color w:val="auto"/>
              </w:rPr>
            </w:pPr>
          </w:p>
        </w:tc>
        <w:tc>
          <w:tcPr>
            <w:tcW w:w="700" w:type="dxa"/>
            <w:vAlign w:val="bottom"/>
            <w:tcBorders>
              <w:bottom w:val="single" w:sz="8" w:color="444867"/>
            </w:tcBorders>
          </w:tcPr>
          <w:p>
            <w:pPr>
              <w:spacing w:after="0"/>
              <w:rPr>
                <w:sz w:val="14"/>
                <w:szCs w:val="14"/>
                <w:color w:val="auto"/>
              </w:rPr>
            </w:pPr>
          </w:p>
        </w:tc>
        <w:tc>
          <w:tcPr>
            <w:tcW w:w="100" w:type="dxa"/>
            <w:vAlign w:val="bottom"/>
            <w:tcBorders>
              <w:bottom w:val="single" w:sz="8" w:color="444867"/>
            </w:tcBorders>
          </w:tcPr>
          <w:p>
            <w:pPr>
              <w:spacing w:after="0"/>
              <w:rPr>
                <w:sz w:val="14"/>
                <w:szCs w:val="14"/>
                <w:color w:val="auto"/>
              </w:rPr>
            </w:pPr>
          </w:p>
        </w:tc>
        <w:tc>
          <w:tcPr>
            <w:tcW w:w="1900" w:type="dxa"/>
            <w:vAlign w:val="bottom"/>
            <w:tcBorders>
              <w:bottom w:val="single" w:sz="8" w:color="444867"/>
            </w:tcBorders>
            <w:gridSpan w:val="2"/>
          </w:tcPr>
          <w:p>
            <w:pPr>
              <w:jc w:val="right"/>
              <w:ind w:right="362"/>
              <w:spacing w:after="0"/>
              <w:rPr>
                <w:sz w:val="20"/>
                <w:szCs w:val="20"/>
                <w:color w:val="auto"/>
              </w:rPr>
            </w:pPr>
            <w:r>
              <w:rPr>
                <w:rFonts w:ascii="Arial" w:cs="Arial" w:eastAsia="Arial" w:hAnsi="Arial"/>
                <w:sz w:val="14"/>
                <w:szCs w:val="14"/>
                <w:b w:val="1"/>
                <w:bCs w:val="1"/>
                <w:color w:val="444867"/>
              </w:rPr>
              <w:t>Stock Awards</w:t>
            </w:r>
          </w:p>
        </w:tc>
        <w:tc>
          <w:tcPr>
            <w:tcW w:w="980" w:type="dxa"/>
            <w:vAlign w:val="bottom"/>
            <w:tcBorders>
              <w:bottom w:val="single" w:sz="8" w:color="444867"/>
            </w:tcBorders>
          </w:tcPr>
          <w:p>
            <w:pPr>
              <w:spacing w:after="0"/>
              <w:rPr>
                <w:sz w:val="14"/>
                <w:szCs w:val="14"/>
                <w:color w:val="auto"/>
              </w:rPr>
            </w:pPr>
          </w:p>
        </w:tc>
        <w:tc>
          <w:tcPr>
            <w:tcW w:w="0" w:type="dxa"/>
            <w:vAlign w:val="bottom"/>
          </w:tcPr>
          <w:p>
            <w:pPr>
              <w:spacing w:after="0"/>
              <w:rPr>
                <w:sz w:val="1"/>
                <w:szCs w:val="1"/>
                <w:color w:val="auto"/>
              </w:rPr>
            </w:pPr>
          </w:p>
        </w:tc>
      </w:tr>
      <w:tr>
        <w:trPr>
          <w:trHeight w:val="138"/>
        </w:trPr>
        <w:tc>
          <w:tcPr>
            <w:tcW w:w="5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80" w:type="dxa"/>
            <w:vAlign w:val="bottom"/>
            <w:tcBorders>
              <w:right w:val="single" w:sz="8" w:color="061844"/>
            </w:tcBorders>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spacing w:after="0" w:line="139" w:lineRule="exact"/>
              <w:rPr>
                <w:sz w:val="20"/>
                <w:szCs w:val="20"/>
                <w:color w:val="auto"/>
              </w:rPr>
            </w:pPr>
            <w:r>
              <w:rPr>
                <w:rFonts w:ascii="Arial" w:cs="Arial" w:eastAsia="Arial" w:hAnsi="Arial"/>
                <w:sz w:val="14"/>
                <w:szCs w:val="14"/>
                <w:b w:val="1"/>
                <w:bCs w:val="1"/>
                <w:color w:val="444867"/>
              </w:rPr>
              <w:t>Number of</w:t>
            </w:r>
          </w:p>
        </w:tc>
        <w:tc>
          <w:tcPr>
            <w:tcW w:w="1100" w:type="dxa"/>
            <w:vAlign w:val="bottom"/>
          </w:tcPr>
          <w:p>
            <w:pPr>
              <w:jc w:val="right"/>
              <w:ind w:right="142"/>
              <w:spacing w:after="0" w:line="139" w:lineRule="exact"/>
              <w:rPr>
                <w:sz w:val="20"/>
                <w:szCs w:val="20"/>
                <w:color w:val="auto"/>
              </w:rPr>
            </w:pPr>
            <w:r>
              <w:rPr>
                <w:rFonts w:ascii="Arial" w:cs="Arial" w:eastAsia="Arial" w:hAnsi="Arial"/>
                <w:sz w:val="14"/>
                <w:szCs w:val="14"/>
                <w:b w:val="1"/>
                <w:bCs w:val="1"/>
                <w:color w:val="444867"/>
              </w:rPr>
              <w:t>Number of</w:t>
            </w:r>
          </w:p>
        </w:tc>
        <w:tc>
          <w:tcPr>
            <w:tcW w:w="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ind w:right="250"/>
              <w:spacing w:after="0" w:line="157" w:lineRule="exact"/>
              <w:rPr>
                <w:sz w:val="20"/>
                <w:szCs w:val="20"/>
                <w:color w:val="auto"/>
              </w:rPr>
            </w:pPr>
            <w:r>
              <w:rPr>
                <w:rFonts w:ascii="Arial" w:cs="Arial" w:eastAsia="Arial" w:hAnsi="Arial"/>
                <w:sz w:val="14"/>
                <w:szCs w:val="14"/>
                <w:b w:val="1"/>
                <w:bCs w:val="1"/>
                <w:color w:val="444867"/>
              </w:rPr>
              <w:t>Number of</w:t>
            </w:r>
          </w:p>
        </w:tc>
        <w:tc>
          <w:tcPr>
            <w:tcW w:w="3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80" w:type="dxa"/>
            <w:vAlign w:val="bottom"/>
            <w:tcBorders>
              <w:right w:val="single" w:sz="8" w:color="061844"/>
            </w:tcBorders>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Shares of</w:t>
            </w:r>
          </w:p>
        </w:tc>
        <w:tc>
          <w:tcPr>
            <w:tcW w:w="1100" w:type="dxa"/>
            <w:vAlign w:val="bottom"/>
          </w:tcPr>
          <w:p>
            <w:pPr>
              <w:jc w:val="right"/>
              <w:ind w:right="142"/>
              <w:spacing w:after="0" w:line="157" w:lineRule="exact"/>
              <w:rPr>
                <w:sz w:val="20"/>
                <w:szCs w:val="20"/>
                <w:color w:val="auto"/>
              </w:rPr>
            </w:pPr>
            <w:r>
              <w:rPr>
                <w:rFonts w:ascii="Arial" w:cs="Arial" w:eastAsia="Arial" w:hAnsi="Arial"/>
                <w:sz w:val="14"/>
                <w:szCs w:val="14"/>
                <w:b w:val="1"/>
                <w:bCs w:val="1"/>
                <w:color w:val="444867"/>
              </w:rPr>
              <w:t>Shares of</w:t>
            </w:r>
          </w:p>
        </w:tc>
        <w:tc>
          <w:tcPr>
            <w:tcW w:w="98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Number of</w:t>
            </w: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60" w:type="dxa"/>
            <w:vAlign w:val="bottom"/>
            <w:gridSpan w:val="2"/>
          </w:tcPr>
          <w:p>
            <w:pPr>
              <w:jc w:val="right"/>
              <w:ind w:right="250"/>
              <w:spacing w:after="0" w:line="157" w:lineRule="exact"/>
              <w:rPr>
                <w:sz w:val="20"/>
                <w:szCs w:val="20"/>
                <w:color w:val="auto"/>
              </w:rPr>
            </w:pPr>
            <w:r>
              <w:rPr>
                <w:rFonts w:ascii="Arial" w:cs="Arial" w:eastAsia="Arial" w:hAnsi="Arial"/>
                <w:sz w:val="14"/>
                <w:szCs w:val="14"/>
                <w:b w:val="1"/>
                <w:bCs w:val="1"/>
                <w:color w:val="444867"/>
                <w:w w:val="98"/>
              </w:rPr>
              <w:t>Unexercised</w:t>
            </w:r>
          </w:p>
        </w:tc>
        <w:tc>
          <w:tcPr>
            <w:tcW w:w="360" w:type="dxa"/>
            <w:vAlign w:val="bottom"/>
          </w:tcPr>
          <w:p>
            <w:pPr>
              <w:spacing w:after="0"/>
              <w:rPr>
                <w:sz w:val="13"/>
                <w:szCs w:val="13"/>
                <w:color w:val="auto"/>
              </w:rPr>
            </w:pPr>
          </w:p>
        </w:tc>
        <w:tc>
          <w:tcPr>
            <w:tcW w:w="1200" w:type="dxa"/>
            <w:vAlign w:val="bottom"/>
          </w:tcPr>
          <w:p>
            <w:pPr>
              <w:jc w:val="right"/>
              <w:ind w:right="250"/>
              <w:spacing w:after="0" w:line="157" w:lineRule="exact"/>
              <w:rPr>
                <w:sz w:val="20"/>
                <w:szCs w:val="20"/>
                <w:color w:val="auto"/>
              </w:rPr>
            </w:pPr>
            <w:r>
              <w:rPr>
                <w:rFonts w:ascii="Arial" w:cs="Arial" w:eastAsia="Arial" w:hAnsi="Arial"/>
                <w:sz w:val="14"/>
                <w:szCs w:val="14"/>
                <w:b w:val="1"/>
                <w:bCs w:val="1"/>
                <w:color w:val="444867"/>
              </w:rPr>
              <w:t>Number of</w:t>
            </w:r>
          </w:p>
        </w:tc>
        <w:tc>
          <w:tcPr>
            <w:tcW w:w="1560" w:type="dxa"/>
            <w:vAlign w:val="bottom"/>
          </w:tcPr>
          <w:p>
            <w:pPr>
              <w:jc w:val="right"/>
              <w:ind w:right="250"/>
              <w:spacing w:after="0" w:line="157" w:lineRule="exact"/>
              <w:rPr>
                <w:sz w:val="20"/>
                <w:szCs w:val="20"/>
                <w:color w:val="auto"/>
              </w:rPr>
            </w:pPr>
            <w:r>
              <w:rPr>
                <w:rFonts w:ascii="Arial" w:cs="Arial" w:eastAsia="Arial" w:hAnsi="Arial"/>
                <w:sz w:val="14"/>
                <w:szCs w:val="14"/>
                <w:b w:val="1"/>
                <w:bCs w:val="1"/>
                <w:color w:val="444867"/>
              </w:rPr>
              <w:t>Number of</w:t>
            </w:r>
          </w:p>
        </w:tc>
        <w:tc>
          <w:tcPr>
            <w:tcW w:w="1420" w:type="dxa"/>
            <w:vAlign w:val="bottom"/>
            <w:tcBorders>
              <w:right w:val="single" w:sz="8" w:color="061844"/>
            </w:tcBorders>
            <w:gridSpan w:val="2"/>
          </w:tcPr>
          <w:p>
            <w:pPr>
              <w:jc w:val="right"/>
              <w:ind w:right="180"/>
              <w:spacing w:after="0" w:line="157" w:lineRule="exact"/>
              <w:rPr>
                <w:sz w:val="20"/>
                <w:szCs w:val="20"/>
                <w:color w:val="auto"/>
              </w:rPr>
            </w:pPr>
            <w:r>
              <w:rPr>
                <w:rFonts w:ascii="Arial" w:cs="Arial" w:eastAsia="Arial" w:hAnsi="Arial"/>
                <w:sz w:val="14"/>
                <w:szCs w:val="14"/>
                <w:b w:val="1"/>
                <w:bCs w:val="1"/>
                <w:color w:val="444867"/>
              </w:rPr>
              <w:t>Number of</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Restricted</w:t>
            </w:r>
          </w:p>
        </w:tc>
        <w:tc>
          <w:tcPr>
            <w:tcW w:w="1100" w:type="dxa"/>
            <w:vAlign w:val="bottom"/>
          </w:tcPr>
          <w:p>
            <w:pPr>
              <w:jc w:val="right"/>
              <w:ind w:right="142"/>
              <w:spacing w:after="0" w:line="157" w:lineRule="exact"/>
              <w:rPr>
                <w:sz w:val="20"/>
                <w:szCs w:val="20"/>
                <w:color w:val="auto"/>
              </w:rPr>
            </w:pPr>
            <w:r>
              <w:rPr>
                <w:rFonts w:ascii="Arial" w:cs="Arial" w:eastAsia="Arial" w:hAnsi="Arial"/>
                <w:sz w:val="14"/>
                <w:szCs w:val="14"/>
                <w:b w:val="1"/>
                <w:bCs w:val="1"/>
                <w:color w:val="444867"/>
              </w:rPr>
              <w:t>Restricted</w:t>
            </w:r>
          </w:p>
        </w:tc>
        <w:tc>
          <w:tcPr>
            <w:tcW w:w="98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Shares of</w:t>
            </w: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ind w:right="250"/>
              <w:spacing w:after="0" w:line="157" w:lineRule="exact"/>
              <w:rPr>
                <w:sz w:val="20"/>
                <w:szCs w:val="20"/>
                <w:color w:val="auto"/>
              </w:rPr>
            </w:pPr>
            <w:r>
              <w:rPr>
                <w:rFonts w:ascii="Arial" w:cs="Arial" w:eastAsia="Arial" w:hAnsi="Arial"/>
                <w:sz w:val="14"/>
                <w:szCs w:val="14"/>
                <w:b w:val="1"/>
                <w:bCs w:val="1"/>
                <w:color w:val="444867"/>
              </w:rPr>
              <w:t>Shares</w:t>
            </w:r>
          </w:p>
        </w:tc>
        <w:tc>
          <w:tcPr>
            <w:tcW w:w="360" w:type="dxa"/>
            <w:vAlign w:val="bottom"/>
          </w:tcPr>
          <w:p>
            <w:pPr>
              <w:spacing w:after="0"/>
              <w:rPr>
                <w:sz w:val="13"/>
                <w:szCs w:val="13"/>
                <w:color w:val="auto"/>
              </w:rPr>
            </w:pPr>
          </w:p>
        </w:tc>
        <w:tc>
          <w:tcPr>
            <w:tcW w:w="1200" w:type="dxa"/>
            <w:vAlign w:val="bottom"/>
          </w:tcPr>
          <w:p>
            <w:pPr>
              <w:jc w:val="right"/>
              <w:ind w:right="250"/>
              <w:spacing w:after="0" w:line="157" w:lineRule="exact"/>
              <w:rPr>
                <w:sz w:val="20"/>
                <w:szCs w:val="20"/>
                <w:color w:val="auto"/>
              </w:rPr>
            </w:pPr>
            <w:r>
              <w:rPr>
                <w:rFonts w:ascii="Arial" w:cs="Arial" w:eastAsia="Arial" w:hAnsi="Arial"/>
                <w:sz w:val="14"/>
                <w:szCs w:val="14"/>
                <w:b w:val="1"/>
                <w:bCs w:val="1"/>
                <w:color w:val="444867"/>
              </w:rPr>
              <w:t>Option</w:t>
            </w:r>
          </w:p>
        </w:tc>
        <w:tc>
          <w:tcPr>
            <w:tcW w:w="1560" w:type="dxa"/>
            <w:vAlign w:val="bottom"/>
          </w:tcPr>
          <w:p>
            <w:pPr>
              <w:jc w:val="right"/>
              <w:ind w:right="250"/>
              <w:spacing w:after="0" w:line="157" w:lineRule="exact"/>
              <w:rPr>
                <w:sz w:val="20"/>
                <w:szCs w:val="20"/>
                <w:color w:val="auto"/>
              </w:rPr>
            </w:pPr>
            <w:r>
              <w:rPr>
                <w:rFonts w:ascii="Arial" w:cs="Arial" w:eastAsia="Arial" w:hAnsi="Arial"/>
                <w:sz w:val="14"/>
                <w:szCs w:val="14"/>
                <w:b w:val="1"/>
                <w:bCs w:val="1"/>
                <w:color w:val="444867"/>
              </w:rPr>
              <w:t>Option</w:t>
            </w:r>
          </w:p>
        </w:tc>
        <w:tc>
          <w:tcPr>
            <w:tcW w:w="1420" w:type="dxa"/>
            <w:vAlign w:val="bottom"/>
            <w:tcBorders>
              <w:right w:val="single" w:sz="8" w:color="061844"/>
            </w:tcBorders>
            <w:gridSpan w:val="2"/>
          </w:tcPr>
          <w:p>
            <w:pPr>
              <w:jc w:val="right"/>
              <w:ind w:right="180"/>
              <w:spacing w:after="0" w:line="157" w:lineRule="exact"/>
              <w:rPr>
                <w:sz w:val="20"/>
                <w:szCs w:val="20"/>
                <w:color w:val="auto"/>
              </w:rPr>
            </w:pPr>
            <w:r>
              <w:rPr>
                <w:rFonts w:ascii="Arial" w:cs="Arial" w:eastAsia="Arial" w:hAnsi="Arial"/>
                <w:sz w:val="14"/>
                <w:szCs w:val="14"/>
                <w:b w:val="1"/>
                <w:bCs w:val="1"/>
                <w:color w:val="444867"/>
              </w:rPr>
              <w:t>Option</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Stock</w:t>
            </w:r>
          </w:p>
        </w:tc>
        <w:tc>
          <w:tcPr>
            <w:tcW w:w="1100" w:type="dxa"/>
            <w:vAlign w:val="bottom"/>
          </w:tcPr>
          <w:p>
            <w:pPr>
              <w:jc w:val="right"/>
              <w:ind w:right="142"/>
              <w:spacing w:after="0" w:line="157" w:lineRule="exact"/>
              <w:rPr>
                <w:sz w:val="20"/>
                <w:szCs w:val="20"/>
                <w:color w:val="auto"/>
              </w:rPr>
            </w:pPr>
            <w:r>
              <w:rPr>
                <w:rFonts w:ascii="Arial" w:cs="Arial" w:eastAsia="Arial" w:hAnsi="Arial"/>
                <w:sz w:val="14"/>
                <w:szCs w:val="14"/>
                <w:b w:val="1"/>
                <w:bCs w:val="1"/>
                <w:color w:val="444867"/>
              </w:rPr>
              <w:t>Stock</w:t>
            </w:r>
          </w:p>
        </w:tc>
        <w:tc>
          <w:tcPr>
            <w:tcW w:w="98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Restricted</w:t>
            </w: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ind w:right="250"/>
              <w:spacing w:after="0" w:line="157" w:lineRule="exact"/>
              <w:rPr>
                <w:sz w:val="20"/>
                <w:szCs w:val="20"/>
                <w:color w:val="auto"/>
              </w:rPr>
            </w:pPr>
            <w:r>
              <w:rPr>
                <w:rFonts w:ascii="Arial" w:cs="Arial" w:eastAsia="Arial" w:hAnsi="Arial"/>
                <w:sz w:val="14"/>
                <w:szCs w:val="14"/>
                <w:b w:val="1"/>
                <w:bCs w:val="1"/>
                <w:color w:val="444867"/>
              </w:rPr>
              <w:t>Remaining</w:t>
            </w:r>
          </w:p>
        </w:tc>
        <w:tc>
          <w:tcPr>
            <w:tcW w:w="360" w:type="dxa"/>
            <w:vAlign w:val="bottom"/>
          </w:tcPr>
          <w:p>
            <w:pPr>
              <w:spacing w:after="0"/>
              <w:rPr>
                <w:sz w:val="13"/>
                <w:szCs w:val="13"/>
                <w:color w:val="auto"/>
              </w:rPr>
            </w:pPr>
          </w:p>
        </w:tc>
        <w:tc>
          <w:tcPr>
            <w:tcW w:w="1200" w:type="dxa"/>
            <w:vAlign w:val="bottom"/>
          </w:tcPr>
          <w:p>
            <w:pPr>
              <w:jc w:val="right"/>
              <w:ind w:right="250"/>
              <w:spacing w:after="0" w:line="157" w:lineRule="exact"/>
              <w:rPr>
                <w:sz w:val="20"/>
                <w:szCs w:val="20"/>
                <w:color w:val="auto"/>
              </w:rPr>
            </w:pPr>
            <w:r>
              <w:rPr>
                <w:rFonts w:ascii="Arial" w:cs="Arial" w:eastAsia="Arial" w:hAnsi="Arial"/>
                <w:sz w:val="14"/>
                <w:szCs w:val="14"/>
                <w:b w:val="1"/>
                <w:bCs w:val="1"/>
                <w:color w:val="444867"/>
              </w:rPr>
              <w:t>Shares</w:t>
            </w:r>
          </w:p>
        </w:tc>
        <w:tc>
          <w:tcPr>
            <w:tcW w:w="1560" w:type="dxa"/>
            <w:vAlign w:val="bottom"/>
          </w:tcPr>
          <w:p>
            <w:pPr>
              <w:jc w:val="right"/>
              <w:ind w:right="250"/>
              <w:spacing w:after="0" w:line="157" w:lineRule="exact"/>
              <w:rPr>
                <w:sz w:val="20"/>
                <w:szCs w:val="20"/>
                <w:color w:val="auto"/>
              </w:rPr>
            </w:pPr>
            <w:r>
              <w:rPr>
                <w:rFonts w:ascii="Arial" w:cs="Arial" w:eastAsia="Arial" w:hAnsi="Arial"/>
                <w:sz w:val="14"/>
                <w:szCs w:val="14"/>
                <w:b w:val="1"/>
                <w:bCs w:val="1"/>
                <w:color w:val="444867"/>
              </w:rPr>
              <w:t>Shares</w:t>
            </w:r>
          </w:p>
        </w:tc>
        <w:tc>
          <w:tcPr>
            <w:tcW w:w="1420" w:type="dxa"/>
            <w:vAlign w:val="bottom"/>
            <w:tcBorders>
              <w:right w:val="single" w:sz="8" w:color="061844"/>
            </w:tcBorders>
            <w:gridSpan w:val="2"/>
          </w:tcPr>
          <w:p>
            <w:pPr>
              <w:jc w:val="right"/>
              <w:ind w:right="180"/>
              <w:spacing w:after="0" w:line="157" w:lineRule="exact"/>
              <w:rPr>
                <w:sz w:val="20"/>
                <w:szCs w:val="20"/>
                <w:color w:val="auto"/>
              </w:rPr>
            </w:pPr>
            <w:r>
              <w:rPr>
                <w:rFonts w:ascii="Arial" w:cs="Arial" w:eastAsia="Arial" w:hAnsi="Arial"/>
                <w:sz w:val="14"/>
                <w:szCs w:val="14"/>
                <w:b w:val="1"/>
                <w:bCs w:val="1"/>
                <w:color w:val="444867"/>
              </w:rPr>
              <w:t>Shares</w:t>
            </w:r>
          </w:p>
        </w:tc>
        <w:tc>
          <w:tcPr>
            <w:tcW w:w="300" w:type="dxa"/>
            <w:vAlign w:val="bottom"/>
          </w:tcPr>
          <w:p>
            <w:pPr>
              <w:spacing w:after="0"/>
              <w:rPr>
                <w:sz w:val="13"/>
                <w:szCs w:val="13"/>
                <w:color w:val="auto"/>
              </w:rPr>
            </w:pPr>
          </w:p>
        </w:tc>
        <w:tc>
          <w:tcPr>
            <w:tcW w:w="840" w:type="dxa"/>
            <w:vAlign w:val="bottom"/>
            <w:gridSpan w:val="3"/>
          </w:tcPr>
          <w:p>
            <w:pPr>
              <w:jc w:val="right"/>
              <w:ind w:right="100"/>
              <w:spacing w:after="0" w:line="157" w:lineRule="exact"/>
              <w:rPr>
                <w:sz w:val="20"/>
                <w:szCs w:val="20"/>
                <w:color w:val="auto"/>
              </w:rPr>
            </w:pPr>
            <w:r>
              <w:rPr>
                <w:rFonts w:ascii="Arial" w:cs="Arial" w:eastAsia="Arial" w:hAnsi="Arial"/>
                <w:sz w:val="14"/>
                <w:szCs w:val="14"/>
                <w:b w:val="1"/>
                <w:bCs w:val="1"/>
                <w:color w:val="444867"/>
              </w:rPr>
              <w:t>Number of</w:t>
            </w: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Vesting—</w:t>
            </w:r>
          </w:p>
        </w:tc>
        <w:tc>
          <w:tcPr>
            <w:tcW w:w="1100" w:type="dxa"/>
            <w:vAlign w:val="bottom"/>
          </w:tcPr>
          <w:p>
            <w:pPr>
              <w:jc w:val="right"/>
              <w:ind w:right="142"/>
              <w:spacing w:after="0" w:line="157" w:lineRule="exact"/>
              <w:rPr>
                <w:sz w:val="20"/>
                <w:szCs w:val="20"/>
                <w:color w:val="auto"/>
              </w:rPr>
            </w:pPr>
            <w:r>
              <w:rPr>
                <w:rFonts w:ascii="Arial" w:cs="Arial" w:eastAsia="Arial" w:hAnsi="Arial"/>
                <w:sz w:val="14"/>
                <w:szCs w:val="14"/>
                <w:b w:val="1"/>
                <w:bCs w:val="1"/>
                <w:color w:val="444867"/>
              </w:rPr>
              <w:t>Vesting—</w:t>
            </w:r>
          </w:p>
        </w:tc>
        <w:tc>
          <w:tcPr>
            <w:tcW w:w="98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Stock</w:t>
            </w: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ind w:right="250"/>
              <w:spacing w:after="0" w:line="157" w:lineRule="exact"/>
              <w:rPr>
                <w:sz w:val="20"/>
                <w:szCs w:val="20"/>
                <w:color w:val="auto"/>
              </w:rPr>
            </w:pPr>
            <w:r>
              <w:rPr>
                <w:rFonts w:ascii="Arial" w:cs="Arial" w:eastAsia="Arial" w:hAnsi="Arial"/>
                <w:sz w:val="14"/>
                <w:szCs w:val="14"/>
                <w:b w:val="1"/>
                <w:bCs w:val="1"/>
                <w:color w:val="444867"/>
              </w:rPr>
              <w:t>from</w:t>
            </w:r>
          </w:p>
        </w:tc>
        <w:tc>
          <w:tcPr>
            <w:tcW w:w="360" w:type="dxa"/>
            <w:vAlign w:val="bottom"/>
          </w:tcPr>
          <w:p>
            <w:pPr>
              <w:spacing w:after="0"/>
              <w:rPr>
                <w:sz w:val="13"/>
                <w:szCs w:val="13"/>
                <w:color w:val="auto"/>
              </w:rPr>
            </w:pPr>
          </w:p>
        </w:tc>
        <w:tc>
          <w:tcPr>
            <w:tcW w:w="1200" w:type="dxa"/>
            <w:vAlign w:val="bottom"/>
          </w:tcPr>
          <w:p>
            <w:pPr>
              <w:jc w:val="right"/>
              <w:ind w:right="250"/>
              <w:spacing w:after="0" w:line="157" w:lineRule="exact"/>
              <w:rPr>
                <w:sz w:val="20"/>
                <w:szCs w:val="20"/>
                <w:color w:val="auto"/>
              </w:rPr>
            </w:pPr>
            <w:r>
              <w:rPr>
                <w:rFonts w:ascii="Arial" w:cs="Arial" w:eastAsia="Arial" w:hAnsi="Arial"/>
                <w:sz w:val="14"/>
                <w:szCs w:val="14"/>
                <w:b w:val="1"/>
                <w:bCs w:val="1"/>
                <w:color w:val="444867"/>
              </w:rPr>
              <w:t>Vesting—</w:t>
            </w:r>
          </w:p>
        </w:tc>
        <w:tc>
          <w:tcPr>
            <w:tcW w:w="1560" w:type="dxa"/>
            <w:vAlign w:val="bottom"/>
          </w:tcPr>
          <w:p>
            <w:pPr>
              <w:jc w:val="right"/>
              <w:ind w:right="250"/>
              <w:spacing w:after="0" w:line="157" w:lineRule="exact"/>
              <w:rPr>
                <w:sz w:val="20"/>
                <w:szCs w:val="20"/>
                <w:color w:val="auto"/>
              </w:rPr>
            </w:pPr>
            <w:r>
              <w:rPr>
                <w:rFonts w:ascii="Arial" w:cs="Arial" w:eastAsia="Arial" w:hAnsi="Arial"/>
                <w:sz w:val="14"/>
                <w:szCs w:val="14"/>
                <w:b w:val="1"/>
                <w:bCs w:val="1"/>
                <w:color w:val="444867"/>
              </w:rPr>
              <w:t>Vesting—</w:t>
            </w:r>
          </w:p>
        </w:tc>
        <w:tc>
          <w:tcPr>
            <w:tcW w:w="1420" w:type="dxa"/>
            <w:vAlign w:val="bottom"/>
            <w:tcBorders>
              <w:right w:val="single" w:sz="8" w:color="061844"/>
            </w:tcBorders>
            <w:gridSpan w:val="2"/>
          </w:tcPr>
          <w:p>
            <w:pPr>
              <w:jc w:val="right"/>
              <w:ind w:right="180"/>
              <w:spacing w:after="0" w:line="157" w:lineRule="exact"/>
              <w:rPr>
                <w:sz w:val="20"/>
                <w:szCs w:val="20"/>
                <w:color w:val="auto"/>
              </w:rPr>
            </w:pPr>
            <w:r>
              <w:rPr>
                <w:rFonts w:ascii="Arial" w:cs="Arial" w:eastAsia="Arial" w:hAnsi="Arial"/>
                <w:sz w:val="14"/>
                <w:szCs w:val="14"/>
                <w:b w:val="1"/>
                <w:bCs w:val="1"/>
                <w:color w:val="444867"/>
              </w:rPr>
              <w:t>Vesting—</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ind w:right="100"/>
              <w:spacing w:after="0" w:line="157" w:lineRule="exact"/>
              <w:rPr>
                <w:sz w:val="20"/>
                <w:szCs w:val="20"/>
                <w:color w:val="auto"/>
              </w:rPr>
            </w:pPr>
            <w:r>
              <w:rPr>
                <w:rFonts w:ascii="Arial" w:cs="Arial" w:eastAsia="Arial" w:hAnsi="Arial"/>
                <w:sz w:val="14"/>
                <w:szCs w:val="14"/>
                <w:b w:val="1"/>
                <w:bCs w:val="1"/>
                <w:color w:val="444867"/>
              </w:rPr>
              <w:t>Shares of</w:t>
            </w: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Date</w:t>
            </w:r>
          </w:p>
        </w:tc>
        <w:tc>
          <w:tcPr>
            <w:tcW w:w="1100" w:type="dxa"/>
            <w:vAlign w:val="bottom"/>
          </w:tcPr>
          <w:p>
            <w:pPr>
              <w:jc w:val="right"/>
              <w:ind w:right="142"/>
              <w:spacing w:after="0" w:line="157" w:lineRule="exact"/>
              <w:rPr>
                <w:sz w:val="20"/>
                <w:szCs w:val="20"/>
                <w:color w:val="auto"/>
              </w:rPr>
            </w:pPr>
            <w:r>
              <w:rPr>
                <w:rFonts w:ascii="Arial" w:cs="Arial" w:eastAsia="Arial" w:hAnsi="Arial"/>
                <w:sz w:val="14"/>
                <w:szCs w:val="14"/>
                <w:b w:val="1"/>
                <w:bCs w:val="1"/>
                <w:color w:val="444867"/>
              </w:rPr>
              <w:t>Date</w:t>
            </w:r>
          </w:p>
        </w:tc>
        <w:tc>
          <w:tcPr>
            <w:tcW w:w="98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Vesting—</w:t>
            </w:r>
          </w:p>
        </w:tc>
        <w:tc>
          <w:tcPr>
            <w:tcW w:w="0" w:type="dxa"/>
            <w:vAlign w:val="bottom"/>
          </w:tcPr>
          <w:p>
            <w:pPr>
              <w:spacing w:after="0"/>
              <w:rPr>
                <w:sz w:val="1"/>
                <w:szCs w:val="1"/>
                <w:color w:val="auto"/>
              </w:rPr>
            </w:pPr>
          </w:p>
        </w:tc>
      </w:tr>
      <w:tr>
        <w:trPr>
          <w:trHeight w:val="157"/>
        </w:trPr>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00" w:type="dxa"/>
            <w:vAlign w:val="bottom"/>
          </w:tcPr>
          <w:p>
            <w:pPr>
              <w:jc w:val="right"/>
              <w:ind w:right="250"/>
              <w:spacing w:after="0" w:line="157" w:lineRule="exact"/>
              <w:rPr>
                <w:sz w:val="20"/>
                <w:szCs w:val="20"/>
                <w:color w:val="auto"/>
              </w:rPr>
            </w:pPr>
            <w:r>
              <w:rPr>
                <w:rFonts w:ascii="Arial" w:cs="Arial" w:eastAsia="Arial" w:hAnsi="Arial"/>
                <w:sz w:val="14"/>
                <w:szCs w:val="14"/>
                <w:b w:val="1"/>
                <w:bCs w:val="1"/>
                <w:color w:val="444867"/>
              </w:rPr>
              <w:t>Original</w:t>
            </w:r>
          </w:p>
        </w:tc>
        <w:tc>
          <w:tcPr>
            <w:tcW w:w="360" w:type="dxa"/>
            <w:vAlign w:val="bottom"/>
          </w:tcPr>
          <w:p>
            <w:pPr>
              <w:spacing w:after="0"/>
              <w:rPr>
                <w:sz w:val="13"/>
                <w:szCs w:val="13"/>
                <w:color w:val="auto"/>
              </w:rPr>
            </w:pPr>
          </w:p>
        </w:tc>
        <w:tc>
          <w:tcPr>
            <w:tcW w:w="1200" w:type="dxa"/>
            <w:vAlign w:val="bottom"/>
          </w:tcPr>
          <w:p>
            <w:pPr>
              <w:jc w:val="right"/>
              <w:ind w:right="250"/>
              <w:spacing w:after="0" w:line="157" w:lineRule="exact"/>
              <w:rPr>
                <w:sz w:val="20"/>
                <w:szCs w:val="20"/>
                <w:color w:val="auto"/>
              </w:rPr>
            </w:pPr>
            <w:r>
              <w:rPr>
                <w:rFonts w:ascii="Arial" w:cs="Arial" w:eastAsia="Arial" w:hAnsi="Arial"/>
                <w:sz w:val="14"/>
                <w:szCs w:val="14"/>
                <w:b w:val="1"/>
                <w:bCs w:val="1"/>
                <w:color w:val="444867"/>
              </w:rPr>
              <w:t>Date</w:t>
            </w:r>
          </w:p>
        </w:tc>
        <w:tc>
          <w:tcPr>
            <w:tcW w:w="1560" w:type="dxa"/>
            <w:vAlign w:val="bottom"/>
          </w:tcPr>
          <w:p>
            <w:pPr>
              <w:jc w:val="right"/>
              <w:ind w:right="250"/>
              <w:spacing w:after="0" w:line="157" w:lineRule="exact"/>
              <w:rPr>
                <w:sz w:val="20"/>
                <w:szCs w:val="20"/>
                <w:color w:val="auto"/>
              </w:rPr>
            </w:pPr>
            <w:r>
              <w:rPr>
                <w:rFonts w:ascii="Arial" w:cs="Arial" w:eastAsia="Arial" w:hAnsi="Arial"/>
                <w:sz w:val="14"/>
                <w:szCs w:val="14"/>
                <w:b w:val="1"/>
                <w:bCs w:val="1"/>
                <w:color w:val="444867"/>
              </w:rPr>
              <w:t>Date</w:t>
            </w:r>
          </w:p>
        </w:tc>
        <w:tc>
          <w:tcPr>
            <w:tcW w:w="1420" w:type="dxa"/>
            <w:vAlign w:val="bottom"/>
            <w:tcBorders>
              <w:right w:val="single" w:sz="8" w:color="061844"/>
            </w:tcBorders>
            <w:gridSpan w:val="2"/>
          </w:tcPr>
          <w:p>
            <w:pPr>
              <w:jc w:val="right"/>
              <w:ind w:right="180"/>
              <w:spacing w:after="0" w:line="157" w:lineRule="exact"/>
              <w:rPr>
                <w:sz w:val="20"/>
                <w:szCs w:val="20"/>
                <w:color w:val="auto"/>
              </w:rPr>
            </w:pPr>
            <w:r>
              <w:rPr>
                <w:rFonts w:ascii="Arial" w:cs="Arial" w:eastAsia="Arial" w:hAnsi="Arial"/>
                <w:sz w:val="14"/>
                <w:szCs w:val="14"/>
                <w:b w:val="1"/>
                <w:bCs w:val="1"/>
                <w:color w:val="444867"/>
              </w:rPr>
              <w:t>Date</w:t>
            </w: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jc w:val="right"/>
              <w:ind w:right="100"/>
              <w:spacing w:after="0" w:line="157" w:lineRule="exact"/>
              <w:rPr>
                <w:sz w:val="20"/>
                <w:szCs w:val="20"/>
                <w:color w:val="auto"/>
              </w:rPr>
            </w:pPr>
            <w:r>
              <w:rPr>
                <w:rFonts w:ascii="Arial" w:cs="Arial" w:eastAsia="Arial" w:hAnsi="Arial"/>
                <w:sz w:val="14"/>
                <w:szCs w:val="14"/>
                <w:b w:val="1"/>
                <w:bCs w:val="1"/>
                <w:color w:val="444867"/>
                <w:w w:val="99"/>
              </w:rPr>
              <w:t>Restricted</w:t>
            </w:r>
          </w:p>
        </w:tc>
        <w:tc>
          <w:tcPr>
            <w:tcW w:w="80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Vested</w:t>
            </w:r>
          </w:p>
        </w:tc>
        <w:tc>
          <w:tcPr>
            <w:tcW w:w="1100" w:type="dxa"/>
            <w:vAlign w:val="bottom"/>
          </w:tcPr>
          <w:p>
            <w:pPr>
              <w:jc w:val="right"/>
              <w:ind w:right="142"/>
              <w:spacing w:after="0" w:line="157" w:lineRule="exact"/>
              <w:rPr>
                <w:sz w:val="20"/>
                <w:szCs w:val="20"/>
                <w:color w:val="auto"/>
              </w:rPr>
            </w:pPr>
            <w:r>
              <w:rPr>
                <w:rFonts w:ascii="Arial" w:cs="Arial" w:eastAsia="Arial" w:hAnsi="Arial"/>
                <w:sz w:val="14"/>
                <w:szCs w:val="14"/>
                <w:b w:val="1"/>
                <w:bCs w:val="1"/>
                <w:color w:val="444867"/>
              </w:rPr>
              <w:t>Vested</w:t>
            </w:r>
          </w:p>
        </w:tc>
        <w:tc>
          <w:tcPr>
            <w:tcW w:w="980" w:type="dxa"/>
            <w:vAlign w:val="bottom"/>
          </w:tcPr>
          <w:p>
            <w:pPr>
              <w:jc w:val="right"/>
              <w:spacing w:after="0" w:line="157" w:lineRule="exact"/>
              <w:rPr>
                <w:sz w:val="20"/>
                <w:szCs w:val="20"/>
                <w:color w:val="auto"/>
              </w:rPr>
            </w:pPr>
            <w:r>
              <w:rPr>
                <w:rFonts w:ascii="Arial" w:cs="Arial" w:eastAsia="Arial" w:hAnsi="Arial"/>
                <w:sz w:val="14"/>
                <w:szCs w:val="14"/>
                <w:b w:val="1"/>
                <w:bCs w:val="1"/>
                <w:color w:val="444867"/>
              </w:rPr>
              <w:t>Date</w:t>
            </w:r>
          </w:p>
        </w:tc>
        <w:tc>
          <w:tcPr>
            <w:tcW w:w="0" w:type="dxa"/>
            <w:vAlign w:val="bottom"/>
          </w:tcPr>
          <w:p>
            <w:pPr>
              <w:spacing w:after="0"/>
              <w:rPr>
                <w:sz w:val="1"/>
                <w:szCs w:val="1"/>
                <w:color w:val="auto"/>
              </w:rPr>
            </w:pPr>
          </w:p>
        </w:tc>
      </w:tr>
      <w:tr>
        <w:trPr>
          <w:trHeight w:val="168"/>
        </w:trPr>
        <w:tc>
          <w:tcPr>
            <w:tcW w:w="1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444867"/>
              </w:rPr>
              <w:t>Name</w:t>
            </w:r>
          </w:p>
        </w:tc>
        <w:tc>
          <w:tcPr>
            <w:tcW w:w="6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444867"/>
              </w:rPr>
              <w:t>Grant</w:t>
            </w:r>
          </w:p>
        </w:tc>
        <w:tc>
          <w:tcPr>
            <w:tcW w:w="3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444867"/>
              </w:rPr>
              <w:t>Vested 2016</w:t>
            </w:r>
          </w:p>
        </w:tc>
        <w:tc>
          <w:tcPr>
            <w:tcW w:w="1560" w:type="dxa"/>
            <w:vAlign w:val="bottom"/>
            <w:tcBorders>
              <w:bottom w:val="single" w:sz="8" w:color="auto"/>
            </w:tcBorders>
          </w:tcPr>
          <w:p>
            <w:pPr>
              <w:jc w:val="right"/>
              <w:ind w:right="250"/>
              <w:spacing w:after="0"/>
              <w:rPr>
                <w:sz w:val="20"/>
                <w:szCs w:val="20"/>
                <w:color w:val="auto"/>
              </w:rPr>
            </w:pPr>
            <w:r>
              <w:rPr>
                <w:rFonts w:ascii="Arial" w:cs="Arial" w:eastAsia="Arial" w:hAnsi="Arial"/>
                <w:sz w:val="14"/>
                <w:szCs w:val="14"/>
                <w:b w:val="1"/>
                <w:bCs w:val="1"/>
                <w:color w:val="444867"/>
              </w:rPr>
              <w:t>Vested 2017</w:t>
            </w:r>
          </w:p>
        </w:tc>
        <w:tc>
          <w:tcPr>
            <w:tcW w:w="1420" w:type="dxa"/>
            <w:vAlign w:val="bottom"/>
            <w:tcBorders>
              <w:bottom w:val="single" w:sz="8" w:color="auto"/>
              <w:right w:val="single" w:sz="8" w:color="061844"/>
            </w:tcBorders>
            <w:gridSpan w:val="2"/>
          </w:tcPr>
          <w:p>
            <w:pPr>
              <w:jc w:val="right"/>
              <w:ind w:right="180"/>
              <w:spacing w:after="0"/>
              <w:rPr>
                <w:sz w:val="20"/>
                <w:szCs w:val="20"/>
                <w:color w:val="auto"/>
              </w:rPr>
            </w:pPr>
            <w:r>
              <w:rPr>
                <w:rFonts w:ascii="Arial" w:cs="Arial" w:eastAsia="Arial" w:hAnsi="Arial"/>
                <w:sz w:val="14"/>
                <w:szCs w:val="14"/>
                <w:b w:val="1"/>
                <w:bCs w:val="1"/>
                <w:color w:val="444867"/>
              </w:rPr>
              <w:t>Vested 2018</w:t>
            </w:r>
          </w:p>
        </w:tc>
        <w:tc>
          <w:tcPr>
            <w:tcW w:w="30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444867"/>
              </w:rPr>
              <w:t>Stock</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44867"/>
              </w:rPr>
              <w:t>2016</w:t>
            </w:r>
          </w:p>
        </w:tc>
        <w:tc>
          <w:tcPr>
            <w:tcW w:w="1100" w:type="dxa"/>
            <w:vAlign w:val="bottom"/>
            <w:tcBorders>
              <w:bottom w:val="single" w:sz="8" w:color="auto"/>
            </w:tcBorders>
          </w:tcPr>
          <w:p>
            <w:pPr>
              <w:jc w:val="right"/>
              <w:ind w:right="142"/>
              <w:spacing w:after="0"/>
              <w:rPr>
                <w:sz w:val="20"/>
                <w:szCs w:val="20"/>
                <w:color w:val="auto"/>
              </w:rPr>
            </w:pPr>
            <w:r>
              <w:rPr>
                <w:rFonts w:ascii="Arial" w:cs="Arial" w:eastAsia="Arial" w:hAnsi="Arial"/>
                <w:sz w:val="14"/>
                <w:szCs w:val="14"/>
                <w:b w:val="1"/>
                <w:bCs w:val="1"/>
                <w:color w:val="444867"/>
              </w:rPr>
              <w:t>2017</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444867"/>
              </w:rPr>
              <w:t>Vested 2018</w:t>
            </w:r>
          </w:p>
        </w:tc>
        <w:tc>
          <w:tcPr>
            <w:tcW w:w="0" w:type="dxa"/>
            <w:vAlign w:val="bottom"/>
          </w:tcPr>
          <w:p>
            <w:pPr>
              <w:spacing w:after="0"/>
              <w:rPr>
                <w:sz w:val="1"/>
                <w:szCs w:val="1"/>
                <w:color w:val="auto"/>
              </w:rPr>
            </w:pPr>
          </w:p>
        </w:tc>
      </w:tr>
      <w:tr>
        <w:trPr>
          <w:trHeight w:val="118"/>
        </w:trPr>
        <w:tc>
          <w:tcPr>
            <w:tcW w:w="1380" w:type="dxa"/>
            <w:vAlign w:val="bottom"/>
            <w:gridSpan w:val="2"/>
            <w:vMerge w:val="restart"/>
            <w:shd w:val="clear" w:color="auto" w:fill="E7E7E8"/>
          </w:tcPr>
          <w:p>
            <w:pPr>
              <w:spacing w:after="0" w:line="150" w:lineRule="exact"/>
              <w:rPr>
                <w:sz w:val="20"/>
                <w:szCs w:val="20"/>
                <w:color w:val="auto"/>
              </w:rPr>
            </w:pPr>
            <w:r>
              <w:rPr>
                <w:rFonts w:ascii="Arial" w:cs="Arial" w:eastAsia="Arial" w:hAnsi="Arial"/>
                <w:sz w:val="14"/>
                <w:szCs w:val="14"/>
                <w:color w:val="auto"/>
              </w:rPr>
              <w:t>R. Gonzalez</w:t>
            </w:r>
          </w:p>
        </w:tc>
        <w:tc>
          <w:tcPr>
            <w:tcW w:w="160" w:type="dxa"/>
            <w:vAlign w:val="bottom"/>
            <w:shd w:val="clear" w:color="auto" w:fill="E7E7E8"/>
          </w:tcPr>
          <w:p>
            <w:pPr>
              <w:spacing w:after="0"/>
              <w:rPr>
                <w:sz w:val="10"/>
                <w:szCs w:val="10"/>
                <w:color w:val="auto"/>
              </w:rPr>
            </w:pPr>
          </w:p>
        </w:tc>
        <w:tc>
          <w:tcPr>
            <w:tcW w:w="1160" w:type="dxa"/>
            <w:vAlign w:val="bottom"/>
            <w:gridSpan w:val="2"/>
            <w:vMerge w:val="restart"/>
            <w:shd w:val="clear" w:color="auto" w:fill="E7E7E8"/>
          </w:tcPr>
          <w:p>
            <w:pPr>
              <w:jc w:val="right"/>
              <w:ind w:right="250"/>
              <w:spacing w:after="0" w:line="150" w:lineRule="exact"/>
              <w:rPr>
                <w:sz w:val="20"/>
                <w:szCs w:val="20"/>
                <w:color w:val="auto"/>
              </w:rPr>
            </w:pPr>
            <w:r>
              <w:rPr>
                <w:rFonts w:ascii="Arial" w:cs="Arial" w:eastAsia="Arial" w:hAnsi="Arial"/>
                <w:sz w:val="14"/>
                <w:szCs w:val="14"/>
                <w:color w:val="auto"/>
              </w:rPr>
              <w:t>175,477</w:t>
            </w:r>
          </w:p>
        </w:tc>
        <w:tc>
          <w:tcPr>
            <w:tcW w:w="1560" w:type="dxa"/>
            <w:vAlign w:val="bottom"/>
            <w:gridSpan w:val="2"/>
            <w:vMerge w:val="restart"/>
            <w:shd w:val="clear" w:color="auto" w:fill="E7E7E8"/>
          </w:tcPr>
          <w:p>
            <w:pPr>
              <w:jc w:val="right"/>
              <w:ind w:right="250"/>
              <w:spacing w:after="0" w:line="150" w:lineRule="exact"/>
              <w:rPr>
                <w:sz w:val="20"/>
                <w:szCs w:val="20"/>
                <w:color w:val="auto"/>
              </w:rPr>
            </w:pPr>
            <w:r>
              <w:rPr>
                <w:rFonts w:ascii="Arial" w:cs="Arial" w:eastAsia="Arial" w:hAnsi="Arial"/>
                <w:sz w:val="14"/>
                <w:szCs w:val="14"/>
                <w:color w:val="auto"/>
              </w:rPr>
              <w:t>175,477—2/14</w:t>
            </w:r>
          </w:p>
        </w:tc>
        <w:tc>
          <w:tcPr>
            <w:tcW w:w="1560" w:type="dxa"/>
            <w:vAlign w:val="bottom"/>
            <w:shd w:val="clear" w:color="auto" w:fill="E7E7E8"/>
          </w:tcPr>
          <w:p>
            <w:pPr>
              <w:spacing w:after="0"/>
              <w:rPr>
                <w:sz w:val="10"/>
                <w:szCs w:val="10"/>
                <w:color w:val="auto"/>
              </w:rPr>
            </w:pPr>
          </w:p>
        </w:tc>
        <w:tc>
          <w:tcPr>
            <w:tcW w:w="1240" w:type="dxa"/>
            <w:vAlign w:val="bottom"/>
            <w:shd w:val="clear" w:color="auto" w:fill="E7E7E8"/>
          </w:tcPr>
          <w:p>
            <w:pPr>
              <w:spacing w:after="0"/>
              <w:rPr>
                <w:sz w:val="10"/>
                <w:szCs w:val="10"/>
                <w:color w:val="auto"/>
              </w:rPr>
            </w:pPr>
          </w:p>
        </w:tc>
        <w:tc>
          <w:tcPr>
            <w:tcW w:w="180" w:type="dxa"/>
            <w:vAlign w:val="bottom"/>
            <w:tcBorders>
              <w:right w:val="single" w:sz="8" w:color="061844"/>
            </w:tcBorders>
            <w:shd w:val="clear" w:color="auto" w:fill="E7E7E8"/>
          </w:tcPr>
          <w:p>
            <w:pPr>
              <w:spacing w:after="0"/>
              <w:rPr>
                <w:sz w:val="10"/>
                <w:szCs w:val="10"/>
                <w:color w:val="auto"/>
              </w:rPr>
            </w:pPr>
          </w:p>
        </w:tc>
        <w:tc>
          <w:tcPr>
            <w:tcW w:w="300" w:type="dxa"/>
            <w:vAlign w:val="bottom"/>
            <w:shd w:val="clear" w:color="auto" w:fill="E7E7E8"/>
          </w:tcPr>
          <w:p>
            <w:pPr>
              <w:spacing w:after="0"/>
              <w:rPr>
                <w:sz w:val="10"/>
                <w:szCs w:val="10"/>
                <w:color w:val="auto"/>
              </w:rPr>
            </w:pPr>
          </w:p>
        </w:tc>
        <w:tc>
          <w:tcPr>
            <w:tcW w:w="840" w:type="dxa"/>
            <w:vAlign w:val="bottom"/>
            <w:gridSpan w:val="3"/>
            <w:vMerge w:val="restart"/>
            <w:shd w:val="clear" w:color="auto" w:fill="E7E7E8"/>
          </w:tcPr>
          <w:p>
            <w:pPr>
              <w:jc w:val="right"/>
              <w:ind w:right="100"/>
              <w:spacing w:after="0" w:line="150" w:lineRule="exact"/>
              <w:rPr>
                <w:sz w:val="20"/>
                <w:szCs w:val="20"/>
                <w:color w:val="auto"/>
              </w:rPr>
            </w:pPr>
            <w:r>
              <w:rPr>
                <w:rFonts w:ascii="Arial" w:cs="Arial" w:eastAsia="Arial" w:hAnsi="Arial"/>
                <w:sz w:val="14"/>
                <w:szCs w:val="14"/>
                <w:color w:val="auto"/>
              </w:rPr>
              <w:t>85,907</w:t>
            </w:r>
          </w:p>
        </w:tc>
        <w:tc>
          <w:tcPr>
            <w:tcW w:w="800" w:type="dxa"/>
            <w:vAlign w:val="bottom"/>
            <w:shd w:val="clear" w:color="auto" w:fill="E7E7E8"/>
          </w:tcPr>
          <w:p>
            <w:pPr>
              <w:spacing w:after="0"/>
              <w:rPr>
                <w:sz w:val="10"/>
                <w:szCs w:val="10"/>
                <w:color w:val="auto"/>
              </w:rPr>
            </w:pPr>
          </w:p>
        </w:tc>
        <w:tc>
          <w:tcPr>
            <w:tcW w:w="1100" w:type="dxa"/>
            <w:vAlign w:val="bottom"/>
            <w:shd w:val="clear" w:color="auto" w:fill="E7E7E8"/>
          </w:tcPr>
          <w:p>
            <w:pPr>
              <w:spacing w:after="0"/>
              <w:rPr>
                <w:sz w:val="20"/>
                <w:szCs w:val="20"/>
                <w:color w:val="auto"/>
              </w:rPr>
            </w:pPr>
            <w:r>
              <w:rPr>
                <w:rFonts w:ascii="Arial" w:cs="Arial" w:eastAsia="Arial" w:hAnsi="Arial"/>
                <w:sz w:val="10"/>
                <w:szCs w:val="10"/>
                <w:color w:val="auto"/>
              </w:rPr>
              <w:t>(a)</w:t>
            </w:r>
          </w:p>
        </w:tc>
        <w:tc>
          <w:tcPr>
            <w:tcW w:w="98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380" w:type="dxa"/>
            <w:vAlign w:val="bottom"/>
            <w:gridSpan w:val="2"/>
            <w:vMerge w:val="continue"/>
            <w:shd w:val="clear" w:color="auto" w:fill="E7E7E8"/>
          </w:tcPr>
          <w:p>
            <w:pPr>
              <w:spacing w:after="0"/>
              <w:rPr>
                <w:sz w:val="2"/>
                <w:szCs w:val="2"/>
                <w:color w:val="auto"/>
              </w:rPr>
            </w:pPr>
          </w:p>
        </w:tc>
        <w:tc>
          <w:tcPr>
            <w:tcW w:w="160" w:type="dxa"/>
            <w:vAlign w:val="bottom"/>
            <w:shd w:val="clear" w:color="auto" w:fill="E7E7E8"/>
          </w:tcPr>
          <w:p>
            <w:pPr>
              <w:spacing w:after="0"/>
              <w:rPr>
                <w:sz w:val="2"/>
                <w:szCs w:val="2"/>
                <w:color w:val="auto"/>
              </w:rPr>
            </w:pPr>
          </w:p>
        </w:tc>
        <w:tc>
          <w:tcPr>
            <w:tcW w:w="1160" w:type="dxa"/>
            <w:vAlign w:val="bottom"/>
            <w:gridSpan w:val="2"/>
            <w:vMerge w:val="continue"/>
            <w:shd w:val="clear" w:color="auto" w:fill="E7E7E8"/>
          </w:tcPr>
          <w:p>
            <w:pPr>
              <w:spacing w:after="0"/>
              <w:rPr>
                <w:sz w:val="2"/>
                <w:szCs w:val="2"/>
                <w:color w:val="auto"/>
              </w:rPr>
            </w:pPr>
          </w:p>
        </w:tc>
        <w:tc>
          <w:tcPr>
            <w:tcW w:w="1560" w:type="dxa"/>
            <w:vAlign w:val="bottom"/>
            <w:gridSpan w:val="2"/>
            <w:vMerge w:val="continue"/>
            <w:shd w:val="clear" w:color="auto" w:fill="E7E7E8"/>
          </w:tcPr>
          <w:p>
            <w:pPr>
              <w:spacing w:after="0"/>
              <w:rPr>
                <w:sz w:val="2"/>
                <w:szCs w:val="2"/>
                <w:color w:val="auto"/>
              </w:rPr>
            </w:pPr>
          </w:p>
        </w:tc>
        <w:tc>
          <w:tcPr>
            <w:tcW w:w="1560" w:type="dxa"/>
            <w:vAlign w:val="bottom"/>
            <w:shd w:val="clear" w:color="auto" w:fill="E7E7E8"/>
          </w:tcPr>
          <w:p>
            <w:pPr>
              <w:spacing w:after="0"/>
              <w:rPr>
                <w:sz w:val="2"/>
                <w:szCs w:val="2"/>
                <w:color w:val="auto"/>
              </w:rPr>
            </w:pPr>
          </w:p>
        </w:tc>
        <w:tc>
          <w:tcPr>
            <w:tcW w:w="1240" w:type="dxa"/>
            <w:vAlign w:val="bottom"/>
            <w:shd w:val="clear" w:color="auto" w:fill="E7E7E8"/>
          </w:tcPr>
          <w:p>
            <w:pPr>
              <w:spacing w:after="0"/>
              <w:rPr>
                <w:sz w:val="2"/>
                <w:szCs w:val="2"/>
                <w:color w:val="auto"/>
              </w:rPr>
            </w:pPr>
          </w:p>
        </w:tc>
        <w:tc>
          <w:tcPr>
            <w:tcW w:w="180" w:type="dxa"/>
            <w:vAlign w:val="bottom"/>
            <w:tcBorders>
              <w:right w:val="single" w:sz="8" w:color="061844"/>
            </w:tcBorders>
            <w:shd w:val="clear" w:color="auto" w:fill="E7E7E8"/>
          </w:tcPr>
          <w:p>
            <w:pPr>
              <w:spacing w:after="0"/>
              <w:rPr>
                <w:sz w:val="2"/>
                <w:szCs w:val="2"/>
                <w:color w:val="auto"/>
              </w:rPr>
            </w:pPr>
          </w:p>
        </w:tc>
        <w:tc>
          <w:tcPr>
            <w:tcW w:w="300" w:type="dxa"/>
            <w:vAlign w:val="bottom"/>
            <w:shd w:val="clear" w:color="auto" w:fill="E7E7E8"/>
          </w:tcPr>
          <w:p>
            <w:pPr>
              <w:spacing w:after="0"/>
              <w:rPr>
                <w:sz w:val="2"/>
                <w:szCs w:val="2"/>
                <w:color w:val="auto"/>
              </w:rPr>
            </w:pPr>
          </w:p>
        </w:tc>
        <w:tc>
          <w:tcPr>
            <w:tcW w:w="840" w:type="dxa"/>
            <w:vAlign w:val="bottom"/>
            <w:gridSpan w:val="3"/>
            <w:vMerge w:val="continue"/>
            <w:shd w:val="clear" w:color="auto" w:fill="E7E7E8"/>
          </w:tcPr>
          <w:p>
            <w:pPr>
              <w:spacing w:after="0"/>
              <w:rPr>
                <w:sz w:val="2"/>
                <w:szCs w:val="2"/>
                <w:color w:val="auto"/>
              </w:rPr>
            </w:pPr>
          </w:p>
        </w:tc>
        <w:tc>
          <w:tcPr>
            <w:tcW w:w="800" w:type="dxa"/>
            <w:vAlign w:val="bottom"/>
            <w:shd w:val="clear" w:color="auto" w:fill="E7E7E8"/>
          </w:tcPr>
          <w:p>
            <w:pPr>
              <w:spacing w:after="0"/>
              <w:rPr>
                <w:sz w:val="2"/>
                <w:szCs w:val="2"/>
                <w:color w:val="auto"/>
              </w:rPr>
            </w:pPr>
          </w:p>
        </w:tc>
        <w:tc>
          <w:tcPr>
            <w:tcW w:w="1100" w:type="dxa"/>
            <w:vAlign w:val="bottom"/>
            <w:vMerge w:val="restart"/>
            <w:shd w:val="clear" w:color="auto" w:fill="E7E7E8"/>
          </w:tcPr>
          <w:p>
            <w:pPr>
              <w:spacing w:after="0"/>
              <w:rPr>
                <w:sz w:val="20"/>
                <w:szCs w:val="20"/>
                <w:color w:val="auto"/>
              </w:rPr>
            </w:pPr>
            <w:r>
              <w:rPr>
                <w:rFonts w:ascii="Arial" w:cs="Arial" w:eastAsia="Arial" w:hAnsi="Arial"/>
                <w:sz w:val="10"/>
                <w:szCs w:val="10"/>
                <w:color w:val="auto"/>
              </w:rPr>
              <w:t>(b)</w:t>
            </w:r>
          </w:p>
        </w:tc>
        <w:tc>
          <w:tcPr>
            <w:tcW w:w="980" w:type="dxa"/>
            <w:vAlign w:val="bottom"/>
            <w:shd w:val="clear" w:color="auto" w:fill="E7E7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520" w:type="dxa"/>
            <w:vAlign w:val="bottom"/>
            <w:shd w:val="clear" w:color="auto" w:fill="E7E7E8"/>
          </w:tcPr>
          <w:p>
            <w:pPr>
              <w:spacing w:after="0"/>
              <w:rPr>
                <w:sz w:val="8"/>
                <w:szCs w:val="8"/>
                <w:color w:val="auto"/>
              </w:rPr>
            </w:pPr>
          </w:p>
        </w:tc>
        <w:tc>
          <w:tcPr>
            <w:tcW w:w="86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1160" w:type="dxa"/>
            <w:vAlign w:val="bottom"/>
            <w:gridSpan w:val="2"/>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187,353</w:t>
            </w:r>
          </w:p>
        </w:tc>
        <w:tc>
          <w:tcPr>
            <w:tcW w:w="360" w:type="dxa"/>
            <w:vAlign w:val="bottom"/>
            <w:shd w:val="clear" w:color="auto" w:fill="E7E7E8"/>
          </w:tcPr>
          <w:p>
            <w:pPr>
              <w:spacing w:after="0"/>
              <w:rPr>
                <w:sz w:val="8"/>
                <w:szCs w:val="8"/>
                <w:color w:val="auto"/>
              </w:rPr>
            </w:pPr>
          </w:p>
        </w:tc>
        <w:tc>
          <w:tcPr>
            <w:tcW w:w="1200" w:type="dxa"/>
            <w:vAlign w:val="bottom"/>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93,676—2/20</w:t>
            </w:r>
          </w:p>
        </w:tc>
        <w:tc>
          <w:tcPr>
            <w:tcW w:w="1560" w:type="dxa"/>
            <w:vAlign w:val="bottom"/>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93,677—2/20</w:t>
            </w:r>
          </w:p>
        </w:tc>
        <w:tc>
          <w:tcPr>
            <w:tcW w:w="1240" w:type="dxa"/>
            <w:vAlign w:val="bottom"/>
            <w:shd w:val="clear" w:color="auto" w:fill="E7E7E8"/>
          </w:tcPr>
          <w:p>
            <w:pPr>
              <w:spacing w:after="0"/>
              <w:rPr>
                <w:sz w:val="8"/>
                <w:szCs w:val="8"/>
                <w:color w:val="auto"/>
              </w:rPr>
            </w:pPr>
          </w:p>
        </w:tc>
        <w:tc>
          <w:tcPr>
            <w:tcW w:w="180" w:type="dxa"/>
            <w:vAlign w:val="bottom"/>
            <w:tcBorders>
              <w:right w:val="single" w:sz="8" w:color="061844"/>
            </w:tcBorders>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40" w:type="dxa"/>
            <w:vAlign w:val="bottom"/>
            <w:shd w:val="clear" w:color="auto" w:fill="E7E7E8"/>
          </w:tcPr>
          <w:p>
            <w:pPr>
              <w:spacing w:after="0"/>
              <w:rPr>
                <w:sz w:val="8"/>
                <w:szCs w:val="8"/>
                <w:color w:val="auto"/>
              </w:rPr>
            </w:pPr>
          </w:p>
        </w:tc>
        <w:tc>
          <w:tcPr>
            <w:tcW w:w="800" w:type="dxa"/>
            <w:vAlign w:val="bottom"/>
            <w:gridSpan w:val="2"/>
            <w:vMerge w:val="restart"/>
            <w:shd w:val="clear" w:color="auto" w:fill="E7E7E8"/>
          </w:tcPr>
          <w:p>
            <w:pPr>
              <w:jc w:val="right"/>
              <w:ind w:right="100"/>
              <w:spacing w:after="0" w:line="157" w:lineRule="exact"/>
              <w:rPr>
                <w:sz w:val="20"/>
                <w:szCs w:val="20"/>
                <w:color w:val="auto"/>
              </w:rPr>
            </w:pPr>
            <w:r>
              <w:rPr>
                <w:rFonts w:ascii="Arial" w:cs="Arial" w:eastAsia="Arial" w:hAnsi="Arial"/>
                <w:sz w:val="14"/>
                <w:szCs w:val="14"/>
                <w:color w:val="auto"/>
              </w:rPr>
              <w:t>108,640</w:t>
            </w:r>
          </w:p>
        </w:tc>
        <w:tc>
          <w:tcPr>
            <w:tcW w:w="800" w:type="dxa"/>
            <w:vAlign w:val="bottom"/>
            <w:shd w:val="clear" w:color="auto" w:fill="E7E7E8"/>
          </w:tcPr>
          <w:p>
            <w:pPr>
              <w:spacing w:after="0"/>
              <w:rPr>
                <w:sz w:val="8"/>
                <w:szCs w:val="8"/>
                <w:color w:val="auto"/>
              </w:rPr>
            </w:pPr>
          </w:p>
        </w:tc>
        <w:tc>
          <w:tcPr>
            <w:tcW w:w="1100" w:type="dxa"/>
            <w:vAlign w:val="bottom"/>
            <w:vMerge w:val="continue"/>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520" w:type="dxa"/>
            <w:vAlign w:val="bottom"/>
            <w:shd w:val="clear" w:color="auto" w:fill="E7E7E8"/>
          </w:tcPr>
          <w:p>
            <w:pPr>
              <w:spacing w:after="0"/>
              <w:rPr>
                <w:sz w:val="5"/>
                <w:szCs w:val="5"/>
                <w:color w:val="auto"/>
              </w:rPr>
            </w:pPr>
          </w:p>
        </w:tc>
        <w:tc>
          <w:tcPr>
            <w:tcW w:w="86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1160" w:type="dxa"/>
            <w:vAlign w:val="bottom"/>
            <w:gridSpan w:val="2"/>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1200" w:type="dxa"/>
            <w:vAlign w:val="bottom"/>
            <w:vMerge w:val="continue"/>
            <w:shd w:val="clear" w:color="auto" w:fill="E7E7E8"/>
          </w:tcPr>
          <w:p>
            <w:pPr>
              <w:spacing w:after="0"/>
              <w:rPr>
                <w:sz w:val="5"/>
                <w:szCs w:val="5"/>
                <w:color w:val="auto"/>
              </w:rPr>
            </w:pPr>
          </w:p>
        </w:tc>
        <w:tc>
          <w:tcPr>
            <w:tcW w:w="1560" w:type="dxa"/>
            <w:vAlign w:val="bottom"/>
            <w:vMerge w:val="continue"/>
            <w:shd w:val="clear" w:color="auto" w:fill="E7E7E8"/>
          </w:tcPr>
          <w:p>
            <w:pPr>
              <w:spacing w:after="0"/>
              <w:rPr>
                <w:sz w:val="5"/>
                <w:szCs w:val="5"/>
                <w:color w:val="auto"/>
              </w:rPr>
            </w:pPr>
          </w:p>
        </w:tc>
        <w:tc>
          <w:tcPr>
            <w:tcW w:w="1240" w:type="dxa"/>
            <w:vAlign w:val="bottom"/>
            <w:shd w:val="clear" w:color="auto" w:fill="E7E7E8"/>
          </w:tcPr>
          <w:p>
            <w:pPr>
              <w:spacing w:after="0"/>
              <w:rPr>
                <w:sz w:val="5"/>
                <w:szCs w:val="5"/>
                <w:color w:val="auto"/>
              </w:rPr>
            </w:pPr>
          </w:p>
        </w:tc>
        <w:tc>
          <w:tcPr>
            <w:tcW w:w="180" w:type="dxa"/>
            <w:vAlign w:val="bottom"/>
            <w:tcBorders>
              <w:right w:val="single" w:sz="8" w:color="061844"/>
            </w:tcBorders>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40" w:type="dxa"/>
            <w:vAlign w:val="bottom"/>
            <w:shd w:val="clear" w:color="auto" w:fill="E7E7E8"/>
          </w:tcPr>
          <w:p>
            <w:pPr>
              <w:spacing w:after="0"/>
              <w:rPr>
                <w:sz w:val="5"/>
                <w:szCs w:val="5"/>
                <w:color w:val="auto"/>
              </w:rPr>
            </w:pPr>
          </w:p>
        </w:tc>
        <w:tc>
          <w:tcPr>
            <w:tcW w:w="800" w:type="dxa"/>
            <w:vAlign w:val="bottom"/>
            <w:gridSpan w:val="2"/>
            <w:vMerge w:val="continue"/>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1100" w:type="dxa"/>
            <w:vAlign w:val="bottom"/>
            <w:vMerge w:val="restart"/>
            <w:shd w:val="clear" w:color="auto" w:fill="E7E7E8"/>
          </w:tcPr>
          <w:p>
            <w:pPr>
              <w:spacing w:after="0"/>
              <w:rPr>
                <w:sz w:val="20"/>
                <w:szCs w:val="20"/>
                <w:color w:val="auto"/>
              </w:rPr>
            </w:pPr>
            <w:r>
              <w:rPr>
                <w:rFonts w:ascii="Arial" w:cs="Arial" w:eastAsia="Arial" w:hAnsi="Arial"/>
                <w:sz w:val="10"/>
                <w:szCs w:val="10"/>
                <w:color w:val="auto"/>
              </w:rPr>
              <w:t>(c)</w:t>
            </w:r>
          </w:p>
        </w:tc>
        <w:tc>
          <w:tcPr>
            <w:tcW w:w="9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E7E7E8"/>
          </w:tcPr>
          <w:p>
            <w:pPr>
              <w:spacing w:after="0"/>
              <w:rPr>
                <w:sz w:val="8"/>
                <w:szCs w:val="8"/>
                <w:color w:val="auto"/>
              </w:rPr>
            </w:pPr>
          </w:p>
        </w:tc>
        <w:tc>
          <w:tcPr>
            <w:tcW w:w="86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1160" w:type="dxa"/>
            <w:vAlign w:val="bottom"/>
            <w:gridSpan w:val="2"/>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327,290</w:t>
            </w:r>
          </w:p>
        </w:tc>
        <w:tc>
          <w:tcPr>
            <w:tcW w:w="1560" w:type="dxa"/>
            <w:vAlign w:val="bottom"/>
            <w:gridSpan w:val="2"/>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109,097—2/19</w:t>
            </w:r>
          </w:p>
        </w:tc>
        <w:tc>
          <w:tcPr>
            <w:tcW w:w="1560" w:type="dxa"/>
            <w:vAlign w:val="bottom"/>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109,096—2/19</w:t>
            </w:r>
          </w:p>
        </w:tc>
        <w:tc>
          <w:tcPr>
            <w:tcW w:w="1420" w:type="dxa"/>
            <w:vAlign w:val="bottom"/>
            <w:tcBorders>
              <w:right w:val="single" w:sz="8" w:color="061844"/>
            </w:tcBorders>
            <w:gridSpan w:val="2"/>
            <w:vMerge w:val="restart"/>
            <w:shd w:val="clear" w:color="auto" w:fill="E7E7E8"/>
          </w:tcPr>
          <w:p>
            <w:pPr>
              <w:jc w:val="right"/>
              <w:ind w:right="180"/>
              <w:spacing w:after="0" w:line="157" w:lineRule="exact"/>
              <w:rPr>
                <w:sz w:val="20"/>
                <w:szCs w:val="20"/>
                <w:color w:val="auto"/>
              </w:rPr>
            </w:pPr>
            <w:r>
              <w:rPr>
                <w:rFonts w:ascii="Arial" w:cs="Arial" w:eastAsia="Arial" w:hAnsi="Arial"/>
                <w:sz w:val="14"/>
                <w:szCs w:val="14"/>
                <w:color w:val="auto"/>
              </w:rPr>
              <w:t>109,097—2/19</w:t>
            </w:r>
          </w:p>
        </w:tc>
        <w:tc>
          <w:tcPr>
            <w:tcW w:w="300" w:type="dxa"/>
            <w:vAlign w:val="bottom"/>
            <w:shd w:val="clear" w:color="auto" w:fill="E7E7E8"/>
          </w:tcPr>
          <w:p>
            <w:pPr>
              <w:spacing w:after="0"/>
              <w:rPr>
                <w:sz w:val="8"/>
                <w:szCs w:val="8"/>
                <w:color w:val="auto"/>
              </w:rPr>
            </w:pPr>
          </w:p>
        </w:tc>
        <w:tc>
          <w:tcPr>
            <w:tcW w:w="40" w:type="dxa"/>
            <w:vAlign w:val="bottom"/>
            <w:shd w:val="clear" w:color="auto" w:fill="E7E7E8"/>
          </w:tcPr>
          <w:p>
            <w:pPr>
              <w:spacing w:after="0"/>
              <w:rPr>
                <w:sz w:val="8"/>
                <w:szCs w:val="8"/>
                <w:color w:val="auto"/>
              </w:rPr>
            </w:pPr>
          </w:p>
        </w:tc>
        <w:tc>
          <w:tcPr>
            <w:tcW w:w="800" w:type="dxa"/>
            <w:vAlign w:val="bottom"/>
            <w:gridSpan w:val="2"/>
            <w:vMerge w:val="restart"/>
            <w:shd w:val="clear" w:color="auto" w:fill="E7E7E8"/>
          </w:tcPr>
          <w:p>
            <w:pPr>
              <w:jc w:val="right"/>
              <w:ind w:right="100"/>
              <w:spacing w:after="0" w:line="157" w:lineRule="exact"/>
              <w:rPr>
                <w:sz w:val="20"/>
                <w:szCs w:val="20"/>
                <w:color w:val="auto"/>
              </w:rPr>
            </w:pPr>
            <w:r>
              <w:rPr>
                <w:rFonts w:ascii="Arial" w:cs="Arial" w:eastAsia="Arial" w:hAnsi="Arial"/>
                <w:sz w:val="14"/>
                <w:szCs w:val="14"/>
                <w:color w:val="auto"/>
              </w:rPr>
              <w:t>165,590</w:t>
            </w:r>
          </w:p>
        </w:tc>
        <w:tc>
          <w:tcPr>
            <w:tcW w:w="800" w:type="dxa"/>
            <w:vAlign w:val="bottom"/>
            <w:shd w:val="clear" w:color="auto" w:fill="E7E7E8"/>
          </w:tcPr>
          <w:p>
            <w:pPr>
              <w:spacing w:after="0"/>
              <w:rPr>
                <w:sz w:val="8"/>
                <w:szCs w:val="8"/>
                <w:color w:val="auto"/>
              </w:rPr>
            </w:pPr>
          </w:p>
        </w:tc>
        <w:tc>
          <w:tcPr>
            <w:tcW w:w="1100" w:type="dxa"/>
            <w:vAlign w:val="bottom"/>
            <w:vMerge w:val="continue"/>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520" w:type="dxa"/>
            <w:vAlign w:val="bottom"/>
            <w:shd w:val="clear" w:color="auto" w:fill="E7E7E8"/>
          </w:tcPr>
          <w:p>
            <w:pPr>
              <w:spacing w:after="0"/>
              <w:rPr>
                <w:sz w:val="5"/>
                <w:szCs w:val="5"/>
                <w:color w:val="auto"/>
              </w:rPr>
            </w:pPr>
          </w:p>
        </w:tc>
        <w:tc>
          <w:tcPr>
            <w:tcW w:w="86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1160" w:type="dxa"/>
            <w:vAlign w:val="bottom"/>
            <w:gridSpan w:val="2"/>
            <w:vMerge w:val="continue"/>
            <w:shd w:val="clear" w:color="auto" w:fill="E7E7E8"/>
          </w:tcPr>
          <w:p>
            <w:pPr>
              <w:spacing w:after="0"/>
              <w:rPr>
                <w:sz w:val="5"/>
                <w:szCs w:val="5"/>
                <w:color w:val="auto"/>
              </w:rPr>
            </w:pPr>
          </w:p>
        </w:tc>
        <w:tc>
          <w:tcPr>
            <w:tcW w:w="1560" w:type="dxa"/>
            <w:vAlign w:val="bottom"/>
            <w:gridSpan w:val="2"/>
            <w:vMerge w:val="continue"/>
            <w:shd w:val="clear" w:color="auto" w:fill="E7E7E8"/>
          </w:tcPr>
          <w:p>
            <w:pPr>
              <w:spacing w:after="0"/>
              <w:rPr>
                <w:sz w:val="5"/>
                <w:szCs w:val="5"/>
                <w:color w:val="auto"/>
              </w:rPr>
            </w:pPr>
          </w:p>
        </w:tc>
        <w:tc>
          <w:tcPr>
            <w:tcW w:w="1560" w:type="dxa"/>
            <w:vAlign w:val="bottom"/>
            <w:vMerge w:val="continue"/>
            <w:shd w:val="clear" w:color="auto" w:fill="E7E7E8"/>
          </w:tcPr>
          <w:p>
            <w:pPr>
              <w:spacing w:after="0"/>
              <w:rPr>
                <w:sz w:val="5"/>
                <w:szCs w:val="5"/>
                <w:color w:val="auto"/>
              </w:rPr>
            </w:pPr>
          </w:p>
        </w:tc>
        <w:tc>
          <w:tcPr>
            <w:tcW w:w="1420" w:type="dxa"/>
            <w:vAlign w:val="bottom"/>
            <w:tcBorders>
              <w:right w:val="single" w:sz="8" w:color="061844"/>
            </w:tcBorders>
            <w:gridSpan w:val="2"/>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40" w:type="dxa"/>
            <w:vAlign w:val="bottom"/>
            <w:shd w:val="clear" w:color="auto" w:fill="E7E7E8"/>
          </w:tcPr>
          <w:p>
            <w:pPr>
              <w:spacing w:after="0"/>
              <w:rPr>
                <w:sz w:val="5"/>
                <w:szCs w:val="5"/>
                <w:color w:val="auto"/>
              </w:rPr>
            </w:pPr>
          </w:p>
        </w:tc>
        <w:tc>
          <w:tcPr>
            <w:tcW w:w="800" w:type="dxa"/>
            <w:vAlign w:val="bottom"/>
            <w:gridSpan w:val="2"/>
            <w:vMerge w:val="continue"/>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110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540" w:type="dxa"/>
            <w:vAlign w:val="bottom"/>
            <w:gridSpan w:val="3"/>
            <w:vMerge w:val="restart"/>
          </w:tcPr>
          <w:p>
            <w:pPr>
              <w:spacing w:after="0"/>
              <w:rPr>
                <w:sz w:val="20"/>
                <w:szCs w:val="20"/>
                <w:color w:val="auto"/>
              </w:rPr>
            </w:pPr>
            <w:r>
              <w:rPr>
                <w:rFonts w:ascii="Arial" w:cs="Arial" w:eastAsia="Arial" w:hAnsi="Arial"/>
                <w:sz w:val="14"/>
                <w:szCs w:val="14"/>
                <w:color w:val="auto"/>
              </w:rPr>
              <w:t>W. Chase</w:t>
            </w:r>
          </w:p>
        </w:tc>
        <w:tc>
          <w:tcPr>
            <w:tcW w:w="1160" w:type="dxa"/>
            <w:vAlign w:val="bottom"/>
            <w:gridSpan w:val="2"/>
            <w:vMerge w:val="restart"/>
          </w:tcPr>
          <w:p>
            <w:pPr>
              <w:jc w:val="right"/>
              <w:ind w:right="250"/>
              <w:spacing w:after="0"/>
              <w:rPr>
                <w:sz w:val="20"/>
                <w:szCs w:val="20"/>
                <w:color w:val="auto"/>
              </w:rPr>
            </w:pPr>
            <w:r>
              <w:rPr>
                <w:rFonts w:ascii="Arial" w:cs="Arial" w:eastAsia="Arial" w:hAnsi="Arial"/>
                <w:sz w:val="14"/>
                <w:szCs w:val="14"/>
                <w:color w:val="auto"/>
              </w:rPr>
              <w:t>38,610</w:t>
            </w:r>
          </w:p>
        </w:tc>
        <w:tc>
          <w:tcPr>
            <w:tcW w:w="360" w:type="dxa"/>
            <w:vAlign w:val="bottom"/>
          </w:tcPr>
          <w:p>
            <w:pPr>
              <w:spacing w:after="0"/>
              <w:rPr>
                <w:sz w:val="10"/>
                <w:szCs w:val="10"/>
                <w:color w:val="auto"/>
              </w:rPr>
            </w:pPr>
          </w:p>
        </w:tc>
        <w:tc>
          <w:tcPr>
            <w:tcW w:w="1200" w:type="dxa"/>
            <w:vAlign w:val="bottom"/>
            <w:vMerge w:val="restart"/>
          </w:tcPr>
          <w:p>
            <w:pPr>
              <w:jc w:val="right"/>
              <w:ind w:right="250"/>
              <w:spacing w:after="0"/>
              <w:rPr>
                <w:sz w:val="20"/>
                <w:szCs w:val="20"/>
                <w:color w:val="auto"/>
              </w:rPr>
            </w:pPr>
            <w:r>
              <w:rPr>
                <w:rFonts w:ascii="Arial" w:cs="Arial" w:eastAsia="Arial" w:hAnsi="Arial"/>
                <w:sz w:val="14"/>
                <w:szCs w:val="14"/>
                <w:color w:val="auto"/>
              </w:rPr>
              <w:t>38,610—2/14</w:t>
            </w:r>
          </w:p>
        </w:tc>
        <w:tc>
          <w:tcPr>
            <w:tcW w:w="15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Borders>
              <w:right w:val="single" w:sz="8" w:color="061844"/>
            </w:tcBorders>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18,900</w:t>
            </w:r>
          </w:p>
        </w:tc>
        <w:tc>
          <w:tcPr>
            <w:tcW w:w="800" w:type="dxa"/>
            <w:vAlign w:val="bottom"/>
          </w:tcPr>
          <w:p>
            <w:pPr>
              <w:spacing w:after="0"/>
              <w:rPr>
                <w:sz w:val="10"/>
                <w:szCs w:val="10"/>
                <w:color w:val="auto"/>
              </w:rPr>
            </w:pPr>
          </w:p>
        </w:tc>
        <w:tc>
          <w:tcPr>
            <w:tcW w:w="1100" w:type="dxa"/>
            <w:vAlign w:val="bottom"/>
          </w:tcPr>
          <w:p>
            <w:pPr>
              <w:spacing w:after="0"/>
              <w:rPr>
                <w:sz w:val="20"/>
                <w:szCs w:val="20"/>
                <w:color w:val="auto"/>
              </w:rPr>
            </w:pPr>
            <w:r>
              <w:rPr>
                <w:rFonts w:ascii="Arial" w:cs="Arial" w:eastAsia="Arial" w:hAnsi="Arial"/>
                <w:sz w:val="10"/>
                <w:szCs w:val="10"/>
                <w:color w:val="auto"/>
              </w:rPr>
              <w:t>(a)</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540" w:type="dxa"/>
            <w:vAlign w:val="bottom"/>
            <w:gridSpan w:val="3"/>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Borders>
              <w:right w:val="single" w:sz="8" w:color="061844"/>
            </w:tcBorders>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vMerge w:val="restart"/>
          </w:tcPr>
          <w:p>
            <w:pPr>
              <w:spacing w:after="0"/>
              <w:rPr>
                <w:sz w:val="20"/>
                <w:szCs w:val="20"/>
                <w:color w:val="auto"/>
              </w:rPr>
            </w:pPr>
            <w:r>
              <w:rPr>
                <w:rFonts w:ascii="Arial" w:cs="Arial" w:eastAsia="Arial" w:hAnsi="Arial"/>
                <w:sz w:val="10"/>
                <w:szCs w:val="10"/>
                <w:color w:val="auto"/>
              </w:rPr>
              <w:t>(b)</w:t>
            </w: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1"/>
        </w:trPr>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jc w:val="right"/>
              <w:ind w:right="250"/>
              <w:spacing w:after="0" w:line="157" w:lineRule="exact"/>
              <w:rPr>
                <w:sz w:val="20"/>
                <w:szCs w:val="20"/>
                <w:color w:val="auto"/>
              </w:rPr>
            </w:pPr>
            <w:r>
              <w:rPr>
                <w:rFonts w:ascii="Arial" w:cs="Arial" w:eastAsia="Arial" w:hAnsi="Arial"/>
                <w:sz w:val="14"/>
                <w:szCs w:val="14"/>
                <w:color w:val="auto"/>
              </w:rPr>
              <w:t>61,826</w:t>
            </w:r>
          </w:p>
        </w:tc>
        <w:tc>
          <w:tcPr>
            <w:tcW w:w="360" w:type="dxa"/>
            <w:vAlign w:val="bottom"/>
          </w:tcPr>
          <w:p>
            <w:pPr>
              <w:spacing w:after="0"/>
              <w:rPr>
                <w:sz w:val="7"/>
                <w:szCs w:val="7"/>
                <w:color w:val="auto"/>
              </w:rPr>
            </w:pPr>
          </w:p>
        </w:tc>
        <w:tc>
          <w:tcPr>
            <w:tcW w:w="1200" w:type="dxa"/>
            <w:vAlign w:val="bottom"/>
            <w:vMerge w:val="restart"/>
          </w:tcPr>
          <w:p>
            <w:pPr>
              <w:jc w:val="right"/>
              <w:ind w:right="250"/>
              <w:spacing w:after="0" w:line="157" w:lineRule="exact"/>
              <w:rPr>
                <w:sz w:val="20"/>
                <w:szCs w:val="20"/>
                <w:color w:val="auto"/>
              </w:rPr>
            </w:pPr>
            <w:r>
              <w:rPr>
                <w:rFonts w:ascii="Arial" w:cs="Arial" w:eastAsia="Arial" w:hAnsi="Arial"/>
                <w:sz w:val="14"/>
                <w:szCs w:val="14"/>
                <w:color w:val="auto"/>
              </w:rPr>
              <w:t>30,913—2/20</w:t>
            </w:r>
          </w:p>
        </w:tc>
        <w:tc>
          <w:tcPr>
            <w:tcW w:w="1560" w:type="dxa"/>
            <w:vAlign w:val="bottom"/>
            <w:vMerge w:val="restart"/>
          </w:tcPr>
          <w:p>
            <w:pPr>
              <w:jc w:val="right"/>
              <w:ind w:right="250"/>
              <w:spacing w:after="0" w:line="157" w:lineRule="exact"/>
              <w:rPr>
                <w:sz w:val="20"/>
                <w:szCs w:val="20"/>
                <w:color w:val="auto"/>
              </w:rPr>
            </w:pPr>
            <w:r>
              <w:rPr>
                <w:rFonts w:ascii="Arial" w:cs="Arial" w:eastAsia="Arial" w:hAnsi="Arial"/>
                <w:sz w:val="14"/>
                <w:szCs w:val="14"/>
                <w:color w:val="auto"/>
              </w:rPr>
              <w:t>30,913—2/20</w:t>
            </w:r>
          </w:p>
        </w:tc>
        <w:tc>
          <w:tcPr>
            <w:tcW w:w="1240" w:type="dxa"/>
            <w:vAlign w:val="bottom"/>
          </w:tcPr>
          <w:p>
            <w:pPr>
              <w:spacing w:after="0"/>
              <w:rPr>
                <w:sz w:val="7"/>
                <w:szCs w:val="7"/>
                <w:color w:val="auto"/>
              </w:rPr>
            </w:pPr>
          </w:p>
        </w:tc>
        <w:tc>
          <w:tcPr>
            <w:tcW w:w="180" w:type="dxa"/>
            <w:vAlign w:val="bottom"/>
            <w:tcBorders>
              <w:right w:val="single" w:sz="8" w:color="061844"/>
            </w:tcBorders>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gridSpan w:val="3"/>
            <w:vMerge w:val="restart"/>
          </w:tcPr>
          <w:p>
            <w:pPr>
              <w:jc w:val="right"/>
              <w:ind w:right="100"/>
              <w:spacing w:after="0" w:line="157" w:lineRule="exact"/>
              <w:rPr>
                <w:sz w:val="20"/>
                <w:szCs w:val="20"/>
                <w:color w:val="auto"/>
              </w:rPr>
            </w:pPr>
            <w:r>
              <w:rPr>
                <w:rFonts w:ascii="Arial" w:cs="Arial" w:eastAsia="Arial" w:hAnsi="Arial"/>
                <w:sz w:val="14"/>
                <w:szCs w:val="14"/>
                <w:color w:val="auto"/>
              </w:rPr>
              <w:t>35,846</w:t>
            </w:r>
          </w:p>
        </w:tc>
        <w:tc>
          <w:tcPr>
            <w:tcW w:w="8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Borders>
              <w:right w:val="single" w:sz="8" w:color="061844"/>
            </w:tcBorders>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0"/>
                <w:szCs w:val="10"/>
                <w:color w:val="auto"/>
              </w:rPr>
              <w:t>(c)</w:t>
            </w: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jc w:val="right"/>
              <w:ind w:right="250"/>
              <w:spacing w:after="0" w:line="157" w:lineRule="exact"/>
              <w:rPr>
                <w:sz w:val="20"/>
                <w:szCs w:val="20"/>
                <w:color w:val="auto"/>
              </w:rPr>
            </w:pPr>
            <w:r>
              <w:rPr>
                <w:rFonts w:ascii="Arial" w:cs="Arial" w:eastAsia="Arial" w:hAnsi="Arial"/>
                <w:sz w:val="14"/>
                <w:szCs w:val="14"/>
                <w:color w:val="auto"/>
              </w:rPr>
              <w:t>110,770</w:t>
            </w:r>
          </w:p>
        </w:tc>
        <w:tc>
          <w:tcPr>
            <w:tcW w:w="360" w:type="dxa"/>
            <w:vAlign w:val="bottom"/>
          </w:tcPr>
          <w:p>
            <w:pPr>
              <w:spacing w:after="0"/>
              <w:rPr>
                <w:sz w:val="7"/>
                <w:szCs w:val="7"/>
                <w:color w:val="auto"/>
              </w:rPr>
            </w:pPr>
          </w:p>
        </w:tc>
        <w:tc>
          <w:tcPr>
            <w:tcW w:w="1200" w:type="dxa"/>
            <w:vAlign w:val="bottom"/>
            <w:vMerge w:val="restart"/>
          </w:tcPr>
          <w:p>
            <w:pPr>
              <w:jc w:val="right"/>
              <w:ind w:right="250"/>
              <w:spacing w:after="0" w:line="157" w:lineRule="exact"/>
              <w:rPr>
                <w:sz w:val="20"/>
                <w:szCs w:val="20"/>
                <w:color w:val="auto"/>
              </w:rPr>
            </w:pPr>
            <w:r>
              <w:rPr>
                <w:rFonts w:ascii="Arial" w:cs="Arial" w:eastAsia="Arial" w:hAnsi="Arial"/>
                <w:sz w:val="14"/>
                <w:szCs w:val="14"/>
                <w:color w:val="auto"/>
              </w:rPr>
              <w:t>36,924—2/19</w:t>
            </w:r>
          </w:p>
        </w:tc>
        <w:tc>
          <w:tcPr>
            <w:tcW w:w="1560" w:type="dxa"/>
            <w:vAlign w:val="bottom"/>
            <w:vMerge w:val="restart"/>
          </w:tcPr>
          <w:p>
            <w:pPr>
              <w:jc w:val="right"/>
              <w:ind w:right="250"/>
              <w:spacing w:after="0" w:line="157" w:lineRule="exact"/>
              <w:rPr>
                <w:sz w:val="20"/>
                <w:szCs w:val="20"/>
                <w:color w:val="auto"/>
              </w:rPr>
            </w:pPr>
            <w:r>
              <w:rPr>
                <w:rFonts w:ascii="Arial" w:cs="Arial" w:eastAsia="Arial" w:hAnsi="Arial"/>
                <w:sz w:val="14"/>
                <w:szCs w:val="14"/>
                <w:color w:val="auto"/>
              </w:rPr>
              <w:t>36,923—2/19</w:t>
            </w:r>
          </w:p>
        </w:tc>
        <w:tc>
          <w:tcPr>
            <w:tcW w:w="1420" w:type="dxa"/>
            <w:vAlign w:val="bottom"/>
            <w:tcBorders>
              <w:right w:val="single" w:sz="8" w:color="061844"/>
            </w:tcBorders>
            <w:gridSpan w:val="2"/>
            <w:vMerge w:val="restart"/>
          </w:tcPr>
          <w:p>
            <w:pPr>
              <w:jc w:val="right"/>
              <w:ind w:right="180"/>
              <w:spacing w:after="0" w:line="157" w:lineRule="exact"/>
              <w:rPr>
                <w:sz w:val="20"/>
                <w:szCs w:val="20"/>
                <w:color w:val="auto"/>
              </w:rPr>
            </w:pPr>
            <w:r>
              <w:rPr>
                <w:rFonts w:ascii="Arial" w:cs="Arial" w:eastAsia="Arial" w:hAnsi="Arial"/>
                <w:sz w:val="14"/>
                <w:szCs w:val="14"/>
                <w:color w:val="auto"/>
              </w:rPr>
              <w:t>36,923—2/19</w:t>
            </w:r>
          </w:p>
        </w:tc>
        <w:tc>
          <w:tcPr>
            <w:tcW w:w="300" w:type="dxa"/>
            <w:vAlign w:val="bottom"/>
          </w:tcPr>
          <w:p>
            <w:pPr>
              <w:spacing w:after="0"/>
              <w:rPr>
                <w:sz w:val="7"/>
                <w:szCs w:val="7"/>
                <w:color w:val="auto"/>
              </w:rPr>
            </w:pPr>
          </w:p>
        </w:tc>
        <w:tc>
          <w:tcPr>
            <w:tcW w:w="840" w:type="dxa"/>
            <w:vAlign w:val="bottom"/>
            <w:gridSpan w:val="3"/>
            <w:vMerge w:val="restart"/>
          </w:tcPr>
          <w:p>
            <w:pPr>
              <w:jc w:val="right"/>
              <w:ind w:right="100"/>
              <w:spacing w:after="0" w:line="157" w:lineRule="exact"/>
              <w:rPr>
                <w:sz w:val="20"/>
                <w:szCs w:val="20"/>
                <w:color w:val="auto"/>
              </w:rPr>
            </w:pPr>
            <w:r>
              <w:rPr>
                <w:rFonts w:ascii="Arial" w:cs="Arial" w:eastAsia="Arial" w:hAnsi="Arial"/>
                <w:sz w:val="14"/>
                <w:szCs w:val="14"/>
                <w:color w:val="auto"/>
              </w:rPr>
              <w:t>56,040</w:t>
            </w:r>
          </w:p>
        </w:tc>
        <w:tc>
          <w:tcPr>
            <w:tcW w:w="8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420" w:type="dxa"/>
            <w:vAlign w:val="bottom"/>
            <w:tcBorders>
              <w:right w:val="single" w:sz="8" w:color="061844"/>
            </w:tcBorders>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0"/>
                <w:szCs w:val="10"/>
                <w:color w:val="auto"/>
              </w:rPr>
              <w:t>(e)</w:t>
            </w: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80" w:type="dxa"/>
            <w:vAlign w:val="bottom"/>
            <w:tcBorders>
              <w:right w:val="single" w:sz="8" w:color="061844"/>
            </w:tcBorders>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gridSpan w:val="3"/>
            <w:vMerge w:val="restart"/>
          </w:tcPr>
          <w:p>
            <w:pPr>
              <w:jc w:val="right"/>
              <w:ind w:right="100"/>
              <w:spacing w:after="0" w:line="152" w:lineRule="exact"/>
              <w:rPr>
                <w:sz w:val="20"/>
                <w:szCs w:val="20"/>
                <w:color w:val="auto"/>
              </w:rPr>
            </w:pPr>
            <w:r>
              <w:rPr>
                <w:rFonts w:ascii="Arial" w:cs="Arial" w:eastAsia="Arial" w:hAnsi="Arial"/>
                <w:sz w:val="14"/>
                <w:szCs w:val="14"/>
                <w:color w:val="auto"/>
              </w:rPr>
              <w:t>44,401</w:t>
            </w:r>
          </w:p>
        </w:tc>
        <w:tc>
          <w:tcPr>
            <w:tcW w:w="8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Borders>
              <w:right w:val="single" w:sz="8" w:color="061844"/>
            </w:tcBorders>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380" w:type="dxa"/>
            <w:vAlign w:val="bottom"/>
            <w:gridSpan w:val="2"/>
            <w:vMerge w:val="restart"/>
            <w:shd w:val="clear" w:color="auto" w:fill="E7E7E8"/>
          </w:tcPr>
          <w:p>
            <w:pPr>
              <w:spacing w:after="0" w:line="157" w:lineRule="exact"/>
              <w:rPr>
                <w:sz w:val="20"/>
                <w:szCs w:val="20"/>
                <w:color w:val="auto"/>
              </w:rPr>
            </w:pPr>
            <w:r>
              <w:rPr>
                <w:rFonts w:ascii="Arial" w:cs="Arial" w:eastAsia="Arial" w:hAnsi="Arial"/>
                <w:sz w:val="14"/>
                <w:szCs w:val="14"/>
                <w:color w:val="auto"/>
              </w:rPr>
              <w:t>L. Schumacher</w:t>
            </w:r>
          </w:p>
        </w:tc>
        <w:tc>
          <w:tcPr>
            <w:tcW w:w="160" w:type="dxa"/>
            <w:vAlign w:val="bottom"/>
            <w:shd w:val="clear" w:color="auto" w:fill="E7E7E8"/>
          </w:tcPr>
          <w:p>
            <w:pPr>
              <w:spacing w:after="0"/>
              <w:rPr>
                <w:sz w:val="10"/>
                <w:szCs w:val="10"/>
                <w:color w:val="auto"/>
              </w:rPr>
            </w:pPr>
          </w:p>
        </w:tc>
        <w:tc>
          <w:tcPr>
            <w:tcW w:w="1160" w:type="dxa"/>
            <w:vAlign w:val="bottom"/>
            <w:gridSpan w:val="2"/>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48,503</w:t>
            </w:r>
          </w:p>
        </w:tc>
        <w:tc>
          <w:tcPr>
            <w:tcW w:w="360" w:type="dxa"/>
            <w:vAlign w:val="bottom"/>
            <w:shd w:val="clear" w:color="auto" w:fill="E7E7E8"/>
          </w:tcPr>
          <w:p>
            <w:pPr>
              <w:spacing w:after="0"/>
              <w:rPr>
                <w:sz w:val="10"/>
                <w:szCs w:val="10"/>
                <w:color w:val="auto"/>
              </w:rPr>
            </w:pPr>
          </w:p>
        </w:tc>
        <w:tc>
          <w:tcPr>
            <w:tcW w:w="1200" w:type="dxa"/>
            <w:vAlign w:val="bottom"/>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48,503—2/14</w:t>
            </w:r>
          </w:p>
        </w:tc>
        <w:tc>
          <w:tcPr>
            <w:tcW w:w="1560" w:type="dxa"/>
            <w:vAlign w:val="bottom"/>
            <w:shd w:val="clear" w:color="auto" w:fill="E7E7E8"/>
          </w:tcPr>
          <w:p>
            <w:pPr>
              <w:spacing w:after="0"/>
              <w:rPr>
                <w:sz w:val="10"/>
                <w:szCs w:val="10"/>
                <w:color w:val="auto"/>
              </w:rPr>
            </w:pPr>
          </w:p>
        </w:tc>
        <w:tc>
          <w:tcPr>
            <w:tcW w:w="1240" w:type="dxa"/>
            <w:vAlign w:val="bottom"/>
            <w:shd w:val="clear" w:color="auto" w:fill="E7E7E8"/>
          </w:tcPr>
          <w:p>
            <w:pPr>
              <w:spacing w:after="0"/>
              <w:rPr>
                <w:sz w:val="10"/>
                <w:szCs w:val="10"/>
                <w:color w:val="auto"/>
              </w:rPr>
            </w:pPr>
          </w:p>
        </w:tc>
        <w:tc>
          <w:tcPr>
            <w:tcW w:w="180" w:type="dxa"/>
            <w:vAlign w:val="bottom"/>
            <w:tcBorders>
              <w:right w:val="single" w:sz="8" w:color="061844"/>
            </w:tcBorders>
            <w:shd w:val="clear" w:color="auto" w:fill="E7E7E8"/>
          </w:tcPr>
          <w:p>
            <w:pPr>
              <w:spacing w:after="0"/>
              <w:rPr>
                <w:sz w:val="10"/>
                <w:szCs w:val="10"/>
                <w:color w:val="auto"/>
              </w:rPr>
            </w:pPr>
          </w:p>
        </w:tc>
        <w:tc>
          <w:tcPr>
            <w:tcW w:w="300" w:type="dxa"/>
            <w:vAlign w:val="bottom"/>
            <w:shd w:val="clear" w:color="auto" w:fill="E7E7E8"/>
          </w:tcPr>
          <w:p>
            <w:pPr>
              <w:spacing w:after="0"/>
              <w:rPr>
                <w:sz w:val="10"/>
                <w:szCs w:val="10"/>
                <w:color w:val="auto"/>
              </w:rPr>
            </w:pPr>
          </w:p>
        </w:tc>
        <w:tc>
          <w:tcPr>
            <w:tcW w:w="840" w:type="dxa"/>
            <w:vAlign w:val="bottom"/>
            <w:gridSpan w:val="3"/>
            <w:vMerge w:val="restart"/>
            <w:shd w:val="clear" w:color="auto" w:fill="E7E7E8"/>
          </w:tcPr>
          <w:p>
            <w:pPr>
              <w:jc w:val="right"/>
              <w:ind w:right="100"/>
              <w:spacing w:after="0" w:line="157" w:lineRule="exact"/>
              <w:rPr>
                <w:sz w:val="20"/>
                <w:szCs w:val="20"/>
                <w:color w:val="auto"/>
              </w:rPr>
            </w:pPr>
            <w:r>
              <w:rPr>
                <w:rFonts w:ascii="Arial" w:cs="Arial" w:eastAsia="Arial" w:hAnsi="Arial"/>
                <w:sz w:val="14"/>
                <w:szCs w:val="14"/>
                <w:color w:val="auto"/>
              </w:rPr>
              <w:t>23,743</w:t>
            </w:r>
          </w:p>
        </w:tc>
        <w:tc>
          <w:tcPr>
            <w:tcW w:w="800" w:type="dxa"/>
            <w:vAlign w:val="bottom"/>
            <w:shd w:val="clear" w:color="auto" w:fill="E7E7E8"/>
          </w:tcPr>
          <w:p>
            <w:pPr>
              <w:spacing w:after="0"/>
              <w:rPr>
                <w:sz w:val="10"/>
                <w:szCs w:val="10"/>
                <w:color w:val="auto"/>
              </w:rPr>
            </w:pPr>
          </w:p>
        </w:tc>
        <w:tc>
          <w:tcPr>
            <w:tcW w:w="1100" w:type="dxa"/>
            <w:vAlign w:val="bottom"/>
            <w:shd w:val="clear" w:color="auto" w:fill="E7E7E8"/>
          </w:tcPr>
          <w:p>
            <w:pPr>
              <w:spacing w:after="0"/>
              <w:rPr>
                <w:sz w:val="20"/>
                <w:szCs w:val="20"/>
                <w:color w:val="auto"/>
              </w:rPr>
            </w:pPr>
            <w:r>
              <w:rPr>
                <w:rFonts w:ascii="Arial" w:cs="Arial" w:eastAsia="Arial" w:hAnsi="Arial"/>
                <w:sz w:val="10"/>
                <w:szCs w:val="10"/>
                <w:color w:val="auto"/>
              </w:rPr>
              <w:t>(a)</w:t>
            </w:r>
          </w:p>
        </w:tc>
        <w:tc>
          <w:tcPr>
            <w:tcW w:w="98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380" w:type="dxa"/>
            <w:vAlign w:val="bottom"/>
            <w:gridSpan w:val="2"/>
            <w:vMerge w:val="continue"/>
            <w:shd w:val="clear" w:color="auto" w:fill="E7E7E8"/>
          </w:tcPr>
          <w:p>
            <w:pPr>
              <w:spacing w:after="0"/>
              <w:rPr>
                <w:sz w:val="2"/>
                <w:szCs w:val="2"/>
                <w:color w:val="auto"/>
              </w:rPr>
            </w:pPr>
          </w:p>
        </w:tc>
        <w:tc>
          <w:tcPr>
            <w:tcW w:w="160" w:type="dxa"/>
            <w:vAlign w:val="bottom"/>
            <w:shd w:val="clear" w:color="auto" w:fill="E7E7E8"/>
          </w:tcPr>
          <w:p>
            <w:pPr>
              <w:spacing w:after="0"/>
              <w:rPr>
                <w:sz w:val="2"/>
                <w:szCs w:val="2"/>
                <w:color w:val="auto"/>
              </w:rPr>
            </w:pPr>
          </w:p>
        </w:tc>
        <w:tc>
          <w:tcPr>
            <w:tcW w:w="1160" w:type="dxa"/>
            <w:vAlign w:val="bottom"/>
            <w:gridSpan w:val="2"/>
            <w:vMerge w:val="continue"/>
            <w:shd w:val="clear" w:color="auto" w:fill="E7E7E8"/>
          </w:tcPr>
          <w:p>
            <w:pPr>
              <w:spacing w:after="0"/>
              <w:rPr>
                <w:sz w:val="2"/>
                <w:szCs w:val="2"/>
                <w:color w:val="auto"/>
              </w:rPr>
            </w:pPr>
          </w:p>
        </w:tc>
        <w:tc>
          <w:tcPr>
            <w:tcW w:w="360" w:type="dxa"/>
            <w:vAlign w:val="bottom"/>
            <w:shd w:val="clear" w:color="auto" w:fill="E7E7E8"/>
          </w:tcPr>
          <w:p>
            <w:pPr>
              <w:spacing w:after="0"/>
              <w:rPr>
                <w:sz w:val="2"/>
                <w:szCs w:val="2"/>
                <w:color w:val="auto"/>
              </w:rPr>
            </w:pPr>
          </w:p>
        </w:tc>
        <w:tc>
          <w:tcPr>
            <w:tcW w:w="1200" w:type="dxa"/>
            <w:vAlign w:val="bottom"/>
            <w:vMerge w:val="continue"/>
            <w:shd w:val="clear" w:color="auto" w:fill="E7E7E8"/>
          </w:tcPr>
          <w:p>
            <w:pPr>
              <w:spacing w:after="0"/>
              <w:rPr>
                <w:sz w:val="2"/>
                <w:szCs w:val="2"/>
                <w:color w:val="auto"/>
              </w:rPr>
            </w:pPr>
          </w:p>
        </w:tc>
        <w:tc>
          <w:tcPr>
            <w:tcW w:w="1560" w:type="dxa"/>
            <w:vAlign w:val="bottom"/>
            <w:shd w:val="clear" w:color="auto" w:fill="E7E7E8"/>
          </w:tcPr>
          <w:p>
            <w:pPr>
              <w:spacing w:after="0"/>
              <w:rPr>
                <w:sz w:val="2"/>
                <w:szCs w:val="2"/>
                <w:color w:val="auto"/>
              </w:rPr>
            </w:pPr>
          </w:p>
        </w:tc>
        <w:tc>
          <w:tcPr>
            <w:tcW w:w="1240" w:type="dxa"/>
            <w:vAlign w:val="bottom"/>
            <w:shd w:val="clear" w:color="auto" w:fill="E7E7E8"/>
          </w:tcPr>
          <w:p>
            <w:pPr>
              <w:spacing w:after="0"/>
              <w:rPr>
                <w:sz w:val="2"/>
                <w:szCs w:val="2"/>
                <w:color w:val="auto"/>
              </w:rPr>
            </w:pPr>
          </w:p>
        </w:tc>
        <w:tc>
          <w:tcPr>
            <w:tcW w:w="180" w:type="dxa"/>
            <w:vAlign w:val="bottom"/>
            <w:tcBorders>
              <w:right w:val="single" w:sz="8" w:color="061844"/>
            </w:tcBorders>
            <w:shd w:val="clear" w:color="auto" w:fill="E7E7E8"/>
          </w:tcPr>
          <w:p>
            <w:pPr>
              <w:spacing w:after="0"/>
              <w:rPr>
                <w:sz w:val="2"/>
                <w:szCs w:val="2"/>
                <w:color w:val="auto"/>
              </w:rPr>
            </w:pPr>
          </w:p>
        </w:tc>
        <w:tc>
          <w:tcPr>
            <w:tcW w:w="300" w:type="dxa"/>
            <w:vAlign w:val="bottom"/>
            <w:shd w:val="clear" w:color="auto" w:fill="E7E7E8"/>
          </w:tcPr>
          <w:p>
            <w:pPr>
              <w:spacing w:after="0"/>
              <w:rPr>
                <w:sz w:val="2"/>
                <w:szCs w:val="2"/>
                <w:color w:val="auto"/>
              </w:rPr>
            </w:pPr>
          </w:p>
        </w:tc>
        <w:tc>
          <w:tcPr>
            <w:tcW w:w="840" w:type="dxa"/>
            <w:vAlign w:val="bottom"/>
            <w:gridSpan w:val="3"/>
            <w:vMerge w:val="continue"/>
            <w:shd w:val="clear" w:color="auto" w:fill="E7E7E8"/>
          </w:tcPr>
          <w:p>
            <w:pPr>
              <w:spacing w:after="0"/>
              <w:rPr>
                <w:sz w:val="2"/>
                <w:szCs w:val="2"/>
                <w:color w:val="auto"/>
              </w:rPr>
            </w:pPr>
          </w:p>
        </w:tc>
        <w:tc>
          <w:tcPr>
            <w:tcW w:w="800" w:type="dxa"/>
            <w:vAlign w:val="bottom"/>
            <w:shd w:val="clear" w:color="auto" w:fill="E7E7E8"/>
          </w:tcPr>
          <w:p>
            <w:pPr>
              <w:spacing w:after="0"/>
              <w:rPr>
                <w:sz w:val="2"/>
                <w:szCs w:val="2"/>
                <w:color w:val="auto"/>
              </w:rPr>
            </w:pPr>
          </w:p>
        </w:tc>
        <w:tc>
          <w:tcPr>
            <w:tcW w:w="1100" w:type="dxa"/>
            <w:vAlign w:val="bottom"/>
            <w:vMerge w:val="restart"/>
            <w:shd w:val="clear" w:color="auto" w:fill="E7E7E8"/>
          </w:tcPr>
          <w:p>
            <w:pPr>
              <w:spacing w:after="0"/>
              <w:rPr>
                <w:sz w:val="20"/>
                <w:szCs w:val="20"/>
                <w:color w:val="auto"/>
              </w:rPr>
            </w:pPr>
            <w:r>
              <w:rPr>
                <w:rFonts w:ascii="Arial" w:cs="Arial" w:eastAsia="Arial" w:hAnsi="Arial"/>
                <w:sz w:val="10"/>
                <w:szCs w:val="10"/>
                <w:color w:val="auto"/>
              </w:rPr>
              <w:t>(b)</w:t>
            </w:r>
          </w:p>
        </w:tc>
        <w:tc>
          <w:tcPr>
            <w:tcW w:w="980" w:type="dxa"/>
            <w:vAlign w:val="bottom"/>
            <w:shd w:val="clear" w:color="auto" w:fill="E7E7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520" w:type="dxa"/>
            <w:vAlign w:val="bottom"/>
            <w:shd w:val="clear" w:color="auto" w:fill="E7E7E8"/>
          </w:tcPr>
          <w:p>
            <w:pPr>
              <w:spacing w:after="0"/>
              <w:rPr>
                <w:sz w:val="8"/>
                <w:szCs w:val="8"/>
                <w:color w:val="auto"/>
              </w:rPr>
            </w:pPr>
          </w:p>
        </w:tc>
        <w:tc>
          <w:tcPr>
            <w:tcW w:w="86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1160" w:type="dxa"/>
            <w:vAlign w:val="bottom"/>
            <w:gridSpan w:val="2"/>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62,760</w:t>
            </w:r>
          </w:p>
        </w:tc>
        <w:tc>
          <w:tcPr>
            <w:tcW w:w="360" w:type="dxa"/>
            <w:vAlign w:val="bottom"/>
            <w:shd w:val="clear" w:color="auto" w:fill="E7E7E8"/>
          </w:tcPr>
          <w:p>
            <w:pPr>
              <w:spacing w:after="0"/>
              <w:rPr>
                <w:sz w:val="8"/>
                <w:szCs w:val="8"/>
                <w:color w:val="auto"/>
              </w:rPr>
            </w:pPr>
          </w:p>
        </w:tc>
        <w:tc>
          <w:tcPr>
            <w:tcW w:w="1200" w:type="dxa"/>
            <w:vAlign w:val="bottom"/>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31,380—2/20</w:t>
            </w:r>
          </w:p>
        </w:tc>
        <w:tc>
          <w:tcPr>
            <w:tcW w:w="1560" w:type="dxa"/>
            <w:vAlign w:val="bottom"/>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31,380—2/20</w:t>
            </w:r>
          </w:p>
        </w:tc>
        <w:tc>
          <w:tcPr>
            <w:tcW w:w="1240" w:type="dxa"/>
            <w:vAlign w:val="bottom"/>
            <w:shd w:val="clear" w:color="auto" w:fill="E7E7E8"/>
          </w:tcPr>
          <w:p>
            <w:pPr>
              <w:spacing w:after="0"/>
              <w:rPr>
                <w:sz w:val="8"/>
                <w:szCs w:val="8"/>
                <w:color w:val="auto"/>
              </w:rPr>
            </w:pPr>
          </w:p>
        </w:tc>
        <w:tc>
          <w:tcPr>
            <w:tcW w:w="180" w:type="dxa"/>
            <w:vAlign w:val="bottom"/>
            <w:tcBorders>
              <w:right w:val="single" w:sz="8" w:color="061844"/>
            </w:tcBorders>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40" w:type="dxa"/>
            <w:vAlign w:val="bottom"/>
            <w:shd w:val="clear" w:color="auto" w:fill="E7E7E8"/>
          </w:tcPr>
          <w:p>
            <w:pPr>
              <w:spacing w:after="0"/>
              <w:rPr>
                <w:sz w:val="8"/>
                <w:szCs w:val="8"/>
                <w:color w:val="auto"/>
              </w:rPr>
            </w:pPr>
          </w:p>
        </w:tc>
        <w:tc>
          <w:tcPr>
            <w:tcW w:w="800" w:type="dxa"/>
            <w:vAlign w:val="bottom"/>
            <w:gridSpan w:val="2"/>
            <w:vMerge w:val="restart"/>
            <w:shd w:val="clear" w:color="auto" w:fill="E7E7E8"/>
          </w:tcPr>
          <w:p>
            <w:pPr>
              <w:jc w:val="right"/>
              <w:ind w:right="100"/>
              <w:spacing w:after="0" w:line="157" w:lineRule="exact"/>
              <w:rPr>
                <w:sz w:val="20"/>
                <w:szCs w:val="20"/>
                <w:color w:val="auto"/>
              </w:rPr>
            </w:pPr>
            <w:r>
              <w:rPr>
                <w:rFonts w:ascii="Arial" w:cs="Arial" w:eastAsia="Arial" w:hAnsi="Arial"/>
                <w:sz w:val="14"/>
                <w:szCs w:val="14"/>
                <w:color w:val="auto"/>
              </w:rPr>
              <w:t>36,393</w:t>
            </w:r>
          </w:p>
        </w:tc>
        <w:tc>
          <w:tcPr>
            <w:tcW w:w="800" w:type="dxa"/>
            <w:vAlign w:val="bottom"/>
            <w:shd w:val="clear" w:color="auto" w:fill="E7E7E8"/>
          </w:tcPr>
          <w:p>
            <w:pPr>
              <w:spacing w:after="0"/>
              <w:rPr>
                <w:sz w:val="8"/>
                <w:szCs w:val="8"/>
                <w:color w:val="auto"/>
              </w:rPr>
            </w:pPr>
          </w:p>
        </w:tc>
        <w:tc>
          <w:tcPr>
            <w:tcW w:w="1100" w:type="dxa"/>
            <w:vAlign w:val="bottom"/>
            <w:vMerge w:val="continue"/>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520" w:type="dxa"/>
            <w:vAlign w:val="bottom"/>
            <w:shd w:val="clear" w:color="auto" w:fill="E7E7E8"/>
          </w:tcPr>
          <w:p>
            <w:pPr>
              <w:spacing w:after="0"/>
              <w:rPr>
                <w:sz w:val="5"/>
                <w:szCs w:val="5"/>
                <w:color w:val="auto"/>
              </w:rPr>
            </w:pPr>
          </w:p>
        </w:tc>
        <w:tc>
          <w:tcPr>
            <w:tcW w:w="86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1160" w:type="dxa"/>
            <w:vAlign w:val="bottom"/>
            <w:gridSpan w:val="2"/>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1200" w:type="dxa"/>
            <w:vAlign w:val="bottom"/>
            <w:vMerge w:val="continue"/>
            <w:shd w:val="clear" w:color="auto" w:fill="E7E7E8"/>
          </w:tcPr>
          <w:p>
            <w:pPr>
              <w:spacing w:after="0"/>
              <w:rPr>
                <w:sz w:val="5"/>
                <w:szCs w:val="5"/>
                <w:color w:val="auto"/>
              </w:rPr>
            </w:pPr>
          </w:p>
        </w:tc>
        <w:tc>
          <w:tcPr>
            <w:tcW w:w="1560" w:type="dxa"/>
            <w:vAlign w:val="bottom"/>
            <w:vMerge w:val="continue"/>
            <w:shd w:val="clear" w:color="auto" w:fill="E7E7E8"/>
          </w:tcPr>
          <w:p>
            <w:pPr>
              <w:spacing w:after="0"/>
              <w:rPr>
                <w:sz w:val="5"/>
                <w:szCs w:val="5"/>
                <w:color w:val="auto"/>
              </w:rPr>
            </w:pPr>
          </w:p>
        </w:tc>
        <w:tc>
          <w:tcPr>
            <w:tcW w:w="1240" w:type="dxa"/>
            <w:vAlign w:val="bottom"/>
            <w:shd w:val="clear" w:color="auto" w:fill="E7E7E8"/>
          </w:tcPr>
          <w:p>
            <w:pPr>
              <w:spacing w:after="0"/>
              <w:rPr>
                <w:sz w:val="5"/>
                <w:szCs w:val="5"/>
                <w:color w:val="auto"/>
              </w:rPr>
            </w:pPr>
          </w:p>
        </w:tc>
        <w:tc>
          <w:tcPr>
            <w:tcW w:w="180" w:type="dxa"/>
            <w:vAlign w:val="bottom"/>
            <w:tcBorders>
              <w:right w:val="single" w:sz="8" w:color="061844"/>
            </w:tcBorders>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40" w:type="dxa"/>
            <w:vAlign w:val="bottom"/>
            <w:shd w:val="clear" w:color="auto" w:fill="E7E7E8"/>
          </w:tcPr>
          <w:p>
            <w:pPr>
              <w:spacing w:after="0"/>
              <w:rPr>
                <w:sz w:val="5"/>
                <w:szCs w:val="5"/>
                <w:color w:val="auto"/>
              </w:rPr>
            </w:pPr>
          </w:p>
        </w:tc>
        <w:tc>
          <w:tcPr>
            <w:tcW w:w="800" w:type="dxa"/>
            <w:vAlign w:val="bottom"/>
            <w:gridSpan w:val="2"/>
            <w:vMerge w:val="continue"/>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1100" w:type="dxa"/>
            <w:vAlign w:val="bottom"/>
            <w:vMerge w:val="restart"/>
            <w:shd w:val="clear" w:color="auto" w:fill="E7E7E8"/>
          </w:tcPr>
          <w:p>
            <w:pPr>
              <w:spacing w:after="0"/>
              <w:rPr>
                <w:sz w:val="20"/>
                <w:szCs w:val="20"/>
                <w:color w:val="auto"/>
              </w:rPr>
            </w:pPr>
            <w:r>
              <w:rPr>
                <w:rFonts w:ascii="Arial" w:cs="Arial" w:eastAsia="Arial" w:hAnsi="Arial"/>
                <w:sz w:val="10"/>
                <w:szCs w:val="10"/>
                <w:color w:val="auto"/>
              </w:rPr>
              <w:t>(c)</w:t>
            </w:r>
          </w:p>
        </w:tc>
        <w:tc>
          <w:tcPr>
            <w:tcW w:w="9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E7E7E8"/>
          </w:tcPr>
          <w:p>
            <w:pPr>
              <w:spacing w:after="0"/>
              <w:rPr>
                <w:sz w:val="8"/>
                <w:szCs w:val="8"/>
                <w:color w:val="auto"/>
              </w:rPr>
            </w:pPr>
          </w:p>
        </w:tc>
        <w:tc>
          <w:tcPr>
            <w:tcW w:w="86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60" w:type="dxa"/>
            <w:vAlign w:val="bottom"/>
            <w:shd w:val="clear" w:color="auto" w:fill="E7E7E8"/>
          </w:tcPr>
          <w:p>
            <w:pPr>
              <w:spacing w:after="0"/>
              <w:rPr>
                <w:sz w:val="8"/>
                <w:szCs w:val="8"/>
                <w:color w:val="auto"/>
              </w:rPr>
            </w:pPr>
          </w:p>
        </w:tc>
        <w:tc>
          <w:tcPr>
            <w:tcW w:w="1100" w:type="dxa"/>
            <w:vAlign w:val="bottom"/>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103,220</w:t>
            </w:r>
          </w:p>
        </w:tc>
        <w:tc>
          <w:tcPr>
            <w:tcW w:w="360" w:type="dxa"/>
            <w:vAlign w:val="bottom"/>
            <w:shd w:val="clear" w:color="auto" w:fill="E7E7E8"/>
          </w:tcPr>
          <w:p>
            <w:pPr>
              <w:spacing w:after="0"/>
              <w:rPr>
                <w:sz w:val="8"/>
                <w:szCs w:val="8"/>
                <w:color w:val="auto"/>
              </w:rPr>
            </w:pPr>
          </w:p>
        </w:tc>
        <w:tc>
          <w:tcPr>
            <w:tcW w:w="1200" w:type="dxa"/>
            <w:vAlign w:val="bottom"/>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34,407—2/19</w:t>
            </w:r>
          </w:p>
        </w:tc>
        <w:tc>
          <w:tcPr>
            <w:tcW w:w="1560" w:type="dxa"/>
            <w:vAlign w:val="bottom"/>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34,406—2/19</w:t>
            </w:r>
          </w:p>
        </w:tc>
        <w:tc>
          <w:tcPr>
            <w:tcW w:w="1420" w:type="dxa"/>
            <w:vAlign w:val="bottom"/>
            <w:tcBorders>
              <w:right w:val="single" w:sz="8" w:color="061844"/>
            </w:tcBorders>
            <w:gridSpan w:val="2"/>
            <w:vMerge w:val="restart"/>
            <w:shd w:val="clear" w:color="auto" w:fill="E7E7E8"/>
          </w:tcPr>
          <w:p>
            <w:pPr>
              <w:jc w:val="right"/>
              <w:ind w:right="180"/>
              <w:spacing w:after="0" w:line="157" w:lineRule="exact"/>
              <w:rPr>
                <w:sz w:val="20"/>
                <w:szCs w:val="20"/>
                <w:color w:val="auto"/>
              </w:rPr>
            </w:pPr>
            <w:r>
              <w:rPr>
                <w:rFonts w:ascii="Arial" w:cs="Arial" w:eastAsia="Arial" w:hAnsi="Arial"/>
                <w:sz w:val="14"/>
                <w:szCs w:val="14"/>
                <w:color w:val="auto"/>
              </w:rPr>
              <w:t>34,407—2/19</w:t>
            </w:r>
          </w:p>
        </w:tc>
        <w:tc>
          <w:tcPr>
            <w:tcW w:w="300" w:type="dxa"/>
            <w:vAlign w:val="bottom"/>
            <w:shd w:val="clear" w:color="auto" w:fill="E7E7E8"/>
          </w:tcPr>
          <w:p>
            <w:pPr>
              <w:spacing w:after="0"/>
              <w:rPr>
                <w:sz w:val="8"/>
                <w:szCs w:val="8"/>
                <w:color w:val="auto"/>
              </w:rPr>
            </w:pPr>
          </w:p>
        </w:tc>
        <w:tc>
          <w:tcPr>
            <w:tcW w:w="40" w:type="dxa"/>
            <w:vAlign w:val="bottom"/>
            <w:shd w:val="clear" w:color="auto" w:fill="E7E7E8"/>
          </w:tcPr>
          <w:p>
            <w:pPr>
              <w:spacing w:after="0"/>
              <w:rPr>
                <w:sz w:val="8"/>
                <w:szCs w:val="8"/>
                <w:color w:val="auto"/>
              </w:rPr>
            </w:pPr>
          </w:p>
        </w:tc>
        <w:tc>
          <w:tcPr>
            <w:tcW w:w="700" w:type="dxa"/>
            <w:vAlign w:val="bottom"/>
            <w:vMerge w:val="restart"/>
            <w:shd w:val="clear" w:color="auto" w:fill="E7E7E8"/>
          </w:tcPr>
          <w:p>
            <w:pPr>
              <w:jc w:val="right"/>
              <w:spacing w:after="0" w:line="157" w:lineRule="exact"/>
              <w:rPr>
                <w:sz w:val="20"/>
                <w:szCs w:val="20"/>
                <w:color w:val="auto"/>
              </w:rPr>
            </w:pPr>
            <w:r>
              <w:rPr>
                <w:rFonts w:ascii="Arial" w:cs="Arial" w:eastAsia="Arial" w:hAnsi="Arial"/>
                <w:sz w:val="14"/>
                <w:szCs w:val="14"/>
                <w:color w:val="auto"/>
              </w:rPr>
              <w:t>52,220</w:t>
            </w:r>
          </w:p>
        </w:tc>
        <w:tc>
          <w:tcPr>
            <w:tcW w:w="100" w:type="dxa"/>
            <w:vAlign w:val="bottom"/>
            <w:shd w:val="clear" w:color="auto" w:fill="E7E7E8"/>
          </w:tcPr>
          <w:p>
            <w:pPr>
              <w:spacing w:after="0"/>
              <w:rPr>
                <w:sz w:val="8"/>
                <w:szCs w:val="8"/>
                <w:color w:val="auto"/>
              </w:rPr>
            </w:pPr>
          </w:p>
        </w:tc>
        <w:tc>
          <w:tcPr>
            <w:tcW w:w="800" w:type="dxa"/>
            <w:vAlign w:val="bottom"/>
            <w:shd w:val="clear" w:color="auto" w:fill="E7E7E8"/>
          </w:tcPr>
          <w:p>
            <w:pPr>
              <w:spacing w:after="0"/>
              <w:rPr>
                <w:sz w:val="8"/>
                <w:szCs w:val="8"/>
                <w:color w:val="auto"/>
              </w:rPr>
            </w:pPr>
          </w:p>
        </w:tc>
        <w:tc>
          <w:tcPr>
            <w:tcW w:w="1100" w:type="dxa"/>
            <w:vAlign w:val="bottom"/>
            <w:vMerge w:val="continue"/>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520" w:type="dxa"/>
            <w:vAlign w:val="bottom"/>
            <w:shd w:val="clear" w:color="auto" w:fill="E7E7E8"/>
          </w:tcPr>
          <w:p>
            <w:pPr>
              <w:spacing w:after="0"/>
              <w:rPr>
                <w:sz w:val="5"/>
                <w:szCs w:val="5"/>
                <w:color w:val="auto"/>
              </w:rPr>
            </w:pPr>
          </w:p>
        </w:tc>
        <w:tc>
          <w:tcPr>
            <w:tcW w:w="86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60" w:type="dxa"/>
            <w:vAlign w:val="bottom"/>
            <w:shd w:val="clear" w:color="auto" w:fill="E7E7E8"/>
          </w:tcPr>
          <w:p>
            <w:pPr>
              <w:spacing w:after="0"/>
              <w:rPr>
                <w:sz w:val="5"/>
                <w:szCs w:val="5"/>
                <w:color w:val="auto"/>
              </w:rPr>
            </w:pPr>
          </w:p>
        </w:tc>
        <w:tc>
          <w:tcPr>
            <w:tcW w:w="1100" w:type="dxa"/>
            <w:vAlign w:val="bottom"/>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1200" w:type="dxa"/>
            <w:vAlign w:val="bottom"/>
            <w:vMerge w:val="continue"/>
            <w:shd w:val="clear" w:color="auto" w:fill="E7E7E8"/>
          </w:tcPr>
          <w:p>
            <w:pPr>
              <w:spacing w:after="0"/>
              <w:rPr>
                <w:sz w:val="5"/>
                <w:szCs w:val="5"/>
                <w:color w:val="auto"/>
              </w:rPr>
            </w:pPr>
          </w:p>
        </w:tc>
        <w:tc>
          <w:tcPr>
            <w:tcW w:w="1560" w:type="dxa"/>
            <w:vAlign w:val="bottom"/>
            <w:vMerge w:val="continue"/>
            <w:shd w:val="clear" w:color="auto" w:fill="E7E7E8"/>
          </w:tcPr>
          <w:p>
            <w:pPr>
              <w:spacing w:after="0"/>
              <w:rPr>
                <w:sz w:val="5"/>
                <w:szCs w:val="5"/>
                <w:color w:val="auto"/>
              </w:rPr>
            </w:pPr>
          </w:p>
        </w:tc>
        <w:tc>
          <w:tcPr>
            <w:tcW w:w="1420" w:type="dxa"/>
            <w:vAlign w:val="bottom"/>
            <w:tcBorders>
              <w:right w:val="single" w:sz="8" w:color="061844"/>
            </w:tcBorders>
            <w:gridSpan w:val="2"/>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40" w:type="dxa"/>
            <w:vAlign w:val="bottom"/>
            <w:shd w:val="clear" w:color="auto" w:fill="E7E7E8"/>
          </w:tcPr>
          <w:p>
            <w:pPr>
              <w:spacing w:after="0"/>
              <w:rPr>
                <w:sz w:val="5"/>
                <w:szCs w:val="5"/>
                <w:color w:val="auto"/>
              </w:rPr>
            </w:pPr>
          </w:p>
        </w:tc>
        <w:tc>
          <w:tcPr>
            <w:tcW w:w="70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1100" w:type="dxa"/>
            <w:vAlign w:val="bottom"/>
            <w:vMerge w:val="restart"/>
            <w:shd w:val="clear" w:color="auto" w:fill="E7E7E8"/>
          </w:tcPr>
          <w:p>
            <w:pPr>
              <w:spacing w:after="0"/>
              <w:rPr>
                <w:sz w:val="20"/>
                <w:szCs w:val="20"/>
                <w:color w:val="auto"/>
              </w:rPr>
            </w:pPr>
            <w:r>
              <w:rPr>
                <w:rFonts w:ascii="Arial" w:cs="Arial" w:eastAsia="Arial" w:hAnsi="Arial"/>
                <w:sz w:val="10"/>
                <w:szCs w:val="10"/>
                <w:color w:val="auto"/>
              </w:rPr>
              <w:t>(e)</w:t>
            </w:r>
          </w:p>
        </w:tc>
        <w:tc>
          <w:tcPr>
            <w:tcW w:w="9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520" w:type="dxa"/>
            <w:vAlign w:val="bottom"/>
            <w:shd w:val="clear" w:color="auto" w:fill="E7E7E8"/>
          </w:tcPr>
          <w:p>
            <w:pPr>
              <w:spacing w:after="0"/>
              <w:rPr>
                <w:sz w:val="8"/>
                <w:szCs w:val="8"/>
                <w:color w:val="auto"/>
              </w:rPr>
            </w:pPr>
          </w:p>
        </w:tc>
        <w:tc>
          <w:tcPr>
            <w:tcW w:w="86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60" w:type="dxa"/>
            <w:vAlign w:val="bottom"/>
            <w:shd w:val="clear" w:color="auto" w:fill="E7E7E8"/>
          </w:tcPr>
          <w:p>
            <w:pPr>
              <w:spacing w:after="0"/>
              <w:rPr>
                <w:sz w:val="8"/>
                <w:szCs w:val="8"/>
                <w:color w:val="auto"/>
              </w:rPr>
            </w:pPr>
          </w:p>
        </w:tc>
        <w:tc>
          <w:tcPr>
            <w:tcW w:w="1100" w:type="dxa"/>
            <w:vAlign w:val="bottom"/>
            <w:shd w:val="clear" w:color="auto" w:fill="E7E7E8"/>
          </w:tcPr>
          <w:p>
            <w:pPr>
              <w:spacing w:after="0"/>
              <w:rPr>
                <w:sz w:val="8"/>
                <w:szCs w:val="8"/>
                <w:color w:val="auto"/>
              </w:rPr>
            </w:pPr>
          </w:p>
        </w:tc>
        <w:tc>
          <w:tcPr>
            <w:tcW w:w="360" w:type="dxa"/>
            <w:vAlign w:val="bottom"/>
            <w:shd w:val="clear" w:color="auto" w:fill="E7E7E8"/>
          </w:tcPr>
          <w:p>
            <w:pPr>
              <w:spacing w:after="0"/>
              <w:rPr>
                <w:sz w:val="8"/>
                <w:szCs w:val="8"/>
                <w:color w:val="auto"/>
              </w:rPr>
            </w:pPr>
          </w:p>
        </w:tc>
        <w:tc>
          <w:tcPr>
            <w:tcW w:w="1200" w:type="dxa"/>
            <w:vAlign w:val="bottom"/>
            <w:shd w:val="clear" w:color="auto" w:fill="E7E7E8"/>
          </w:tcPr>
          <w:p>
            <w:pPr>
              <w:spacing w:after="0"/>
              <w:rPr>
                <w:sz w:val="8"/>
                <w:szCs w:val="8"/>
                <w:color w:val="auto"/>
              </w:rPr>
            </w:pPr>
          </w:p>
        </w:tc>
        <w:tc>
          <w:tcPr>
            <w:tcW w:w="1560" w:type="dxa"/>
            <w:vAlign w:val="bottom"/>
            <w:shd w:val="clear" w:color="auto" w:fill="E7E7E8"/>
          </w:tcPr>
          <w:p>
            <w:pPr>
              <w:spacing w:after="0"/>
              <w:rPr>
                <w:sz w:val="8"/>
                <w:szCs w:val="8"/>
                <w:color w:val="auto"/>
              </w:rPr>
            </w:pPr>
          </w:p>
        </w:tc>
        <w:tc>
          <w:tcPr>
            <w:tcW w:w="1240" w:type="dxa"/>
            <w:vAlign w:val="bottom"/>
            <w:shd w:val="clear" w:color="auto" w:fill="E7E7E8"/>
          </w:tcPr>
          <w:p>
            <w:pPr>
              <w:spacing w:after="0"/>
              <w:rPr>
                <w:sz w:val="8"/>
                <w:szCs w:val="8"/>
                <w:color w:val="auto"/>
              </w:rPr>
            </w:pPr>
          </w:p>
        </w:tc>
        <w:tc>
          <w:tcPr>
            <w:tcW w:w="180" w:type="dxa"/>
            <w:vAlign w:val="bottom"/>
            <w:tcBorders>
              <w:right w:val="single" w:sz="8" w:color="061844"/>
            </w:tcBorders>
            <w:shd w:val="clear" w:color="auto" w:fill="E7E7E8"/>
          </w:tcPr>
          <w:p>
            <w:pPr>
              <w:spacing w:after="0"/>
              <w:rPr>
                <w:sz w:val="8"/>
                <w:szCs w:val="8"/>
                <w:color w:val="auto"/>
              </w:rPr>
            </w:pPr>
          </w:p>
        </w:tc>
        <w:tc>
          <w:tcPr>
            <w:tcW w:w="300" w:type="dxa"/>
            <w:vAlign w:val="bottom"/>
            <w:shd w:val="clear" w:color="auto" w:fill="E7E7E8"/>
          </w:tcPr>
          <w:p>
            <w:pPr>
              <w:spacing w:after="0"/>
              <w:rPr>
                <w:sz w:val="8"/>
                <w:szCs w:val="8"/>
                <w:color w:val="auto"/>
              </w:rPr>
            </w:pPr>
          </w:p>
        </w:tc>
        <w:tc>
          <w:tcPr>
            <w:tcW w:w="40" w:type="dxa"/>
            <w:vAlign w:val="bottom"/>
            <w:shd w:val="clear" w:color="auto" w:fill="E7E7E8"/>
          </w:tcPr>
          <w:p>
            <w:pPr>
              <w:spacing w:after="0"/>
              <w:rPr>
                <w:sz w:val="8"/>
                <w:szCs w:val="8"/>
                <w:color w:val="auto"/>
              </w:rPr>
            </w:pPr>
          </w:p>
        </w:tc>
        <w:tc>
          <w:tcPr>
            <w:tcW w:w="700" w:type="dxa"/>
            <w:vAlign w:val="bottom"/>
            <w:vMerge w:val="restart"/>
            <w:shd w:val="clear" w:color="auto" w:fill="E7E7E8"/>
          </w:tcPr>
          <w:p>
            <w:pPr>
              <w:jc w:val="right"/>
              <w:spacing w:after="0" w:line="157" w:lineRule="exact"/>
              <w:rPr>
                <w:sz w:val="20"/>
                <w:szCs w:val="20"/>
                <w:color w:val="auto"/>
              </w:rPr>
            </w:pPr>
            <w:r>
              <w:rPr>
                <w:rFonts w:ascii="Arial" w:cs="Arial" w:eastAsia="Arial" w:hAnsi="Arial"/>
                <w:sz w:val="14"/>
                <w:szCs w:val="14"/>
                <w:color w:val="auto"/>
              </w:rPr>
              <w:t>59,202</w:t>
            </w:r>
          </w:p>
        </w:tc>
        <w:tc>
          <w:tcPr>
            <w:tcW w:w="100" w:type="dxa"/>
            <w:vAlign w:val="bottom"/>
            <w:shd w:val="clear" w:color="auto" w:fill="E7E7E8"/>
          </w:tcPr>
          <w:p>
            <w:pPr>
              <w:spacing w:after="0"/>
              <w:rPr>
                <w:sz w:val="8"/>
                <w:szCs w:val="8"/>
                <w:color w:val="auto"/>
              </w:rPr>
            </w:pPr>
          </w:p>
        </w:tc>
        <w:tc>
          <w:tcPr>
            <w:tcW w:w="800" w:type="dxa"/>
            <w:vAlign w:val="bottom"/>
            <w:shd w:val="clear" w:color="auto" w:fill="E7E7E8"/>
          </w:tcPr>
          <w:p>
            <w:pPr>
              <w:spacing w:after="0"/>
              <w:rPr>
                <w:sz w:val="8"/>
                <w:szCs w:val="8"/>
                <w:color w:val="auto"/>
              </w:rPr>
            </w:pPr>
          </w:p>
        </w:tc>
        <w:tc>
          <w:tcPr>
            <w:tcW w:w="1100" w:type="dxa"/>
            <w:vAlign w:val="bottom"/>
            <w:vMerge w:val="continue"/>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520" w:type="dxa"/>
            <w:vAlign w:val="bottom"/>
            <w:shd w:val="clear" w:color="auto" w:fill="E7E7E8"/>
          </w:tcPr>
          <w:p>
            <w:pPr>
              <w:spacing w:after="0"/>
              <w:rPr>
                <w:sz w:val="5"/>
                <w:szCs w:val="5"/>
                <w:color w:val="auto"/>
              </w:rPr>
            </w:pPr>
          </w:p>
        </w:tc>
        <w:tc>
          <w:tcPr>
            <w:tcW w:w="86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60" w:type="dxa"/>
            <w:vAlign w:val="bottom"/>
            <w:shd w:val="clear" w:color="auto" w:fill="E7E7E8"/>
          </w:tcPr>
          <w:p>
            <w:pPr>
              <w:spacing w:after="0"/>
              <w:rPr>
                <w:sz w:val="5"/>
                <w:szCs w:val="5"/>
                <w:color w:val="auto"/>
              </w:rPr>
            </w:pPr>
          </w:p>
        </w:tc>
        <w:tc>
          <w:tcPr>
            <w:tcW w:w="1100" w:type="dxa"/>
            <w:vAlign w:val="bottom"/>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1200" w:type="dxa"/>
            <w:vAlign w:val="bottom"/>
            <w:shd w:val="clear" w:color="auto" w:fill="E7E7E8"/>
          </w:tcPr>
          <w:p>
            <w:pPr>
              <w:spacing w:after="0"/>
              <w:rPr>
                <w:sz w:val="5"/>
                <w:szCs w:val="5"/>
                <w:color w:val="auto"/>
              </w:rPr>
            </w:pPr>
          </w:p>
        </w:tc>
        <w:tc>
          <w:tcPr>
            <w:tcW w:w="1560" w:type="dxa"/>
            <w:vAlign w:val="bottom"/>
            <w:shd w:val="clear" w:color="auto" w:fill="E7E7E8"/>
          </w:tcPr>
          <w:p>
            <w:pPr>
              <w:spacing w:after="0"/>
              <w:rPr>
                <w:sz w:val="5"/>
                <w:szCs w:val="5"/>
                <w:color w:val="auto"/>
              </w:rPr>
            </w:pPr>
          </w:p>
        </w:tc>
        <w:tc>
          <w:tcPr>
            <w:tcW w:w="1240" w:type="dxa"/>
            <w:vAlign w:val="bottom"/>
            <w:shd w:val="clear" w:color="auto" w:fill="E7E7E8"/>
          </w:tcPr>
          <w:p>
            <w:pPr>
              <w:spacing w:after="0"/>
              <w:rPr>
                <w:sz w:val="5"/>
                <w:szCs w:val="5"/>
                <w:color w:val="auto"/>
              </w:rPr>
            </w:pPr>
          </w:p>
        </w:tc>
        <w:tc>
          <w:tcPr>
            <w:tcW w:w="180" w:type="dxa"/>
            <w:vAlign w:val="bottom"/>
            <w:tcBorders>
              <w:right w:val="single" w:sz="8" w:color="061844"/>
            </w:tcBorders>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40" w:type="dxa"/>
            <w:vAlign w:val="bottom"/>
            <w:shd w:val="clear" w:color="auto" w:fill="E7E7E8"/>
          </w:tcPr>
          <w:p>
            <w:pPr>
              <w:spacing w:after="0"/>
              <w:rPr>
                <w:sz w:val="5"/>
                <w:szCs w:val="5"/>
                <w:color w:val="auto"/>
              </w:rPr>
            </w:pPr>
          </w:p>
        </w:tc>
        <w:tc>
          <w:tcPr>
            <w:tcW w:w="700" w:type="dxa"/>
            <w:vAlign w:val="bottom"/>
            <w:vMerge w:val="continue"/>
            <w:shd w:val="clear" w:color="auto" w:fill="E7E7E8"/>
          </w:tcPr>
          <w:p>
            <w:pPr>
              <w:spacing w:after="0"/>
              <w:rPr>
                <w:sz w:val="5"/>
                <w:szCs w:val="5"/>
                <w:color w:val="auto"/>
              </w:rPr>
            </w:pPr>
          </w:p>
        </w:tc>
        <w:tc>
          <w:tcPr>
            <w:tcW w:w="100" w:type="dxa"/>
            <w:vAlign w:val="bottom"/>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110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540" w:type="dxa"/>
            <w:vAlign w:val="bottom"/>
            <w:gridSpan w:val="3"/>
            <w:vMerge w:val="restart"/>
          </w:tcPr>
          <w:p>
            <w:pPr>
              <w:spacing w:after="0"/>
              <w:rPr>
                <w:sz w:val="20"/>
                <w:szCs w:val="20"/>
                <w:color w:val="auto"/>
              </w:rPr>
            </w:pPr>
            <w:r>
              <w:rPr>
                <w:rFonts w:ascii="Arial" w:cs="Arial" w:eastAsia="Arial" w:hAnsi="Arial"/>
                <w:sz w:val="14"/>
                <w:szCs w:val="14"/>
                <w:color w:val="auto"/>
              </w:rPr>
              <w:t>C. Alban</w:t>
            </w:r>
          </w:p>
        </w:tc>
        <w:tc>
          <w:tcPr>
            <w:tcW w:w="1160" w:type="dxa"/>
            <w:vAlign w:val="bottom"/>
            <w:gridSpan w:val="2"/>
            <w:vMerge w:val="restart"/>
          </w:tcPr>
          <w:p>
            <w:pPr>
              <w:jc w:val="right"/>
              <w:ind w:right="250"/>
              <w:spacing w:after="0"/>
              <w:rPr>
                <w:sz w:val="20"/>
                <w:szCs w:val="20"/>
                <w:color w:val="auto"/>
              </w:rPr>
            </w:pPr>
            <w:r>
              <w:rPr>
                <w:rFonts w:ascii="Arial" w:cs="Arial" w:eastAsia="Arial" w:hAnsi="Arial"/>
                <w:sz w:val="14"/>
                <w:szCs w:val="14"/>
                <w:color w:val="auto"/>
              </w:rPr>
              <w:t>38,610</w:t>
            </w:r>
          </w:p>
        </w:tc>
        <w:tc>
          <w:tcPr>
            <w:tcW w:w="360" w:type="dxa"/>
            <w:vAlign w:val="bottom"/>
          </w:tcPr>
          <w:p>
            <w:pPr>
              <w:spacing w:after="0"/>
              <w:rPr>
                <w:sz w:val="10"/>
                <w:szCs w:val="10"/>
                <w:color w:val="auto"/>
              </w:rPr>
            </w:pPr>
          </w:p>
        </w:tc>
        <w:tc>
          <w:tcPr>
            <w:tcW w:w="1200" w:type="dxa"/>
            <w:vAlign w:val="bottom"/>
            <w:vMerge w:val="restart"/>
          </w:tcPr>
          <w:p>
            <w:pPr>
              <w:jc w:val="right"/>
              <w:ind w:right="250"/>
              <w:spacing w:after="0"/>
              <w:rPr>
                <w:sz w:val="20"/>
                <w:szCs w:val="20"/>
                <w:color w:val="auto"/>
              </w:rPr>
            </w:pPr>
            <w:r>
              <w:rPr>
                <w:rFonts w:ascii="Arial" w:cs="Arial" w:eastAsia="Arial" w:hAnsi="Arial"/>
                <w:sz w:val="14"/>
                <w:szCs w:val="14"/>
                <w:color w:val="auto"/>
              </w:rPr>
              <w:t>38,610—2/14</w:t>
            </w:r>
          </w:p>
        </w:tc>
        <w:tc>
          <w:tcPr>
            <w:tcW w:w="156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80" w:type="dxa"/>
            <w:vAlign w:val="bottom"/>
            <w:tcBorders>
              <w:right w:val="single" w:sz="8" w:color="061844"/>
            </w:tcBorders>
          </w:tcPr>
          <w:p>
            <w:pPr>
              <w:spacing w:after="0"/>
              <w:rPr>
                <w:sz w:val="10"/>
                <w:szCs w:val="10"/>
                <w:color w:val="auto"/>
              </w:rPr>
            </w:pPr>
          </w:p>
        </w:tc>
        <w:tc>
          <w:tcPr>
            <w:tcW w:w="300" w:type="dxa"/>
            <w:vAlign w:val="bottom"/>
          </w:tcPr>
          <w:p>
            <w:pPr>
              <w:spacing w:after="0"/>
              <w:rPr>
                <w:sz w:val="10"/>
                <w:szCs w:val="10"/>
                <w:color w:val="auto"/>
              </w:rPr>
            </w:pPr>
          </w:p>
        </w:tc>
        <w:tc>
          <w:tcPr>
            <w:tcW w:w="840" w:type="dxa"/>
            <w:vAlign w:val="bottom"/>
            <w:gridSpan w:val="3"/>
            <w:vMerge w:val="restart"/>
          </w:tcPr>
          <w:p>
            <w:pPr>
              <w:jc w:val="right"/>
              <w:ind w:right="100"/>
              <w:spacing w:after="0"/>
              <w:rPr>
                <w:sz w:val="20"/>
                <w:szCs w:val="20"/>
                <w:color w:val="auto"/>
              </w:rPr>
            </w:pPr>
            <w:r>
              <w:rPr>
                <w:rFonts w:ascii="Arial" w:cs="Arial" w:eastAsia="Arial" w:hAnsi="Arial"/>
                <w:sz w:val="14"/>
                <w:szCs w:val="14"/>
                <w:color w:val="auto"/>
              </w:rPr>
              <w:t>18,900</w:t>
            </w:r>
          </w:p>
        </w:tc>
        <w:tc>
          <w:tcPr>
            <w:tcW w:w="800" w:type="dxa"/>
            <w:vAlign w:val="bottom"/>
          </w:tcPr>
          <w:p>
            <w:pPr>
              <w:spacing w:after="0"/>
              <w:rPr>
                <w:sz w:val="10"/>
                <w:szCs w:val="10"/>
                <w:color w:val="auto"/>
              </w:rPr>
            </w:pPr>
          </w:p>
        </w:tc>
        <w:tc>
          <w:tcPr>
            <w:tcW w:w="1100" w:type="dxa"/>
            <w:vAlign w:val="bottom"/>
          </w:tcPr>
          <w:p>
            <w:pPr>
              <w:spacing w:after="0"/>
              <w:rPr>
                <w:sz w:val="20"/>
                <w:szCs w:val="20"/>
                <w:color w:val="auto"/>
              </w:rPr>
            </w:pPr>
            <w:r>
              <w:rPr>
                <w:rFonts w:ascii="Arial" w:cs="Arial" w:eastAsia="Arial" w:hAnsi="Arial"/>
                <w:sz w:val="10"/>
                <w:szCs w:val="10"/>
                <w:color w:val="auto"/>
              </w:rPr>
              <w:t>(a)</w:t>
            </w:r>
          </w:p>
        </w:tc>
        <w:tc>
          <w:tcPr>
            <w:tcW w:w="9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1540" w:type="dxa"/>
            <w:vAlign w:val="bottom"/>
            <w:gridSpan w:val="3"/>
            <w:vMerge w:val="continue"/>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360" w:type="dxa"/>
            <w:vAlign w:val="bottom"/>
          </w:tcPr>
          <w:p>
            <w:pPr>
              <w:spacing w:after="0"/>
              <w:rPr>
                <w:sz w:val="3"/>
                <w:szCs w:val="3"/>
                <w:color w:val="auto"/>
              </w:rPr>
            </w:pPr>
          </w:p>
        </w:tc>
        <w:tc>
          <w:tcPr>
            <w:tcW w:w="1200" w:type="dxa"/>
            <w:vAlign w:val="bottom"/>
            <w:vMerge w:val="continue"/>
          </w:tcPr>
          <w:p>
            <w:pPr>
              <w:spacing w:after="0"/>
              <w:rPr>
                <w:sz w:val="3"/>
                <w:szCs w:val="3"/>
                <w:color w:val="auto"/>
              </w:rPr>
            </w:pPr>
          </w:p>
        </w:tc>
        <w:tc>
          <w:tcPr>
            <w:tcW w:w="15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180" w:type="dxa"/>
            <w:vAlign w:val="bottom"/>
            <w:tcBorders>
              <w:right w:val="single" w:sz="8" w:color="061844"/>
            </w:tcBorders>
          </w:tcPr>
          <w:p>
            <w:pPr>
              <w:spacing w:after="0"/>
              <w:rPr>
                <w:sz w:val="3"/>
                <w:szCs w:val="3"/>
                <w:color w:val="auto"/>
              </w:rPr>
            </w:pPr>
          </w:p>
        </w:tc>
        <w:tc>
          <w:tcPr>
            <w:tcW w:w="3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800" w:type="dxa"/>
            <w:vAlign w:val="bottom"/>
          </w:tcPr>
          <w:p>
            <w:pPr>
              <w:spacing w:after="0"/>
              <w:rPr>
                <w:sz w:val="3"/>
                <w:szCs w:val="3"/>
                <w:color w:val="auto"/>
              </w:rPr>
            </w:pPr>
          </w:p>
        </w:tc>
        <w:tc>
          <w:tcPr>
            <w:tcW w:w="1100" w:type="dxa"/>
            <w:vAlign w:val="bottom"/>
            <w:vMerge w:val="restart"/>
          </w:tcPr>
          <w:p>
            <w:pPr>
              <w:spacing w:after="0"/>
              <w:rPr>
                <w:sz w:val="20"/>
                <w:szCs w:val="20"/>
                <w:color w:val="auto"/>
              </w:rPr>
            </w:pPr>
            <w:r>
              <w:rPr>
                <w:rFonts w:ascii="Arial" w:cs="Arial" w:eastAsia="Arial" w:hAnsi="Arial"/>
                <w:sz w:val="10"/>
                <w:szCs w:val="10"/>
                <w:color w:val="auto"/>
              </w:rPr>
              <w:t>(b)</w:t>
            </w:r>
          </w:p>
        </w:tc>
        <w:tc>
          <w:tcPr>
            <w:tcW w:w="9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91"/>
        </w:trPr>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jc w:val="right"/>
              <w:ind w:right="250"/>
              <w:spacing w:after="0" w:line="157" w:lineRule="exact"/>
              <w:rPr>
                <w:sz w:val="20"/>
                <w:szCs w:val="20"/>
                <w:color w:val="auto"/>
              </w:rPr>
            </w:pPr>
            <w:r>
              <w:rPr>
                <w:rFonts w:ascii="Arial" w:cs="Arial" w:eastAsia="Arial" w:hAnsi="Arial"/>
                <w:sz w:val="14"/>
                <w:szCs w:val="14"/>
                <w:color w:val="auto"/>
              </w:rPr>
              <w:t>54,333</w:t>
            </w:r>
          </w:p>
        </w:tc>
        <w:tc>
          <w:tcPr>
            <w:tcW w:w="360" w:type="dxa"/>
            <w:vAlign w:val="bottom"/>
          </w:tcPr>
          <w:p>
            <w:pPr>
              <w:spacing w:after="0"/>
              <w:rPr>
                <w:sz w:val="7"/>
                <w:szCs w:val="7"/>
                <w:color w:val="auto"/>
              </w:rPr>
            </w:pPr>
          </w:p>
        </w:tc>
        <w:tc>
          <w:tcPr>
            <w:tcW w:w="1200" w:type="dxa"/>
            <w:vAlign w:val="bottom"/>
            <w:vMerge w:val="restart"/>
          </w:tcPr>
          <w:p>
            <w:pPr>
              <w:jc w:val="right"/>
              <w:ind w:right="250"/>
              <w:spacing w:after="0" w:line="157" w:lineRule="exact"/>
              <w:rPr>
                <w:sz w:val="20"/>
                <w:szCs w:val="20"/>
                <w:color w:val="auto"/>
              </w:rPr>
            </w:pPr>
            <w:r>
              <w:rPr>
                <w:rFonts w:ascii="Arial" w:cs="Arial" w:eastAsia="Arial" w:hAnsi="Arial"/>
                <w:sz w:val="14"/>
                <w:szCs w:val="14"/>
                <w:color w:val="auto"/>
              </w:rPr>
              <w:t>27,166—2/20</w:t>
            </w:r>
          </w:p>
        </w:tc>
        <w:tc>
          <w:tcPr>
            <w:tcW w:w="1560" w:type="dxa"/>
            <w:vAlign w:val="bottom"/>
            <w:vMerge w:val="restart"/>
          </w:tcPr>
          <w:p>
            <w:pPr>
              <w:jc w:val="right"/>
              <w:ind w:right="250"/>
              <w:spacing w:after="0" w:line="157" w:lineRule="exact"/>
              <w:rPr>
                <w:sz w:val="20"/>
                <w:szCs w:val="20"/>
                <w:color w:val="auto"/>
              </w:rPr>
            </w:pPr>
            <w:r>
              <w:rPr>
                <w:rFonts w:ascii="Arial" w:cs="Arial" w:eastAsia="Arial" w:hAnsi="Arial"/>
                <w:sz w:val="14"/>
                <w:szCs w:val="14"/>
                <w:color w:val="auto"/>
              </w:rPr>
              <w:t>27,167—2/20</w:t>
            </w:r>
          </w:p>
        </w:tc>
        <w:tc>
          <w:tcPr>
            <w:tcW w:w="1240" w:type="dxa"/>
            <w:vAlign w:val="bottom"/>
          </w:tcPr>
          <w:p>
            <w:pPr>
              <w:spacing w:after="0"/>
              <w:rPr>
                <w:sz w:val="7"/>
                <w:szCs w:val="7"/>
                <w:color w:val="auto"/>
              </w:rPr>
            </w:pPr>
          </w:p>
        </w:tc>
        <w:tc>
          <w:tcPr>
            <w:tcW w:w="180" w:type="dxa"/>
            <w:vAlign w:val="bottom"/>
            <w:tcBorders>
              <w:right w:val="single" w:sz="8" w:color="061844"/>
            </w:tcBorders>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gridSpan w:val="3"/>
            <w:vMerge w:val="restart"/>
          </w:tcPr>
          <w:p>
            <w:pPr>
              <w:jc w:val="right"/>
              <w:ind w:right="100"/>
              <w:spacing w:after="0" w:line="157" w:lineRule="exact"/>
              <w:rPr>
                <w:sz w:val="20"/>
                <w:szCs w:val="20"/>
                <w:color w:val="auto"/>
              </w:rPr>
            </w:pPr>
            <w:r>
              <w:rPr>
                <w:rFonts w:ascii="Arial" w:cs="Arial" w:eastAsia="Arial" w:hAnsi="Arial"/>
                <w:sz w:val="14"/>
                <w:szCs w:val="14"/>
                <w:color w:val="auto"/>
              </w:rPr>
              <w:t>31,506</w:t>
            </w:r>
          </w:p>
        </w:tc>
        <w:tc>
          <w:tcPr>
            <w:tcW w:w="8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Borders>
              <w:right w:val="single" w:sz="8" w:color="061844"/>
            </w:tcBorders>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0"/>
                <w:szCs w:val="10"/>
                <w:color w:val="auto"/>
              </w:rPr>
              <w:t>(c)</w:t>
            </w: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60" w:type="dxa"/>
            <w:vAlign w:val="bottom"/>
            <w:gridSpan w:val="2"/>
            <w:vMerge w:val="restart"/>
          </w:tcPr>
          <w:p>
            <w:pPr>
              <w:jc w:val="right"/>
              <w:ind w:right="250"/>
              <w:spacing w:after="0" w:line="157" w:lineRule="exact"/>
              <w:rPr>
                <w:sz w:val="20"/>
                <w:szCs w:val="20"/>
                <w:color w:val="auto"/>
              </w:rPr>
            </w:pPr>
            <w:r>
              <w:rPr>
                <w:rFonts w:ascii="Arial" w:cs="Arial" w:eastAsia="Arial" w:hAnsi="Arial"/>
                <w:sz w:val="14"/>
                <w:szCs w:val="14"/>
                <w:color w:val="auto"/>
              </w:rPr>
              <w:t>101,960</w:t>
            </w:r>
          </w:p>
        </w:tc>
        <w:tc>
          <w:tcPr>
            <w:tcW w:w="360" w:type="dxa"/>
            <w:vAlign w:val="bottom"/>
          </w:tcPr>
          <w:p>
            <w:pPr>
              <w:spacing w:after="0"/>
              <w:rPr>
                <w:sz w:val="7"/>
                <w:szCs w:val="7"/>
                <w:color w:val="auto"/>
              </w:rPr>
            </w:pPr>
          </w:p>
        </w:tc>
        <w:tc>
          <w:tcPr>
            <w:tcW w:w="1200" w:type="dxa"/>
            <w:vAlign w:val="bottom"/>
            <w:vMerge w:val="restart"/>
          </w:tcPr>
          <w:p>
            <w:pPr>
              <w:jc w:val="right"/>
              <w:ind w:right="250"/>
              <w:spacing w:after="0" w:line="157" w:lineRule="exact"/>
              <w:rPr>
                <w:sz w:val="20"/>
                <w:szCs w:val="20"/>
                <w:color w:val="auto"/>
              </w:rPr>
            </w:pPr>
            <w:r>
              <w:rPr>
                <w:rFonts w:ascii="Arial" w:cs="Arial" w:eastAsia="Arial" w:hAnsi="Arial"/>
                <w:sz w:val="14"/>
                <w:szCs w:val="14"/>
                <w:color w:val="auto"/>
              </w:rPr>
              <w:t>33,987—2/19</w:t>
            </w:r>
          </w:p>
        </w:tc>
        <w:tc>
          <w:tcPr>
            <w:tcW w:w="1560" w:type="dxa"/>
            <w:vAlign w:val="bottom"/>
            <w:vMerge w:val="restart"/>
          </w:tcPr>
          <w:p>
            <w:pPr>
              <w:jc w:val="right"/>
              <w:ind w:right="250"/>
              <w:spacing w:after="0" w:line="157" w:lineRule="exact"/>
              <w:rPr>
                <w:sz w:val="20"/>
                <w:szCs w:val="20"/>
                <w:color w:val="auto"/>
              </w:rPr>
            </w:pPr>
            <w:r>
              <w:rPr>
                <w:rFonts w:ascii="Arial" w:cs="Arial" w:eastAsia="Arial" w:hAnsi="Arial"/>
                <w:sz w:val="14"/>
                <w:szCs w:val="14"/>
                <w:color w:val="auto"/>
              </w:rPr>
              <w:t>33,986—2/19</w:t>
            </w:r>
          </w:p>
        </w:tc>
        <w:tc>
          <w:tcPr>
            <w:tcW w:w="1420" w:type="dxa"/>
            <w:vAlign w:val="bottom"/>
            <w:tcBorders>
              <w:right w:val="single" w:sz="8" w:color="061844"/>
            </w:tcBorders>
            <w:gridSpan w:val="2"/>
            <w:vMerge w:val="restart"/>
          </w:tcPr>
          <w:p>
            <w:pPr>
              <w:jc w:val="right"/>
              <w:ind w:right="180"/>
              <w:spacing w:after="0" w:line="157" w:lineRule="exact"/>
              <w:rPr>
                <w:sz w:val="20"/>
                <w:szCs w:val="20"/>
                <w:color w:val="auto"/>
              </w:rPr>
            </w:pPr>
            <w:r>
              <w:rPr>
                <w:rFonts w:ascii="Arial" w:cs="Arial" w:eastAsia="Arial" w:hAnsi="Arial"/>
                <w:sz w:val="14"/>
                <w:szCs w:val="14"/>
                <w:color w:val="auto"/>
              </w:rPr>
              <w:t>33,987—2/19</w:t>
            </w:r>
          </w:p>
        </w:tc>
        <w:tc>
          <w:tcPr>
            <w:tcW w:w="300" w:type="dxa"/>
            <w:vAlign w:val="bottom"/>
          </w:tcPr>
          <w:p>
            <w:pPr>
              <w:spacing w:after="0"/>
              <w:rPr>
                <w:sz w:val="7"/>
                <w:szCs w:val="7"/>
                <w:color w:val="auto"/>
              </w:rPr>
            </w:pPr>
          </w:p>
        </w:tc>
        <w:tc>
          <w:tcPr>
            <w:tcW w:w="840" w:type="dxa"/>
            <w:vAlign w:val="bottom"/>
            <w:gridSpan w:val="3"/>
            <w:vMerge w:val="restart"/>
          </w:tcPr>
          <w:p>
            <w:pPr>
              <w:jc w:val="right"/>
              <w:ind w:right="100"/>
              <w:spacing w:after="0" w:line="157" w:lineRule="exact"/>
              <w:rPr>
                <w:sz w:val="20"/>
                <w:szCs w:val="20"/>
                <w:color w:val="auto"/>
              </w:rPr>
            </w:pPr>
            <w:r>
              <w:rPr>
                <w:rFonts w:ascii="Arial" w:cs="Arial" w:eastAsia="Arial" w:hAnsi="Arial"/>
                <w:sz w:val="14"/>
                <w:szCs w:val="14"/>
                <w:color w:val="auto"/>
              </w:rPr>
              <w:t>51,580</w:t>
            </w:r>
          </w:p>
        </w:tc>
        <w:tc>
          <w:tcPr>
            <w:tcW w:w="8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vMerge w:val="continue"/>
          </w:tcPr>
          <w:p>
            <w:pPr>
              <w:spacing w:after="0"/>
              <w:rPr>
                <w:sz w:val="5"/>
                <w:szCs w:val="5"/>
                <w:color w:val="auto"/>
              </w:rPr>
            </w:pPr>
          </w:p>
        </w:tc>
        <w:tc>
          <w:tcPr>
            <w:tcW w:w="1560" w:type="dxa"/>
            <w:vAlign w:val="bottom"/>
            <w:vMerge w:val="continue"/>
          </w:tcPr>
          <w:p>
            <w:pPr>
              <w:spacing w:after="0"/>
              <w:rPr>
                <w:sz w:val="5"/>
                <w:szCs w:val="5"/>
                <w:color w:val="auto"/>
              </w:rPr>
            </w:pPr>
          </w:p>
        </w:tc>
        <w:tc>
          <w:tcPr>
            <w:tcW w:w="1420" w:type="dxa"/>
            <w:vAlign w:val="bottom"/>
            <w:tcBorders>
              <w:right w:val="single" w:sz="8" w:color="061844"/>
            </w:tcBorders>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vMerge w:val="restart"/>
          </w:tcPr>
          <w:p>
            <w:pPr>
              <w:spacing w:after="0"/>
              <w:rPr>
                <w:sz w:val="20"/>
                <w:szCs w:val="20"/>
                <w:color w:val="auto"/>
              </w:rPr>
            </w:pPr>
            <w:r>
              <w:rPr>
                <w:rFonts w:ascii="Arial" w:cs="Arial" w:eastAsia="Arial" w:hAnsi="Arial"/>
                <w:sz w:val="10"/>
                <w:szCs w:val="10"/>
                <w:color w:val="auto"/>
              </w:rPr>
              <w:t>(e)</w:t>
            </w: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3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15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80" w:type="dxa"/>
            <w:vAlign w:val="bottom"/>
            <w:tcBorders>
              <w:right w:val="single" w:sz="8" w:color="061844"/>
            </w:tcBorders>
          </w:tcPr>
          <w:p>
            <w:pPr>
              <w:spacing w:after="0"/>
              <w:rPr>
                <w:sz w:val="7"/>
                <w:szCs w:val="7"/>
                <w:color w:val="auto"/>
              </w:rPr>
            </w:pPr>
          </w:p>
        </w:tc>
        <w:tc>
          <w:tcPr>
            <w:tcW w:w="300" w:type="dxa"/>
            <w:vAlign w:val="bottom"/>
          </w:tcPr>
          <w:p>
            <w:pPr>
              <w:spacing w:after="0"/>
              <w:rPr>
                <w:sz w:val="7"/>
                <w:szCs w:val="7"/>
                <w:color w:val="auto"/>
              </w:rPr>
            </w:pPr>
          </w:p>
        </w:tc>
        <w:tc>
          <w:tcPr>
            <w:tcW w:w="840" w:type="dxa"/>
            <w:vAlign w:val="bottom"/>
            <w:gridSpan w:val="3"/>
            <w:vMerge w:val="restart"/>
          </w:tcPr>
          <w:p>
            <w:pPr>
              <w:jc w:val="right"/>
              <w:ind w:right="100"/>
              <w:spacing w:after="0" w:line="152" w:lineRule="exact"/>
              <w:rPr>
                <w:sz w:val="20"/>
                <w:szCs w:val="20"/>
                <w:color w:val="auto"/>
              </w:rPr>
            </w:pPr>
            <w:r>
              <w:rPr>
                <w:rFonts w:ascii="Arial" w:cs="Arial" w:eastAsia="Arial" w:hAnsi="Arial"/>
                <w:sz w:val="14"/>
                <w:szCs w:val="14"/>
                <w:color w:val="auto"/>
              </w:rPr>
              <w:t>35,521</w:t>
            </w:r>
          </w:p>
        </w:tc>
        <w:tc>
          <w:tcPr>
            <w:tcW w:w="800" w:type="dxa"/>
            <w:vAlign w:val="bottom"/>
          </w:tcPr>
          <w:p>
            <w:pPr>
              <w:spacing w:after="0"/>
              <w:rPr>
                <w:sz w:val="7"/>
                <w:szCs w:val="7"/>
                <w:color w:val="auto"/>
              </w:rPr>
            </w:pPr>
          </w:p>
        </w:tc>
        <w:tc>
          <w:tcPr>
            <w:tcW w:w="110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1"/>
        </w:trPr>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3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156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80" w:type="dxa"/>
            <w:vAlign w:val="bottom"/>
            <w:tcBorders>
              <w:right w:val="single" w:sz="8" w:color="061844"/>
            </w:tcBorders>
          </w:tcPr>
          <w:p>
            <w:pPr>
              <w:spacing w:after="0"/>
              <w:rPr>
                <w:sz w:val="5"/>
                <w:szCs w:val="5"/>
                <w:color w:val="auto"/>
              </w:rPr>
            </w:pPr>
          </w:p>
        </w:tc>
        <w:tc>
          <w:tcPr>
            <w:tcW w:w="300" w:type="dxa"/>
            <w:vAlign w:val="bottom"/>
          </w:tcPr>
          <w:p>
            <w:pPr>
              <w:spacing w:after="0"/>
              <w:rPr>
                <w:sz w:val="5"/>
                <w:szCs w:val="5"/>
                <w:color w:val="auto"/>
              </w:rPr>
            </w:pPr>
          </w:p>
        </w:tc>
        <w:tc>
          <w:tcPr>
            <w:tcW w:w="840" w:type="dxa"/>
            <w:vAlign w:val="bottom"/>
            <w:gridSpan w:val="3"/>
            <w:vMerge w:val="continue"/>
          </w:tcPr>
          <w:p>
            <w:pPr>
              <w:spacing w:after="0"/>
              <w:rPr>
                <w:sz w:val="5"/>
                <w:szCs w:val="5"/>
                <w:color w:val="auto"/>
              </w:rPr>
            </w:pPr>
          </w:p>
        </w:tc>
        <w:tc>
          <w:tcPr>
            <w:tcW w:w="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380" w:type="dxa"/>
            <w:vAlign w:val="bottom"/>
            <w:gridSpan w:val="2"/>
            <w:vMerge w:val="restart"/>
            <w:shd w:val="clear" w:color="auto" w:fill="E7E7E8"/>
          </w:tcPr>
          <w:p>
            <w:pPr>
              <w:spacing w:after="0" w:line="157" w:lineRule="exact"/>
              <w:rPr>
                <w:sz w:val="20"/>
                <w:szCs w:val="20"/>
                <w:color w:val="auto"/>
              </w:rPr>
            </w:pPr>
            <w:r>
              <w:rPr>
                <w:rFonts w:ascii="Arial" w:cs="Arial" w:eastAsia="Arial" w:hAnsi="Arial"/>
                <w:sz w:val="14"/>
                <w:szCs w:val="14"/>
                <w:color w:val="auto"/>
              </w:rPr>
              <w:t>M. Severino</w:t>
            </w:r>
          </w:p>
        </w:tc>
        <w:tc>
          <w:tcPr>
            <w:tcW w:w="160" w:type="dxa"/>
            <w:vAlign w:val="bottom"/>
            <w:shd w:val="clear" w:color="auto" w:fill="E7E7E8"/>
          </w:tcPr>
          <w:p>
            <w:pPr>
              <w:spacing w:after="0"/>
              <w:rPr>
                <w:sz w:val="10"/>
                <w:szCs w:val="10"/>
                <w:color w:val="auto"/>
              </w:rPr>
            </w:pPr>
          </w:p>
        </w:tc>
        <w:tc>
          <w:tcPr>
            <w:tcW w:w="1160" w:type="dxa"/>
            <w:vAlign w:val="bottom"/>
            <w:gridSpan w:val="2"/>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49,539</w:t>
            </w:r>
          </w:p>
        </w:tc>
        <w:tc>
          <w:tcPr>
            <w:tcW w:w="360" w:type="dxa"/>
            <w:vAlign w:val="bottom"/>
            <w:shd w:val="clear" w:color="auto" w:fill="E7E7E8"/>
          </w:tcPr>
          <w:p>
            <w:pPr>
              <w:spacing w:after="0"/>
              <w:rPr>
                <w:sz w:val="10"/>
                <w:szCs w:val="10"/>
                <w:color w:val="auto"/>
              </w:rPr>
            </w:pPr>
          </w:p>
        </w:tc>
        <w:tc>
          <w:tcPr>
            <w:tcW w:w="1200" w:type="dxa"/>
            <w:vAlign w:val="bottom"/>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24,769—6/02</w:t>
            </w:r>
          </w:p>
        </w:tc>
        <w:tc>
          <w:tcPr>
            <w:tcW w:w="1560" w:type="dxa"/>
            <w:vAlign w:val="bottom"/>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24,770—6/02</w:t>
            </w:r>
          </w:p>
        </w:tc>
        <w:tc>
          <w:tcPr>
            <w:tcW w:w="1240" w:type="dxa"/>
            <w:vAlign w:val="bottom"/>
            <w:shd w:val="clear" w:color="auto" w:fill="E7E7E8"/>
          </w:tcPr>
          <w:p>
            <w:pPr>
              <w:spacing w:after="0"/>
              <w:rPr>
                <w:sz w:val="10"/>
                <w:szCs w:val="10"/>
                <w:color w:val="auto"/>
              </w:rPr>
            </w:pPr>
          </w:p>
        </w:tc>
        <w:tc>
          <w:tcPr>
            <w:tcW w:w="180" w:type="dxa"/>
            <w:vAlign w:val="bottom"/>
            <w:tcBorders>
              <w:right w:val="single" w:sz="8" w:color="061844"/>
            </w:tcBorders>
            <w:shd w:val="clear" w:color="auto" w:fill="E7E7E8"/>
          </w:tcPr>
          <w:p>
            <w:pPr>
              <w:spacing w:after="0"/>
              <w:rPr>
                <w:sz w:val="10"/>
                <w:szCs w:val="10"/>
                <w:color w:val="auto"/>
              </w:rPr>
            </w:pPr>
          </w:p>
        </w:tc>
        <w:tc>
          <w:tcPr>
            <w:tcW w:w="300" w:type="dxa"/>
            <w:vAlign w:val="bottom"/>
            <w:shd w:val="clear" w:color="auto" w:fill="E7E7E8"/>
          </w:tcPr>
          <w:p>
            <w:pPr>
              <w:spacing w:after="0"/>
              <w:rPr>
                <w:sz w:val="10"/>
                <w:szCs w:val="10"/>
                <w:color w:val="auto"/>
              </w:rPr>
            </w:pPr>
          </w:p>
        </w:tc>
        <w:tc>
          <w:tcPr>
            <w:tcW w:w="840" w:type="dxa"/>
            <w:vAlign w:val="bottom"/>
            <w:gridSpan w:val="3"/>
            <w:vMerge w:val="restart"/>
            <w:shd w:val="clear" w:color="auto" w:fill="E7E7E8"/>
          </w:tcPr>
          <w:p>
            <w:pPr>
              <w:jc w:val="right"/>
              <w:ind w:right="100"/>
              <w:spacing w:after="0" w:line="157" w:lineRule="exact"/>
              <w:rPr>
                <w:sz w:val="20"/>
                <w:szCs w:val="20"/>
                <w:color w:val="auto"/>
              </w:rPr>
            </w:pPr>
            <w:r>
              <w:rPr>
                <w:rFonts w:ascii="Arial" w:cs="Arial" w:eastAsia="Arial" w:hAnsi="Arial"/>
                <w:sz w:val="14"/>
                <w:szCs w:val="14"/>
                <w:color w:val="auto"/>
              </w:rPr>
              <w:t>94,416</w:t>
            </w:r>
          </w:p>
        </w:tc>
        <w:tc>
          <w:tcPr>
            <w:tcW w:w="800" w:type="dxa"/>
            <w:vAlign w:val="bottom"/>
            <w:shd w:val="clear" w:color="auto" w:fill="E7E7E8"/>
          </w:tcPr>
          <w:p>
            <w:pPr>
              <w:spacing w:after="0"/>
              <w:rPr>
                <w:sz w:val="10"/>
                <w:szCs w:val="10"/>
                <w:color w:val="auto"/>
              </w:rPr>
            </w:pPr>
          </w:p>
        </w:tc>
        <w:tc>
          <w:tcPr>
            <w:tcW w:w="1100" w:type="dxa"/>
            <w:vAlign w:val="bottom"/>
            <w:shd w:val="clear" w:color="auto" w:fill="E7E7E8"/>
          </w:tcPr>
          <w:p>
            <w:pPr>
              <w:spacing w:after="0"/>
              <w:rPr>
                <w:sz w:val="20"/>
                <w:szCs w:val="20"/>
                <w:color w:val="auto"/>
              </w:rPr>
            </w:pPr>
            <w:r>
              <w:rPr>
                <w:rFonts w:ascii="Arial" w:cs="Arial" w:eastAsia="Arial" w:hAnsi="Arial"/>
                <w:sz w:val="10"/>
                <w:szCs w:val="10"/>
                <w:color w:val="auto"/>
              </w:rPr>
              <w:t>(d)</w:t>
            </w:r>
          </w:p>
        </w:tc>
        <w:tc>
          <w:tcPr>
            <w:tcW w:w="980" w:type="dxa"/>
            <w:vAlign w:val="bottom"/>
            <w:shd w:val="clear" w:color="auto" w:fill="E7E7E8"/>
          </w:tcPr>
          <w:p>
            <w:pPr>
              <w:spacing w:after="0"/>
              <w:rPr>
                <w:sz w:val="10"/>
                <w:szCs w:val="10"/>
                <w:color w:val="auto"/>
              </w:rPr>
            </w:pPr>
          </w:p>
        </w:tc>
        <w:tc>
          <w:tcPr>
            <w:tcW w:w="0" w:type="dxa"/>
            <w:vAlign w:val="bottom"/>
          </w:tcPr>
          <w:p>
            <w:pPr>
              <w:spacing w:after="0"/>
              <w:rPr>
                <w:sz w:val="1"/>
                <w:szCs w:val="1"/>
                <w:color w:val="auto"/>
              </w:rPr>
            </w:pPr>
          </w:p>
        </w:tc>
      </w:tr>
      <w:tr>
        <w:trPr>
          <w:trHeight w:val="32"/>
        </w:trPr>
        <w:tc>
          <w:tcPr>
            <w:tcW w:w="1380" w:type="dxa"/>
            <w:vAlign w:val="bottom"/>
            <w:gridSpan w:val="2"/>
            <w:vMerge w:val="continue"/>
            <w:shd w:val="clear" w:color="auto" w:fill="E7E7E8"/>
          </w:tcPr>
          <w:p>
            <w:pPr>
              <w:spacing w:after="0"/>
              <w:rPr>
                <w:sz w:val="2"/>
                <w:szCs w:val="2"/>
                <w:color w:val="auto"/>
              </w:rPr>
            </w:pPr>
          </w:p>
        </w:tc>
        <w:tc>
          <w:tcPr>
            <w:tcW w:w="160" w:type="dxa"/>
            <w:vAlign w:val="bottom"/>
            <w:shd w:val="clear" w:color="auto" w:fill="E7E7E8"/>
          </w:tcPr>
          <w:p>
            <w:pPr>
              <w:spacing w:after="0"/>
              <w:rPr>
                <w:sz w:val="2"/>
                <w:szCs w:val="2"/>
                <w:color w:val="auto"/>
              </w:rPr>
            </w:pPr>
          </w:p>
        </w:tc>
        <w:tc>
          <w:tcPr>
            <w:tcW w:w="1160" w:type="dxa"/>
            <w:vAlign w:val="bottom"/>
            <w:gridSpan w:val="2"/>
            <w:vMerge w:val="continue"/>
            <w:shd w:val="clear" w:color="auto" w:fill="E7E7E8"/>
          </w:tcPr>
          <w:p>
            <w:pPr>
              <w:spacing w:after="0"/>
              <w:rPr>
                <w:sz w:val="2"/>
                <w:szCs w:val="2"/>
                <w:color w:val="auto"/>
              </w:rPr>
            </w:pPr>
          </w:p>
        </w:tc>
        <w:tc>
          <w:tcPr>
            <w:tcW w:w="360" w:type="dxa"/>
            <w:vAlign w:val="bottom"/>
            <w:shd w:val="clear" w:color="auto" w:fill="E7E7E8"/>
          </w:tcPr>
          <w:p>
            <w:pPr>
              <w:spacing w:after="0"/>
              <w:rPr>
                <w:sz w:val="2"/>
                <w:szCs w:val="2"/>
                <w:color w:val="auto"/>
              </w:rPr>
            </w:pPr>
          </w:p>
        </w:tc>
        <w:tc>
          <w:tcPr>
            <w:tcW w:w="1200" w:type="dxa"/>
            <w:vAlign w:val="bottom"/>
            <w:vMerge w:val="continue"/>
            <w:shd w:val="clear" w:color="auto" w:fill="E7E7E8"/>
          </w:tcPr>
          <w:p>
            <w:pPr>
              <w:spacing w:after="0"/>
              <w:rPr>
                <w:sz w:val="2"/>
                <w:szCs w:val="2"/>
                <w:color w:val="auto"/>
              </w:rPr>
            </w:pPr>
          </w:p>
        </w:tc>
        <w:tc>
          <w:tcPr>
            <w:tcW w:w="1560" w:type="dxa"/>
            <w:vAlign w:val="bottom"/>
            <w:vMerge w:val="continue"/>
            <w:shd w:val="clear" w:color="auto" w:fill="E7E7E8"/>
          </w:tcPr>
          <w:p>
            <w:pPr>
              <w:spacing w:after="0"/>
              <w:rPr>
                <w:sz w:val="2"/>
                <w:szCs w:val="2"/>
                <w:color w:val="auto"/>
              </w:rPr>
            </w:pPr>
          </w:p>
        </w:tc>
        <w:tc>
          <w:tcPr>
            <w:tcW w:w="1240" w:type="dxa"/>
            <w:vAlign w:val="bottom"/>
            <w:shd w:val="clear" w:color="auto" w:fill="E7E7E8"/>
          </w:tcPr>
          <w:p>
            <w:pPr>
              <w:spacing w:after="0"/>
              <w:rPr>
                <w:sz w:val="2"/>
                <w:szCs w:val="2"/>
                <w:color w:val="auto"/>
              </w:rPr>
            </w:pPr>
          </w:p>
        </w:tc>
        <w:tc>
          <w:tcPr>
            <w:tcW w:w="180" w:type="dxa"/>
            <w:vAlign w:val="bottom"/>
            <w:tcBorders>
              <w:right w:val="single" w:sz="8" w:color="061844"/>
            </w:tcBorders>
            <w:shd w:val="clear" w:color="auto" w:fill="E7E7E8"/>
          </w:tcPr>
          <w:p>
            <w:pPr>
              <w:spacing w:after="0"/>
              <w:rPr>
                <w:sz w:val="2"/>
                <w:szCs w:val="2"/>
                <w:color w:val="auto"/>
              </w:rPr>
            </w:pPr>
          </w:p>
        </w:tc>
        <w:tc>
          <w:tcPr>
            <w:tcW w:w="300" w:type="dxa"/>
            <w:vAlign w:val="bottom"/>
            <w:shd w:val="clear" w:color="auto" w:fill="E7E7E8"/>
          </w:tcPr>
          <w:p>
            <w:pPr>
              <w:spacing w:after="0"/>
              <w:rPr>
                <w:sz w:val="2"/>
                <w:szCs w:val="2"/>
                <w:color w:val="auto"/>
              </w:rPr>
            </w:pPr>
          </w:p>
        </w:tc>
        <w:tc>
          <w:tcPr>
            <w:tcW w:w="840" w:type="dxa"/>
            <w:vAlign w:val="bottom"/>
            <w:gridSpan w:val="3"/>
            <w:vMerge w:val="continue"/>
            <w:shd w:val="clear" w:color="auto" w:fill="E7E7E8"/>
          </w:tcPr>
          <w:p>
            <w:pPr>
              <w:spacing w:after="0"/>
              <w:rPr>
                <w:sz w:val="2"/>
                <w:szCs w:val="2"/>
                <w:color w:val="auto"/>
              </w:rPr>
            </w:pPr>
          </w:p>
        </w:tc>
        <w:tc>
          <w:tcPr>
            <w:tcW w:w="800" w:type="dxa"/>
            <w:vAlign w:val="bottom"/>
            <w:shd w:val="clear" w:color="auto" w:fill="E7E7E8"/>
          </w:tcPr>
          <w:p>
            <w:pPr>
              <w:spacing w:after="0"/>
              <w:rPr>
                <w:sz w:val="2"/>
                <w:szCs w:val="2"/>
                <w:color w:val="auto"/>
              </w:rPr>
            </w:pPr>
          </w:p>
        </w:tc>
        <w:tc>
          <w:tcPr>
            <w:tcW w:w="1100" w:type="dxa"/>
            <w:vAlign w:val="bottom"/>
            <w:vMerge w:val="restart"/>
            <w:shd w:val="clear" w:color="auto" w:fill="E7E7E8"/>
          </w:tcPr>
          <w:p>
            <w:pPr>
              <w:spacing w:after="0"/>
              <w:rPr>
                <w:sz w:val="20"/>
                <w:szCs w:val="20"/>
                <w:color w:val="auto"/>
              </w:rPr>
            </w:pPr>
            <w:r>
              <w:rPr>
                <w:rFonts w:ascii="Arial" w:cs="Arial" w:eastAsia="Arial" w:hAnsi="Arial"/>
                <w:sz w:val="10"/>
                <w:szCs w:val="10"/>
                <w:color w:val="auto"/>
              </w:rPr>
              <w:t>(c)</w:t>
            </w:r>
          </w:p>
        </w:tc>
        <w:tc>
          <w:tcPr>
            <w:tcW w:w="980" w:type="dxa"/>
            <w:vAlign w:val="bottom"/>
            <w:shd w:val="clear" w:color="auto" w:fill="E7E7E8"/>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5"/>
        </w:trPr>
        <w:tc>
          <w:tcPr>
            <w:tcW w:w="520" w:type="dxa"/>
            <w:vAlign w:val="bottom"/>
            <w:shd w:val="clear" w:color="auto" w:fill="E7E7E8"/>
          </w:tcPr>
          <w:p>
            <w:pPr>
              <w:spacing w:after="0"/>
              <w:rPr>
                <w:sz w:val="8"/>
                <w:szCs w:val="8"/>
                <w:color w:val="auto"/>
              </w:rPr>
            </w:pPr>
          </w:p>
        </w:tc>
        <w:tc>
          <w:tcPr>
            <w:tcW w:w="860" w:type="dxa"/>
            <w:vAlign w:val="bottom"/>
            <w:shd w:val="clear" w:color="auto" w:fill="E7E7E8"/>
          </w:tcPr>
          <w:p>
            <w:pPr>
              <w:spacing w:after="0"/>
              <w:rPr>
                <w:sz w:val="8"/>
                <w:szCs w:val="8"/>
                <w:color w:val="auto"/>
              </w:rPr>
            </w:pPr>
          </w:p>
        </w:tc>
        <w:tc>
          <w:tcPr>
            <w:tcW w:w="160" w:type="dxa"/>
            <w:vAlign w:val="bottom"/>
            <w:shd w:val="clear" w:color="auto" w:fill="E7E7E8"/>
          </w:tcPr>
          <w:p>
            <w:pPr>
              <w:spacing w:after="0"/>
              <w:rPr>
                <w:sz w:val="8"/>
                <w:szCs w:val="8"/>
                <w:color w:val="auto"/>
              </w:rPr>
            </w:pPr>
          </w:p>
        </w:tc>
        <w:tc>
          <w:tcPr>
            <w:tcW w:w="1160" w:type="dxa"/>
            <w:vAlign w:val="bottom"/>
            <w:gridSpan w:val="2"/>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104,480</w:t>
            </w:r>
          </w:p>
        </w:tc>
        <w:tc>
          <w:tcPr>
            <w:tcW w:w="360" w:type="dxa"/>
            <w:vAlign w:val="bottom"/>
            <w:shd w:val="clear" w:color="auto" w:fill="E7E7E8"/>
          </w:tcPr>
          <w:p>
            <w:pPr>
              <w:spacing w:after="0"/>
              <w:rPr>
                <w:sz w:val="8"/>
                <w:szCs w:val="8"/>
                <w:color w:val="auto"/>
              </w:rPr>
            </w:pPr>
          </w:p>
        </w:tc>
        <w:tc>
          <w:tcPr>
            <w:tcW w:w="1200" w:type="dxa"/>
            <w:vAlign w:val="bottom"/>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34,827—2/19</w:t>
            </w:r>
          </w:p>
        </w:tc>
        <w:tc>
          <w:tcPr>
            <w:tcW w:w="1560" w:type="dxa"/>
            <w:vAlign w:val="bottom"/>
            <w:vMerge w:val="restart"/>
            <w:shd w:val="clear" w:color="auto" w:fill="E7E7E8"/>
          </w:tcPr>
          <w:p>
            <w:pPr>
              <w:jc w:val="right"/>
              <w:ind w:right="250"/>
              <w:spacing w:after="0" w:line="157" w:lineRule="exact"/>
              <w:rPr>
                <w:sz w:val="20"/>
                <w:szCs w:val="20"/>
                <w:color w:val="auto"/>
              </w:rPr>
            </w:pPr>
            <w:r>
              <w:rPr>
                <w:rFonts w:ascii="Arial" w:cs="Arial" w:eastAsia="Arial" w:hAnsi="Arial"/>
                <w:sz w:val="14"/>
                <w:szCs w:val="14"/>
                <w:color w:val="auto"/>
              </w:rPr>
              <w:t>34,826—2/19</w:t>
            </w:r>
          </w:p>
        </w:tc>
        <w:tc>
          <w:tcPr>
            <w:tcW w:w="1420" w:type="dxa"/>
            <w:vAlign w:val="bottom"/>
            <w:tcBorders>
              <w:right w:val="single" w:sz="8" w:color="061844"/>
            </w:tcBorders>
            <w:gridSpan w:val="2"/>
            <w:vMerge w:val="restart"/>
            <w:shd w:val="clear" w:color="auto" w:fill="E7E7E8"/>
          </w:tcPr>
          <w:p>
            <w:pPr>
              <w:jc w:val="right"/>
              <w:ind w:right="180"/>
              <w:spacing w:after="0" w:line="157" w:lineRule="exact"/>
              <w:rPr>
                <w:sz w:val="20"/>
                <w:szCs w:val="20"/>
                <w:color w:val="auto"/>
              </w:rPr>
            </w:pPr>
            <w:r>
              <w:rPr>
                <w:rFonts w:ascii="Arial" w:cs="Arial" w:eastAsia="Arial" w:hAnsi="Arial"/>
                <w:sz w:val="14"/>
                <w:szCs w:val="14"/>
                <w:color w:val="auto"/>
              </w:rPr>
              <w:t>34,827—2/19</w:t>
            </w:r>
          </w:p>
        </w:tc>
        <w:tc>
          <w:tcPr>
            <w:tcW w:w="300" w:type="dxa"/>
            <w:vAlign w:val="bottom"/>
            <w:shd w:val="clear" w:color="auto" w:fill="E7E7E8"/>
          </w:tcPr>
          <w:p>
            <w:pPr>
              <w:spacing w:after="0"/>
              <w:rPr>
                <w:sz w:val="8"/>
                <w:szCs w:val="8"/>
                <w:color w:val="auto"/>
              </w:rPr>
            </w:pPr>
          </w:p>
        </w:tc>
        <w:tc>
          <w:tcPr>
            <w:tcW w:w="840" w:type="dxa"/>
            <w:vAlign w:val="bottom"/>
            <w:gridSpan w:val="3"/>
            <w:vMerge w:val="restart"/>
            <w:shd w:val="clear" w:color="auto" w:fill="E7E7E8"/>
          </w:tcPr>
          <w:p>
            <w:pPr>
              <w:jc w:val="right"/>
              <w:ind w:right="100"/>
              <w:spacing w:after="0" w:line="157" w:lineRule="exact"/>
              <w:rPr>
                <w:sz w:val="20"/>
                <w:szCs w:val="20"/>
                <w:color w:val="auto"/>
              </w:rPr>
            </w:pPr>
            <w:r>
              <w:rPr>
                <w:rFonts w:ascii="Arial" w:cs="Arial" w:eastAsia="Arial" w:hAnsi="Arial"/>
                <w:sz w:val="14"/>
                <w:szCs w:val="14"/>
                <w:color w:val="auto"/>
              </w:rPr>
              <w:t>52,860</w:t>
            </w:r>
          </w:p>
        </w:tc>
        <w:tc>
          <w:tcPr>
            <w:tcW w:w="800" w:type="dxa"/>
            <w:vAlign w:val="bottom"/>
            <w:shd w:val="clear" w:color="auto" w:fill="E7E7E8"/>
          </w:tcPr>
          <w:p>
            <w:pPr>
              <w:spacing w:after="0"/>
              <w:rPr>
                <w:sz w:val="8"/>
                <w:szCs w:val="8"/>
                <w:color w:val="auto"/>
              </w:rPr>
            </w:pPr>
          </w:p>
        </w:tc>
        <w:tc>
          <w:tcPr>
            <w:tcW w:w="1100" w:type="dxa"/>
            <w:vAlign w:val="bottom"/>
            <w:vMerge w:val="continue"/>
            <w:shd w:val="clear" w:color="auto" w:fill="E7E7E8"/>
          </w:tcPr>
          <w:p>
            <w:pPr>
              <w:spacing w:after="0"/>
              <w:rPr>
                <w:sz w:val="8"/>
                <w:szCs w:val="8"/>
                <w:color w:val="auto"/>
              </w:rPr>
            </w:pPr>
          </w:p>
        </w:tc>
        <w:tc>
          <w:tcPr>
            <w:tcW w:w="980" w:type="dxa"/>
            <w:vAlign w:val="bottom"/>
            <w:shd w:val="clear" w:color="auto" w:fill="E7E7E8"/>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520" w:type="dxa"/>
            <w:vAlign w:val="bottom"/>
            <w:shd w:val="clear" w:color="auto" w:fill="E7E7E8"/>
          </w:tcPr>
          <w:p>
            <w:pPr>
              <w:spacing w:after="0"/>
              <w:rPr>
                <w:sz w:val="5"/>
                <w:szCs w:val="5"/>
                <w:color w:val="auto"/>
              </w:rPr>
            </w:pPr>
          </w:p>
        </w:tc>
        <w:tc>
          <w:tcPr>
            <w:tcW w:w="860" w:type="dxa"/>
            <w:vAlign w:val="bottom"/>
            <w:shd w:val="clear" w:color="auto" w:fill="E7E7E8"/>
          </w:tcPr>
          <w:p>
            <w:pPr>
              <w:spacing w:after="0"/>
              <w:rPr>
                <w:sz w:val="5"/>
                <w:szCs w:val="5"/>
                <w:color w:val="auto"/>
              </w:rPr>
            </w:pPr>
          </w:p>
        </w:tc>
        <w:tc>
          <w:tcPr>
            <w:tcW w:w="160" w:type="dxa"/>
            <w:vAlign w:val="bottom"/>
            <w:shd w:val="clear" w:color="auto" w:fill="E7E7E8"/>
          </w:tcPr>
          <w:p>
            <w:pPr>
              <w:spacing w:after="0"/>
              <w:rPr>
                <w:sz w:val="5"/>
                <w:szCs w:val="5"/>
                <w:color w:val="auto"/>
              </w:rPr>
            </w:pPr>
          </w:p>
        </w:tc>
        <w:tc>
          <w:tcPr>
            <w:tcW w:w="1160" w:type="dxa"/>
            <w:vAlign w:val="bottom"/>
            <w:gridSpan w:val="2"/>
            <w:vMerge w:val="continue"/>
            <w:shd w:val="clear" w:color="auto" w:fill="E7E7E8"/>
          </w:tcPr>
          <w:p>
            <w:pPr>
              <w:spacing w:after="0"/>
              <w:rPr>
                <w:sz w:val="5"/>
                <w:szCs w:val="5"/>
                <w:color w:val="auto"/>
              </w:rPr>
            </w:pPr>
          </w:p>
        </w:tc>
        <w:tc>
          <w:tcPr>
            <w:tcW w:w="360" w:type="dxa"/>
            <w:vAlign w:val="bottom"/>
            <w:shd w:val="clear" w:color="auto" w:fill="E7E7E8"/>
          </w:tcPr>
          <w:p>
            <w:pPr>
              <w:spacing w:after="0"/>
              <w:rPr>
                <w:sz w:val="5"/>
                <w:szCs w:val="5"/>
                <w:color w:val="auto"/>
              </w:rPr>
            </w:pPr>
          </w:p>
        </w:tc>
        <w:tc>
          <w:tcPr>
            <w:tcW w:w="1200" w:type="dxa"/>
            <w:vAlign w:val="bottom"/>
            <w:vMerge w:val="continue"/>
            <w:shd w:val="clear" w:color="auto" w:fill="E7E7E8"/>
          </w:tcPr>
          <w:p>
            <w:pPr>
              <w:spacing w:after="0"/>
              <w:rPr>
                <w:sz w:val="5"/>
                <w:szCs w:val="5"/>
                <w:color w:val="auto"/>
              </w:rPr>
            </w:pPr>
          </w:p>
        </w:tc>
        <w:tc>
          <w:tcPr>
            <w:tcW w:w="1560" w:type="dxa"/>
            <w:vAlign w:val="bottom"/>
            <w:vMerge w:val="continue"/>
            <w:shd w:val="clear" w:color="auto" w:fill="E7E7E8"/>
          </w:tcPr>
          <w:p>
            <w:pPr>
              <w:spacing w:after="0"/>
              <w:rPr>
                <w:sz w:val="5"/>
                <w:szCs w:val="5"/>
                <w:color w:val="auto"/>
              </w:rPr>
            </w:pPr>
          </w:p>
        </w:tc>
        <w:tc>
          <w:tcPr>
            <w:tcW w:w="1420" w:type="dxa"/>
            <w:vAlign w:val="bottom"/>
            <w:tcBorders>
              <w:right w:val="single" w:sz="8" w:color="061844"/>
            </w:tcBorders>
            <w:gridSpan w:val="2"/>
            <w:vMerge w:val="continue"/>
            <w:shd w:val="clear" w:color="auto" w:fill="E7E7E8"/>
          </w:tcPr>
          <w:p>
            <w:pPr>
              <w:spacing w:after="0"/>
              <w:rPr>
                <w:sz w:val="5"/>
                <w:szCs w:val="5"/>
                <w:color w:val="auto"/>
              </w:rPr>
            </w:pPr>
          </w:p>
        </w:tc>
        <w:tc>
          <w:tcPr>
            <w:tcW w:w="300" w:type="dxa"/>
            <w:vAlign w:val="bottom"/>
            <w:shd w:val="clear" w:color="auto" w:fill="E7E7E8"/>
          </w:tcPr>
          <w:p>
            <w:pPr>
              <w:spacing w:after="0"/>
              <w:rPr>
                <w:sz w:val="5"/>
                <w:szCs w:val="5"/>
                <w:color w:val="auto"/>
              </w:rPr>
            </w:pPr>
          </w:p>
        </w:tc>
        <w:tc>
          <w:tcPr>
            <w:tcW w:w="840" w:type="dxa"/>
            <w:vAlign w:val="bottom"/>
            <w:gridSpan w:val="3"/>
            <w:vMerge w:val="continue"/>
            <w:shd w:val="clear" w:color="auto" w:fill="E7E7E8"/>
          </w:tcPr>
          <w:p>
            <w:pPr>
              <w:spacing w:after="0"/>
              <w:rPr>
                <w:sz w:val="5"/>
                <w:szCs w:val="5"/>
                <w:color w:val="auto"/>
              </w:rPr>
            </w:pPr>
          </w:p>
        </w:tc>
        <w:tc>
          <w:tcPr>
            <w:tcW w:w="800" w:type="dxa"/>
            <w:vAlign w:val="bottom"/>
            <w:shd w:val="clear" w:color="auto" w:fill="E7E7E8"/>
          </w:tcPr>
          <w:p>
            <w:pPr>
              <w:spacing w:after="0"/>
              <w:rPr>
                <w:sz w:val="5"/>
                <w:szCs w:val="5"/>
                <w:color w:val="auto"/>
              </w:rPr>
            </w:pPr>
          </w:p>
        </w:tc>
        <w:tc>
          <w:tcPr>
            <w:tcW w:w="1100" w:type="dxa"/>
            <w:vAlign w:val="bottom"/>
            <w:shd w:val="clear" w:color="auto" w:fill="E7E7E8"/>
          </w:tcPr>
          <w:p>
            <w:pPr>
              <w:spacing w:after="0"/>
              <w:rPr>
                <w:sz w:val="5"/>
                <w:szCs w:val="5"/>
                <w:color w:val="auto"/>
              </w:rPr>
            </w:pPr>
          </w:p>
        </w:tc>
        <w:tc>
          <w:tcPr>
            <w:tcW w:w="980" w:type="dxa"/>
            <w:vAlign w:val="bottom"/>
            <w:shd w:val="clear" w:color="auto" w:fill="E7E7E8"/>
          </w:tcPr>
          <w:p>
            <w:pPr>
              <w:spacing w:after="0"/>
              <w:rPr>
                <w:sz w:val="5"/>
                <w:szCs w:val="5"/>
                <w:color w:val="auto"/>
              </w:rPr>
            </w:pPr>
          </w:p>
        </w:tc>
        <w:tc>
          <w:tcPr>
            <w:tcW w:w="0" w:type="dxa"/>
            <w:vAlign w:val="bottom"/>
          </w:tcPr>
          <w:p>
            <w:pPr>
              <w:spacing w:after="0"/>
              <w:rPr>
                <w:sz w:val="1"/>
                <w:szCs w:val="1"/>
                <w:color w:val="auto"/>
              </w:rPr>
            </w:pPr>
          </w:p>
        </w:tc>
      </w:tr>
      <w:tr>
        <w:trPr>
          <w:trHeight w:val="209"/>
        </w:trPr>
        <w:tc>
          <w:tcPr>
            <w:tcW w:w="5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jc w:val="both"/>
        <w:ind w:left="1040" w:right="300" w:hanging="513"/>
        <w:spacing w:after="0" w:line="243"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These are the shares of performance-vested restricted stock that remained outstanding and unvested on December 31, 2015, from an award made on February 14, 2013. The award has a 5-year term, with no more than one-third of the original award vesting in any one year upon AbbVie achieving a minimum return on equity target, measured at the end of the relevant year. In 2015, AbbVie reached its minimum return on equity target and these shares vested on February 29, 2016.</w:t>
      </w:r>
    </w:p>
    <w:p>
      <w:pPr>
        <w:spacing w:after="0" w:line="201" w:lineRule="exact"/>
        <w:rPr>
          <w:rFonts w:ascii="Arial" w:cs="Arial" w:eastAsia="Arial" w:hAnsi="Arial"/>
          <w:sz w:val="17"/>
          <w:szCs w:val="17"/>
          <w:color w:val="auto"/>
        </w:rPr>
      </w:pPr>
    </w:p>
    <w:p>
      <w:pPr>
        <w:jc w:val="both"/>
        <w:ind w:left="1040" w:right="300" w:hanging="513"/>
        <w:spacing w:after="0" w:line="243"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These are the shares of performance-vested restricted stock that remained outstanding and unvested on December 31, 2015, from an award made on February 20, 2014. The award has a 5-year term, with no more than one-third of the original award vesting in any one year upon AbbVie achieving a minimum return on equity target, measured at the end of the relevant year. In 2015, AbbVie reached its minimum return on equity target and one-half of the unvested shares vested on February 29, 2016.</w:t>
      </w:r>
    </w:p>
    <w:p>
      <w:pPr>
        <w:spacing w:after="0" w:line="188" w:lineRule="exact"/>
        <w:rPr>
          <w:rFonts w:ascii="Arial" w:cs="Arial" w:eastAsia="Arial" w:hAnsi="Arial"/>
          <w:sz w:val="17"/>
          <w:szCs w:val="17"/>
          <w:color w:val="auto"/>
        </w:rPr>
      </w:pPr>
    </w:p>
    <w:p>
      <w:pPr>
        <w:jc w:val="both"/>
        <w:ind w:left="1040" w:right="300" w:hanging="513"/>
        <w:spacing w:after="0" w:line="245" w:lineRule="auto"/>
        <w:tabs>
          <w:tab w:leader="none" w:pos="1040" w:val="left"/>
        </w:tabs>
        <w:numPr>
          <w:ilvl w:val="0"/>
          <w:numId w:val="41"/>
        </w:numPr>
        <w:rPr>
          <w:rFonts w:ascii="Arial" w:cs="Arial" w:eastAsia="Arial" w:hAnsi="Arial"/>
          <w:sz w:val="17"/>
          <w:szCs w:val="17"/>
          <w:color w:val="auto"/>
        </w:rPr>
      </w:pPr>
      <w:r>
        <w:rPr>
          <w:rFonts w:ascii="Arial" w:cs="Arial" w:eastAsia="Arial" w:hAnsi="Arial"/>
          <w:sz w:val="17"/>
          <w:szCs w:val="17"/>
          <w:color w:val="auto"/>
        </w:rPr>
        <w:t>These are the shares of performance-vested restricted stock that remained outstanding and unvested on December 31, 2015, from an award made on February 19, 2015. The award has a 5-year term, with no more than one-third of the original award vesting in any one year upon AbbVie achieving a minimum return on</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0" w:name="page51"/>
    <w:bookmarkEnd w:id="5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103630" cy="14097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190" w:lineRule="exact"/>
        <w:rPr>
          <w:sz w:val="20"/>
          <w:szCs w:val="20"/>
          <w:color w:val="auto"/>
        </w:rPr>
      </w:pPr>
    </w:p>
    <w:p>
      <w:pPr>
        <w:ind w:left="1740" w:right="180" w:hanging="1528"/>
        <w:spacing w:after="0" w:line="281" w:lineRule="auto"/>
        <w:rPr>
          <w:sz w:val="20"/>
          <w:szCs w:val="20"/>
          <w:color w:val="auto"/>
        </w:rPr>
      </w:pPr>
      <w:r>
        <w:rPr>
          <w:rFonts w:ascii="Arial" w:cs="Arial" w:eastAsia="Arial" w:hAnsi="Arial"/>
          <w:sz w:val="10"/>
          <w:szCs w:val="10"/>
          <w:b w:val="1"/>
          <w:bCs w:val="1"/>
          <w:color w:val="FFFFFE"/>
        </w:rPr>
        <w:t xml:space="preserve">EXECUTIVE COMPENSATION </w:t>
      </w:r>
      <w:r>
        <w:rPr>
          <w:rFonts w:ascii="Arial" w:cs="Arial" w:eastAsia="Arial" w:hAnsi="Arial"/>
          <w:sz w:val="16"/>
          <w:szCs w:val="16"/>
          <w:color w:val="000000"/>
        </w:rPr>
        <w:t>equity target, measured at the end of the relevant year. In 2015, AbbVie reached its minimum return on equity target and one-third of the unvested shares vested on February 29, 2016.</w:t>
      </w:r>
    </w:p>
    <w:p>
      <w:pPr>
        <w:spacing w:after="0" w:line="170" w:lineRule="exact"/>
        <w:rPr>
          <w:sz w:val="20"/>
          <w:szCs w:val="20"/>
          <w:color w:val="auto"/>
        </w:rPr>
      </w:pPr>
    </w:p>
    <w:p>
      <w:pPr>
        <w:ind w:left="1040" w:right="220" w:hanging="513"/>
        <w:spacing w:after="0" w:line="243"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These are the shares of performance-vested restricted stock that remained outstanding and unvested on December 31, 2015, from an award made on June 2, 2014. The award has a 5-year term, with no more than one-third of the original award vesting in any one year upon AbbVie achieving a minimum return on equity target, measured at the end of the relevant year. In 2015, AbbVie reached its minimum return on equity target and one-third of the unvested shares vested on February 29, 2016.</w:t>
      </w:r>
    </w:p>
    <w:p>
      <w:pPr>
        <w:spacing w:after="0" w:line="201" w:lineRule="exact"/>
        <w:rPr>
          <w:rFonts w:ascii="Arial" w:cs="Arial" w:eastAsia="Arial" w:hAnsi="Arial"/>
          <w:sz w:val="17"/>
          <w:szCs w:val="17"/>
          <w:color w:val="auto"/>
        </w:rPr>
      </w:pPr>
    </w:p>
    <w:p>
      <w:pPr>
        <w:ind w:left="1040" w:right="220" w:hanging="513"/>
        <w:spacing w:after="0" w:line="245" w:lineRule="auto"/>
        <w:tabs>
          <w:tab w:leader="none" w:pos="1040" w:val="left"/>
        </w:tabs>
        <w:numPr>
          <w:ilvl w:val="0"/>
          <w:numId w:val="42"/>
        </w:numPr>
        <w:rPr>
          <w:rFonts w:ascii="Arial" w:cs="Arial" w:eastAsia="Arial" w:hAnsi="Arial"/>
          <w:sz w:val="17"/>
          <w:szCs w:val="17"/>
          <w:color w:val="auto"/>
        </w:rPr>
      </w:pPr>
      <w:r>
        <w:rPr>
          <w:rFonts w:ascii="Arial" w:cs="Arial" w:eastAsia="Arial" w:hAnsi="Arial"/>
          <w:sz w:val="17"/>
          <w:szCs w:val="17"/>
          <w:color w:val="auto"/>
        </w:rPr>
        <w:t>These are the shares of performance-vested restricted stock that remained outstanding and unvested on December 31, 2015, from an award made on December 1, 2012. These shares vested in February 2016 when the committee determined that AbbVie reached its minimum return on equity target for the period 2013 through 2015.</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2015 Option Exercises and Stock Vested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420" w:firstLine="657"/>
        <w:spacing w:after="0" w:line="250" w:lineRule="auto"/>
        <w:rPr>
          <w:sz w:val="20"/>
          <w:szCs w:val="20"/>
          <w:color w:val="auto"/>
        </w:rPr>
      </w:pPr>
      <w:r>
        <w:rPr>
          <w:rFonts w:ascii="Arial" w:cs="Arial" w:eastAsia="Arial" w:hAnsi="Arial"/>
          <w:sz w:val="17"/>
          <w:szCs w:val="17"/>
          <w:color w:val="auto"/>
        </w:rPr>
        <w:t>The following table summarizes for each NEO the number of shares acquired on the exercise of AbbVie stock options and the number of shares acquired on the vesting of AbbVie stock awards in 2015:</w:t>
      </w:r>
    </w:p>
    <w:p>
      <w:pPr>
        <w:spacing w:after="0" w:line="174" w:lineRule="exact"/>
        <w:rPr>
          <w:sz w:val="20"/>
          <w:szCs w:val="20"/>
          <w:color w:val="auto"/>
        </w:rPr>
      </w:pPr>
    </w:p>
    <w:tbl>
      <w:tblPr>
        <w:tblLayout w:type="fixed"/>
        <w:tblInd w:w="1380" w:type="dxa"/>
        <w:tblCellMar>
          <w:top w:w="0" w:type="dxa"/>
          <w:left w:w="0" w:type="dxa"/>
          <w:bottom w:w="0" w:type="dxa"/>
          <w:right w:w="0" w:type="dxa"/>
        </w:tblCellMar>
      </w:tblPr>
      <w:tr>
        <w:trPr>
          <w:trHeight w:val="213"/>
        </w:trPr>
        <w:tc>
          <w:tcPr>
            <w:tcW w:w="3700" w:type="dxa"/>
            <w:vAlign w:val="bottom"/>
          </w:tcPr>
          <w:p>
            <w:pPr>
              <w:spacing w:after="0"/>
              <w:rPr>
                <w:sz w:val="18"/>
                <w:szCs w:val="18"/>
                <w:color w:val="auto"/>
              </w:rPr>
            </w:pPr>
          </w:p>
        </w:tc>
        <w:tc>
          <w:tcPr>
            <w:tcW w:w="2580" w:type="dxa"/>
            <w:vAlign w:val="bottom"/>
            <w:gridSpan w:val="4"/>
          </w:tcPr>
          <w:p>
            <w:pPr>
              <w:ind w:left="460"/>
              <w:spacing w:after="0"/>
              <w:rPr>
                <w:sz w:val="20"/>
                <w:szCs w:val="20"/>
                <w:color w:val="auto"/>
              </w:rPr>
            </w:pPr>
            <w:r>
              <w:rPr>
                <w:rFonts w:ascii="Arial" w:cs="Arial" w:eastAsia="Arial" w:hAnsi="Arial"/>
                <w:sz w:val="17"/>
                <w:szCs w:val="17"/>
                <w:b w:val="1"/>
                <w:bCs w:val="1"/>
                <w:color w:val="444867"/>
              </w:rPr>
              <w:t>Option Awards</w:t>
            </w:r>
          </w:p>
        </w:tc>
        <w:tc>
          <w:tcPr>
            <w:tcW w:w="2120" w:type="dxa"/>
            <w:vAlign w:val="bottom"/>
            <w:gridSpan w:val="2"/>
          </w:tcPr>
          <w:p>
            <w:pPr>
              <w:jc w:val="right"/>
              <w:ind w:right="415"/>
              <w:spacing w:after="0"/>
              <w:rPr>
                <w:sz w:val="20"/>
                <w:szCs w:val="20"/>
                <w:color w:val="auto"/>
              </w:rPr>
            </w:pPr>
            <w:r>
              <w:rPr>
                <w:rFonts w:ascii="Arial" w:cs="Arial" w:eastAsia="Arial" w:hAnsi="Arial"/>
                <w:sz w:val="17"/>
                <w:szCs w:val="17"/>
                <w:b w:val="1"/>
                <w:bCs w:val="1"/>
                <w:color w:val="444867"/>
              </w:rPr>
              <w:t>Stock Awards</w:t>
            </w:r>
          </w:p>
        </w:tc>
      </w:tr>
      <w:tr>
        <w:trPr>
          <w:trHeight w:val="172"/>
        </w:trPr>
        <w:tc>
          <w:tcPr>
            <w:tcW w:w="3700" w:type="dxa"/>
            <w:vAlign w:val="bottom"/>
          </w:tcPr>
          <w:p>
            <w:pPr>
              <w:spacing w:after="0"/>
              <w:rPr>
                <w:sz w:val="14"/>
                <w:szCs w:val="14"/>
                <w:color w:val="auto"/>
              </w:rPr>
            </w:pPr>
          </w:p>
        </w:tc>
        <w:tc>
          <w:tcPr>
            <w:tcW w:w="1080" w:type="dxa"/>
            <w:vAlign w:val="bottom"/>
            <w:tcBorders>
              <w:top w:val="single" w:sz="8" w:color="444867"/>
            </w:tcBorders>
          </w:tcPr>
          <w:p>
            <w:pPr>
              <w:jc w:val="right"/>
              <w:ind w:right="15"/>
              <w:spacing w:after="0" w:line="172" w:lineRule="exact"/>
              <w:rPr>
                <w:sz w:val="20"/>
                <w:szCs w:val="20"/>
                <w:color w:val="auto"/>
              </w:rPr>
            </w:pPr>
            <w:r>
              <w:rPr>
                <w:rFonts w:ascii="Arial" w:cs="Arial" w:eastAsia="Arial" w:hAnsi="Arial"/>
                <w:sz w:val="17"/>
                <w:szCs w:val="17"/>
                <w:b w:val="1"/>
                <w:bCs w:val="1"/>
                <w:color w:val="444867"/>
              </w:rPr>
              <w:t>Number of</w:t>
            </w:r>
          </w:p>
        </w:tc>
        <w:tc>
          <w:tcPr>
            <w:tcW w:w="1040" w:type="dxa"/>
            <w:vAlign w:val="bottom"/>
            <w:tcBorders>
              <w:top w:val="single" w:sz="8" w:color="444867"/>
            </w:tcBorders>
          </w:tcPr>
          <w:p>
            <w:pPr>
              <w:spacing w:after="0"/>
              <w:rPr>
                <w:sz w:val="14"/>
                <w:szCs w:val="14"/>
                <w:color w:val="auto"/>
              </w:rPr>
            </w:pPr>
          </w:p>
        </w:tc>
        <w:tc>
          <w:tcPr>
            <w:tcW w:w="160" w:type="dxa"/>
            <w:vAlign w:val="bottom"/>
            <w:tcBorders>
              <w:right w:val="single" w:sz="8" w:color="061844"/>
            </w:tcBorders>
          </w:tcPr>
          <w:p>
            <w:pPr>
              <w:spacing w:after="0"/>
              <w:rPr>
                <w:sz w:val="14"/>
                <w:szCs w:val="14"/>
                <w:color w:val="auto"/>
              </w:rPr>
            </w:pPr>
          </w:p>
        </w:tc>
        <w:tc>
          <w:tcPr>
            <w:tcW w:w="300" w:type="dxa"/>
            <w:vAlign w:val="bottom"/>
          </w:tcPr>
          <w:p>
            <w:pPr>
              <w:spacing w:after="0"/>
              <w:rPr>
                <w:sz w:val="14"/>
                <w:szCs w:val="14"/>
                <w:color w:val="auto"/>
              </w:rPr>
            </w:pPr>
          </w:p>
        </w:tc>
        <w:tc>
          <w:tcPr>
            <w:tcW w:w="1120" w:type="dxa"/>
            <w:vAlign w:val="bottom"/>
            <w:tcBorders>
              <w:top w:val="single" w:sz="8" w:color="444867"/>
            </w:tcBorders>
          </w:tcPr>
          <w:p>
            <w:pPr>
              <w:jc w:val="right"/>
              <w:ind w:right="35"/>
              <w:spacing w:after="0" w:line="172" w:lineRule="exact"/>
              <w:rPr>
                <w:sz w:val="20"/>
                <w:szCs w:val="20"/>
                <w:color w:val="auto"/>
              </w:rPr>
            </w:pPr>
            <w:r>
              <w:rPr>
                <w:rFonts w:ascii="Arial" w:cs="Arial" w:eastAsia="Arial" w:hAnsi="Arial"/>
                <w:sz w:val="17"/>
                <w:szCs w:val="17"/>
                <w:b w:val="1"/>
                <w:bCs w:val="1"/>
                <w:color w:val="444867"/>
              </w:rPr>
              <w:t>Number of</w:t>
            </w:r>
          </w:p>
        </w:tc>
        <w:tc>
          <w:tcPr>
            <w:tcW w:w="1000" w:type="dxa"/>
            <w:vAlign w:val="bottom"/>
            <w:tcBorders>
              <w:top w:val="single" w:sz="8" w:color="444867"/>
            </w:tcBorders>
          </w:tcPr>
          <w:p>
            <w:pPr>
              <w:spacing w:after="0"/>
              <w:rPr>
                <w:sz w:val="14"/>
                <w:szCs w:val="14"/>
                <w:color w:val="auto"/>
              </w:rPr>
            </w:pPr>
          </w:p>
        </w:tc>
      </w:tr>
      <w:tr>
        <w:trPr>
          <w:trHeight w:val="196"/>
        </w:trPr>
        <w:tc>
          <w:tcPr>
            <w:tcW w:w="3700" w:type="dxa"/>
            <w:vAlign w:val="bottom"/>
          </w:tcPr>
          <w:p>
            <w:pPr>
              <w:spacing w:after="0"/>
              <w:rPr>
                <w:sz w:val="17"/>
                <w:szCs w:val="17"/>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b w:val="1"/>
                <w:bCs w:val="1"/>
                <w:color w:val="444867"/>
              </w:rPr>
              <w:t>Shares</w:t>
            </w:r>
          </w:p>
        </w:tc>
        <w:tc>
          <w:tcPr>
            <w:tcW w:w="1200" w:type="dxa"/>
            <w:vAlign w:val="bottom"/>
            <w:tcBorders>
              <w:right w:val="single" w:sz="8" w:color="061844"/>
            </w:tcBorders>
            <w:gridSpan w:val="2"/>
          </w:tcPr>
          <w:p>
            <w:pPr>
              <w:jc w:val="right"/>
              <w:ind w:right="160"/>
              <w:spacing w:after="0"/>
              <w:rPr>
                <w:sz w:val="20"/>
                <w:szCs w:val="20"/>
                <w:color w:val="auto"/>
              </w:rPr>
            </w:pPr>
            <w:r>
              <w:rPr>
                <w:rFonts w:ascii="Arial" w:cs="Arial" w:eastAsia="Arial" w:hAnsi="Arial"/>
                <w:sz w:val="17"/>
                <w:szCs w:val="17"/>
                <w:b w:val="1"/>
                <w:bCs w:val="1"/>
                <w:color w:val="444867"/>
              </w:rPr>
              <w:t>Value</w:t>
            </w:r>
          </w:p>
        </w:tc>
        <w:tc>
          <w:tcPr>
            <w:tcW w:w="30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b w:val="1"/>
                <w:bCs w:val="1"/>
                <w:color w:val="444867"/>
              </w:rPr>
              <w:t>Shares</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444867"/>
              </w:rPr>
              <w:t>Value</w:t>
            </w:r>
          </w:p>
        </w:tc>
      </w:tr>
      <w:tr>
        <w:trPr>
          <w:trHeight w:val="196"/>
        </w:trPr>
        <w:tc>
          <w:tcPr>
            <w:tcW w:w="3700" w:type="dxa"/>
            <w:vAlign w:val="bottom"/>
          </w:tcPr>
          <w:p>
            <w:pPr>
              <w:spacing w:after="0"/>
              <w:rPr>
                <w:sz w:val="17"/>
                <w:szCs w:val="17"/>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b w:val="1"/>
                <w:bCs w:val="1"/>
                <w:color w:val="444867"/>
              </w:rPr>
              <w:t>Acquired</w:t>
            </w:r>
          </w:p>
        </w:tc>
        <w:tc>
          <w:tcPr>
            <w:tcW w:w="1200" w:type="dxa"/>
            <w:vAlign w:val="bottom"/>
            <w:tcBorders>
              <w:right w:val="single" w:sz="8" w:color="061844"/>
            </w:tcBorders>
            <w:gridSpan w:val="2"/>
          </w:tcPr>
          <w:p>
            <w:pPr>
              <w:jc w:val="right"/>
              <w:ind w:right="160"/>
              <w:spacing w:after="0"/>
              <w:rPr>
                <w:sz w:val="20"/>
                <w:szCs w:val="20"/>
                <w:color w:val="auto"/>
              </w:rPr>
            </w:pPr>
            <w:r>
              <w:rPr>
                <w:rFonts w:ascii="Arial" w:cs="Arial" w:eastAsia="Arial" w:hAnsi="Arial"/>
                <w:sz w:val="17"/>
                <w:szCs w:val="17"/>
                <w:b w:val="1"/>
                <w:bCs w:val="1"/>
                <w:color w:val="444867"/>
              </w:rPr>
              <w:t>Realized</w:t>
            </w:r>
          </w:p>
        </w:tc>
        <w:tc>
          <w:tcPr>
            <w:tcW w:w="30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b w:val="1"/>
                <w:bCs w:val="1"/>
                <w:color w:val="444867"/>
              </w:rPr>
              <w:t>Acquired</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444867"/>
              </w:rPr>
              <w:t>Realized</w:t>
            </w:r>
          </w:p>
        </w:tc>
      </w:tr>
      <w:tr>
        <w:trPr>
          <w:trHeight w:val="196"/>
        </w:trPr>
        <w:tc>
          <w:tcPr>
            <w:tcW w:w="3700" w:type="dxa"/>
            <w:vAlign w:val="bottom"/>
          </w:tcPr>
          <w:p>
            <w:pPr>
              <w:spacing w:after="0"/>
              <w:rPr>
                <w:sz w:val="17"/>
                <w:szCs w:val="17"/>
                <w:color w:val="auto"/>
              </w:rPr>
            </w:pPr>
          </w:p>
        </w:tc>
        <w:tc>
          <w:tcPr>
            <w:tcW w:w="1080" w:type="dxa"/>
            <w:vAlign w:val="bottom"/>
          </w:tcPr>
          <w:p>
            <w:pPr>
              <w:jc w:val="right"/>
              <w:ind w:right="15"/>
              <w:spacing w:after="0"/>
              <w:rPr>
                <w:sz w:val="20"/>
                <w:szCs w:val="20"/>
                <w:color w:val="auto"/>
              </w:rPr>
            </w:pPr>
            <w:r>
              <w:rPr>
                <w:rFonts w:ascii="Arial" w:cs="Arial" w:eastAsia="Arial" w:hAnsi="Arial"/>
                <w:sz w:val="17"/>
                <w:szCs w:val="17"/>
                <w:b w:val="1"/>
                <w:bCs w:val="1"/>
                <w:color w:val="444867"/>
              </w:rPr>
              <w:t>On</w:t>
            </w:r>
          </w:p>
        </w:tc>
        <w:tc>
          <w:tcPr>
            <w:tcW w:w="1200" w:type="dxa"/>
            <w:vAlign w:val="bottom"/>
            <w:tcBorders>
              <w:right w:val="single" w:sz="8" w:color="061844"/>
            </w:tcBorders>
            <w:gridSpan w:val="2"/>
          </w:tcPr>
          <w:p>
            <w:pPr>
              <w:jc w:val="right"/>
              <w:ind w:right="160"/>
              <w:spacing w:after="0"/>
              <w:rPr>
                <w:sz w:val="20"/>
                <w:szCs w:val="20"/>
                <w:color w:val="auto"/>
              </w:rPr>
            </w:pPr>
            <w:r>
              <w:rPr>
                <w:rFonts w:ascii="Arial" w:cs="Arial" w:eastAsia="Arial" w:hAnsi="Arial"/>
                <w:sz w:val="17"/>
                <w:szCs w:val="17"/>
                <w:b w:val="1"/>
                <w:bCs w:val="1"/>
                <w:color w:val="444867"/>
              </w:rPr>
              <w:t>On</w:t>
            </w:r>
          </w:p>
        </w:tc>
        <w:tc>
          <w:tcPr>
            <w:tcW w:w="30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b w:val="1"/>
                <w:bCs w:val="1"/>
                <w:color w:val="444867"/>
              </w:rPr>
              <w:t>On</w:t>
            </w:r>
          </w:p>
        </w:tc>
        <w:tc>
          <w:tcPr>
            <w:tcW w:w="1000" w:type="dxa"/>
            <w:vAlign w:val="bottom"/>
          </w:tcPr>
          <w:p>
            <w:pPr>
              <w:jc w:val="right"/>
              <w:spacing w:after="0"/>
              <w:rPr>
                <w:sz w:val="20"/>
                <w:szCs w:val="20"/>
                <w:color w:val="auto"/>
              </w:rPr>
            </w:pPr>
            <w:r>
              <w:rPr>
                <w:rFonts w:ascii="Arial" w:cs="Arial" w:eastAsia="Arial" w:hAnsi="Arial"/>
                <w:sz w:val="17"/>
                <w:szCs w:val="17"/>
                <w:b w:val="1"/>
                <w:bCs w:val="1"/>
                <w:color w:val="444867"/>
              </w:rPr>
              <w:t>On</w:t>
            </w:r>
          </w:p>
        </w:tc>
      </w:tr>
      <w:tr>
        <w:trPr>
          <w:trHeight w:val="213"/>
        </w:trPr>
        <w:tc>
          <w:tcPr>
            <w:tcW w:w="370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444867"/>
              </w:rPr>
              <w:t>Name</w:t>
            </w:r>
          </w:p>
        </w:tc>
        <w:tc>
          <w:tcPr>
            <w:tcW w:w="1080" w:type="dxa"/>
            <w:vAlign w:val="bottom"/>
            <w:tcBorders>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444867"/>
              </w:rPr>
              <w:t>Exercise (#)</w:t>
            </w:r>
          </w:p>
        </w:tc>
        <w:tc>
          <w:tcPr>
            <w:tcW w:w="1200" w:type="dxa"/>
            <w:vAlign w:val="bottom"/>
            <w:tcBorders>
              <w:bottom w:val="single" w:sz="8" w:color="auto"/>
              <w:right w:val="single" w:sz="8" w:color="061844"/>
            </w:tcBorders>
            <w:gridSpan w:val="2"/>
          </w:tcPr>
          <w:p>
            <w:pPr>
              <w:jc w:val="right"/>
              <w:ind w:right="160"/>
              <w:spacing w:after="0"/>
              <w:rPr>
                <w:sz w:val="20"/>
                <w:szCs w:val="20"/>
                <w:color w:val="auto"/>
              </w:rPr>
            </w:pPr>
            <w:r>
              <w:rPr>
                <w:rFonts w:ascii="Arial" w:cs="Arial" w:eastAsia="Arial" w:hAnsi="Arial"/>
                <w:sz w:val="17"/>
                <w:szCs w:val="17"/>
                <w:b w:val="1"/>
                <w:bCs w:val="1"/>
                <w:color w:val="444867"/>
              </w:rPr>
              <w:t>Exercise ($)</w:t>
            </w:r>
          </w:p>
        </w:tc>
        <w:tc>
          <w:tcPr>
            <w:tcW w:w="3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444867"/>
              </w:rPr>
              <w:t>Vesting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Vesting ($)</w:t>
            </w:r>
          </w:p>
        </w:tc>
      </w:tr>
      <w:tr>
        <w:trPr>
          <w:trHeight w:val="189"/>
        </w:trPr>
        <w:tc>
          <w:tcPr>
            <w:tcW w:w="370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R. Gonzalez</w:t>
            </w:r>
          </w:p>
        </w:tc>
        <w:tc>
          <w:tcPr>
            <w:tcW w:w="1080" w:type="dxa"/>
            <w:vAlign w:val="bottom"/>
            <w:shd w:val="clear" w:color="auto" w:fill="E7E7E8"/>
          </w:tcPr>
          <w:p>
            <w:pPr>
              <w:jc w:val="right"/>
              <w:ind w:right="15"/>
              <w:spacing w:after="0" w:line="189" w:lineRule="exact"/>
              <w:rPr>
                <w:sz w:val="20"/>
                <w:szCs w:val="20"/>
                <w:color w:val="auto"/>
              </w:rPr>
            </w:pPr>
            <w:r>
              <w:rPr>
                <w:rFonts w:ascii="Arial" w:cs="Arial" w:eastAsia="Arial" w:hAnsi="Arial"/>
                <w:sz w:val="17"/>
                <w:szCs w:val="17"/>
                <w:color w:val="auto"/>
              </w:rPr>
              <w:t>240,477</w:t>
            </w:r>
          </w:p>
        </w:tc>
        <w:tc>
          <w:tcPr>
            <w:tcW w:w="1200" w:type="dxa"/>
            <w:vAlign w:val="bottom"/>
            <w:tcBorders>
              <w:right w:val="single" w:sz="8" w:color="061844"/>
            </w:tcBorders>
            <w:gridSpan w:val="2"/>
            <w:shd w:val="clear" w:color="auto" w:fill="E7E7E8"/>
          </w:tcPr>
          <w:p>
            <w:pPr>
              <w:jc w:val="right"/>
              <w:ind w:right="160"/>
              <w:spacing w:after="0" w:line="189" w:lineRule="exact"/>
              <w:rPr>
                <w:sz w:val="20"/>
                <w:szCs w:val="20"/>
                <w:color w:val="auto"/>
              </w:rPr>
            </w:pPr>
            <w:r>
              <w:rPr>
                <w:rFonts w:ascii="Arial" w:cs="Arial" w:eastAsia="Arial" w:hAnsi="Arial"/>
                <w:sz w:val="17"/>
                <w:szCs w:val="17"/>
                <w:color w:val="auto"/>
              </w:rPr>
              <w:t>$7,359,976</w:t>
            </w:r>
          </w:p>
        </w:tc>
        <w:tc>
          <w:tcPr>
            <w:tcW w:w="300" w:type="dxa"/>
            <w:vAlign w:val="bottom"/>
            <w:shd w:val="clear" w:color="auto" w:fill="E7E7E8"/>
          </w:tcPr>
          <w:p>
            <w:pPr>
              <w:spacing w:after="0"/>
              <w:rPr>
                <w:sz w:val="16"/>
                <w:szCs w:val="16"/>
                <w:color w:val="auto"/>
              </w:rPr>
            </w:pPr>
          </w:p>
        </w:tc>
        <w:tc>
          <w:tcPr>
            <w:tcW w:w="1120" w:type="dxa"/>
            <w:vAlign w:val="bottom"/>
            <w:shd w:val="clear" w:color="auto" w:fill="E7E7E8"/>
          </w:tcPr>
          <w:p>
            <w:pPr>
              <w:jc w:val="right"/>
              <w:ind w:right="35"/>
              <w:spacing w:after="0" w:line="189" w:lineRule="exact"/>
              <w:rPr>
                <w:sz w:val="20"/>
                <w:szCs w:val="20"/>
                <w:color w:val="auto"/>
              </w:rPr>
            </w:pPr>
            <w:r>
              <w:rPr>
                <w:rFonts w:ascii="Arial" w:cs="Arial" w:eastAsia="Arial" w:hAnsi="Arial"/>
                <w:sz w:val="17"/>
                <w:szCs w:val="17"/>
                <w:color w:val="auto"/>
              </w:rPr>
              <w:t>160,026</w:t>
            </w:r>
          </w:p>
        </w:tc>
        <w:tc>
          <w:tcPr>
            <w:tcW w:w="100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$9,683,687</w:t>
            </w:r>
          </w:p>
        </w:tc>
      </w:tr>
      <w:tr>
        <w:trPr>
          <w:trHeight w:val="196"/>
        </w:trPr>
        <w:tc>
          <w:tcPr>
            <w:tcW w:w="3700" w:type="dxa"/>
            <w:vAlign w:val="bottom"/>
          </w:tcPr>
          <w:p>
            <w:pPr>
              <w:spacing w:after="0"/>
              <w:rPr>
                <w:sz w:val="20"/>
                <w:szCs w:val="20"/>
                <w:color w:val="auto"/>
              </w:rPr>
            </w:pPr>
            <w:r>
              <w:rPr>
                <w:rFonts w:ascii="Arial" w:cs="Arial" w:eastAsia="Arial" w:hAnsi="Arial"/>
                <w:sz w:val="17"/>
                <w:szCs w:val="17"/>
                <w:color w:val="auto"/>
              </w:rPr>
              <w:t>W. Chase</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1200" w:type="dxa"/>
            <w:vAlign w:val="bottom"/>
            <w:tcBorders>
              <w:right w:val="single" w:sz="8" w:color="061844"/>
            </w:tcBorders>
            <w:gridSpan w:val="2"/>
          </w:tcPr>
          <w:p>
            <w:pPr>
              <w:jc w:val="right"/>
              <w:ind w:right="160"/>
              <w:spacing w:after="0"/>
              <w:rPr>
                <w:sz w:val="20"/>
                <w:szCs w:val="20"/>
                <w:color w:val="auto"/>
              </w:rPr>
            </w:pPr>
            <w:r>
              <w:rPr>
                <w:rFonts w:ascii="Arial" w:cs="Arial" w:eastAsia="Arial" w:hAnsi="Arial"/>
                <w:sz w:val="17"/>
                <w:szCs w:val="17"/>
                <w:color w:val="auto"/>
              </w:rPr>
              <w:t>0</w:t>
            </w:r>
          </w:p>
        </w:tc>
        <w:tc>
          <w:tcPr>
            <w:tcW w:w="30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40,457</w:t>
            </w:r>
          </w:p>
        </w:tc>
        <w:tc>
          <w:tcPr>
            <w:tcW w:w="1000" w:type="dxa"/>
            <w:vAlign w:val="bottom"/>
          </w:tcPr>
          <w:p>
            <w:pPr>
              <w:jc w:val="right"/>
              <w:spacing w:after="0"/>
              <w:rPr>
                <w:sz w:val="20"/>
                <w:szCs w:val="20"/>
                <w:color w:val="auto"/>
              </w:rPr>
            </w:pPr>
            <w:r>
              <w:rPr>
                <w:rFonts w:ascii="Arial" w:cs="Arial" w:eastAsia="Arial" w:hAnsi="Arial"/>
                <w:sz w:val="17"/>
                <w:szCs w:val="17"/>
                <w:color w:val="auto"/>
              </w:rPr>
              <w:t>2,448,099</w:t>
            </w:r>
          </w:p>
        </w:tc>
      </w:tr>
      <w:tr>
        <w:trPr>
          <w:trHeight w:val="196"/>
        </w:trPr>
        <w:tc>
          <w:tcPr>
            <w:tcW w:w="3700" w:type="dxa"/>
            <w:vAlign w:val="bottom"/>
            <w:shd w:val="clear" w:color="auto" w:fill="E7E7E8"/>
          </w:tcPr>
          <w:p>
            <w:pPr>
              <w:spacing w:after="0"/>
              <w:rPr>
                <w:sz w:val="20"/>
                <w:szCs w:val="20"/>
                <w:color w:val="auto"/>
              </w:rPr>
            </w:pPr>
            <w:r>
              <w:rPr>
                <w:rFonts w:ascii="Arial" w:cs="Arial" w:eastAsia="Arial" w:hAnsi="Arial"/>
                <w:sz w:val="17"/>
                <w:szCs w:val="17"/>
                <w:color w:val="auto"/>
              </w:rPr>
              <w:t>L. Schumacher</w:t>
            </w:r>
          </w:p>
        </w:tc>
        <w:tc>
          <w:tcPr>
            <w:tcW w:w="1080" w:type="dxa"/>
            <w:vAlign w:val="bottom"/>
            <w:shd w:val="clear" w:color="auto" w:fill="E7E7E8"/>
          </w:tcPr>
          <w:p>
            <w:pPr>
              <w:jc w:val="right"/>
              <w:ind w:right="15"/>
              <w:spacing w:after="0"/>
              <w:rPr>
                <w:sz w:val="20"/>
                <w:szCs w:val="20"/>
                <w:color w:val="auto"/>
              </w:rPr>
            </w:pPr>
            <w:r>
              <w:rPr>
                <w:rFonts w:ascii="Arial" w:cs="Arial" w:eastAsia="Arial" w:hAnsi="Arial"/>
                <w:sz w:val="17"/>
                <w:szCs w:val="17"/>
                <w:color w:val="auto"/>
              </w:rPr>
              <w:t>0</w:t>
            </w:r>
          </w:p>
        </w:tc>
        <w:tc>
          <w:tcPr>
            <w:tcW w:w="1200" w:type="dxa"/>
            <w:vAlign w:val="bottom"/>
            <w:tcBorders>
              <w:right w:val="single" w:sz="8" w:color="061844"/>
            </w:tcBorders>
            <w:gridSpan w:val="2"/>
            <w:shd w:val="clear" w:color="auto" w:fill="E7E7E8"/>
          </w:tcPr>
          <w:p>
            <w:pPr>
              <w:jc w:val="right"/>
              <w:ind w:right="160"/>
              <w:spacing w:after="0"/>
              <w:rPr>
                <w:sz w:val="20"/>
                <w:szCs w:val="20"/>
                <w:color w:val="auto"/>
              </w:rPr>
            </w:pPr>
            <w:r>
              <w:rPr>
                <w:rFonts w:ascii="Arial" w:cs="Arial" w:eastAsia="Arial" w:hAnsi="Arial"/>
                <w:sz w:val="17"/>
                <w:szCs w:val="17"/>
                <w:color w:val="auto"/>
              </w:rPr>
              <w:t>0</w:t>
            </w:r>
          </w:p>
        </w:tc>
        <w:tc>
          <w:tcPr>
            <w:tcW w:w="300" w:type="dxa"/>
            <w:vAlign w:val="bottom"/>
            <w:shd w:val="clear" w:color="auto" w:fill="E7E7E8"/>
          </w:tcPr>
          <w:p>
            <w:pPr>
              <w:spacing w:after="0"/>
              <w:rPr>
                <w:sz w:val="17"/>
                <w:szCs w:val="17"/>
                <w:color w:val="auto"/>
              </w:rPr>
            </w:pPr>
          </w:p>
        </w:tc>
        <w:tc>
          <w:tcPr>
            <w:tcW w:w="1120" w:type="dxa"/>
            <w:vAlign w:val="bottom"/>
            <w:shd w:val="clear" w:color="auto" w:fill="E7E7E8"/>
          </w:tcPr>
          <w:p>
            <w:pPr>
              <w:jc w:val="right"/>
              <w:ind w:right="35"/>
              <w:spacing w:after="0"/>
              <w:rPr>
                <w:sz w:val="20"/>
                <w:szCs w:val="20"/>
                <w:color w:val="auto"/>
              </w:rPr>
            </w:pPr>
            <w:r>
              <w:rPr>
                <w:rFonts w:ascii="Arial" w:cs="Arial" w:eastAsia="Arial" w:hAnsi="Arial"/>
                <w:sz w:val="17"/>
                <w:szCs w:val="17"/>
                <w:color w:val="auto"/>
              </w:rPr>
              <w:t>56,673</w:t>
            </w:r>
          </w:p>
        </w:tc>
        <w:tc>
          <w:tcPr>
            <w:tcW w:w="10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3,429,486</w:t>
            </w:r>
          </w:p>
        </w:tc>
      </w:tr>
      <w:tr>
        <w:trPr>
          <w:trHeight w:val="196"/>
        </w:trPr>
        <w:tc>
          <w:tcPr>
            <w:tcW w:w="3700" w:type="dxa"/>
            <w:vAlign w:val="bottom"/>
          </w:tcPr>
          <w:p>
            <w:pPr>
              <w:spacing w:after="0"/>
              <w:rPr>
                <w:sz w:val="20"/>
                <w:szCs w:val="20"/>
                <w:color w:val="auto"/>
              </w:rPr>
            </w:pPr>
            <w:r>
              <w:rPr>
                <w:rFonts w:ascii="Arial" w:cs="Arial" w:eastAsia="Arial" w:hAnsi="Arial"/>
                <w:sz w:val="17"/>
                <w:szCs w:val="17"/>
                <w:color w:val="auto"/>
              </w:rPr>
              <w:t>C. Alban</w:t>
            </w:r>
          </w:p>
        </w:tc>
        <w:tc>
          <w:tcPr>
            <w:tcW w:w="1080" w:type="dxa"/>
            <w:vAlign w:val="bottom"/>
          </w:tcPr>
          <w:p>
            <w:pPr>
              <w:jc w:val="right"/>
              <w:ind w:right="15"/>
              <w:spacing w:after="0"/>
              <w:rPr>
                <w:sz w:val="20"/>
                <w:szCs w:val="20"/>
                <w:color w:val="auto"/>
              </w:rPr>
            </w:pPr>
            <w:r>
              <w:rPr>
                <w:rFonts w:ascii="Arial" w:cs="Arial" w:eastAsia="Arial" w:hAnsi="Arial"/>
                <w:sz w:val="17"/>
                <w:szCs w:val="17"/>
                <w:color w:val="auto"/>
              </w:rPr>
              <w:t>0</w:t>
            </w:r>
          </w:p>
        </w:tc>
        <w:tc>
          <w:tcPr>
            <w:tcW w:w="1200" w:type="dxa"/>
            <w:vAlign w:val="bottom"/>
            <w:tcBorders>
              <w:right w:val="single" w:sz="8" w:color="061844"/>
            </w:tcBorders>
            <w:gridSpan w:val="2"/>
          </w:tcPr>
          <w:p>
            <w:pPr>
              <w:jc w:val="right"/>
              <w:ind w:right="160"/>
              <w:spacing w:after="0"/>
              <w:rPr>
                <w:sz w:val="20"/>
                <w:szCs w:val="20"/>
                <w:color w:val="auto"/>
              </w:rPr>
            </w:pPr>
            <w:r>
              <w:rPr>
                <w:rFonts w:ascii="Arial" w:cs="Arial" w:eastAsia="Arial" w:hAnsi="Arial"/>
                <w:sz w:val="17"/>
                <w:szCs w:val="17"/>
                <w:color w:val="auto"/>
              </w:rPr>
              <w:t>0</w:t>
            </w:r>
          </w:p>
        </w:tc>
        <w:tc>
          <w:tcPr>
            <w:tcW w:w="300" w:type="dxa"/>
            <w:vAlign w:val="bottom"/>
          </w:tcPr>
          <w:p>
            <w:pPr>
              <w:spacing w:after="0"/>
              <w:rPr>
                <w:sz w:val="17"/>
                <w:szCs w:val="17"/>
                <w:color w:val="auto"/>
              </w:rPr>
            </w:pPr>
          </w:p>
        </w:tc>
        <w:tc>
          <w:tcPr>
            <w:tcW w:w="1120" w:type="dxa"/>
            <w:vAlign w:val="bottom"/>
          </w:tcPr>
          <w:p>
            <w:pPr>
              <w:jc w:val="right"/>
              <w:ind w:right="35"/>
              <w:spacing w:after="0"/>
              <w:rPr>
                <w:sz w:val="20"/>
                <w:szCs w:val="20"/>
                <w:color w:val="auto"/>
              </w:rPr>
            </w:pPr>
            <w:r>
              <w:rPr>
                <w:rFonts w:ascii="Arial" w:cs="Arial" w:eastAsia="Arial" w:hAnsi="Arial"/>
                <w:sz w:val="17"/>
                <w:szCs w:val="17"/>
                <w:color w:val="auto"/>
              </w:rPr>
              <w:t>43,554</w:t>
            </w:r>
          </w:p>
        </w:tc>
        <w:tc>
          <w:tcPr>
            <w:tcW w:w="1000" w:type="dxa"/>
            <w:vAlign w:val="bottom"/>
          </w:tcPr>
          <w:p>
            <w:pPr>
              <w:jc w:val="right"/>
              <w:spacing w:after="0"/>
              <w:rPr>
                <w:sz w:val="20"/>
                <w:szCs w:val="20"/>
                <w:color w:val="auto"/>
              </w:rPr>
            </w:pPr>
            <w:r>
              <w:rPr>
                <w:rFonts w:ascii="Arial" w:cs="Arial" w:eastAsia="Arial" w:hAnsi="Arial"/>
                <w:sz w:val="17"/>
                <w:szCs w:val="17"/>
                <w:color w:val="auto"/>
              </w:rPr>
              <w:t>2,635,573</w:t>
            </w:r>
          </w:p>
        </w:tc>
      </w:tr>
      <w:tr>
        <w:trPr>
          <w:trHeight w:val="196"/>
        </w:trPr>
        <w:tc>
          <w:tcPr>
            <w:tcW w:w="3700" w:type="dxa"/>
            <w:vAlign w:val="bottom"/>
            <w:shd w:val="clear" w:color="auto" w:fill="E7E7E8"/>
          </w:tcPr>
          <w:p>
            <w:pPr>
              <w:spacing w:after="0"/>
              <w:rPr>
                <w:sz w:val="20"/>
                <w:szCs w:val="20"/>
                <w:color w:val="auto"/>
              </w:rPr>
            </w:pPr>
            <w:r>
              <w:rPr>
                <w:rFonts w:ascii="Arial" w:cs="Arial" w:eastAsia="Arial" w:hAnsi="Arial"/>
                <w:sz w:val="17"/>
                <w:szCs w:val="17"/>
                <w:color w:val="auto"/>
              </w:rPr>
              <w:t>M. Severino</w:t>
            </w:r>
          </w:p>
        </w:tc>
        <w:tc>
          <w:tcPr>
            <w:tcW w:w="1080" w:type="dxa"/>
            <w:vAlign w:val="bottom"/>
            <w:shd w:val="clear" w:color="auto" w:fill="E7E7E8"/>
          </w:tcPr>
          <w:p>
            <w:pPr>
              <w:jc w:val="right"/>
              <w:ind w:right="15"/>
              <w:spacing w:after="0"/>
              <w:rPr>
                <w:sz w:val="20"/>
                <w:szCs w:val="20"/>
                <w:color w:val="auto"/>
              </w:rPr>
            </w:pPr>
            <w:r>
              <w:rPr>
                <w:rFonts w:ascii="Arial" w:cs="Arial" w:eastAsia="Arial" w:hAnsi="Arial"/>
                <w:sz w:val="17"/>
                <w:szCs w:val="17"/>
                <w:color w:val="auto"/>
              </w:rPr>
              <w:t>0</w:t>
            </w:r>
          </w:p>
        </w:tc>
        <w:tc>
          <w:tcPr>
            <w:tcW w:w="1200" w:type="dxa"/>
            <w:vAlign w:val="bottom"/>
            <w:tcBorders>
              <w:right w:val="single" w:sz="8" w:color="061844"/>
            </w:tcBorders>
            <w:gridSpan w:val="2"/>
            <w:shd w:val="clear" w:color="auto" w:fill="E7E7E8"/>
          </w:tcPr>
          <w:p>
            <w:pPr>
              <w:jc w:val="right"/>
              <w:ind w:right="160"/>
              <w:spacing w:after="0"/>
              <w:rPr>
                <w:sz w:val="20"/>
                <w:szCs w:val="20"/>
                <w:color w:val="auto"/>
              </w:rPr>
            </w:pPr>
            <w:r>
              <w:rPr>
                <w:rFonts w:ascii="Arial" w:cs="Arial" w:eastAsia="Arial" w:hAnsi="Arial"/>
                <w:sz w:val="17"/>
                <w:szCs w:val="17"/>
                <w:color w:val="auto"/>
              </w:rPr>
              <w:t>0</w:t>
            </w:r>
          </w:p>
        </w:tc>
        <w:tc>
          <w:tcPr>
            <w:tcW w:w="300" w:type="dxa"/>
            <w:vAlign w:val="bottom"/>
            <w:shd w:val="clear" w:color="auto" w:fill="E7E7E8"/>
          </w:tcPr>
          <w:p>
            <w:pPr>
              <w:spacing w:after="0"/>
              <w:rPr>
                <w:sz w:val="17"/>
                <w:szCs w:val="17"/>
                <w:color w:val="auto"/>
              </w:rPr>
            </w:pPr>
          </w:p>
        </w:tc>
        <w:tc>
          <w:tcPr>
            <w:tcW w:w="1120" w:type="dxa"/>
            <w:vAlign w:val="bottom"/>
            <w:shd w:val="clear" w:color="auto" w:fill="E7E7E8"/>
          </w:tcPr>
          <w:p>
            <w:pPr>
              <w:jc w:val="right"/>
              <w:ind w:right="35"/>
              <w:spacing w:after="0"/>
              <w:rPr>
                <w:sz w:val="20"/>
                <w:szCs w:val="20"/>
                <w:color w:val="auto"/>
              </w:rPr>
            </w:pPr>
            <w:r>
              <w:rPr>
                <w:rFonts w:ascii="Arial" w:cs="Arial" w:eastAsia="Arial" w:hAnsi="Arial"/>
                <w:sz w:val="17"/>
                <w:szCs w:val="17"/>
                <w:color w:val="auto"/>
              </w:rPr>
              <w:t>47,209</w:t>
            </w:r>
          </w:p>
        </w:tc>
        <w:tc>
          <w:tcPr>
            <w:tcW w:w="10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3,159,698</w:t>
            </w:r>
          </w:p>
        </w:tc>
      </w:tr>
    </w:tbl>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firstLine="661"/>
        <w:spacing w:after="0" w:line="242" w:lineRule="auto"/>
        <w:rPr>
          <w:sz w:val="20"/>
          <w:szCs w:val="20"/>
          <w:color w:val="auto"/>
        </w:rPr>
      </w:pPr>
      <w:r>
        <w:rPr>
          <w:rFonts w:ascii="Arial" w:cs="Arial" w:eastAsia="Arial" w:hAnsi="Arial"/>
          <w:sz w:val="17"/>
          <w:szCs w:val="17"/>
          <w:color w:val="auto"/>
        </w:rPr>
        <w:t>During 2015, the NEOs participated in two AbbVie-sponsored defined benefit pension plans: the AbbVie Pension Plan, a tax-qualified pension plan; and the AbbVie Supplemental Pension Plan, a non-qualified supplemental pension plan. The Supplemental Pension Plan also includes a benefit feature AbbVie uses to attract senior executives who are mid-career hires, which provides an additional benefit to such participants that is less valuable to participants who have spent most of their career at the company. Except as provided in AbbVie's change in control agreements, AbbVie does not have a policy granting extra years of credited service under the plans. The change in control agreements are described in the section of this proxy statement captioned "Potential Payments upon Termination or Change in Control."</w:t>
      </w:r>
    </w:p>
    <w:p>
      <w:pPr>
        <w:spacing w:after="0" w:line="202" w:lineRule="exact"/>
        <w:rPr>
          <w:sz w:val="20"/>
          <w:szCs w:val="20"/>
          <w:color w:val="auto"/>
        </w:rPr>
      </w:pPr>
    </w:p>
    <w:p>
      <w:pPr>
        <w:ind w:right="180" w:firstLine="657"/>
        <w:spacing w:after="0" w:line="250" w:lineRule="auto"/>
        <w:rPr>
          <w:sz w:val="20"/>
          <w:szCs w:val="20"/>
          <w:color w:val="auto"/>
        </w:rPr>
      </w:pPr>
      <w:r>
        <w:rPr>
          <w:rFonts w:ascii="Arial" w:cs="Arial" w:eastAsia="Arial" w:hAnsi="Arial"/>
          <w:sz w:val="17"/>
          <w:szCs w:val="17"/>
          <w:color w:val="auto"/>
        </w:rPr>
        <w:t>The compensation considered in determining the pensions payable to the NEOs is the compensation shown in the "Salary" and "Non-Equity Incentive Plan Compensation" columns of the Summary Compensation Table.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Pension Plan</w:t>
      </w:r>
    </w:p>
    <w:p>
      <w:pPr>
        <w:spacing w:after="0" w:line="230" w:lineRule="exact"/>
        <w:rPr>
          <w:sz w:val="20"/>
          <w:szCs w:val="20"/>
          <w:color w:val="auto"/>
        </w:rPr>
      </w:pPr>
    </w:p>
    <w:p>
      <w:pPr>
        <w:ind w:right="160" w:firstLine="657"/>
        <w:spacing w:after="0" w:line="250" w:lineRule="auto"/>
        <w:rPr>
          <w:sz w:val="20"/>
          <w:szCs w:val="20"/>
          <w:color w:val="auto"/>
        </w:rPr>
      </w:pPr>
      <w:r>
        <w:rPr>
          <w:rFonts w:ascii="Arial" w:cs="Arial" w:eastAsia="Arial" w:hAnsi="Arial"/>
          <w:sz w:val="17"/>
          <w:szCs w:val="17"/>
          <w:color w:val="auto"/>
        </w:rPr>
        <w:t>The Pension Plan is a broad-based plan that covers most AbbVie employees in the United States, age 21 or older, and provides participants with a life annuity benefit at normal retirement equal to A plus the greater of B or C below.</w:t>
      </w:r>
    </w:p>
    <w:p>
      <w:pPr>
        <w:spacing w:after="0" w:line="194" w:lineRule="exact"/>
        <w:rPr>
          <w:sz w:val="20"/>
          <w:szCs w:val="20"/>
          <w:color w:val="auto"/>
        </w:rPr>
      </w:pPr>
    </w:p>
    <w:p>
      <w:pPr>
        <w:ind w:left="1040" w:hanging="513"/>
        <w:spacing w:after="0"/>
        <w:tabs>
          <w:tab w:leader="none" w:pos="1040" w:val="left"/>
        </w:tabs>
        <w:numPr>
          <w:ilvl w:val="0"/>
          <w:numId w:val="43"/>
        </w:numPr>
        <w:rPr>
          <w:rFonts w:ascii="Arial" w:cs="Arial" w:eastAsia="Arial" w:hAnsi="Arial"/>
          <w:sz w:val="17"/>
          <w:szCs w:val="17"/>
          <w:color w:val="auto"/>
        </w:rPr>
      </w:pPr>
      <w:r>
        <w:rPr>
          <w:rFonts w:ascii="Arial" w:cs="Arial" w:eastAsia="Arial" w:hAnsi="Arial"/>
          <w:sz w:val="17"/>
          <w:szCs w:val="17"/>
          <w:color w:val="auto"/>
        </w:rPr>
        <w:t>1.10% of 5-year final average earnings multiplied by years of benefit service after 2003.</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48  </w:t>
      </w:r>
      <w:r>
        <w:rPr>
          <w:sz w:val="1"/>
          <w:szCs w:val="1"/>
          <w:color w:val="auto"/>
        </w:rPr>
        <w:drawing>
          <wp:inline distT="0" distB="0" distL="0" distR="0">
            <wp:extent cx="622300" cy="107950"/>
            <wp:effectExtent l="0" t="0" r="0" b="0"/>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51" w:name="page52"/>
    <w:bookmarkEnd w:id="5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ind w:left="1040" w:hanging="513"/>
        <w:spacing w:after="0" w:line="243" w:lineRule="auto"/>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1.65% of 5-year final average earnings multiplied by years of benefit service prior to 2004 (up to 20); plus 1.50% of 5-year final average earnings multiplied by years of benefit service prior to 2004 in excess of 20 (but no more than 15 additional years); less 0.50% of the lesser of 3-year final average earnings (but not more than the social security year) or the social security covered compensation level multiplied by years of benefit service.</w:t>
      </w:r>
    </w:p>
    <w:p>
      <w:pPr>
        <w:spacing w:after="0" w:line="201" w:lineRule="exact"/>
        <w:rPr>
          <w:rFonts w:ascii="Arial" w:cs="Arial" w:eastAsia="Arial" w:hAnsi="Arial"/>
          <w:sz w:val="17"/>
          <w:szCs w:val="17"/>
          <w:color w:val="auto"/>
        </w:rPr>
      </w:pPr>
    </w:p>
    <w:p>
      <w:pPr>
        <w:ind w:left="1040" w:hanging="513"/>
        <w:spacing w:after="0"/>
        <w:tabs>
          <w:tab w:leader="none" w:pos="1040" w:val="left"/>
        </w:tabs>
        <w:numPr>
          <w:ilvl w:val="0"/>
          <w:numId w:val="44"/>
        </w:numPr>
        <w:rPr>
          <w:rFonts w:ascii="Arial" w:cs="Arial" w:eastAsia="Arial" w:hAnsi="Arial"/>
          <w:sz w:val="17"/>
          <w:szCs w:val="17"/>
          <w:color w:val="auto"/>
        </w:rPr>
      </w:pPr>
      <w:r>
        <w:rPr>
          <w:rFonts w:ascii="Arial" w:cs="Arial" w:eastAsia="Arial" w:hAnsi="Arial"/>
          <w:sz w:val="17"/>
          <w:szCs w:val="17"/>
          <w:color w:val="auto"/>
        </w:rPr>
        <w:t>1.10% of 5-year final average earnings multiplied by years of benefit service prior to 2004.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0"/>
          <w:szCs w:val="10"/>
          <w:b w:val="1"/>
          <w:bCs w:val="1"/>
          <w:color w:val="FFFFFE"/>
        </w:rPr>
        <w:t>EXECUTIVE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-33655</wp:posOffset>
            </wp:positionH>
            <wp:positionV relativeFrom="paragraph">
              <wp:posOffset>-95885</wp:posOffset>
            </wp:positionV>
            <wp:extent cx="1103630" cy="14097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color w:val="auto"/>
        </w:rPr>
        <w:t>wage base in any</w:t>
      </w:r>
    </w:p>
    <w:p>
      <w:pPr>
        <w:spacing w:after="0" w:line="800" w:lineRule="exact"/>
        <w:rPr>
          <w:sz w:val="20"/>
          <w:szCs w:val="20"/>
          <w:color w:val="auto"/>
        </w:rPr>
      </w:pPr>
    </w:p>
    <w:p>
      <w:pPr>
        <w:sectPr>
          <w:pgSz w:w="11900" w:h="16838" w:orient="portrait"/>
          <w:cols w:equalWidth="0" w:num="2">
            <w:col w:w="9700" w:space="40"/>
            <w:col w:w="1680"/>
          </w:cols>
          <w:pgMar w:left="240" w:top="143" w:right="239" w:bottom="1440" w:gutter="0" w:footer="0" w:header="0"/>
        </w:sectPr>
      </w:pPr>
    </w:p>
    <w:p>
      <w:pPr>
        <w:spacing w:after="0" w:line="10" w:lineRule="exact"/>
        <w:rPr>
          <w:sz w:val="20"/>
          <w:szCs w:val="20"/>
          <w:color w:val="auto"/>
        </w:rPr>
      </w:pPr>
    </w:p>
    <w:p>
      <w:pPr>
        <w:ind w:right="160" w:firstLine="657"/>
        <w:spacing w:after="0" w:line="250" w:lineRule="auto"/>
        <w:rPr>
          <w:sz w:val="20"/>
          <w:szCs w:val="20"/>
          <w:color w:val="auto"/>
        </w:rPr>
      </w:pPr>
      <w:r>
        <w:rPr>
          <w:rFonts w:ascii="Arial" w:cs="Arial" w:eastAsia="Arial" w:hAnsi="Arial"/>
          <w:sz w:val="17"/>
          <w:szCs w:val="17"/>
          <w:color w:val="auto"/>
        </w:rPr>
        <w:t>The benefit for service prior to 2004 (B or C above) is reduced for the cost of preretirement surviving spouse benefit protection. The reduction is calculated using formulas based on age and employment status during the period in which coverage was in effect.</w:t>
      </w:r>
    </w:p>
    <w:p>
      <w:pPr>
        <w:spacing w:after="0" w:line="194" w:lineRule="exact"/>
        <w:rPr>
          <w:sz w:val="20"/>
          <w:szCs w:val="20"/>
          <w:color w:val="auto"/>
        </w:rPr>
      </w:pPr>
    </w:p>
    <w:p>
      <w:pPr>
        <w:jc w:val="both"/>
        <w:ind w:right="400" w:firstLine="661"/>
        <w:spacing w:after="0" w:line="245" w:lineRule="auto"/>
        <w:rPr>
          <w:sz w:val="20"/>
          <w:szCs w:val="20"/>
          <w:color w:val="auto"/>
        </w:rPr>
      </w:pPr>
      <w:r>
        <w:rPr>
          <w:rFonts w:ascii="Arial" w:cs="Arial" w:eastAsia="Arial" w:hAnsi="Arial"/>
          <w:sz w:val="17"/>
          <w:szCs w:val="17"/>
          <w:color w:val="auto"/>
        </w:rPr>
        <w:t>Final average earnings are the average of the employee's 60 highest-paid consecutive calendar months of compensation (salary and non-equity incentive plan compensation). The Pension Plan covers earnings up to the limit imposed by Internal Revenue Code Section 401(a)(17) and provides for a maximum of 35 years of benefit service.</w:t>
      </w:r>
    </w:p>
    <w:p>
      <w:pPr>
        <w:spacing w:after="0" w:line="198" w:lineRule="exact"/>
        <w:rPr>
          <w:sz w:val="20"/>
          <w:szCs w:val="20"/>
          <w:color w:val="auto"/>
        </w:rPr>
      </w:pPr>
    </w:p>
    <w:p>
      <w:pPr>
        <w:ind w:right="40" w:firstLine="661"/>
        <w:spacing w:after="0"/>
        <w:rPr>
          <w:sz w:val="20"/>
          <w:szCs w:val="20"/>
          <w:color w:val="auto"/>
        </w:rPr>
      </w:pPr>
      <w:r>
        <w:rPr>
          <w:rFonts w:ascii="Arial" w:cs="Arial" w:eastAsia="Arial" w:hAnsi="Arial"/>
          <w:sz w:val="17"/>
          <w:szCs w:val="17"/>
          <w:color w:val="auto"/>
        </w:rPr>
        <w:t>Participants become fully vested in their pension benefit upon the completion of five years of service. The benefit is payable on an unreduced basis at age 65. Employees hired after 2003 who terminate employment prior to age 55 with at least 10 years of service may choose to commence their benefits on an actuarially reduced basis as early as age 55. Employees hired before 2004 who terminate employment prior to age 50 with at least</w:t>
      </w:r>
    </w:p>
    <w:p>
      <w:pPr>
        <w:spacing w:after="0" w:line="2" w:lineRule="exact"/>
        <w:rPr>
          <w:sz w:val="20"/>
          <w:szCs w:val="20"/>
          <w:color w:val="auto"/>
        </w:rPr>
      </w:pPr>
    </w:p>
    <w:p>
      <w:pPr>
        <w:ind w:right="260"/>
        <w:spacing w:after="0" w:line="245" w:lineRule="auto"/>
        <w:rPr>
          <w:sz w:val="20"/>
          <w:szCs w:val="20"/>
          <w:color w:val="auto"/>
        </w:rPr>
      </w:pPr>
      <w:r>
        <w:rPr>
          <w:rFonts w:ascii="Arial" w:cs="Arial" w:eastAsia="Arial" w:hAnsi="Arial"/>
          <w:sz w:val="17"/>
          <w:szCs w:val="17"/>
          <w:color w:val="auto"/>
        </w:rPr>
        <w:t>10 years of service may choose to commence their benefits on an actuarially reduced basis as early as age 50. Employees hired before 2004 who terminate employment prior to age 50 with fewer than 10 years of service may choose to commence their benefits on an actuarially reduced basis as early as age 55.</w:t>
      </w:r>
    </w:p>
    <w:p>
      <w:pPr>
        <w:spacing w:after="0" w:line="198" w:lineRule="exact"/>
        <w:rPr>
          <w:sz w:val="20"/>
          <w:szCs w:val="20"/>
          <w:color w:val="auto"/>
        </w:rPr>
      </w:pPr>
    </w:p>
    <w:p>
      <w:pPr>
        <w:ind w:right="240" w:firstLine="657"/>
        <w:spacing w:after="0" w:line="281" w:lineRule="auto"/>
        <w:rPr>
          <w:sz w:val="20"/>
          <w:szCs w:val="20"/>
          <w:color w:val="auto"/>
        </w:rPr>
      </w:pPr>
      <w:r>
        <w:rPr>
          <w:rFonts w:ascii="Arial" w:cs="Arial" w:eastAsia="Arial" w:hAnsi="Arial"/>
          <w:sz w:val="16"/>
          <w:szCs w:val="16"/>
          <w:color w:val="auto"/>
        </w:rPr>
        <w:t>The Pension Plan offers several optional forms of payment, including certain and life annuities, joint and survivor annuities, and level income annuities. The benefit paid under any of these options is actuarially equivalent to the life annuity benefit produced by the formula described above.</w:t>
      </w:r>
    </w:p>
    <w:p>
      <w:pPr>
        <w:spacing w:after="0" w:line="170" w:lineRule="exact"/>
        <w:rPr>
          <w:sz w:val="20"/>
          <w:szCs w:val="20"/>
          <w:color w:val="auto"/>
        </w:rPr>
      </w:pPr>
    </w:p>
    <w:p>
      <w:pPr>
        <w:ind w:right="60" w:firstLine="661"/>
        <w:spacing w:after="0" w:line="255" w:lineRule="auto"/>
        <w:rPr>
          <w:sz w:val="20"/>
          <w:szCs w:val="20"/>
          <w:color w:val="auto"/>
        </w:rPr>
      </w:pPr>
      <w:r>
        <w:rPr>
          <w:rFonts w:ascii="Arial" w:cs="Arial" w:eastAsia="Arial" w:hAnsi="Arial"/>
          <w:sz w:val="16"/>
          <w:szCs w:val="16"/>
          <w:color w:val="auto"/>
        </w:rPr>
        <w:t>Employees who retire from AbbVie prior to their normal retirement age may receive subsidized early retirement benefits. Employees hired after 2003 are eligible for early retirement at age 55 with 10 years of service. Employees hired before 2004 are eligible for early retirement at age 50 with</w:t>
      </w:r>
    </w:p>
    <w:p>
      <w:pPr>
        <w:spacing w:after="0" w:line="1" w:lineRule="exact"/>
        <w:rPr>
          <w:sz w:val="20"/>
          <w:szCs w:val="20"/>
          <w:color w:val="auto"/>
        </w:rPr>
      </w:pPr>
    </w:p>
    <w:p>
      <w:pPr>
        <w:ind w:right="340"/>
        <w:spacing w:after="0" w:line="250" w:lineRule="auto"/>
        <w:rPr>
          <w:sz w:val="20"/>
          <w:szCs w:val="20"/>
          <w:color w:val="auto"/>
        </w:rPr>
      </w:pPr>
      <w:r>
        <w:rPr>
          <w:rFonts w:ascii="Arial" w:cs="Arial" w:eastAsia="Arial" w:hAnsi="Arial"/>
          <w:sz w:val="17"/>
          <w:szCs w:val="17"/>
          <w:color w:val="auto"/>
        </w:rPr>
        <w:t>10 years of service or age 55 if the employee's age plus years of benefit service total 70 or more. Mr. Gonzalez, Ms. Schumacher and Mr. Alban are eligible for early retirement benefits under the plan.</w:t>
      </w:r>
    </w:p>
    <w:p>
      <w:pPr>
        <w:spacing w:after="0" w:line="194" w:lineRule="exact"/>
        <w:rPr>
          <w:sz w:val="20"/>
          <w:szCs w:val="20"/>
          <w:color w:val="auto"/>
        </w:rPr>
      </w:pPr>
    </w:p>
    <w:p>
      <w:pPr>
        <w:ind w:right="80" w:firstLine="657"/>
        <w:spacing w:after="0" w:line="245" w:lineRule="auto"/>
        <w:rPr>
          <w:sz w:val="20"/>
          <w:szCs w:val="20"/>
          <w:color w:val="auto"/>
        </w:rPr>
      </w:pPr>
      <w:r>
        <w:rPr>
          <w:rFonts w:ascii="Arial" w:cs="Arial" w:eastAsia="Arial" w:hAnsi="Arial"/>
          <w:sz w:val="17"/>
          <w:szCs w:val="17"/>
          <w:color w:val="auto"/>
        </w:rPr>
        <w:t>The subsidized early retirement reductions applied to the benefit payable for service after 2003 (A above) depend upon the participant's age at retirement. If the participant retires after reaching age 55, the benefit is reduced 5 percent per year for each year that payments are made before age 62. If the participant retires after reaching age 50 but prior to reaching age 55, the benefit is actuarially reduced from age 65.</w:t>
      </w:r>
    </w:p>
    <w:p>
      <w:pPr>
        <w:spacing w:after="0" w:line="198" w:lineRule="exact"/>
        <w:rPr>
          <w:sz w:val="20"/>
          <w:szCs w:val="20"/>
          <w:color w:val="auto"/>
        </w:rPr>
      </w:pPr>
    </w:p>
    <w:p>
      <w:pPr>
        <w:ind w:right="560" w:firstLine="657"/>
        <w:spacing w:after="0" w:line="250" w:lineRule="auto"/>
        <w:rPr>
          <w:sz w:val="20"/>
          <w:szCs w:val="20"/>
          <w:color w:val="auto"/>
        </w:rPr>
      </w:pPr>
      <w:r>
        <w:rPr>
          <w:rFonts w:ascii="Arial" w:cs="Arial" w:eastAsia="Arial" w:hAnsi="Arial"/>
          <w:sz w:val="17"/>
          <w:szCs w:val="17"/>
          <w:color w:val="auto"/>
        </w:rPr>
        <w:t>The early retirement reductions applied to the benefit payable for service prior to 2004 (B and C above) depend upon age and service at retirement:</w:t>
      </w:r>
    </w:p>
    <w:p>
      <w:pPr>
        <w:spacing w:after="0" w:line="194" w:lineRule="exact"/>
        <w:rPr>
          <w:sz w:val="20"/>
          <w:szCs w:val="20"/>
          <w:color w:val="auto"/>
        </w:rPr>
      </w:pPr>
    </w:p>
    <w:p>
      <w:pPr>
        <w:ind w:left="1040" w:right="60" w:hanging="513"/>
        <w:spacing w:after="0" w:line="245"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 general, the 5-year final average earnings portions of the benefit are reduced 3 percent per year for each year that payments are made before age 62 and the 3-year final average earnings portion of the benefit is reduced 5 percent per year for each year that payments are made before age 62.</w:t>
      </w:r>
    </w:p>
    <w:p>
      <w:pPr>
        <w:spacing w:after="0" w:line="185" w:lineRule="exact"/>
        <w:rPr>
          <w:rFonts w:ascii="Arial" w:cs="Arial" w:eastAsia="Arial" w:hAnsi="Arial"/>
          <w:sz w:val="17"/>
          <w:szCs w:val="17"/>
          <w:color w:val="auto"/>
        </w:rPr>
      </w:pPr>
    </w:p>
    <w:p>
      <w:pPr>
        <w:ind w:left="1040" w:right="120" w:hanging="513"/>
        <w:spacing w:after="0" w:line="227" w:lineRule="auto"/>
        <w:tabs>
          <w:tab w:leader="none" w:pos="1040" w:val="left"/>
        </w:tabs>
        <w:numPr>
          <w:ilvl w:val="0"/>
          <w:numId w:val="45"/>
        </w:numPr>
        <w:rPr>
          <w:rFonts w:ascii="Arial" w:cs="Arial" w:eastAsia="Arial" w:hAnsi="Arial"/>
          <w:sz w:val="17"/>
          <w:szCs w:val="17"/>
          <w:color w:val="auto"/>
        </w:rPr>
      </w:pPr>
      <w:r>
        <w:rPr>
          <w:rFonts w:ascii="Arial" w:cs="Arial" w:eastAsia="Arial" w:hAnsi="Arial"/>
          <w:sz w:val="17"/>
          <w:szCs w:val="17"/>
          <w:color w:val="auto"/>
        </w:rPr>
        <w:t>Employees who participated in the plan before age 36 may elect "Special Retirement" on the last day of any month after reaching age 55 with age plus Seniority Service points of at least 94 or "Early Special Retirement" on the last day of any month after reaching age 55, provided their age plus Seniority Service points would reach at least 94 before age 65. Seniority Service includes periods of employment prior to attaining the minimum age required to participate in the plan. If Special Retirement or Early Special Retirement applies, Seniority Service is used in place of benefit service in the formulas. The 5-year final average earnings portions of the benefit in B above are reduced 1</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xml:space="preserve"> percent for each year between ages 59 and 62 plus 2</w:t>
      </w:r>
      <w:r>
        <w:rPr>
          <w:rFonts w:ascii="Arial" w:cs="Arial" w:eastAsia="Arial" w:hAnsi="Arial"/>
          <w:sz w:val="28"/>
          <w:szCs w:val="28"/>
          <w:color w:val="auto"/>
          <w:vertAlign w:val="superscript"/>
        </w:rPr>
        <w:t>1</w:t>
      </w:r>
      <w:r>
        <w:rPr>
          <w:rFonts w:ascii="Arial" w:cs="Arial" w:eastAsia="Arial" w:hAnsi="Arial"/>
          <w:sz w:val="17"/>
          <w:szCs w:val="17"/>
          <w:color w:val="auto"/>
        </w:rPr>
        <w:t>/</w:t>
      </w:r>
      <w:r>
        <w:rPr>
          <w:rFonts w:ascii="Arial" w:cs="Arial" w:eastAsia="Arial" w:hAnsi="Arial"/>
          <w:sz w:val="14"/>
          <w:szCs w:val="14"/>
          <w:color w:val="auto"/>
        </w:rPr>
        <w:t>2</w:t>
      </w:r>
      <w:r>
        <w:rPr>
          <w:rFonts w:ascii="Arial" w:cs="Arial" w:eastAsia="Arial" w:hAnsi="Arial"/>
          <w:sz w:val="17"/>
          <w:szCs w:val="17"/>
          <w:color w:val="auto"/>
        </w:rPr>
        <w:t xml:space="preserve"> percent for each year between ages 55 and 59. The 3-year final average earnings portion of</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52" w:name="page53"/>
    <w:bookmarkEnd w:id="52"/>
    <w:p>
      <w:pPr>
        <w:spacing w:after="0" w:line="197" w:lineRule="auto"/>
        <w:framePr w:w="1540" w:h="95" w:wrap="auto" w:vAnchor="page" w:hAnchor="page" w:x="420" w:y="594"/>
        <w:rPr>
          <w:rFonts w:ascii="Arial" w:cs="Arial" w:eastAsia="Arial" w:hAnsi="Arial"/>
          <w:sz w:val="10"/>
          <w:szCs w:val="10"/>
          <w:b w:val="1"/>
          <w:bCs w:val="1"/>
          <w:color w:val="FFFFFE"/>
        </w:rPr>
      </w:pPr>
      <w:r>
        <w:rPr>
          <w:rFonts w:ascii="Arial" w:cs="Arial" w:eastAsia="Arial" w:hAnsi="Arial"/>
          <w:sz w:val="10"/>
          <w:szCs w:val="10"/>
          <w:b w:val="1"/>
          <w:bCs w:val="1"/>
          <w:color w:val="FFFFFE"/>
        </w:rPr>
        <w:t>EXECUTIVE COMPENSATION</w:t>
      </w: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103630" cy="14097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190" w:lineRule="exact"/>
        <w:rPr>
          <w:rFonts w:ascii="Arial" w:cs="Arial" w:eastAsia="Arial" w:hAnsi="Arial"/>
          <w:sz w:val="10"/>
          <w:szCs w:val="10"/>
          <w:b w:val="1"/>
          <w:bCs w:val="1"/>
          <w:color w:val="FFFFFE"/>
        </w:rPr>
      </w:pPr>
    </w:p>
    <w:p>
      <w:pPr>
        <w:ind w:left="1740" w:right="120"/>
        <w:spacing w:after="0" w:line="255" w:lineRule="auto"/>
        <w:rPr>
          <w:sz w:val="20"/>
          <w:szCs w:val="20"/>
          <w:color w:val="auto"/>
        </w:rPr>
      </w:pPr>
      <w:r>
        <w:rPr>
          <w:rFonts w:ascii="Arial" w:cs="Arial" w:eastAsia="Arial" w:hAnsi="Arial"/>
          <w:sz w:val="16"/>
          <w:szCs w:val="16"/>
          <w:color w:val="auto"/>
        </w:rPr>
        <w:t>the benefit is reduced 5 percent per year for each year that payments are made before age 62. Benefit C is payable on an unreduced basis at Special Retirement and is reduced 3 percent per year for each year that payments are made before age 62,</w:t>
      </w:r>
    </w:p>
    <w:p>
      <w:pPr>
        <w:spacing w:after="0" w:line="1" w:lineRule="exact"/>
        <w:rPr>
          <w:rFonts w:ascii="Arial" w:cs="Arial" w:eastAsia="Arial" w:hAnsi="Arial"/>
          <w:sz w:val="10"/>
          <w:szCs w:val="10"/>
          <w:b w:val="1"/>
          <w:bCs w:val="1"/>
          <w:color w:val="FFFFFE"/>
        </w:rPr>
      </w:pPr>
    </w:p>
    <w:p>
      <w:pPr>
        <w:ind w:left="1040"/>
        <w:spacing w:after="0"/>
        <w:rPr>
          <w:sz w:val="20"/>
          <w:szCs w:val="20"/>
          <w:color w:val="auto"/>
        </w:rPr>
      </w:pPr>
      <w:r>
        <w:rPr>
          <w:rFonts w:ascii="Arial" w:cs="Arial" w:eastAsia="Arial" w:hAnsi="Arial"/>
          <w:sz w:val="17"/>
          <w:szCs w:val="17"/>
          <w:color w:val="auto"/>
        </w:rPr>
        <w:t>if Early Special Retirement applies.</w:t>
      </w:r>
    </w:p>
    <w:p>
      <w:pPr>
        <w:spacing w:after="0" w:line="190"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b w:val="1"/>
          <w:bCs w:val="1"/>
          <w:i w:val="1"/>
          <w:iCs w:val="1"/>
          <w:color w:val="444867"/>
        </w:rPr>
        <w:t>Supplemental Pension Plan</w:t>
      </w:r>
    </w:p>
    <w:p>
      <w:pPr>
        <w:spacing w:after="0" w:line="230" w:lineRule="exact"/>
        <w:rPr>
          <w:rFonts w:ascii="Arial" w:cs="Arial" w:eastAsia="Arial" w:hAnsi="Arial"/>
          <w:sz w:val="10"/>
          <w:szCs w:val="10"/>
          <w:b w:val="1"/>
          <w:bCs w:val="1"/>
          <w:color w:val="FFFFFE"/>
        </w:rPr>
      </w:pPr>
    </w:p>
    <w:p>
      <w:pPr>
        <w:ind w:right="100" w:firstLine="657"/>
        <w:spacing w:after="0" w:line="250" w:lineRule="auto"/>
        <w:rPr>
          <w:sz w:val="20"/>
          <w:szCs w:val="20"/>
          <w:color w:val="auto"/>
        </w:rPr>
      </w:pPr>
      <w:r>
        <w:rPr>
          <w:rFonts w:ascii="Arial" w:cs="Arial" w:eastAsia="Arial" w:hAnsi="Arial"/>
          <w:sz w:val="17"/>
          <w:szCs w:val="17"/>
          <w:color w:val="auto"/>
        </w:rPr>
        <w:t>The provisions of the Supplemental Pension Plan (which covers AbbVie employees in the United States whose compensation exceeds certain limits under the Internal Revenue Code) are substantially the same as those of the Pension Plan, with the following exceptions:</w:t>
      </w:r>
    </w:p>
    <w:p>
      <w:pPr>
        <w:spacing w:after="0" w:line="194" w:lineRule="exact"/>
        <w:rPr>
          <w:rFonts w:ascii="Arial" w:cs="Arial" w:eastAsia="Arial" w:hAnsi="Arial"/>
          <w:sz w:val="10"/>
          <w:szCs w:val="10"/>
          <w:b w:val="1"/>
          <w:bCs w:val="1"/>
          <w:color w:val="FFFFFE"/>
        </w:rPr>
      </w:pPr>
    </w:p>
    <w:p>
      <w:pPr>
        <w:ind w:left="1040" w:right="380" w:hanging="513"/>
        <w:spacing w:after="0" w:line="250"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Participants' 5-year final average earnings are calculated using the average of the 5 highest years of base earnings and the 5 highest years of payments under AbbVie's non-equity incentive plans.</w:t>
      </w:r>
    </w:p>
    <w:p>
      <w:pPr>
        <w:spacing w:after="0" w:line="193" w:lineRule="exact"/>
        <w:rPr>
          <w:rFonts w:ascii="Arial" w:cs="Arial" w:eastAsia="Arial" w:hAnsi="Arial"/>
          <w:sz w:val="17"/>
          <w:szCs w:val="17"/>
          <w:color w:val="auto"/>
        </w:rPr>
      </w:pPr>
    </w:p>
    <w:p>
      <w:pPr>
        <w:ind w:left="1040" w:right="240" w:hanging="513"/>
        <w:spacing w:after="0" w:line="243"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Pension Plan does not include amounts deferred or payments received under the AbbVie Deferred Compensation Plan in its calculation of a participant's final average earnings. To preserve the pension benefits of Deferred Compensation Plan participants, the Supplemental Pension Plan includes amounts deferred by a participant under the Deferred Compensation Plan in its calculation of final average earnings.</w:t>
      </w:r>
    </w:p>
    <w:p>
      <w:pPr>
        <w:spacing w:after="0" w:line="188" w:lineRule="exact"/>
        <w:rPr>
          <w:rFonts w:ascii="Arial" w:cs="Arial" w:eastAsia="Arial" w:hAnsi="Arial"/>
          <w:sz w:val="17"/>
          <w:szCs w:val="17"/>
          <w:color w:val="auto"/>
        </w:rPr>
      </w:pPr>
    </w:p>
    <w:p>
      <w:pPr>
        <w:ind w:left="1040" w:right="20" w:hanging="513"/>
        <w:spacing w:after="0" w:line="242"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In addition to the benefits outlined above for the Pension Plan, the NEOs are eligible for an additional Supplemental Pension Plan benefit equal to 0.6% of 5-year final average earnings for each year of service for each of the first 20 years of service occurring after the participant attains age 35. The benefit is further limited by the maximum percentage allowed under the Pension Plan under that plan's benefit formulas (A, B and C above). The portion of this additional benefit attributable to service before 2004 is reduced 3 percent per year for each year that payments are made before age 60. The portion attributable to service after 2003 is reduced 5 percent per year for each year that payments are made before age 60 if the participant is at least age 55 at early retirement. If the participant is under age 55 at retirement, the portion attributable to service after 2003 is actuarially reduced from age 65.</w:t>
      </w:r>
    </w:p>
    <w:p>
      <w:pPr>
        <w:spacing w:after="0" w:line="188" w:lineRule="exact"/>
        <w:rPr>
          <w:rFonts w:ascii="Arial" w:cs="Arial" w:eastAsia="Arial" w:hAnsi="Arial"/>
          <w:sz w:val="17"/>
          <w:szCs w:val="17"/>
          <w:color w:val="auto"/>
        </w:rPr>
      </w:pPr>
    </w:p>
    <w:p>
      <w:pPr>
        <w:ind w:left="1040" w:right="60" w:hanging="513"/>
        <w:spacing w:after="0" w:line="243"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Supplemental Pension Plan provides early retirement benefits similar to those provided under the Pension Plan. The benefits provided to NEOs under the Supplemental Pension Plan are not, however, reduced for the period between age 60 and age 62, unless the benefit is being actuarially reduced from age 65. Mr. Gonzalez, Ms. Schumacher and Mr. Alban are eligible for early retirement benefits under the plan.</w:t>
      </w:r>
    </w:p>
    <w:p>
      <w:pPr>
        <w:spacing w:after="0" w:line="201" w:lineRule="exact"/>
        <w:rPr>
          <w:rFonts w:ascii="Arial" w:cs="Arial" w:eastAsia="Arial" w:hAnsi="Arial"/>
          <w:sz w:val="17"/>
          <w:szCs w:val="17"/>
          <w:color w:val="auto"/>
        </w:rPr>
      </w:pPr>
    </w:p>
    <w:p>
      <w:pPr>
        <w:ind w:left="1040" w:right="40" w:hanging="513"/>
        <w:spacing w:after="0" w:line="242" w:lineRule="auto"/>
        <w:tabs>
          <w:tab w:leader="none" w:pos="1040" w:val="left"/>
        </w:tabs>
        <w:numPr>
          <w:ilvl w:val="0"/>
          <w:numId w:val="46"/>
        </w:numPr>
        <w:rPr>
          <w:rFonts w:ascii="Arial" w:cs="Arial" w:eastAsia="Arial" w:hAnsi="Arial"/>
          <w:sz w:val="17"/>
          <w:szCs w:val="17"/>
          <w:color w:val="auto"/>
        </w:rPr>
      </w:pPr>
      <w:r>
        <w:rPr>
          <w:rFonts w:ascii="Arial" w:cs="Arial" w:eastAsia="Arial" w:hAnsi="Arial"/>
          <w:sz w:val="17"/>
          <w:szCs w:val="17"/>
          <w:color w:val="auto"/>
        </w:rPr>
        <w:t>Vested benefits accrued under the Supplemental Pension Plan may be funded through a grantor trust established by the NEO. Consistent with the distribution requirements of Internal Revenue Code Section 409A and its regulations, those NEOs who became officers prior to 2009 may have the entire amount of their vested plan benefits funded through a grantor trust. Any NEO who became an officer after 2008 and before 2015 may have only the vested benefits that accrue following the calendar year in which he or she is first elected as an officer funded through a grantor trust. Vested benefits accrued through December 31, 2008, to the extent not previously funded, were distributed to the participants' individual trusts and included in the participants' income.</w:t>
      </w:r>
    </w:p>
    <w:p>
      <w:pPr>
        <w:spacing w:after="0" w:line="202" w:lineRule="exact"/>
        <w:rPr>
          <w:rFonts w:ascii="Arial" w:cs="Arial" w:eastAsia="Arial" w:hAnsi="Arial"/>
          <w:sz w:val="10"/>
          <w:szCs w:val="10"/>
          <w:b w:val="1"/>
          <w:bCs w:val="1"/>
          <w:color w:val="FFFFFE"/>
        </w:rPr>
      </w:pPr>
    </w:p>
    <w:p>
      <w:pPr>
        <w:ind w:firstLine="661"/>
        <w:spacing w:after="0" w:line="243" w:lineRule="auto"/>
        <w:rPr>
          <w:sz w:val="20"/>
          <w:szCs w:val="20"/>
          <w:color w:val="auto"/>
        </w:rPr>
      </w:pPr>
      <w:r>
        <w:rPr>
          <w:rFonts w:ascii="Arial" w:cs="Arial" w:eastAsia="Arial" w:hAnsi="Arial"/>
          <w:sz w:val="17"/>
          <w:szCs w:val="17"/>
          <w:color w:val="auto"/>
        </w:rPr>
        <w:t>Benefits payable under the Supplemental Pension Plan are offset by the benefits payable from the Pension Plan, calculated as if benefits under the plans commenced at the same time. The amounts paid to an NEO's Supplemental Pension Plan grantor trust to fund plan benefits are actuarially determined. The plan is designed to result in AbbVie paying the NEO's Supplemental Pension Plan benefits to the extent assets held in his or her trust are insufficient.</w:t>
      </w:r>
    </w:p>
    <w:p>
      <w:pPr>
        <w:spacing w:after="0" w:line="196" w:lineRule="exact"/>
        <w:rPr>
          <w:rFonts w:ascii="Arial" w:cs="Arial" w:eastAsia="Arial" w:hAnsi="Arial"/>
          <w:sz w:val="10"/>
          <w:szCs w:val="10"/>
          <w:b w:val="1"/>
          <w:bCs w:val="1"/>
          <w:color w:val="FFFFFE"/>
        </w:rPr>
      </w:pPr>
    </w:p>
    <w:p>
      <w:pPr>
        <w:ind w:left="60"/>
        <w:spacing w:after="0"/>
        <w:rPr>
          <w:sz w:val="20"/>
          <w:szCs w:val="20"/>
          <w:color w:val="auto"/>
        </w:rPr>
      </w:pPr>
      <w:r>
        <w:rPr>
          <w:rFonts w:ascii="Arial" w:cs="Arial" w:eastAsia="Arial" w:hAnsi="Arial"/>
          <w:sz w:val="17"/>
          <w:szCs w:val="17"/>
          <w:b w:val="1"/>
          <w:bCs w:val="1"/>
          <w:color w:val="auto"/>
        </w:rPr>
        <w:t xml:space="preserve">50  </w:t>
      </w:r>
      <w:r>
        <w:rPr>
          <w:sz w:val="1"/>
          <w:szCs w:val="1"/>
          <w:color w:val="auto"/>
        </w:rPr>
        <w:drawing>
          <wp:inline distT="0" distB="0" distL="0" distR="0">
            <wp:extent cx="622300" cy="107950"/>
            <wp:effectExtent l="0" t="0" r="0" b="0"/>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3" w:name="page54"/>
    <w:bookmarkEnd w:id="5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20" w:type="dxa"/>
            <w:vAlign w:val="bottom"/>
            <w:gridSpan w:val="2"/>
          </w:tcPr>
          <w:p>
            <w:pPr>
              <w:spacing w:after="0"/>
              <w:rPr>
                <w:sz w:val="20"/>
                <w:szCs w:val="20"/>
                <w:color w:val="auto"/>
              </w:rPr>
            </w:pPr>
            <w:r>
              <w:rPr>
                <w:rFonts w:ascii="Arial" w:cs="Arial" w:eastAsia="Arial" w:hAnsi="Arial"/>
                <w:sz w:val="17"/>
                <w:szCs w:val="17"/>
                <w:b w:val="1"/>
                <w:bCs w:val="1"/>
                <w:i w:val="1"/>
                <w:iCs w:val="1"/>
                <w:color w:val="444867"/>
              </w:rPr>
              <w:t>Pension Benefits Table</w:t>
            </w:r>
          </w:p>
        </w:tc>
        <w:tc>
          <w:tcPr>
            <w:tcW w:w="56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740" w:type="dxa"/>
            <w:vAlign w:val="bottom"/>
            <w:gridSpan w:val="2"/>
            <w:shd w:val="clear" w:color="auto" w:fill="444867"/>
          </w:tcPr>
          <w:p>
            <w:pPr>
              <w:ind w:left="60"/>
              <w:spacing w:after="0"/>
              <w:rPr>
                <w:sz w:val="20"/>
                <w:szCs w:val="20"/>
                <w:color w:val="auto"/>
              </w:rPr>
            </w:pPr>
            <w:r>
              <w:rPr>
                <w:rFonts w:ascii="Arial" w:cs="Arial" w:eastAsia="Arial" w:hAnsi="Arial"/>
                <w:sz w:val="10"/>
                <w:szCs w:val="10"/>
                <w:b w:val="1"/>
                <w:bCs w:val="1"/>
                <w:color w:val="FFFFFE"/>
              </w:rPr>
              <w:t>EXECUTIVE COMPENSATION</w:t>
            </w:r>
          </w:p>
        </w:tc>
      </w:tr>
      <w:tr>
        <w:trPr>
          <w:trHeight w:val="362"/>
        </w:trPr>
        <w:tc>
          <w:tcPr>
            <w:tcW w:w="138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40" w:type="dxa"/>
            <w:vAlign w:val="bottom"/>
            <w:gridSpan w:val="3"/>
          </w:tcPr>
          <w:p>
            <w:pPr>
              <w:jc w:val="right"/>
              <w:ind w:right="1720"/>
              <w:spacing w:after="0"/>
              <w:rPr>
                <w:sz w:val="20"/>
                <w:szCs w:val="20"/>
                <w:color w:val="auto"/>
              </w:rPr>
            </w:pPr>
            <w:r>
              <w:rPr>
                <w:rFonts w:ascii="Arial" w:cs="Arial" w:eastAsia="Arial" w:hAnsi="Arial"/>
                <w:sz w:val="17"/>
                <w:szCs w:val="17"/>
                <w:b w:val="1"/>
                <w:bCs w:val="1"/>
                <w:color w:val="444867"/>
              </w:rPr>
              <w:t>Payments</w:t>
            </w:r>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444867"/>
              </w:rPr>
              <w:t>Present</w:t>
            </w:r>
          </w:p>
        </w:tc>
        <w:tc>
          <w:tcPr>
            <w:tcW w:w="2640" w:type="dxa"/>
            <w:vAlign w:val="bottom"/>
            <w:gridSpan w:val="3"/>
          </w:tcPr>
          <w:p>
            <w:pPr>
              <w:jc w:val="right"/>
              <w:ind w:right="1720"/>
              <w:spacing w:after="0"/>
              <w:rPr>
                <w:sz w:val="20"/>
                <w:szCs w:val="20"/>
                <w:color w:val="auto"/>
              </w:rPr>
            </w:pPr>
            <w:r>
              <w:rPr>
                <w:rFonts w:ascii="Arial" w:cs="Arial" w:eastAsia="Arial" w:hAnsi="Arial"/>
                <w:sz w:val="17"/>
                <w:szCs w:val="17"/>
                <w:b w:val="1"/>
                <w:bCs w:val="1"/>
                <w:color w:val="444867"/>
              </w:rPr>
              <w:t>During</w:t>
            </w:r>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444867"/>
              </w:rPr>
              <w:t>Number of</w:t>
            </w: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444867"/>
              </w:rPr>
              <w:t>Value of</w:t>
            </w:r>
          </w:p>
        </w:tc>
        <w:tc>
          <w:tcPr>
            <w:tcW w:w="2640" w:type="dxa"/>
            <w:vAlign w:val="bottom"/>
            <w:gridSpan w:val="3"/>
          </w:tcPr>
          <w:p>
            <w:pPr>
              <w:jc w:val="right"/>
              <w:ind w:right="1720"/>
              <w:spacing w:after="0"/>
              <w:rPr>
                <w:sz w:val="20"/>
                <w:szCs w:val="20"/>
                <w:color w:val="auto"/>
              </w:rPr>
            </w:pPr>
            <w:r>
              <w:rPr>
                <w:rFonts w:ascii="Arial" w:cs="Arial" w:eastAsia="Arial" w:hAnsi="Arial"/>
                <w:sz w:val="17"/>
                <w:szCs w:val="17"/>
                <w:b w:val="1"/>
                <w:bCs w:val="1"/>
                <w:color w:val="444867"/>
              </w:rPr>
              <w:t>Last</w:t>
            </w:r>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444867"/>
              </w:rPr>
              <w:t>Years</w:t>
            </w: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444867"/>
              </w:rPr>
              <w:t>Accumulated</w:t>
            </w:r>
          </w:p>
        </w:tc>
        <w:tc>
          <w:tcPr>
            <w:tcW w:w="2640" w:type="dxa"/>
            <w:vAlign w:val="bottom"/>
            <w:gridSpan w:val="3"/>
          </w:tcPr>
          <w:p>
            <w:pPr>
              <w:jc w:val="right"/>
              <w:ind w:right="1720"/>
              <w:spacing w:after="0"/>
              <w:rPr>
                <w:sz w:val="20"/>
                <w:szCs w:val="20"/>
                <w:color w:val="auto"/>
              </w:rPr>
            </w:pPr>
            <w:r>
              <w:rPr>
                <w:rFonts w:ascii="Arial" w:cs="Arial" w:eastAsia="Arial" w:hAnsi="Arial"/>
                <w:sz w:val="17"/>
                <w:szCs w:val="17"/>
                <w:b w:val="1"/>
                <w:bCs w:val="1"/>
                <w:color w:val="444867"/>
              </w:rPr>
              <w:t>Fiscal</w:t>
            </w:r>
          </w:p>
        </w:tc>
      </w:tr>
      <w:tr>
        <w:trPr>
          <w:trHeight w:val="196"/>
        </w:trPr>
        <w:tc>
          <w:tcPr>
            <w:tcW w:w="1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74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7"/>
                <w:szCs w:val="17"/>
                <w:b w:val="1"/>
                <w:bCs w:val="1"/>
                <w:color w:val="444867"/>
              </w:rPr>
              <w:t>Credited</w:t>
            </w:r>
          </w:p>
        </w:tc>
        <w:tc>
          <w:tcPr>
            <w:tcW w:w="1260" w:type="dxa"/>
            <w:vAlign w:val="bottom"/>
          </w:tcPr>
          <w:p>
            <w:pPr>
              <w:jc w:val="right"/>
              <w:ind w:right="35"/>
              <w:spacing w:after="0"/>
              <w:rPr>
                <w:sz w:val="20"/>
                <w:szCs w:val="20"/>
                <w:color w:val="auto"/>
              </w:rPr>
            </w:pPr>
            <w:r>
              <w:rPr>
                <w:rFonts w:ascii="Arial" w:cs="Arial" w:eastAsia="Arial" w:hAnsi="Arial"/>
                <w:sz w:val="17"/>
                <w:szCs w:val="17"/>
                <w:b w:val="1"/>
                <w:bCs w:val="1"/>
                <w:color w:val="444867"/>
              </w:rPr>
              <w:t>Benefit</w:t>
            </w:r>
          </w:p>
        </w:tc>
        <w:tc>
          <w:tcPr>
            <w:tcW w:w="2640" w:type="dxa"/>
            <w:vAlign w:val="bottom"/>
            <w:gridSpan w:val="3"/>
          </w:tcPr>
          <w:p>
            <w:pPr>
              <w:jc w:val="right"/>
              <w:ind w:right="1720"/>
              <w:spacing w:after="0"/>
              <w:rPr>
                <w:sz w:val="20"/>
                <w:szCs w:val="20"/>
                <w:color w:val="auto"/>
              </w:rPr>
            </w:pPr>
            <w:r>
              <w:rPr>
                <w:rFonts w:ascii="Arial" w:cs="Arial" w:eastAsia="Arial" w:hAnsi="Arial"/>
                <w:sz w:val="17"/>
                <w:szCs w:val="17"/>
                <w:b w:val="1"/>
                <w:bCs w:val="1"/>
                <w:color w:val="444867"/>
              </w:rPr>
              <w:t>Year</w:t>
            </w:r>
          </w:p>
        </w:tc>
      </w:tr>
      <w:tr>
        <w:trPr>
          <w:trHeight w:val="213"/>
        </w:trPr>
        <w:tc>
          <w:tcPr>
            <w:tcW w:w="1380" w:type="dxa"/>
            <w:vAlign w:val="bottom"/>
          </w:tcPr>
          <w:p>
            <w:pPr>
              <w:spacing w:after="0"/>
              <w:rPr>
                <w:sz w:val="18"/>
                <w:szCs w:val="18"/>
                <w:color w:val="auto"/>
              </w:rPr>
            </w:pPr>
          </w:p>
        </w:tc>
        <w:tc>
          <w:tcPr>
            <w:tcW w:w="144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444867"/>
              </w:rPr>
              <w:t>Name</w:t>
            </w:r>
          </w:p>
        </w:tc>
        <w:tc>
          <w:tcPr>
            <w:tcW w:w="3300" w:type="dxa"/>
            <w:vAlign w:val="bottom"/>
            <w:tcBorders>
              <w:bottom w:val="single" w:sz="8" w:color="auto"/>
            </w:tcBorders>
            <w:gridSpan w:val="2"/>
          </w:tcPr>
          <w:p>
            <w:pPr>
              <w:ind w:left="160"/>
              <w:spacing w:after="0"/>
              <w:rPr>
                <w:sz w:val="20"/>
                <w:szCs w:val="20"/>
                <w:color w:val="auto"/>
              </w:rPr>
            </w:pPr>
            <w:r>
              <w:rPr>
                <w:rFonts w:ascii="Arial" w:cs="Arial" w:eastAsia="Arial" w:hAnsi="Arial"/>
                <w:sz w:val="17"/>
                <w:szCs w:val="17"/>
                <w:b w:val="1"/>
                <w:bCs w:val="1"/>
                <w:color w:val="444867"/>
              </w:rPr>
              <w:t>Plan Name</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Service (#)</w:t>
            </w:r>
          </w:p>
        </w:tc>
        <w:tc>
          <w:tcPr>
            <w:tcW w:w="126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444867"/>
              </w:rPr>
              <w:t>($)(1)</w:t>
            </w:r>
          </w:p>
        </w:tc>
        <w:tc>
          <w:tcPr>
            <w:tcW w:w="1160" w:type="dxa"/>
            <w:vAlign w:val="bottom"/>
            <w:tcBorders>
              <w:bottom w:val="single" w:sz="8" w:color="auto"/>
            </w:tcBorders>
            <w:gridSpan w:val="2"/>
          </w:tcPr>
          <w:p>
            <w:pPr>
              <w:jc w:val="right"/>
              <w:ind w:right="188"/>
              <w:spacing w:after="0"/>
              <w:rPr>
                <w:sz w:val="20"/>
                <w:szCs w:val="20"/>
                <w:color w:val="auto"/>
              </w:rPr>
            </w:pPr>
            <w:r>
              <w:rPr>
                <w:rFonts w:ascii="Arial" w:cs="Arial" w:eastAsia="Arial" w:hAnsi="Arial"/>
                <w:sz w:val="17"/>
                <w:szCs w:val="17"/>
                <w:b w:val="1"/>
                <w:bCs w:val="1"/>
                <w:color w:val="444867"/>
              </w:rPr>
              <w:t>($)</w:t>
            </w:r>
          </w:p>
        </w:tc>
        <w:tc>
          <w:tcPr>
            <w:tcW w:w="1480" w:type="dxa"/>
            <w:vAlign w:val="bottom"/>
          </w:tcPr>
          <w:p>
            <w:pPr>
              <w:spacing w:after="0"/>
              <w:rPr>
                <w:sz w:val="18"/>
                <w:szCs w:val="18"/>
                <w:color w:val="auto"/>
              </w:rPr>
            </w:pPr>
          </w:p>
        </w:tc>
      </w:tr>
      <w:tr>
        <w:trPr>
          <w:trHeight w:val="189"/>
        </w:trPr>
        <w:tc>
          <w:tcPr>
            <w:tcW w:w="1380" w:type="dxa"/>
            <w:vAlign w:val="bottom"/>
          </w:tcPr>
          <w:p>
            <w:pPr>
              <w:spacing w:after="0"/>
              <w:rPr>
                <w:sz w:val="16"/>
                <w:szCs w:val="16"/>
                <w:color w:val="auto"/>
              </w:rPr>
            </w:pPr>
          </w:p>
        </w:tc>
        <w:tc>
          <w:tcPr>
            <w:tcW w:w="1440" w:type="dxa"/>
            <w:vAlign w:val="bottom"/>
            <w:shd w:val="clear" w:color="auto" w:fill="E7E7E8"/>
          </w:tcPr>
          <w:p>
            <w:pPr>
              <w:spacing w:after="0" w:line="189" w:lineRule="exact"/>
              <w:rPr>
                <w:sz w:val="20"/>
                <w:szCs w:val="20"/>
                <w:color w:val="auto"/>
              </w:rPr>
            </w:pPr>
            <w:r>
              <w:rPr>
                <w:rFonts w:ascii="Arial" w:cs="Arial" w:eastAsia="Arial" w:hAnsi="Arial"/>
                <w:sz w:val="17"/>
                <w:szCs w:val="17"/>
                <w:color w:val="auto"/>
              </w:rPr>
              <w:t>R. Gonzalez</w:t>
            </w:r>
          </w:p>
        </w:tc>
        <w:tc>
          <w:tcPr>
            <w:tcW w:w="3300" w:type="dxa"/>
            <w:vAlign w:val="bottom"/>
            <w:gridSpan w:val="2"/>
            <w:shd w:val="clear" w:color="auto" w:fill="E7E7E8"/>
          </w:tcPr>
          <w:p>
            <w:pPr>
              <w:ind w:left="160"/>
              <w:spacing w:after="0" w:line="189" w:lineRule="exact"/>
              <w:rPr>
                <w:sz w:val="20"/>
                <w:szCs w:val="20"/>
                <w:color w:val="auto"/>
              </w:rPr>
            </w:pPr>
            <w:r>
              <w:rPr>
                <w:rFonts w:ascii="Arial" w:cs="Arial" w:eastAsia="Arial" w:hAnsi="Arial"/>
                <w:sz w:val="17"/>
                <w:szCs w:val="17"/>
                <w:color w:val="auto"/>
              </w:rPr>
              <w:t>AbbVie Pension Plan</w:t>
            </w:r>
          </w:p>
        </w:tc>
        <w:tc>
          <w:tcPr>
            <w:tcW w:w="1400" w:type="dxa"/>
            <w:vAlign w:val="bottom"/>
            <w:shd w:val="clear" w:color="auto" w:fill="E7E7E8"/>
          </w:tcPr>
          <w:p>
            <w:pPr>
              <w:jc w:val="right"/>
              <w:spacing w:after="0" w:line="189" w:lineRule="exact"/>
              <w:rPr>
                <w:sz w:val="20"/>
                <w:szCs w:val="20"/>
                <w:color w:val="auto"/>
              </w:rPr>
            </w:pPr>
            <w:r>
              <w:rPr>
                <w:rFonts w:ascii="Arial" w:cs="Arial" w:eastAsia="Arial" w:hAnsi="Arial"/>
                <w:sz w:val="17"/>
                <w:szCs w:val="17"/>
                <w:color w:val="auto"/>
              </w:rPr>
              <w:t>35</w:t>
            </w:r>
          </w:p>
        </w:tc>
        <w:tc>
          <w:tcPr>
            <w:tcW w:w="1260" w:type="dxa"/>
            <w:vAlign w:val="bottom"/>
            <w:shd w:val="clear" w:color="auto" w:fill="E7E7E8"/>
          </w:tcPr>
          <w:p>
            <w:pPr>
              <w:jc w:val="right"/>
              <w:ind w:right="35"/>
              <w:spacing w:after="0" w:line="189" w:lineRule="exact"/>
              <w:rPr>
                <w:sz w:val="20"/>
                <w:szCs w:val="20"/>
                <w:color w:val="auto"/>
              </w:rPr>
            </w:pPr>
            <w:r>
              <w:rPr>
                <w:rFonts w:ascii="Arial" w:cs="Arial" w:eastAsia="Arial" w:hAnsi="Arial"/>
                <w:sz w:val="17"/>
                <w:szCs w:val="17"/>
                <w:color w:val="auto"/>
              </w:rPr>
              <w:t>$501,654</w:t>
            </w:r>
          </w:p>
        </w:tc>
        <w:tc>
          <w:tcPr>
            <w:tcW w:w="1160" w:type="dxa"/>
            <w:vAlign w:val="bottom"/>
            <w:gridSpan w:val="2"/>
            <w:shd w:val="clear" w:color="auto" w:fill="E7E7E8"/>
          </w:tcPr>
          <w:p>
            <w:pPr>
              <w:jc w:val="right"/>
              <w:ind w:right="188"/>
              <w:spacing w:after="0" w:line="189" w:lineRule="exact"/>
              <w:rPr>
                <w:sz w:val="20"/>
                <w:szCs w:val="20"/>
                <w:color w:val="auto"/>
              </w:rPr>
            </w:pPr>
            <w:r>
              <w:rPr>
                <w:rFonts w:ascii="Arial" w:cs="Arial" w:eastAsia="Arial" w:hAnsi="Arial"/>
                <w:sz w:val="17"/>
                <w:szCs w:val="17"/>
                <w:color w:val="auto"/>
              </w:rPr>
              <w:t>$0</w:t>
            </w:r>
          </w:p>
        </w:tc>
        <w:tc>
          <w:tcPr>
            <w:tcW w:w="1480" w:type="dxa"/>
            <w:vAlign w:val="bottom"/>
          </w:tcPr>
          <w:p>
            <w:pPr>
              <w:spacing w:after="0"/>
              <w:rPr>
                <w:sz w:val="16"/>
                <w:szCs w:val="16"/>
                <w:color w:val="auto"/>
              </w:rPr>
            </w:pPr>
          </w:p>
        </w:tc>
      </w:tr>
      <w:tr>
        <w:trPr>
          <w:trHeight w:val="196"/>
        </w:trPr>
        <w:tc>
          <w:tcPr>
            <w:tcW w:w="1380" w:type="dxa"/>
            <w:vAlign w:val="bottom"/>
          </w:tcPr>
          <w:p>
            <w:pPr>
              <w:spacing w:after="0"/>
              <w:rPr>
                <w:sz w:val="17"/>
                <w:szCs w:val="17"/>
                <w:color w:val="auto"/>
              </w:rPr>
            </w:pPr>
          </w:p>
        </w:tc>
        <w:tc>
          <w:tcPr>
            <w:tcW w:w="1440" w:type="dxa"/>
            <w:vAlign w:val="bottom"/>
            <w:shd w:val="clear" w:color="auto" w:fill="E7E7E8"/>
          </w:tcPr>
          <w:p>
            <w:pPr>
              <w:spacing w:after="0"/>
              <w:rPr>
                <w:sz w:val="17"/>
                <w:szCs w:val="17"/>
                <w:color w:val="auto"/>
              </w:rPr>
            </w:pPr>
          </w:p>
        </w:tc>
        <w:tc>
          <w:tcPr>
            <w:tcW w:w="3300" w:type="dxa"/>
            <w:vAlign w:val="bottom"/>
            <w:gridSpan w:val="2"/>
            <w:shd w:val="clear" w:color="auto" w:fill="E7E7E8"/>
          </w:tcPr>
          <w:p>
            <w:pPr>
              <w:ind w:left="160"/>
              <w:spacing w:after="0"/>
              <w:rPr>
                <w:sz w:val="20"/>
                <w:szCs w:val="20"/>
                <w:color w:val="auto"/>
              </w:rPr>
            </w:pPr>
            <w:r>
              <w:rPr>
                <w:rFonts w:ascii="Arial" w:cs="Arial" w:eastAsia="Arial" w:hAnsi="Arial"/>
                <w:sz w:val="17"/>
                <w:szCs w:val="17"/>
                <w:color w:val="auto"/>
              </w:rPr>
              <w:t>AbbVie Supplemental Pension Plan</w:t>
            </w:r>
          </w:p>
        </w:tc>
        <w:tc>
          <w:tcPr>
            <w:tcW w:w="14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35</w:t>
            </w:r>
          </w:p>
        </w:tc>
        <w:tc>
          <w:tcPr>
            <w:tcW w:w="1260" w:type="dxa"/>
            <w:vAlign w:val="bottom"/>
            <w:shd w:val="clear" w:color="auto" w:fill="E7E7E8"/>
          </w:tcPr>
          <w:p>
            <w:pPr>
              <w:jc w:val="right"/>
              <w:ind w:right="35"/>
              <w:spacing w:after="0"/>
              <w:rPr>
                <w:sz w:val="20"/>
                <w:szCs w:val="20"/>
                <w:color w:val="auto"/>
              </w:rPr>
            </w:pPr>
            <w:r>
              <w:rPr>
                <w:rFonts w:ascii="Arial" w:cs="Arial" w:eastAsia="Arial" w:hAnsi="Arial"/>
                <w:sz w:val="17"/>
                <w:szCs w:val="17"/>
                <w:color w:val="auto"/>
              </w:rPr>
              <w:t>12,666,122</w:t>
            </w:r>
          </w:p>
        </w:tc>
        <w:tc>
          <w:tcPr>
            <w:tcW w:w="1160" w:type="dxa"/>
            <w:vAlign w:val="bottom"/>
            <w:gridSpan w:val="2"/>
            <w:shd w:val="clear" w:color="auto" w:fill="E7E7E8"/>
          </w:tcPr>
          <w:p>
            <w:pPr>
              <w:jc w:val="right"/>
              <w:ind w:right="8"/>
              <w:spacing w:after="0" w:line="195" w:lineRule="exact"/>
              <w:rPr>
                <w:sz w:val="20"/>
                <w:szCs w:val="20"/>
                <w:color w:val="auto"/>
              </w:rPr>
            </w:pPr>
            <w:r>
              <w:rPr>
                <w:rFonts w:ascii="Arial" w:cs="Arial" w:eastAsia="Arial" w:hAnsi="Arial"/>
                <w:sz w:val="14"/>
                <w:szCs w:val="14"/>
                <w:color w:val="auto"/>
              </w:rPr>
              <w:t>2,782,444</w:t>
            </w:r>
            <w:r>
              <w:rPr>
                <w:rFonts w:ascii="Arial" w:cs="Arial" w:eastAsia="Arial" w:hAnsi="Arial"/>
                <w:sz w:val="22"/>
                <w:szCs w:val="22"/>
                <w:color w:val="auto"/>
                <w:vertAlign w:val="superscript"/>
              </w:rPr>
              <w:t>(2)</w:t>
            </w:r>
          </w:p>
        </w:tc>
        <w:tc>
          <w:tcPr>
            <w:tcW w:w="1480" w:type="dxa"/>
            <w:vAlign w:val="bottom"/>
          </w:tcPr>
          <w:p>
            <w:pPr>
              <w:spacing w:after="0"/>
              <w:rPr>
                <w:sz w:val="17"/>
                <w:szCs w:val="17"/>
                <w:color w:val="auto"/>
              </w:rPr>
            </w:pPr>
          </w:p>
        </w:tc>
      </w:tr>
      <w:tr>
        <w:trPr>
          <w:trHeight w:val="199"/>
        </w:trPr>
        <w:tc>
          <w:tcPr>
            <w:tcW w:w="1380" w:type="dxa"/>
            <w:vAlign w:val="bottom"/>
          </w:tcPr>
          <w:p>
            <w:pPr>
              <w:spacing w:after="0"/>
              <w:rPr>
                <w:sz w:val="17"/>
                <w:szCs w:val="17"/>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W. Chase</w:t>
            </w:r>
          </w:p>
        </w:tc>
        <w:tc>
          <w:tcPr>
            <w:tcW w:w="3300" w:type="dxa"/>
            <w:vAlign w:val="bottom"/>
            <w:gridSpan w:val="2"/>
          </w:tcPr>
          <w:p>
            <w:pPr>
              <w:ind w:left="160"/>
              <w:spacing w:after="0"/>
              <w:rPr>
                <w:sz w:val="20"/>
                <w:szCs w:val="20"/>
                <w:color w:val="auto"/>
              </w:rPr>
            </w:pPr>
            <w:r>
              <w:rPr>
                <w:rFonts w:ascii="Arial" w:cs="Arial" w:eastAsia="Arial" w:hAnsi="Arial"/>
                <w:sz w:val="17"/>
                <w:szCs w:val="17"/>
                <w:color w:val="auto"/>
              </w:rPr>
              <w:t>AbbVie Pension Plan</w:t>
            </w:r>
          </w:p>
        </w:tc>
        <w:tc>
          <w:tcPr>
            <w:tcW w:w="1400" w:type="dxa"/>
            <w:vAlign w:val="bottom"/>
          </w:tcPr>
          <w:p>
            <w:pPr>
              <w:jc w:val="right"/>
              <w:spacing w:after="0"/>
              <w:rPr>
                <w:sz w:val="20"/>
                <w:szCs w:val="20"/>
                <w:color w:val="auto"/>
              </w:rPr>
            </w:pPr>
            <w:r>
              <w:rPr>
                <w:rFonts w:ascii="Arial" w:cs="Arial" w:eastAsia="Arial" w:hAnsi="Arial"/>
                <w:sz w:val="17"/>
                <w:szCs w:val="17"/>
                <w:color w:val="auto"/>
              </w:rPr>
              <w:t>27</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452,580</w:t>
            </w:r>
          </w:p>
        </w:tc>
        <w:tc>
          <w:tcPr>
            <w:tcW w:w="1160" w:type="dxa"/>
            <w:vAlign w:val="bottom"/>
            <w:gridSpan w:val="2"/>
          </w:tcPr>
          <w:p>
            <w:pPr>
              <w:jc w:val="right"/>
              <w:ind w:right="188"/>
              <w:spacing w:after="0"/>
              <w:rPr>
                <w:sz w:val="20"/>
                <w:szCs w:val="20"/>
                <w:color w:val="auto"/>
              </w:rPr>
            </w:pPr>
            <w:r>
              <w:rPr>
                <w:rFonts w:ascii="Arial" w:cs="Arial" w:eastAsia="Arial" w:hAnsi="Arial"/>
                <w:sz w:val="17"/>
                <w:szCs w:val="17"/>
                <w:color w:val="auto"/>
              </w:rPr>
              <w:t>0</w:t>
            </w:r>
          </w:p>
        </w:tc>
        <w:tc>
          <w:tcPr>
            <w:tcW w:w="1480" w:type="dxa"/>
            <w:vAlign w:val="bottom"/>
          </w:tcPr>
          <w:p>
            <w:pPr>
              <w:spacing w:after="0"/>
              <w:rPr>
                <w:sz w:val="17"/>
                <w:szCs w:val="17"/>
                <w:color w:val="auto"/>
              </w:rPr>
            </w:pPr>
          </w:p>
        </w:tc>
      </w:tr>
      <w:tr>
        <w:trPr>
          <w:trHeight w:val="193"/>
        </w:trPr>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30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AbbVie Supplemental Pension Plan</w:t>
            </w:r>
          </w:p>
        </w:tc>
        <w:tc>
          <w:tcPr>
            <w:tcW w:w="1400" w:type="dxa"/>
            <w:vAlign w:val="bottom"/>
          </w:tcPr>
          <w:p>
            <w:pPr>
              <w:jc w:val="right"/>
              <w:spacing w:after="0" w:line="194" w:lineRule="exact"/>
              <w:rPr>
                <w:sz w:val="20"/>
                <w:szCs w:val="20"/>
                <w:color w:val="auto"/>
              </w:rPr>
            </w:pPr>
            <w:r>
              <w:rPr>
                <w:rFonts w:ascii="Arial" w:cs="Arial" w:eastAsia="Arial" w:hAnsi="Arial"/>
                <w:sz w:val="17"/>
                <w:szCs w:val="17"/>
                <w:color w:val="auto"/>
              </w:rPr>
              <w:t>27</w:t>
            </w:r>
          </w:p>
        </w:tc>
        <w:tc>
          <w:tcPr>
            <w:tcW w:w="1260" w:type="dxa"/>
            <w:vAlign w:val="bottom"/>
          </w:tcPr>
          <w:p>
            <w:pPr>
              <w:jc w:val="right"/>
              <w:ind w:right="35"/>
              <w:spacing w:after="0" w:line="194" w:lineRule="exact"/>
              <w:rPr>
                <w:sz w:val="20"/>
                <w:szCs w:val="20"/>
                <w:color w:val="auto"/>
              </w:rPr>
            </w:pPr>
            <w:r>
              <w:rPr>
                <w:rFonts w:ascii="Arial" w:cs="Arial" w:eastAsia="Arial" w:hAnsi="Arial"/>
                <w:sz w:val="17"/>
                <w:szCs w:val="17"/>
                <w:color w:val="auto"/>
              </w:rPr>
              <w:t>3,471,108</w:t>
            </w:r>
          </w:p>
        </w:tc>
        <w:tc>
          <w:tcPr>
            <w:tcW w:w="1160" w:type="dxa"/>
            <w:vAlign w:val="bottom"/>
            <w:gridSpan w:val="2"/>
          </w:tcPr>
          <w:p>
            <w:pPr>
              <w:jc w:val="right"/>
              <w:ind w:right="8"/>
              <w:spacing w:after="0" w:line="193" w:lineRule="exact"/>
              <w:rPr>
                <w:sz w:val="20"/>
                <w:szCs w:val="20"/>
                <w:color w:val="auto"/>
              </w:rPr>
            </w:pPr>
            <w:r>
              <w:rPr>
                <w:rFonts w:ascii="Arial" w:cs="Arial" w:eastAsia="Arial" w:hAnsi="Arial"/>
                <w:sz w:val="14"/>
                <w:szCs w:val="14"/>
                <w:color w:val="auto"/>
              </w:rPr>
              <w:t>399,791</w:t>
            </w:r>
            <w:r>
              <w:rPr>
                <w:rFonts w:ascii="Arial" w:cs="Arial" w:eastAsia="Arial" w:hAnsi="Arial"/>
                <w:sz w:val="22"/>
                <w:szCs w:val="22"/>
                <w:color w:val="auto"/>
                <w:vertAlign w:val="superscript"/>
              </w:rPr>
              <w:t>(2)</w:t>
            </w:r>
          </w:p>
        </w:tc>
        <w:tc>
          <w:tcPr>
            <w:tcW w:w="1480" w:type="dxa"/>
            <w:vAlign w:val="bottom"/>
          </w:tcPr>
          <w:p>
            <w:pPr>
              <w:spacing w:after="0"/>
              <w:rPr>
                <w:sz w:val="16"/>
                <w:szCs w:val="16"/>
                <w:color w:val="auto"/>
              </w:rPr>
            </w:pPr>
          </w:p>
        </w:tc>
      </w:tr>
      <w:tr>
        <w:trPr>
          <w:trHeight w:val="196"/>
        </w:trPr>
        <w:tc>
          <w:tcPr>
            <w:tcW w:w="1380" w:type="dxa"/>
            <w:vAlign w:val="bottom"/>
          </w:tcPr>
          <w:p>
            <w:pPr>
              <w:spacing w:after="0"/>
              <w:rPr>
                <w:sz w:val="17"/>
                <w:szCs w:val="17"/>
                <w:color w:val="auto"/>
              </w:rPr>
            </w:pPr>
          </w:p>
        </w:tc>
        <w:tc>
          <w:tcPr>
            <w:tcW w:w="1440" w:type="dxa"/>
            <w:vAlign w:val="bottom"/>
            <w:shd w:val="clear" w:color="auto" w:fill="E7E7E8"/>
          </w:tcPr>
          <w:p>
            <w:pPr>
              <w:spacing w:after="0"/>
              <w:rPr>
                <w:sz w:val="20"/>
                <w:szCs w:val="20"/>
                <w:color w:val="auto"/>
              </w:rPr>
            </w:pPr>
            <w:r>
              <w:rPr>
                <w:rFonts w:ascii="Arial" w:cs="Arial" w:eastAsia="Arial" w:hAnsi="Arial"/>
                <w:sz w:val="17"/>
                <w:szCs w:val="17"/>
                <w:color w:val="auto"/>
              </w:rPr>
              <w:t>L. Schumacher</w:t>
            </w:r>
          </w:p>
        </w:tc>
        <w:tc>
          <w:tcPr>
            <w:tcW w:w="3300" w:type="dxa"/>
            <w:vAlign w:val="bottom"/>
            <w:gridSpan w:val="2"/>
            <w:shd w:val="clear" w:color="auto" w:fill="E7E7E8"/>
          </w:tcPr>
          <w:p>
            <w:pPr>
              <w:ind w:left="160"/>
              <w:spacing w:after="0"/>
              <w:rPr>
                <w:sz w:val="20"/>
                <w:szCs w:val="20"/>
                <w:color w:val="auto"/>
              </w:rPr>
            </w:pPr>
            <w:r>
              <w:rPr>
                <w:rFonts w:ascii="Arial" w:cs="Arial" w:eastAsia="Arial" w:hAnsi="Arial"/>
                <w:sz w:val="17"/>
                <w:szCs w:val="17"/>
                <w:color w:val="auto"/>
              </w:rPr>
              <w:t>AbbVie Pension Plan</w:t>
            </w:r>
          </w:p>
        </w:tc>
        <w:tc>
          <w:tcPr>
            <w:tcW w:w="14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25</w:t>
            </w:r>
          </w:p>
        </w:tc>
        <w:tc>
          <w:tcPr>
            <w:tcW w:w="1260" w:type="dxa"/>
            <w:vAlign w:val="bottom"/>
            <w:shd w:val="clear" w:color="auto" w:fill="E7E7E8"/>
          </w:tcPr>
          <w:p>
            <w:pPr>
              <w:jc w:val="right"/>
              <w:ind w:right="35"/>
              <w:spacing w:after="0"/>
              <w:rPr>
                <w:sz w:val="20"/>
                <w:szCs w:val="20"/>
                <w:color w:val="auto"/>
              </w:rPr>
            </w:pPr>
            <w:r>
              <w:rPr>
                <w:rFonts w:ascii="Arial" w:cs="Arial" w:eastAsia="Arial" w:hAnsi="Arial"/>
                <w:sz w:val="17"/>
                <w:szCs w:val="17"/>
                <w:color w:val="auto"/>
              </w:rPr>
              <w:t>628,004</w:t>
            </w:r>
          </w:p>
        </w:tc>
        <w:tc>
          <w:tcPr>
            <w:tcW w:w="1160" w:type="dxa"/>
            <w:vAlign w:val="bottom"/>
            <w:gridSpan w:val="2"/>
            <w:shd w:val="clear" w:color="auto" w:fill="E7E7E8"/>
          </w:tcPr>
          <w:p>
            <w:pPr>
              <w:jc w:val="right"/>
              <w:ind w:right="188"/>
              <w:spacing w:after="0"/>
              <w:rPr>
                <w:sz w:val="20"/>
                <w:szCs w:val="20"/>
                <w:color w:val="auto"/>
              </w:rPr>
            </w:pPr>
            <w:r>
              <w:rPr>
                <w:rFonts w:ascii="Arial" w:cs="Arial" w:eastAsia="Arial" w:hAnsi="Arial"/>
                <w:sz w:val="17"/>
                <w:szCs w:val="17"/>
                <w:color w:val="auto"/>
              </w:rPr>
              <w:t>0</w:t>
            </w:r>
          </w:p>
        </w:tc>
        <w:tc>
          <w:tcPr>
            <w:tcW w:w="148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40" w:type="dxa"/>
            <w:vAlign w:val="bottom"/>
            <w:shd w:val="clear" w:color="auto" w:fill="E7E7E8"/>
          </w:tcPr>
          <w:p>
            <w:pPr>
              <w:spacing w:after="0"/>
              <w:rPr>
                <w:sz w:val="17"/>
                <w:szCs w:val="17"/>
                <w:color w:val="auto"/>
              </w:rPr>
            </w:pPr>
          </w:p>
        </w:tc>
        <w:tc>
          <w:tcPr>
            <w:tcW w:w="3300" w:type="dxa"/>
            <w:vAlign w:val="bottom"/>
            <w:gridSpan w:val="2"/>
            <w:shd w:val="clear" w:color="auto" w:fill="E7E7E8"/>
          </w:tcPr>
          <w:p>
            <w:pPr>
              <w:ind w:left="160"/>
              <w:spacing w:after="0"/>
              <w:rPr>
                <w:sz w:val="20"/>
                <w:szCs w:val="20"/>
                <w:color w:val="auto"/>
              </w:rPr>
            </w:pPr>
            <w:r>
              <w:rPr>
                <w:rFonts w:ascii="Arial" w:cs="Arial" w:eastAsia="Arial" w:hAnsi="Arial"/>
                <w:sz w:val="17"/>
                <w:szCs w:val="17"/>
                <w:color w:val="auto"/>
              </w:rPr>
              <w:t>AbbVie Supplemental Pension Plan</w:t>
            </w:r>
          </w:p>
        </w:tc>
        <w:tc>
          <w:tcPr>
            <w:tcW w:w="14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25</w:t>
            </w:r>
          </w:p>
        </w:tc>
        <w:tc>
          <w:tcPr>
            <w:tcW w:w="1260" w:type="dxa"/>
            <w:vAlign w:val="bottom"/>
            <w:shd w:val="clear" w:color="auto" w:fill="E7E7E8"/>
          </w:tcPr>
          <w:p>
            <w:pPr>
              <w:jc w:val="right"/>
              <w:ind w:right="35"/>
              <w:spacing w:after="0"/>
              <w:rPr>
                <w:sz w:val="20"/>
                <w:szCs w:val="20"/>
                <w:color w:val="auto"/>
              </w:rPr>
            </w:pPr>
            <w:r>
              <w:rPr>
                <w:rFonts w:ascii="Arial" w:cs="Arial" w:eastAsia="Arial" w:hAnsi="Arial"/>
                <w:sz w:val="17"/>
                <w:szCs w:val="17"/>
                <w:color w:val="auto"/>
              </w:rPr>
              <w:t>7,590,962</w:t>
            </w:r>
          </w:p>
        </w:tc>
        <w:tc>
          <w:tcPr>
            <w:tcW w:w="1160" w:type="dxa"/>
            <w:vAlign w:val="bottom"/>
            <w:gridSpan w:val="2"/>
            <w:shd w:val="clear" w:color="auto" w:fill="E7E7E8"/>
          </w:tcPr>
          <w:p>
            <w:pPr>
              <w:jc w:val="right"/>
              <w:ind w:right="8"/>
              <w:spacing w:after="0" w:line="195" w:lineRule="exact"/>
              <w:rPr>
                <w:sz w:val="20"/>
                <w:szCs w:val="20"/>
                <w:color w:val="auto"/>
              </w:rPr>
            </w:pPr>
            <w:r>
              <w:rPr>
                <w:rFonts w:ascii="Arial" w:cs="Arial" w:eastAsia="Arial" w:hAnsi="Arial"/>
                <w:sz w:val="14"/>
                <w:szCs w:val="14"/>
                <w:color w:val="auto"/>
              </w:rPr>
              <w:t>587,336</w:t>
            </w:r>
            <w:r>
              <w:rPr>
                <w:rFonts w:ascii="Arial" w:cs="Arial" w:eastAsia="Arial" w:hAnsi="Arial"/>
                <w:sz w:val="22"/>
                <w:szCs w:val="22"/>
                <w:color w:val="auto"/>
                <w:vertAlign w:val="superscript"/>
              </w:rPr>
              <w:t>(2)</w:t>
            </w:r>
          </w:p>
        </w:tc>
        <w:tc>
          <w:tcPr>
            <w:tcW w:w="1480" w:type="dxa"/>
            <w:vAlign w:val="bottom"/>
          </w:tcPr>
          <w:p>
            <w:pPr>
              <w:spacing w:after="0"/>
              <w:rPr>
                <w:sz w:val="17"/>
                <w:szCs w:val="17"/>
                <w:color w:val="auto"/>
              </w:rPr>
            </w:pPr>
          </w:p>
        </w:tc>
      </w:tr>
      <w:tr>
        <w:trPr>
          <w:trHeight w:val="199"/>
        </w:trPr>
        <w:tc>
          <w:tcPr>
            <w:tcW w:w="1380" w:type="dxa"/>
            <w:vAlign w:val="bottom"/>
          </w:tcPr>
          <w:p>
            <w:pPr>
              <w:spacing w:after="0"/>
              <w:rPr>
                <w:sz w:val="17"/>
                <w:szCs w:val="17"/>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C. Alban</w:t>
            </w:r>
          </w:p>
        </w:tc>
        <w:tc>
          <w:tcPr>
            <w:tcW w:w="3300" w:type="dxa"/>
            <w:vAlign w:val="bottom"/>
            <w:gridSpan w:val="2"/>
          </w:tcPr>
          <w:p>
            <w:pPr>
              <w:ind w:left="160"/>
              <w:spacing w:after="0"/>
              <w:rPr>
                <w:sz w:val="20"/>
                <w:szCs w:val="20"/>
                <w:color w:val="auto"/>
              </w:rPr>
            </w:pPr>
            <w:r>
              <w:rPr>
                <w:rFonts w:ascii="Arial" w:cs="Arial" w:eastAsia="Arial" w:hAnsi="Arial"/>
                <w:sz w:val="17"/>
                <w:szCs w:val="17"/>
                <w:color w:val="auto"/>
              </w:rPr>
              <w:t>AbbVie Pension Plan</w:t>
            </w:r>
          </w:p>
        </w:tc>
        <w:tc>
          <w:tcPr>
            <w:tcW w:w="1400" w:type="dxa"/>
            <w:vAlign w:val="bottom"/>
          </w:tcPr>
          <w:p>
            <w:pPr>
              <w:jc w:val="right"/>
              <w:spacing w:after="0"/>
              <w:rPr>
                <w:sz w:val="20"/>
                <w:szCs w:val="20"/>
                <w:color w:val="auto"/>
              </w:rPr>
            </w:pPr>
            <w:r>
              <w:rPr>
                <w:rFonts w:ascii="Arial" w:cs="Arial" w:eastAsia="Arial" w:hAnsi="Arial"/>
                <w:sz w:val="17"/>
                <w:szCs w:val="17"/>
                <w:color w:val="auto"/>
              </w:rPr>
              <w:t>29</w:t>
            </w:r>
          </w:p>
        </w:tc>
        <w:tc>
          <w:tcPr>
            <w:tcW w:w="1260" w:type="dxa"/>
            <w:vAlign w:val="bottom"/>
          </w:tcPr>
          <w:p>
            <w:pPr>
              <w:jc w:val="right"/>
              <w:ind w:right="35"/>
              <w:spacing w:after="0"/>
              <w:rPr>
                <w:sz w:val="20"/>
                <w:szCs w:val="20"/>
                <w:color w:val="auto"/>
              </w:rPr>
            </w:pPr>
            <w:r>
              <w:rPr>
                <w:rFonts w:ascii="Arial" w:cs="Arial" w:eastAsia="Arial" w:hAnsi="Arial"/>
                <w:sz w:val="17"/>
                <w:szCs w:val="17"/>
                <w:color w:val="auto"/>
              </w:rPr>
              <w:t>728,028</w:t>
            </w:r>
          </w:p>
        </w:tc>
        <w:tc>
          <w:tcPr>
            <w:tcW w:w="1160" w:type="dxa"/>
            <w:vAlign w:val="bottom"/>
            <w:gridSpan w:val="2"/>
          </w:tcPr>
          <w:p>
            <w:pPr>
              <w:jc w:val="right"/>
              <w:ind w:right="188"/>
              <w:spacing w:after="0"/>
              <w:rPr>
                <w:sz w:val="20"/>
                <w:szCs w:val="20"/>
                <w:color w:val="auto"/>
              </w:rPr>
            </w:pPr>
            <w:r>
              <w:rPr>
                <w:rFonts w:ascii="Arial" w:cs="Arial" w:eastAsia="Arial" w:hAnsi="Arial"/>
                <w:sz w:val="17"/>
                <w:szCs w:val="17"/>
                <w:color w:val="auto"/>
              </w:rPr>
              <w:t>0</w:t>
            </w:r>
          </w:p>
        </w:tc>
        <w:tc>
          <w:tcPr>
            <w:tcW w:w="1480" w:type="dxa"/>
            <w:vAlign w:val="bottom"/>
          </w:tcPr>
          <w:p>
            <w:pPr>
              <w:spacing w:after="0"/>
              <w:rPr>
                <w:sz w:val="17"/>
                <w:szCs w:val="17"/>
                <w:color w:val="auto"/>
              </w:rPr>
            </w:pPr>
          </w:p>
        </w:tc>
      </w:tr>
      <w:tr>
        <w:trPr>
          <w:trHeight w:val="193"/>
        </w:trPr>
        <w:tc>
          <w:tcPr>
            <w:tcW w:w="13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3300" w:type="dxa"/>
            <w:vAlign w:val="bottom"/>
            <w:gridSpan w:val="2"/>
          </w:tcPr>
          <w:p>
            <w:pPr>
              <w:ind w:left="160"/>
              <w:spacing w:after="0" w:line="194" w:lineRule="exact"/>
              <w:rPr>
                <w:sz w:val="20"/>
                <w:szCs w:val="20"/>
                <w:color w:val="auto"/>
              </w:rPr>
            </w:pPr>
            <w:r>
              <w:rPr>
                <w:rFonts w:ascii="Arial" w:cs="Arial" w:eastAsia="Arial" w:hAnsi="Arial"/>
                <w:sz w:val="17"/>
                <w:szCs w:val="17"/>
                <w:color w:val="auto"/>
              </w:rPr>
              <w:t>AbbVie Supplemental Pension Plan</w:t>
            </w:r>
          </w:p>
        </w:tc>
        <w:tc>
          <w:tcPr>
            <w:tcW w:w="1400" w:type="dxa"/>
            <w:vAlign w:val="bottom"/>
          </w:tcPr>
          <w:p>
            <w:pPr>
              <w:jc w:val="right"/>
              <w:spacing w:after="0" w:line="194" w:lineRule="exact"/>
              <w:rPr>
                <w:sz w:val="20"/>
                <w:szCs w:val="20"/>
                <w:color w:val="auto"/>
              </w:rPr>
            </w:pPr>
            <w:r>
              <w:rPr>
                <w:rFonts w:ascii="Arial" w:cs="Arial" w:eastAsia="Arial" w:hAnsi="Arial"/>
                <w:sz w:val="17"/>
                <w:szCs w:val="17"/>
                <w:color w:val="auto"/>
              </w:rPr>
              <w:t>29</w:t>
            </w:r>
          </w:p>
        </w:tc>
        <w:tc>
          <w:tcPr>
            <w:tcW w:w="1260" w:type="dxa"/>
            <w:vAlign w:val="bottom"/>
          </w:tcPr>
          <w:p>
            <w:pPr>
              <w:jc w:val="right"/>
              <w:ind w:right="35"/>
              <w:spacing w:after="0" w:line="194" w:lineRule="exact"/>
              <w:rPr>
                <w:sz w:val="20"/>
                <w:szCs w:val="20"/>
                <w:color w:val="auto"/>
              </w:rPr>
            </w:pPr>
            <w:r>
              <w:rPr>
                <w:rFonts w:ascii="Arial" w:cs="Arial" w:eastAsia="Arial" w:hAnsi="Arial"/>
                <w:sz w:val="17"/>
                <w:szCs w:val="17"/>
                <w:color w:val="auto"/>
              </w:rPr>
              <w:t>6,018,755</w:t>
            </w:r>
          </w:p>
        </w:tc>
        <w:tc>
          <w:tcPr>
            <w:tcW w:w="1160" w:type="dxa"/>
            <w:vAlign w:val="bottom"/>
            <w:gridSpan w:val="2"/>
          </w:tcPr>
          <w:p>
            <w:pPr>
              <w:jc w:val="right"/>
              <w:ind w:right="8"/>
              <w:spacing w:after="0" w:line="193" w:lineRule="exact"/>
              <w:rPr>
                <w:sz w:val="20"/>
                <w:szCs w:val="20"/>
                <w:color w:val="auto"/>
              </w:rPr>
            </w:pPr>
            <w:r>
              <w:rPr>
                <w:rFonts w:ascii="Arial" w:cs="Arial" w:eastAsia="Arial" w:hAnsi="Arial"/>
                <w:sz w:val="14"/>
                <w:szCs w:val="14"/>
                <w:color w:val="auto"/>
              </w:rPr>
              <w:t>871,300</w:t>
            </w:r>
            <w:r>
              <w:rPr>
                <w:rFonts w:ascii="Arial" w:cs="Arial" w:eastAsia="Arial" w:hAnsi="Arial"/>
                <w:sz w:val="22"/>
                <w:szCs w:val="22"/>
                <w:color w:val="auto"/>
                <w:vertAlign w:val="superscript"/>
              </w:rPr>
              <w:t>(2)</w:t>
            </w:r>
          </w:p>
        </w:tc>
        <w:tc>
          <w:tcPr>
            <w:tcW w:w="1480" w:type="dxa"/>
            <w:vAlign w:val="bottom"/>
          </w:tcPr>
          <w:p>
            <w:pPr>
              <w:spacing w:after="0"/>
              <w:rPr>
                <w:sz w:val="16"/>
                <w:szCs w:val="16"/>
                <w:color w:val="auto"/>
              </w:rPr>
            </w:pPr>
          </w:p>
        </w:tc>
      </w:tr>
      <w:tr>
        <w:trPr>
          <w:trHeight w:val="196"/>
        </w:trPr>
        <w:tc>
          <w:tcPr>
            <w:tcW w:w="1380" w:type="dxa"/>
            <w:vAlign w:val="bottom"/>
          </w:tcPr>
          <w:p>
            <w:pPr>
              <w:spacing w:after="0"/>
              <w:rPr>
                <w:sz w:val="17"/>
                <w:szCs w:val="17"/>
                <w:color w:val="auto"/>
              </w:rPr>
            </w:pPr>
          </w:p>
        </w:tc>
        <w:tc>
          <w:tcPr>
            <w:tcW w:w="1440" w:type="dxa"/>
            <w:vAlign w:val="bottom"/>
            <w:shd w:val="clear" w:color="auto" w:fill="E7E7E8"/>
          </w:tcPr>
          <w:p>
            <w:pPr>
              <w:spacing w:after="0"/>
              <w:rPr>
                <w:sz w:val="20"/>
                <w:szCs w:val="20"/>
                <w:color w:val="auto"/>
              </w:rPr>
            </w:pPr>
            <w:r>
              <w:rPr>
                <w:rFonts w:ascii="Arial" w:cs="Arial" w:eastAsia="Arial" w:hAnsi="Arial"/>
                <w:sz w:val="17"/>
                <w:szCs w:val="17"/>
                <w:color w:val="auto"/>
              </w:rPr>
              <w:t>M. Severino</w:t>
            </w:r>
          </w:p>
        </w:tc>
        <w:tc>
          <w:tcPr>
            <w:tcW w:w="3300" w:type="dxa"/>
            <w:vAlign w:val="bottom"/>
            <w:gridSpan w:val="2"/>
            <w:shd w:val="clear" w:color="auto" w:fill="E7E7E8"/>
          </w:tcPr>
          <w:p>
            <w:pPr>
              <w:ind w:left="160"/>
              <w:spacing w:after="0"/>
              <w:rPr>
                <w:sz w:val="20"/>
                <w:szCs w:val="20"/>
                <w:color w:val="auto"/>
              </w:rPr>
            </w:pPr>
            <w:r>
              <w:rPr>
                <w:rFonts w:ascii="Arial" w:cs="Arial" w:eastAsia="Arial" w:hAnsi="Arial"/>
                <w:sz w:val="17"/>
                <w:szCs w:val="17"/>
                <w:color w:val="auto"/>
              </w:rPr>
              <w:t>AbbVie Pension Plan</w:t>
            </w:r>
          </w:p>
        </w:tc>
        <w:tc>
          <w:tcPr>
            <w:tcW w:w="14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2</w:t>
            </w:r>
          </w:p>
        </w:tc>
        <w:tc>
          <w:tcPr>
            <w:tcW w:w="1260" w:type="dxa"/>
            <w:vAlign w:val="bottom"/>
            <w:shd w:val="clear" w:color="auto" w:fill="E7E7E8"/>
          </w:tcPr>
          <w:p>
            <w:pPr>
              <w:jc w:val="right"/>
              <w:ind w:right="35"/>
              <w:spacing w:after="0"/>
              <w:rPr>
                <w:sz w:val="20"/>
                <w:szCs w:val="20"/>
                <w:color w:val="auto"/>
              </w:rPr>
            </w:pPr>
            <w:r>
              <w:rPr>
                <w:rFonts w:ascii="Arial" w:cs="Arial" w:eastAsia="Arial" w:hAnsi="Arial"/>
                <w:sz w:val="17"/>
                <w:szCs w:val="17"/>
                <w:color w:val="auto"/>
              </w:rPr>
              <w:t>34,482</w:t>
            </w:r>
          </w:p>
        </w:tc>
        <w:tc>
          <w:tcPr>
            <w:tcW w:w="1160" w:type="dxa"/>
            <w:vAlign w:val="bottom"/>
            <w:gridSpan w:val="2"/>
            <w:shd w:val="clear" w:color="auto" w:fill="E7E7E8"/>
          </w:tcPr>
          <w:p>
            <w:pPr>
              <w:jc w:val="right"/>
              <w:ind w:right="188"/>
              <w:spacing w:after="0"/>
              <w:rPr>
                <w:sz w:val="20"/>
                <w:szCs w:val="20"/>
                <w:color w:val="auto"/>
              </w:rPr>
            </w:pPr>
            <w:r>
              <w:rPr>
                <w:rFonts w:ascii="Arial" w:cs="Arial" w:eastAsia="Arial" w:hAnsi="Arial"/>
                <w:sz w:val="17"/>
                <w:szCs w:val="17"/>
                <w:color w:val="auto"/>
              </w:rPr>
              <w:t>0</w:t>
            </w:r>
          </w:p>
        </w:tc>
        <w:tc>
          <w:tcPr>
            <w:tcW w:w="1480" w:type="dxa"/>
            <w:vAlign w:val="bottom"/>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1440" w:type="dxa"/>
            <w:vAlign w:val="bottom"/>
            <w:shd w:val="clear" w:color="auto" w:fill="E7E7E8"/>
          </w:tcPr>
          <w:p>
            <w:pPr>
              <w:spacing w:after="0"/>
              <w:rPr>
                <w:sz w:val="17"/>
                <w:szCs w:val="17"/>
                <w:color w:val="auto"/>
              </w:rPr>
            </w:pPr>
          </w:p>
        </w:tc>
        <w:tc>
          <w:tcPr>
            <w:tcW w:w="3300" w:type="dxa"/>
            <w:vAlign w:val="bottom"/>
            <w:gridSpan w:val="2"/>
            <w:shd w:val="clear" w:color="auto" w:fill="E7E7E8"/>
          </w:tcPr>
          <w:p>
            <w:pPr>
              <w:ind w:left="160"/>
              <w:spacing w:after="0"/>
              <w:rPr>
                <w:sz w:val="20"/>
                <w:szCs w:val="20"/>
                <w:color w:val="auto"/>
              </w:rPr>
            </w:pPr>
            <w:r>
              <w:rPr>
                <w:rFonts w:ascii="Arial" w:cs="Arial" w:eastAsia="Arial" w:hAnsi="Arial"/>
                <w:sz w:val="17"/>
                <w:szCs w:val="17"/>
                <w:color w:val="auto"/>
              </w:rPr>
              <w:t>AbbVie Supplemental Pension Plan</w:t>
            </w:r>
          </w:p>
        </w:tc>
        <w:tc>
          <w:tcPr>
            <w:tcW w:w="14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2</w:t>
            </w:r>
          </w:p>
        </w:tc>
        <w:tc>
          <w:tcPr>
            <w:tcW w:w="1260" w:type="dxa"/>
            <w:vAlign w:val="bottom"/>
            <w:shd w:val="clear" w:color="auto" w:fill="E7E7E8"/>
          </w:tcPr>
          <w:p>
            <w:pPr>
              <w:jc w:val="right"/>
              <w:ind w:right="35"/>
              <w:spacing w:after="0"/>
              <w:rPr>
                <w:sz w:val="20"/>
                <w:szCs w:val="20"/>
                <w:color w:val="auto"/>
              </w:rPr>
            </w:pPr>
            <w:r>
              <w:rPr>
                <w:rFonts w:ascii="Arial" w:cs="Arial" w:eastAsia="Arial" w:hAnsi="Arial"/>
                <w:sz w:val="17"/>
                <w:szCs w:val="17"/>
                <w:color w:val="auto"/>
              </w:rPr>
              <w:t>366,198</w:t>
            </w:r>
          </w:p>
        </w:tc>
        <w:tc>
          <w:tcPr>
            <w:tcW w:w="1160" w:type="dxa"/>
            <w:vAlign w:val="bottom"/>
            <w:gridSpan w:val="2"/>
            <w:shd w:val="clear" w:color="auto" w:fill="E7E7E8"/>
          </w:tcPr>
          <w:p>
            <w:pPr>
              <w:jc w:val="right"/>
              <w:ind w:right="188"/>
              <w:spacing w:after="0"/>
              <w:rPr>
                <w:sz w:val="20"/>
                <w:szCs w:val="20"/>
                <w:color w:val="auto"/>
              </w:rPr>
            </w:pPr>
            <w:r>
              <w:rPr>
                <w:rFonts w:ascii="Arial" w:cs="Arial" w:eastAsia="Arial" w:hAnsi="Arial"/>
                <w:sz w:val="17"/>
                <w:szCs w:val="17"/>
                <w:color w:val="auto"/>
              </w:rPr>
              <w:t>0</w:t>
            </w:r>
          </w:p>
        </w:tc>
        <w:tc>
          <w:tcPr>
            <w:tcW w:w="1480" w:type="dxa"/>
            <w:vAlign w:val="bottom"/>
          </w:tcPr>
          <w:p>
            <w:pPr>
              <w:spacing w:after="0"/>
              <w:rPr>
                <w:sz w:val="17"/>
                <w:szCs w:val="17"/>
                <w:color w:val="auto"/>
              </w:rPr>
            </w:pPr>
          </w:p>
        </w:tc>
      </w:tr>
      <w:tr>
        <w:trPr>
          <w:trHeight w:val="105"/>
        </w:trPr>
        <w:tc>
          <w:tcPr>
            <w:tcW w:w="1380" w:type="dxa"/>
            <w:vAlign w:val="bottom"/>
          </w:tcPr>
          <w:p>
            <w:pPr>
              <w:spacing w:after="0"/>
              <w:rPr>
                <w:sz w:val="9"/>
                <w:szCs w:val="9"/>
                <w:color w:val="auto"/>
              </w:rPr>
            </w:pPr>
          </w:p>
        </w:tc>
        <w:tc>
          <w:tcPr>
            <w:tcW w:w="144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74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80" w:type="dxa"/>
            <w:vAlign w:val="bottom"/>
          </w:tcPr>
          <w:p>
            <w:pPr>
              <w:spacing w:after="0"/>
              <w:rPr>
                <w:sz w:val="9"/>
                <w:szCs w:val="9"/>
                <w:color w:val="auto"/>
              </w:rPr>
            </w:pPr>
          </w:p>
        </w:tc>
      </w:tr>
    </w:tbl>
    <w:p>
      <w:pPr>
        <w:spacing w:after="0" w:line="212" w:lineRule="exact"/>
        <w:rPr>
          <w:sz w:val="20"/>
          <w:szCs w:val="20"/>
          <w:color w:val="auto"/>
        </w:rPr>
      </w:pPr>
    </w:p>
    <w:p>
      <w:pPr>
        <w:ind w:left="1900" w:right="160" w:hanging="525"/>
        <w:spacing w:after="0" w:line="242" w:lineRule="auto"/>
        <w:tabs>
          <w:tab w:leader="none" w:pos="1900" w:val="left"/>
        </w:tabs>
        <w:numPr>
          <w:ilvl w:val="0"/>
          <w:numId w:val="47"/>
        </w:numPr>
        <w:rPr>
          <w:rFonts w:ascii="Arial" w:cs="Arial" w:eastAsia="Arial" w:hAnsi="Arial"/>
          <w:sz w:val="17"/>
          <w:szCs w:val="17"/>
          <w:color w:val="auto"/>
        </w:rPr>
      </w:pPr>
      <w:r>
        <w:rPr>
          <w:rFonts w:ascii="Arial" w:cs="Arial" w:eastAsia="Arial" w:hAnsi="Arial"/>
          <w:sz w:val="17"/>
          <w:szCs w:val="17"/>
          <w:color w:val="auto"/>
        </w:rPr>
        <w:t>AbbVie calculates these present values using: (i) a discount rate of 4.93% for the Pension Plan and a discount rate of 4.83% for the Supplemental Pension Plan, the same discount rates it uses for Financial Accounting Standards Board (FASB) ASC Topic 715 calculations for financial reporting purposes; and (ii) each plan's unreduced retirement age, which is age 62 under the AbbVie Pension Plan and age 60 under the AbbVie Supplemental Pension Plan for those participants who are eligible for early retirement benefits and which is age 65 under both plans for other participants. The present values shown in the table reflect postretirement mortality, based on the FASB ASC Topic 715 assumption (the RP2014 Healthy Annuitant table with MP2015 mortality improvement scale), but do not include a factor for preretirement termination, mortality, or disability.</w:t>
      </w:r>
    </w:p>
    <w:p>
      <w:pPr>
        <w:spacing w:after="0" w:line="201" w:lineRule="exact"/>
        <w:rPr>
          <w:rFonts w:ascii="Arial" w:cs="Arial" w:eastAsia="Arial" w:hAnsi="Arial"/>
          <w:sz w:val="17"/>
          <w:szCs w:val="17"/>
          <w:color w:val="auto"/>
        </w:rPr>
      </w:pPr>
    </w:p>
    <w:p>
      <w:pPr>
        <w:ind w:left="1900" w:right="80" w:hanging="525"/>
        <w:spacing w:after="0" w:line="260" w:lineRule="auto"/>
        <w:tabs>
          <w:tab w:leader="none" w:pos="19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During 2015, the amounts shown, less applicable tax withholdings, were distributed and deposited into the individual grantor trusts established by the NEOs and included in the NEOs' income. Consistent with the distribution requirements of Internal Revenue Code Section 409A and its regulations, vested Supplemental Pension Plan benefits, to the extent not previously funded, are distributed to the participants' individual grantor trusts and included in their income. Amounts held in an NEO's individual trust are expected to offset AbbVie's obligations to him or her under the plan. Grantor trusts are described in greater detail in the section of this proxy statement captioned "Compensation Plan Elements—Benefits—Retirement Benefits."</w:t>
      </w:r>
    </w:p>
    <w:p>
      <w:pPr>
        <w:spacing w:after="0" w:line="184"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4" w:name="page55"/>
    <w:bookmarkEnd w:id="5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103630" cy="14097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EXECUTIVE COMPENSATION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Nonqualified Deferred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140" w:firstLine="657"/>
        <w:spacing w:after="0" w:line="243" w:lineRule="auto"/>
        <w:rPr>
          <w:sz w:val="20"/>
          <w:szCs w:val="20"/>
          <w:color w:val="auto"/>
        </w:rPr>
      </w:pPr>
      <w:r>
        <w:rPr>
          <w:rFonts w:ascii="Arial" w:cs="Arial" w:eastAsia="Arial" w:hAnsi="Arial"/>
          <w:sz w:val="17"/>
          <w:szCs w:val="17"/>
          <w:color w:val="auto"/>
        </w:rPr>
        <w:t>The following table summarizes Mr. Chase's and Ms. Schumacher's non-qualified deferred compensation under the AbbVie Deferred Compensation Plan. No additional contributions have been made to their accounts under the plan since such time as Mr. Chase and Ms. Schumacher, respectively, became officers and ceased to be eligible to contribute to the plan. None of the other NEOs has any non-qualified deferred compensation under the plan.</w:t>
      </w:r>
    </w:p>
    <w:p>
      <w:pPr>
        <w:spacing w:after="0" w:line="181" w:lineRule="exact"/>
        <w:rPr>
          <w:sz w:val="20"/>
          <w:szCs w:val="20"/>
          <w:color w:val="auto"/>
        </w:rPr>
      </w:pPr>
    </w:p>
    <w:tbl>
      <w:tblPr>
        <w:tblLayout w:type="fixed"/>
        <w:tblInd w:w="1380" w:type="dxa"/>
        <w:tblCellMar>
          <w:top w:w="0" w:type="dxa"/>
          <w:left w:w="0" w:type="dxa"/>
          <w:bottom w:w="0" w:type="dxa"/>
          <w:right w:w="0" w:type="dxa"/>
        </w:tblCellMar>
      </w:tblPr>
      <w:tr>
        <w:trPr>
          <w:trHeight w:val="196"/>
        </w:trPr>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60" w:type="dxa"/>
            <w:vAlign w:val="bottom"/>
          </w:tcPr>
          <w:p>
            <w:pPr>
              <w:jc w:val="right"/>
              <w:ind w:right="55"/>
              <w:spacing w:after="0"/>
              <w:rPr>
                <w:sz w:val="20"/>
                <w:szCs w:val="20"/>
                <w:color w:val="auto"/>
              </w:rPr>
            </w:pPr>
            <w:r>
              <w:rPr>
                <w:rFonts w:ascii="Arial" w:cs="Arial" w:eastAsia="Arial" w:hAnsi="Arial"/>
                <w:sz w:val="17"/>
                <w:szCs w:val="17"/>
                <w:b w:val="1"/>
                <w:bCs w:val="1"/>
                <w:color w:val="444867"/>
              </w:rPr>
              <w:t>Executive</w:t>
            </w:r>
          </w:p>
        </w:tc>
        <w:tc>
          <w:tcPr>
            <w:tcW w:w="2020" w:type="dxa"/>
            <w:vAlign w:val="bottom"/>
            <w:gridSpan w:val="2"/>
          </w:tcPr>
          <w:p>
            <w:pPr>
              <w:jc w:val="right"/>
              <w:ind w:right="35"/>
              <w:spacing w:after="0"/>
              <w:rPr>
                <w:sz w:val="20"/>
                <w:szCs w:val="20"/>
                <w:color w:val="auto"/>
              </w:rPr>
            </w:pPr>
            <w:r>
              <w:rPr>
                <w:rFonts w:ascii="Arial" w:cs="Arial" w:eastAsia="Arial" w:hAnsi="Arial"/>
                <w:sz w:val="17"/>
                <w:szCs w:val="17"/>
                <w:b w:val="1"/>
                <w:bCs w:val="1"/>
                <w:color w:val="444867"/>
              </w:rPr>
              <w:t>Registrant Aggregate</w:t>
            </w:r>
          </w:p>
        </w:tc>
        <w:tc>
          <w:tcPr>
            <w:tcW w:w="1880" w:type="dxa"/>
            <w:vAlign w:val="bottom"/>
            <w:gridSpan w:val="2"/>
          </w:tcPr>
          <w:p>
            <w:pPr>
              <w:jc w:val="right"/>
              <w:spacing w:after="0"/>
              <w:rPr>
                <w:sz w:val="20"/>
                <w:szCs w:val="20"/>
                <w:color w:val="auto"/>
              </w:rPr>
            </w:pPr>
            <w:r>
              <w:rPr>
                <w:rFonts w:ascii="Arial" w:cs="Arial" w:eastAsia="Arial" w:hAnsi="Arial"/>
                <w:sz w:val="17"/>
                <w:szCs w:val="17"/>
                <w:b w:val="1"/>
                <w:bCs w:val="1"/>
                <w:color w:val="444867"/>
              </w:rPr>
              <w:t>Aggregate Aggregate</w:t>
            </w:r>
          </w:p>
        </w:tc>
      </w:tr>
      <w:tr>
        <w:trPr>
          <w:trHeight w:val="196"/>
        </w:trPr>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340" w:type="dxa"/>
            <w:vAlign w:val="bottom"/>
            <w:gridSpan w:val="2"/>
          </w:tcPr>
          <w:p>
            <w:pPr>
              <w:jc w:val="right"/>
              <w:spacing w:after="0"/>
              <w:rPr>
                <w:sz w:val="20"/>
                <w:szCs w:val="20"/>
                <w:color w:val="auto"/>
              </w:rPr>
            </w:pPr>
            <w:r>
              <w:rPr>
                <w:rFonts w:ascii="Arial" w:cs="Arial" w:eastAsia="Arial" w:hAnsi="Arial"/>
                <w:sz w:val="17"/>
                <w:szCs w:val="17"/>
                <w:b w:val="1"/>
                <w:bCs w:val="1"/>
                <w:color w:val="444867"/>
              </w:rPr>
              <w:t>contributions contributions</w:t>
            </w:r>
          </w:p>
        </w:tc>
        <w:tc>
          <w:tcPr>
            <w:tcW w:w="2820" w:type="dxa"/>
            <w:vAlign w:val="bottom"/>
            <w:gridSpan w:val="3"/>
          </w:tcPr>
          <w:p>
            <w:pPr>
              <w:jc w:val="right"/>
              <w:spacing w:after="0"/>
              <w:rPr>
                <w:sz w:val="20"/>
                <w:szCs w:val="20"/>
                <w:color w:val="auto"/>
              </w:rPr>
            </w:pPr>
            <w:r>
              <w:rPr>
                <w:rFonts w:ascii="Arial" w:cs="Arial" w:eastAsia="Arial" w:hAnsi="Arial"/>
                <w:sz w:val="17"/>
                <w:szCs w:val="17"/>
                <w:b w:val="1"/>
                <w:bCs w:val="1"/>
                <w:color w:val="444867"/>
              </w:rPr>
              <w:t>earnings withdrawals/ balance at</w:t>
            </w:r>
          </w:p>
        </w:tc>
      </w:tr>
      <w:tr>
        <w:trPr>
          <w:trHeight w:val="196"/>
        </w:trPr>
        <w:tc>
          <w:tcPr>
            <w:tcW w:w="9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260" w:type="dxa"/>
            <w:vAlign w:val="bottom"/>
          </w:tcPr>
          <w:p>
            <w:pPr>
              <w:jc w:val="right"/>
              <w:ind w:right="55"/>
              <w:spacing w:after="0"/>
              <w:rPr>
                <w:sz w:val="20"/>
                <w:szCs w:val="20"/>
                <w:color w:val="auto"/>
              </w:rPr>
            </w:pPr>
            <w:r>
              <w:rPr>
                <w:rFonts w:ascii="Arial" w:cs="Arial" w:eastAsia="Arial" w:hAnsi="Arial"/>
                <w:sz w:val="17"/>
                <w:szCs w:val="17"/>
                <w:b w:val="1"/>
                <w:bCs w:val="1"/>
                <w:color w:val="444867"/>
              </w:rPr>
              <w:t>in last FY</w:t>
            </w:r>
          </w:p>
        </w:tc>
        <w:tc>
          <w:tcPr>
            <w:tcW w:w="1080" w:type="dxa"/>
            <w:vAlign w:val="bottom"/>
          </w:tcPr>
          <w:p>
            <w:pPr>
              <w:jc w:val="right"/>
              <w:spacing w:after="0"/>
              <w:rPr>
                <w:sz w:val="20"/>
                <w:szCs w:val="20"/>
                <w:color w:val="auto"/>
              </w:rPr>
            </w:pPr>
            <w:r>
              <w:rPr>
                <w:rFonts w:ascii="Arial" w:cs="Arial" w:eastAsia="Arial" w:hAnsi="Arial"/>
                <w:sz w:val="17"/>
                <w:szCs w:val="17"/>
                <w:b w:val="1"/>
                <w:bCs w:val="1"/>
                <w:color w:val="444867"/>
              </w:rPr>
              <w:t>in last FY</w:t>
            </w:r>
          </w:p>
        </w:tc>
        <w:tc>
          <w:tcPr>
            <w:tcW w:w="2020" w:type="dxa"/>
            <w:vAlign w:val="bottom"/>
            <w:gridSpan w:val="2"/>
          </w:tcPr>
          <w:p>
            <w:pPr>
              <w:jc w:val="right"/>
              <w:ind w:right="35"/>
              <w:spacing w:after="0"/>
              <w:rPr>
                <w:sz w:val="20"/>
                <w:szCs w:val="20"/>
                <w:color w:val="auto"/>
              </w:rPr>
            </w:pPr>
            <w:r>
              <w:rPr>
                <w:rFonts w:ascii="Arial" w:cs="Arial" w:eastAsia="Arial" w:hAnsi="Arial"/>
                <w:sz w:val="17"/>
                <w:szCs w:val="17"/>
                <w:b w:val="1"/>
                <w:bCs w:val="1"/>
                <w:color w:val="444867"/>
              </w:rPr>
              <w:t>in last FY distributions</w:t>
            </w:r>
          </w:p>
        </w:tc>
        <w:tc>
          <w:tcPr>
            <w:tcW w:w="800" w:type="dxa"/>
            <w:vAlign w:val="bottom"/>
          </w:tcPr>
          <w:p>
            <w:pPr>
              <w:jc w:val="right"/>
              <w:spacing w:after="0"/>
              <w:rPr>
                <w:sz w:val="20"/>
                <w:szCs w:val="20"/>
                <w:color w:val="auto"/>
              </w:rPr>
            </w:pPr>
            <w:r>
              <w:rPr>
                <w:rFonts w:ascii="Arial" w:cs="Arial" w:eastAsia="Arial" w:hAnsi="Arial"/>
                <w:sz w:val="17"/>
                <w:szCs w:val="17"/>
                <w:b w:val="1"/>
                <w:bCs w:val="1"/>
                <w:color w:val="444867"/>
              </w:rPr>
              <w:t>last FYE</w:t>
            </w:r>
          </w:p>
        </w:tc>
      </w:tr>
      <w:tr>
        <w:trPr>
          <w:trHeight w:val="213"/>
        </w:trPr>
        <w:tc>
          <w:tcPr>
            <w:tcW w:w="960" w:type="dxa"/>
            <w:vAlign w:val="bottom"/>
            <w:tcBorders>
              <w:bottom w:val="single" w:sz="8" w:color="auto"/>
            </w:tcBorders>
          </w:tcPr>
          <w:p>
            <w:pPr>
              <w:spacing w:after="0"/>
              <w:rPr>
                <w:sz w:val="20"/>
                <w:szCs w:val="20"/>
                <w:color w:val="auto"/>
              </w:rPr>
            </w:pPr>
            <w:r>
              <w:rPr>
                <w:rFonts w:ascii="Arial" w:cs="Arial" w:eastAsia="Arial" w:hAnsi="Arial"/>
                <w:sz w:val="17"/>
                <w:szCs w:val="17"/>
                <w:b w:val="1"/>
                <w:bCs w:val="1"/>
                <w:color w:val="444867"/>
              </w:rPr>
              <w:t>Name</w:t>
            </w:r>
          </w:p>
        </w:tc>
        <w:tc>
          <w:tcPr>
            <w:tcW w:w="2640" w:type="dxa"/>
            <w:vAlign w:val="bottom"/>
            <w:tcBorders>
              <w:bottom w:val="single" w:sz="8" w:color="auto"/>
            </w:tcBorders>
            <w:gridSpan w:val="2"/>
          </w:tcPr>
          <w:p>
            <w:pPr>
              <w:ind w:left="240"/>
              <w:spacing w:after="0"/>
              <w:rPr>
                <w:sz w:val="20"/>
                <w:szCs w:val="20"/>
                <w:color w:val="auto"/>
              </w:rPr>
            </w:pPr>
            <w:r>
              <w:rPr>
                <w:rFonts w:ascii="Arial" w:cs="Arial" w:eastAsia="Arial" w:hAnsi="Arial"/>
                <w:sz w:val="17"/>
                <w:szCs w:val="17"/>
                <w:b w:val="1"/>
                <w:bCs w:val="1"/>
                <w:color w:val="444867"/>
              </w:rPr>
              <w:t>Plan Name</w:t>
            </w:r>
          </w:p>
        </w:tc>
        <w:tc>
          <w:tcPr>
            <w:tcW w:w="1260" w:type="dxa"/>
            <w:vAlign w:val="bottom"/>
            <w:tcBorders>
              <w:bottom w:val="single" w:sz="8" w:color="auto"/>
            </w:tcBorders>
          </w:tcPr>
          <w:p>
            <w:pPr>
              <w:jc w:val="right"/>
              <w:ind w:right="55"/>
              <w:spacing w:after="0"/>
              <w:rPr>
                <w:sz w:val="20"/>
                <w:szCs w:val="20"/>
                <w:color w:val="auto"/>
              </w:rPr>
            </w:pPr>
            <w:r>
              <w:rPr>
                <w:rFonts w:ascii="Arial" w:cs="Arial" w:eastAsia="Arial" w:hAnsi="Arial"/>
                <w:sz w:val="17"/>
                <w:szCs w:val="17"/>
                <w:b w:val="1"/>
                <w:bCs w:val="1"/>
                <w:color w:val="444867"/>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w:t>
            </w:r>
          </w:p>
        </w:tc>
        <w:tc>
          <w:tcPr>
            <w:tcW w:w="94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444867"/>
              </w:rPr>
              <w:t>($)(3)</w:t>
            </w:r>
          </w:p>
        </w:tc>
        <w:tc>
          <w:tcPr>
            <w:tcW w:w="108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b w:val="1"/>
                <w:bCs w:val="1"/>
                <w:color w:val="444867"/>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($)(4)</w:t>
            </w:r>
          </w:p>
        </w:tc>
      </w:tr>
      <w:tr>
        <w:trPr>
          <w:trHeight w:val="231"/>
        </w:trPr>
        <w:tc>
          <w:tcPr>
            <w:tcW w:w="960" w:type="dxa"/>
            <w:vAlign w:val="bottom"/>
            <w:shd w:val="clear" w:color="auto" w:fill="E7E7E8"/>
          </w:tcPr>
          <w:p>
            <w:pPr>
              <w:spacing w:after="0"/>
              <w:rPr>
                <w:sz w:val="20"/>
                <w:szCs w:val="20"/>
                <w:color w:val="auto"/>
              </w:rPr>
            </w:pPr>
          </w:p>
        </w:tc>
        <w:tc>
          <w:tcPr>
            <w:tcW w:w="2640" w:type="dxa"/>
            <w:vAlign w:val="bottom"/>
            <w:gridSpan w:val="2"/>
            <w:shd w:val="clear" w:color="auto" w:fill="E7E7E8"/>
          </w:tcPr>
          <w:p>
            <w:pPr>
              <w:ind w:left="240"/>
              <w:spacing w:after="0" w:line="231" w:lineRule="exact"/>
              <w:rPr>
                <w:sz w:val="20"/>
                <w:szCs w:val="20"/>
                <w:color w:val="auto"/>
              </w:rPr>
            </w:pPr>
            <w:r>
              <w:rPr>
                <w:rFonts w:ascii="Arial" w:cs="Arial" w:eastAsia="Arial" w:hAnsi="Arial"/>
                <w:sz w:val="16"/>
                <w:szCs w:val="16"/>
                <w:color w:val="auto"/>
              </w:rPr>
              <w:t>Deferred Compensation Plan</w:t>
            </w:r>
            <w:r>
              <w:rPr>
                <w:rFonts w:ascii="Arial" w:cs="Arial" w:eastAsia="Arial" w:hAnsi="Arial"/>
                <w:sz w:val="26"/>
                <w:szCs w:val="26"/>
                <w:color w:val="auto"/>
                <w:vertAlign w:val="superscript"/>
              </w:rPr>
              <w:t>(1)</w:t>
            </w:r>
          </w:p>
        </w:tc>
        <w:tc>
          <w:tcPr>
            <w:tcW w:w="1260" w:type="dxa"/>
            <w:vAlign w:val="bottom"/>
            <w:shd w:val="clear" w:color="auto" w:fill="E7E7E8"/>
          </w:tcPr>
          <w:p>
            <w:pPr>
              <w:spacing w:after="0"/>
              <w:rPr>
                <w:sz w:val="20"/>
                <w:szCs w:val="20"/>
                <w:color w:val="auto"/>
              </w:rPr>
            </w:pPr>
          </w:p>
        </w:tc>
        <w:tc>
          <w:tcPr>
            <w:tcW w:w="1080" w:type="dxa"/>
            <w:vAlign w:val="bottom"/>
            <w:shd w:val="clear" w:color="auto" w:fill="E7E7E8"/>
          </w:tcPr>
          <w:p>
            <w:pPr>
              <w:spacing w:after="0"/>
              <w:rPr>
                <w:sz w:val="20"/>
                <w:szCs w:val="20"/>
                <w:color w:val="auto"/>
              </w:rPr>
            </w:pPr>
          </w:p>
        </w:tc>
        <w:tc>
          <w:tcPr>
            <w:tcW w:w="940" w:type="dxa"/>
            <w:vAlign w:val="bottom"/>
            <w:shd w:val="clear" w:color="auto" w:fill="E7E7E8"/>
          </w:tcPr>
          <w:p>
            <w:pPr>
              <w:spacing w:after="0"/>
              <w:rPr>
                <w:sz w:val="20"/>
                <w:szCs w:val="20"/>
                <w:color w:val="auto"/>
              </w:rPr>
            </w:pPr>
          </w:p>
        </w:tc>
        <w:tc>
          <w:tcPr>
            <w:tcW w:w="1080" w:type="dxa"/>
            <w:vAlign w:val="bottom"/>
            <w:shd w:val="clear" w:color="auto" w:fill="E7E7E8"/>
          </w:tcPr>
          <w:p>
            <w:pPr>
              <w:spacing w:after="0"/>
              <w:rPr>
                <w:sz w:val="20"/>
                <w:szCs w:val="20"/>
                <w:color w:val="auto"/>
              </w:rPr>
            </w:pPr>
          </w:p>
        </w:tc>
        <w:tc>
          <w:tcPr>
            <w:tcW w:w="800" w:type="dxa"/>
            <w:vAlign w:val="bottom"/>
            <w:shd w:val="clear" w:color="auto" w:fill="E7E7E8"/>
          </w:tcPr>
          <w:p>
            <w:pPr>
              <w:spacing w:after="0"/>
              <w:rPr>
                <w:sz w:val="20"/>
                <w:szCs w:val="20"/>
                <w:color w:val="auto"/>
              </w:rPr>
            </w:pPr>
          </w:p>
        </w:tc>
      </w:tr>
      <w:tr>
        <w:trPr>
          <w:trHeight w:val="193"/>
        </w:trPr>
        <w:tc>
          <w:tcPr>
            <w:tcW w:w="960" w:type="dxa"/>
            <w:vAlign w:val="bottom"/>
            <w:shd w:val="clear" w:color="auto" w:fill="E7E7E8"/>
          </w:tcPr>
          <w:p>
            <w:pPr>
              <w:spacing w:after="0" w:line="194" w:lineRule="exact"/>
              <w:rPr>
                <w:sz w:val="20"/>
                <w:szCs w:val="20"/>
                <w:color w:val="auto"/>
              </w:rPr>
            </w:pPr>
            <w:r>
              <w:rPr>
                <w:rFonts w:ascii="Arial" w:cs="Arial" w:eastAsia="Arial" w:hAnsi="Arial"/>
                <w:sz w:val="17"/>
                <w:szCs w:val="17"/>
                <w:color w:val="auto"/>
              </w:rPr>
              <w:t>W. Chase</w:t>
            </w:r>
          </w:p>
        </w:tc>
        <w:tc>
          <w:tcPr>
            <w:tcW w:w="1040" w:type="dxa"/>
            <w:vAlign w:val="bottom"/>
            <w:shd w:val="clear" w:color="auto" w:fill="E7E7E8"/>
          </w:tcPr>
          <w:p>
            <w:pPr>
              <w:ind w:left="240"/>
              <w:spacing w:after="0"/>
              <w:rPr>
                <w:sz w:val="20"/>
                <w:szCs w:val="20"/>
                <w:color w:val="auto"/>
              </w:rPr>
            </w:pPr>
            <w:r>
              <w:rPr>
                <w:rFonts w:ascii="Arial" w:cs="Arial" w:eastAsia="Arial" w:hAnsi="Arial"/>
                <w:sz w:val="14"/>
                <w:szCs w:val="14"/>
                <w:color w:val="auto"/>
              </w:rPr>
              <w:t>(2)</w:t>
            </w:r>
          </w:p>
        </w:tc>
        <w:tc>
          <w:tcPr>
            <w:tcW w:w="1600" w:type="dxa"/>
            <w:vAlign w:val="bottom"/>
            <w:shd w:val="clear" w:color="auto" w:fill="E7E7E8"/>
          </w:tcPr>
          <w:p>
            <w:pPr>
              <w:spacing w:after="0"/>
              <w:rPr>
                <w:sz w:val="16"/>
                <w:szCs w:val="16"/>
                <w:color w:val="auto"/>
              </w:rPr>
            </w:pPr>
          </w:p>
        </w:tc>
        <w:tc>
          <w:tcPr>
            <w:tcW w:w="1260" w:type="dxa"/>
            <w:vAlign w:val="bottom"/>
            <w:shd w:val="clear" w:color="auto" w:fill="E7E7E8"/>
          </w:tcPr>
          <w:p>
            <w:pPr>
              <w:jc w:val="right"/>
              <w:ind w:right="55"/>
              <w:spacing w:after="0" w:line="194" w:lineRule="exact"/>
              <w:rPr>
                <w:sz w:val="20"/>
                <w:szCs w:val="20"/>
                <w:color w:val="auto"/>
              </w:rPr>
            </w:pPr>
            <w:r>
              <w:rPr>
                <w:rFonts w:ascii="Arial" w:cs="Arial" w:eastAsia="Arial" w:hAnsi="Arial"/>
                <w:sz w:val="17"/>
                <w:szCs w:val="17"/>
                <w:color w:val="auto"/>
              </w:rPr>
              <w:t>$0</w:t>
            </w:r>
          </w:p>
        </w:tc>
        <w:tc>
          <w:tcPr>
            <w:tcW w:w="1080" w:type="dxa"/>
            <w:vAlign w:val="bottom"/>
            <w:shd w:val="clear" w:color="auto" w:fill="E7E7E8"/>
          </w:tcPr>
          <w:p>
            <w:pPr>
              <w:jc w:val="right"/>
              <w:spacing w:after="0" w:line="194" w:lineRule="exact"/>
              <w:rPr>
                <w:sz w:val="20"/>
                <w:szCs w:val="20"/>
                <w:color w:val="auto"/>
              </w:rPr>
            </w:pPr>
            <w:r>
              <w:rPr>
                <w:rFonts w:ascii="Arial" w:cs="Arial" w:eastAsia="Arial" w:hAnsi="Arial"/>
                <w:sz w:val="17"/>
                <w:szCs w:val="17"/>
                <w:color w:val="auto"/>
              </w:rPr>
              <w:t>$0</w:t>
            </w:r>
          </w:p>
        </w:tc>
        <w:tc>
          <w:tcPr>
            <w:tcW w:w="940" w:type="dxa"/>
            <w:vAlign w:val="bottom"/>
            <w:shd w:val="clear" w:color="auto" w:fill="E7E7E8"/>
          </w:tcPr>
          <w:p>
            <w:pPr>
              <w:jc w:val="right"/>
              <w:ind w:right="35"/>
              <w:spacing w:after="0" w:line="194" w:lineRule="exact"/>
              <w:rPr>
                <w:sz w:val="20"/>
                <w:szCs w:val="20"/>
                <w:color w:val="auto"/>
              </w:rPr>
            </w:pPr>
            <w:r>
              <w:rPr>
                <w:rFonts w:ascii="Arial" w:cs="Arial" w:eastAsia="Arial" w:hAnsi="Arial"/>
                <w:sz w:val="17"/>
                <w:szCs w:val="17"/>
                <w:color w:val="auto"/>
              </w:rPr>
              <w:t>$758</w:t>
            </w:r>
          </w:p>
        </w:tc>
        <w:tc>
          <w:tcPr>
            <w:tcW w:w="1080" w:type="dxa"/>
            <w:vAlign w:val="bottom"/>
            <w:shd w:val="clear" w:color="auto" w:fill="E7E7E8"/>
          </w:tcPr>
          <w:p>
            <w:pPr>
              <w:jc w:val="right"/>
              <w:ind w:right="35"/>
              <w:spacing w:after="0" w:line="194" w:lineRule="exact"/>
              <w:rPr>
                <w:sz w:val="20"/>
                <w:szCs w:val="20"/>
                <w:color w:val="auto"/>
              </w:rPr>
            </w:pPr>
            <w:r>
              <w:rPr>
                <w:rFonts w:ascii="Arial" w:cs="Arial" w:eastAsia="Arial" w:hAnsi="Arial"/>
                <w:sz w:val="17"/>
                <w:szCs w:val="17"/>
                <w:color w:val="auto"/>
              </w:rPr>
              <w:t>$0</w:t>
            </w:r>
          </w:p>
        </w:tc>
        <w:tc>
          <w:tcPr>
            <w:tcW w:w="800" w:type="dxa"/>
            <w:vAlign w:val="bottom"/>
            <w:shd w:val="clear" w:color="auto" w:fill="E7E7E8"/>
          </w:tcPr>
          <w:p>
            <w:pPr>
              <w:jc w:val="right"/>
              <w:spacing w:after="0" w:line="194" w:lineRule="exact"/>
              <w:rPr>
                <w:sz w:val="20"/>
                <w:szCs w:val="20"/>
                <w:color w:val="auto"/>
              </w:rPr>
            </w:pPr>
            <w:r>
              <w:rPr>
                <w:rFonts w:ascii="Arial" w:cs="Arial" w:eastAsia="Arial" w:hAnsi="Arial"/>
                <w:sz w:val="17"/>
                <w:szCs w:val="17"/>
                <w:color w:val="auto"/>
              </w:rPr>
              <w:t>$71,939</w:t>
            </w:r>
          </w:p>
        </w:tc>
      </w:tr>
      <w:tr>
        <w:trPr>
          <w:trHeight w:val="238"/>
        </w:trPr>
        <w:tc>
          <w:tcPr>
            <w:tcW w:w="960" w:type="dxa"/>
            <w:vAlign w:val="bottom"/>
          </w:tcPr>
          <w:p>
            <w:pPr>
              <w:spacing w:after="0"/>
              <w:rPr>
                <w:sz w:val="20"/>
                <w:szCs w:val="20"/>
                <w:color w:val="auto"/>
              </w:rPr>
            </w:pPr>
          </w:p>
        </w:tc>
        <w:tc>
          <w:tcPr>
            <w:tcW w:w="2640" w:type="dxa"/>
            <w:vAlign w:val="bottom"/>
            <w:gridSpan w:val="2"/>
          </w:tcPr>
          <w:p>
            <w:pPr>
              <w:ind w:left="240"/>
              <w:spacing w:after="0" w:line="237" w:lineRule="exact"/>
              <w:rPr>
                <w:sz w:val="20"/>
                <w:szCs w:val="20"/>
                <w:color w:val="auto"/>
              </w:rPr>
            </w:pPr>
            <w:r>
              <w:rPr>
                <w:rFonts w:ascii="Arial" w:cs="Arial" w:eastAsia="Arial" w:hAnsi="Arial"/>
                <w:sz w:val="16"/>
                <w:szCs w:val="16"/>
                <w:color w:val="auto"/>
              </w:rPr>
              <w:t>Deferred Compensation Plan</w:t>
            </w:r>
            <w:r>
              <w:rPr>
                <w:rFonts w:ascii="Arial" w:cs="Arial" w:eastAsia="Arial" w:hAnsi="Arial"/>
                <w:sz w:val="27"/>
                <w:szCs w:val="27"/>
                <w:color w:val="auto"/>
                <w:vertAlign w:val="superscript"/>
              </w:rPr>
              <w:t>(1)</w:t>
            </w:r>
          </w:p>
        </w:tc>
        <w:tc>
          <w:tcPr>
            <w:tcW w:w="12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spacing w:after="0"/>
              <w:rPr>
                <w:sz w:val="20"/>
                <w:szCs w:val="20"/>
                <w:color w:val="auto"/>
              </w:rPr>
            </w:pPr>
          </w:p>
        </w:tc>
      </w:tr>
      <w:tr>
        <w:trPr>
          <w:trHeight w:val="298"/>
        </w:trPr>
        <w:tc>
          <w:tcPr>
            <w:tcW w:w="2000" w:type="dxa"/>
            <w:vAlign w:val="bottom"/>
            <w:tcBorders>
              <w:bottom w:val="single" w:sz="8" w:color="auto"/>
            </w:tcBorders>
            <w:gridSpan w:val="2"/>
          </w:tcPr>
          <w:p>
            <w:pPr>
              <w:spacing w:after="0" w:line="298" w:lineRule="exact"/>
              <w:rPr>
                <w:sz w:val="20"/>
                <w:szCs w:val="20"/>
                <w:color w:val="auto"/>
              </w:rPr>
            </w:pPr>
            <w:r>
              <w:rPr>
                <w:rFonts w:ascii="Arial" w:cs="Arial" w:eastAsia="Arial" w:hAnsi="Arial"/>
                <w:sz w:val="17"/>
                <w:szCs w:val="17"/>
                <w:color w:val="auto"/>
              </w:rPr>
              <w:t xml:space="preserve">L. Schumacher </w:t>
            </w:r>
            <w:r>
              <w:rPr>
                <w:rFonts w:ascii="Arial" w:cs="Arial" w:eastAsia="Arial" w:hAnsi="Arial"/>
                <w:sz w:val="28"/>
                <w:szCs w:val="28"/>
                <w:color w:val="auto"/>
                <w:vertAlign w:val="superscript"/>
              </w:rPr>
              <w:t>(2)</w:t>
            </w:r>
          </w:p>
        </w:tc>
        <w:tc>
          <w:tcPr>
            <w:tcW w:w="1600" w:type="dxa"/>
            <w:vAlign w:val="bottom"/>
          </w:tcPr>
          <w:p>
            <w:pPr>
              <w:spacing w:after="0"/>
              <w:rPr>
                <w:sz w:val="24"/>
                <w:szCs w:val="24"/>
                <w:color w:val="auto"/>
              </w:rPr>
            </w:pPr>
          </w:p>
        </w:tc>
        <w:tc>
          <w:tcPr>
            <w:tcW w:w="1260" w:type="dxa"/>
            <w:vAlign w:val="bottom"/>
          </w:tcPr>
          <w:p>
            <w:pPr>
              <w:jc w:val="right"/>
              <w:ind w:right="55"/>
              <w:spacing w:after="0"/>
              <w:rPr>
                <w:sz w:val="20"/>
                <w:szCs w:val="20"/>
                <w:color w:val="auto"/>
              </w:rPr>
            </w:pPr>
            <w:r>
              <w:rPr>
                <w:rFonts w:ascii="Arial" w:cs="Arial" w:eastAsia="Arial" w:hAnsi="Arial"/>
                <w:sz w:val="17"/>
                <w:szCs w:val="17"/>
                <w:color w:val="auto"/>
              </w:rPr>
              <w:t>0</w:t>
            </w:r>
          </w:p>
        </w:tc>
        <w:tc>
          <w:tcPr>
            <w:tcW w:w="1080" w:type="dxa"/>
            <w:vAlign w:val="bottom"/>
          </w:tcPr>
          <w:p>
            <w:pPr>
              <w:jc w:val="right"/>
              <w:spacing w:after="0"/>
              <w:rPr>
                <w:sz w:val="20"/>
                <w:szCs w:val="20"/>
                <w:color w:val="auto"/>
              </w:rPr>
            </w:pPr>
            <w:r>
              <w:rPr>
                <w:rFonts w:ascii="Arial" w:cs="Arial" w:eastAsia="Arial" w:hAnsi="Arial"/>
                <w:sz w:val="17"/>
                <w:szCs w:val="17"/>
                <w:color w:val="auto"/>
              </w:rPr>
              <w:t>0</w:t>
            </w:r>
          </w:p>
        </w:tc>
        <w:tc>
          <w:tcPr>
            <w:tcW w:w="940" w:type="dxa"/>
            <w:vAlign w:val="bottom"/>
          </w:tcPr>
          <w:p>
            <w:pPr>
              <w:jc w:val="right"/>
              <w:ind w:right="35"/>
              <w:spacing w:after="0"/>
              <w:rPr>
                <w:sz w:val="20"/>
                <w:szCs w:val="20"/>
                <w:color w:val="auto"/>
              </w:rPr>
            </w:pPr>
            <w:r>
              <w:rPr>
                <w:rFonts w:ascii="Arial" w:cs="Arial" w:eastAsia="Arial" w:hAnsi="Arial"/>
                <w:sz w:val="17"/>
                <w:szCs w:val="17"/>
                <w:color w:val="auto"/>
              </w:rPr>
              <w:t>233</w:t>
            </w:r>
          </w:p>
        </w:tc>
        <w:tc>
          <w:tcPr>
            <w:tcW w:w="1080" w:type="dxa"/>
            <w:vAlign w:val="bottom"/>
          </w:tcPr>
          <w:p>
            <w:pPr>
              <w:jc w:val="right"/>
              <w:ind w:right="35"/>
              <w:spacing w:after="0"/>
              <w:rPr>
                <w:sz w:val="20"/>
                <w:szCs w:val="20"/>
                <w:color w:val="auto"/>
              </w:rPr>
            </w:pPr>
            <w:r>
              <w:rPr>
                <w:rFonts w:ascii="Arial" w:cs="Arial" w:eastAsia="Arial" w:hAnsi="Arial"/>
                <w:sz w:val="17"/>
                <w:szCs w:val="17"/>
                <w:color w:val="auto"/>
              </w:rPr>
              <w:t>0</w:t>
            </w:r>
          </w:p>
        </w:tc>
        <w:tc>
          <w:tcPr>
            <w:tcW w:w="800" w:type="dxa"/>
            <w:vAlign w:val="bottom"/>
          </w:tcPr>
          <w:p>
            <w:pPr>
              <w:jc w:val="right"/>
              <w:spacing w:after="0"/>
              <w:rPr>
                <w:sz w:val="20"/>
                <w:szCs w:val="20"/>
                <w:color w:val="auto"/>
              </w:rPr>
            </w:pPr>
            <w:r>
              <w:rPr>
                <w:rFonts w:ascii="Arial" w:cs="Arial" w:eastAsia="Arial" w:hAnsi="Arial"/>
                <w:sz w:val="17"/>
                <w:szCs w:val="17"/>
                <w:color w:val="auto"/>
              </w:rPr>
              <w:t>383,843</w:t>
            </w:r>
          </w:p>
        </w:tc>
      </w:tr>
    </w:tbl>
    <w:p>
      <w:pPr>
        <w:spacing w:after="0" w:line="212" w:lineRule="exact"/>
        <w:rPr>
          <w:sz w:val="20"/>
          <w:szCs w:val="20"/>
          <w:color w:val="auto"/>
        </w:rPr>
      </w:pPr>
    </w:p>
    <w:p>
      <w:pPr>
        <w:ind w:left="1900" w:hanging="525"/>
        <w:spacing w:after="0"/>
        <w:tabs>
          <w:tab w:leader="none" w:pos="1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Mr. Chase's and Ms. Schumacher's contributions to the Deferred Compensation Plan ceased in 2007 and 2002, respectively.</w:t>
      </w:r>
    </w:p>
    <w:p>
      <w:pPr>
        <w:spacing w:after="0" w:line="209" w:lineRule="exact"/>
        <w:rPr>
          <w:rFonts w:ascii="Arial" w:cs="Arial" w:eastAsia="Arial" w:hAnsi="Arial"/>
          <w:sz w:val="17"/>
          <w:szCs w:val="17"/>
          <w:color w:val="auto"/>
        </w:rPr>
      </w:pPr>
    </w:p>
    <w:p>
      <w:pPr>
        <w:ind w:left="1900" w:right="60" w:hanging="525"/>
        <w:spacing w:after="0" w:line="242" w:lineRule="auto"/>
        <w:tabs>
          <w:tab w:leader="none" w:pos="1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plan permits participants to defer up to 75% of their base salary and up to 75% of their annual cash incentives and credits a participant's account with an amount equal to the employer matching contributions that otherwise would have been made for the participant under AbbVie's tax-qualified defined contribution plan. Participants may direct the investment of their deferral accounts into one or more of several funds chosen by the administrator, and the deferral account is credited with investment returns based on the performance of the fund(s) selected. During 2015, the weighted average rate of return credited to the accounts was 1.1% for Mr. Chase and 0.1% for Ms. Schumacher.</w:t>
      </w:r>
    </w:p>
    <w:p>
      <w:pPr>
        <w:spacing w:after="0" w:line="202" w:lineRule="exact"/>
        <w:rPr>
          <w:rFonts w:ascii="Arial" w:cs="Arial" w:eastAsia="Arial" w:hAnsi="Arial"/>
          <w:sz w:val="17"/>
          <w:szCs w:val="17"/>
          <w:color w:val="auto"/>
        </w:rPr>
      </w:pPr>
    </w:p>
    <w:p>
      <w:pPr>
        <w:ind w:left="1900"/>
        <w:spacing w:after="0"/>
        <w:rPr>
          <w:rFonts w:ascii="Arial" w:cs="Arial" w:eastAsia="Arial" w:hAnsi="Arial"/>
          <w:sz w:val="17"/>
          <w:szCs w:val="17"/>
          <w:color w:val="auto"/>
        </w:rPr>
      </w:pPr>
      <w:r>
        <w:rPr>
          <w:rFonts w:ascii="Arial" w:cs="Arial" w:eastAsia="Arial" w:hAnsi="Arial"/>
          <w:sz w:val="17"/>
          <w:szCs w:val="17"/>
          <w:color w:val="auto"/>
        </w:rPr>
        <w:t>The plan provides for cash distributions in either a lump sum or installments after separation from service and permits in-service withdrawals in accordance with specific procedures. Participants make distribution elections each year that apply to the deferrals to be made in the following calendar year, in accordance with the requirements of Internal Revenue Code</w:t>
      </w:r>
    </w:p>
    <w:p>
      <w:pPr>
        <w:spacing w:after="0" w:line="1" w:lineRule="exact"/>
        <w:rPr>
          <w:rFonts w:ascii="Arial" w:cs="Arial" w:eastAsia="Arial" w:hAnsi="Arial"/>
          <w:sz w:val="17"/>
          <w:szCs w:val="17"/>
          <w:color w:val="auto"/>
        </w:rPr>
      </w:pPr>
    </w:p>
    <w:p>
      <w:pPr>
        <w:ind w:left="1900" w:right="40"/>
        <w:spacing w:after="0" w:line="250" w:lineRule="auto"/>
        <w:rPr>
          <w:rFonts w:ascii="Arial" w:cs="Arial" w:eastAsia="Arial" w:hAnsi="Arial"/>
          <w:sz w:val="17"/>
          <w:szCs w:val="17"/>
          <w:color w:val="auto"/>
        </w:rPr>
      </w:pPr>
      <w:r>
        <w:rPr>
          <w:rFonts w:ascii="Arial" w:cs="Arial" w:eastAsia="Arial" w:hAnsi="Arial"/>
          <w:sz w:val="17"/>
          <w:szCs w:val="17"/>
          <w:color w:val="auto"/>
        </w:rPr>
        <w:t>Section 409A. Participants may request withdrawals due to financial hardship; if a hardship withdrawal is approved, it is limited to the amount needed to address the hardship.</w:t>
      </w:r>
    </w:p>
    <w:p>
      <w:pPr>
        <w:spacing w:after="0" w:line="193" w:lineRule="exact"/>
        <w:rPr>
          <w:rFonts w:ascii="Arial" w:cs="Arial" w:eastAsia="Arial" w:hAnsi="Arial"/>
          <w:sz w:val="17"/>
          <w:szCs w:val="17"/>
          <w:color w:val="auto"/>
        </w:rPr>
      </w:pPr>
    </w:p>
    <w:p>
      <w:pPr>
        <w:ind w:left="1900" w:hanging="525"/>
        <w:spacing w:after="0"/>
        <w:tabs>
          <w:tab w:leader="none" w:pos="1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amounts reported in this column are not included in the Summary Compensation Table of this proxy statement.</w:t>
      </w:r>
    </w:p>
    <w:p>
      <w:pPr>
        <w:spacing w:after="0" w:line="196" w:lineRule="exact"/>
        <w:rPr>
          <w:rFonts w:ascii="Arial" w:cs="Arial" w:eastAsia="Arial" w:hAnsi="Arial"/>
          <w:sz w:val="17"/>
          <w:szCs w:val="17"/>
          <w:color w:val="auto"/>
        </w:rPr>
      </w:pPr>
    </w:p>
    <w:p>
      <w:pPr>
        <w:ind w:left="1900" w:right="20" w:hanging="525"/>
        <w:spacing w:after="0" w:line="250" w:lineRule="auto"/>
        <w:tabs>
          <w:tab w:leader="none" w:pos="1900" w:val="left"/>
        </w:tabs>
        <w:numPr>
          <w:ilvl w:val="0"/>
          <w:numId w:val="48"/>
        </w:numPr>
        <w:rPr>
          <w:rFonts w:ascii="Arial" w:cs="Arial" w:eastAsia="Arial" w:hAnsi="Arial"/>
          <w:sz w:val="17"/>
          <w:szCs w:val="17"/>
          <w:color w:val="auto"/>
        </w:rPr>
      </w:pPr>
      <w:r>
        <w:rPr>
          <w:rFonts w:ascii="Arial" w:cs="Arial" w:eastAsia="Arial" w:hAnsi="Arial"/>
          <w:sz w:val="17"/>
          <w:szCs w:val="17"/>
          <w:color w:val="auto"/>
        </w:rPr>
        <w:t>The amounts reported in this column have not been previously reported as compensation in AbbVie's Summary Compensation Tables because they relate to contributions made before the applicable individual became an NEO.</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Potential Payments upon Termination—Generally</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AbbVie does not have employment agreements with its NEOs.</w:t>
      </w:r>
    </w:p>
    <w:p>
      <w:pPr>
        <w:spacing w:after="0" w:line="210" w:lineRule="exact"/>
        <w:rPr>
          <w:sz w:val="20"/>
          <w:szCs w:val="20"/>
          <w:color w:val="auto"/>
        </w:rPr>
      </w:pPr>
    </w:p>
    <w:p>
      <w:pPr>
        <w:ind w:firstLine="657"/>
        <w:spacing w:after="0" w:line="242" w:lineRule="auto"/>
        <w:rPr>
          <w:sz w:val="20"/>
          <w:szCs w:val="20"/>
          <w:color w:val="auto"/>
        </w:rPr>
      </w:pPr>
      <w:r>
        <w:rPr>
          <w:rFonts w:ascii="Arial" w:cs="Arial" w:eastAsia="Arial" w:hAnsi="Arial"/>
          <w:sz w:val="17"/>
          <w:szCs w:val="17"/>
          <w:color w:val="auto"/>
        </w:rPr>
        <w:t>The following summarizes the payments that the NEOs would have received if their employment had terminated on December 31, 2015. Earnings would have continued to be paid for the NEO's Performance Incentive Plan and Supplemental Savings Plan grantor trusts until the trust assets were fully distributed. The amount of these payments would depend on the period over which the trust assets were distributed and the trust earnings and fees. If the trust assets were distributed over a 10-year period and based on current earnings, the NEOs would receive the following average annual payments over such 10-year period: Mr. Gonzalez, $942,637; Mr. Chase, $615,169; Ms. Schumacher, $543,691; and Mr. Alban, $461,264. In addition, the following one-time deposits would have been made under the AbbVie Supplemental Pension Plan for each of the following NEOs, respectively: Mr. Gonzalez, $1,442,189; Mr. Chase, $556,373; Ms. Schumacher, $786,268; and Mr. Alban, $1,191,408. As of December 31, 2015, Mr. Gonzalez, Ms. Schumacher and Mr. Alban were eligible to retire, and therefore were eligible to receive the pension benefits described above.</w:t>
      </w:r>
    </w:p>
    <w:p>
      <w:pPr>
        <w:spacing w:after="0" w:line="200" w:lineRule="exact"/>
        <w:rPr>
          <w:sz w:val="20"/>
          <w:szCs w:val="20"/>
          <w:color w:val="auto"/>
        </w:rPr>
      </w:pPr>
    </w:p>
    <w:p>
      <w:pPr>
        <w:ind w:right="40" w:firstLine="661"/>
        <w:spacing w:after="0" w:line="250" w:lineRule="auto"/>
        <w:rPr>
          <w:sz w:val="20"/>
          <w:szCs w:val="20"/>
          <w:color w:val="auto"/>
        </w:rPr>
      </w:pPr>
      <w:r>
        <w:rPr>
          <w:rFonts w:ascii="Arial" w:cs="Arial" w:eastAsia="Arial" w:hAnsi="Arial"/>
          <w:sz w:val="17"/>
          <w:szCs w:val="17"/>
          <w:color w:val="auto"/>
        </w:rPr>
        <w:t>If the termination of employment had been due to disability, then the NEOs also would have received, in addition to AbbVie's standard disability benefits, a monthly long-term disability benefit in the amount of $148,800 for</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52  </w:t>
      </w:r>
      <w:r>
        <w:rPr>
          <w:sz w:val="1"/>
          <w:szCs w:val="1"/>
          <w:color w:val="auto"/>
        </w:rPr>
        <w:drawing>
          <wp:inline distT="0" distB="0" distL="0" distR="0">
            <wp:extent cx="622300" cy="107950"/>
            <wp:effectExtent l="0" t="0" r="0" b="0"/>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195"/>
        </w:trPr>
        <w:tc>
          <w:tcPr>
            <w:tcW w:w="9680" w:type="dxa"/>
            <w:vAlign w:val="bottom"/>
            <w:gridSpan w:val="2"/>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Table of Contents</w:t>
              </w:r>
            </w:hyperlink>
          </w:p>
        </w:tc>
        <w:tc>
          <w:tcPr>
            <w:tcW w:w="1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320" w:type="dxa"/>
            <w:vAlign w:val="bottom"/>
            <w:shd w:val="clear" w:color="auto" w:fill="0000EE"/>
          </w:tcPr>
          <w:p>
            <w:pPr>
              <w:spacing w:after="0" w:line="20" w:lineRule="exact"/>
              <w:rPr>
                <w:sz w:val="1"/>
                <w:szCs w:val="1"/>
                <w:color w:val="auto"/>
              </w:rPr>
            </w:pPr>
          </w:p>
        </w:tc>
        <w:tc>
          <w:tcPr>
            <w:tcW w:w="83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9680" w:type="dxa"/>
            <w:vAlign w:val="bottom"/>
            <w:gridSpan w:val="2"/>
            <w:vMerge w:val="restart"/>
          </w:tcPr>
          <w:p>
            <w:pPr>
              <w:spacing w:after="0"/>
              <w:rPr>
                <w:sz w:val="20"/>
                <w:szCs w:val="20"/>
                <w:color w:val="auto"/>
              </w:rPr>
            </w:pPr>
            <w:r>
              <w:rPr>
                <w:rFonts w:ascii="Arial" w:cs="Arial" w:eastAsia="Arial" w:hAnsi="Arial"/>
                <w:sz w:val="17"/>
                <w:szCs w:val="17"/>
                <w:color w:val="auto"/>
              </w:rPr>
              <w:t>Mr. Gonzalez; $67,915 for Mr. Chase; $67,915 for Ms. Schumacher; $60,000 for Mr. Alban; and $61,935 for Dr. Severino. This</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680" w:type="dxa"/>
            <w:vAlign w:val="bottom"/>
            <w:gridSpan w:val="2"/>
            <w:vMerge w:val="continue"/>
          </w:tcPr>
          <w:p>
            <w:pPr>
              <w:spacing w:after="0"/>
              <w:rPr>
                <w:sz w:val="17"/>
                <w:szCs w:val="17"/>
                <w:color w:val="auto"/>
              </w:rPr>
            </w:pPr>
          </w:p>
        </w:tc>
        <w:tc>
          <w:tcPr>
            <w:tcW w:w="1740" w:type="dxa"/>
            <w:vAlign w:val="bottom"/>
            <w:tcBorders>
              <w:bottom w:val="single" w:sz="8" w:color="444867"/>
            </w:tcBorders>
            <w:shd w:val="clear" w:color="auto" w:fill="444867"/>
          </w:tcPr>
          <w:p>
            <w:pPr>
              <w:ind w:left="60"/>
              <w:spacing w:after="0"/>
              <w:rPr>
                <w:sz w:val="20"/>
                <w:szCs w:val="20"/>
                <w:color w:val="auto"/>
              </w:rPr>
            </w:pPr>
            <w:r>
              <w:rPr>
                <w:rFonts w:ascii="Arial" w:cs="Arial" w:eastAsia="Arial" w:hAnsi="Arial"/>
                <w:sz w:val="10"/>
                <w:szCs w:val="10"/>
                <w:b w:val="1"/>
                <w:bCs w:val="1"/>
                <w:color w:val="FFFFFE"/>
              </w:rPr>
              <w:t>EXECUTIVE COMPENSATION</w:t>
            </w:r>
          </w:p>
        </w:tc>
        <w:tc>
          <w:tcPr>
            <w:tcW w:w="0" w:type="dxa"/>
            <w:vAlign w:val="bottom"/>
          </w:tcPr>
          <w:p>
            <w:pPr>
              <w:spacing w:after="0"/>
              <w:rPr>
                <w:sz w:val="1"/>
                <w:szCs w:val="1"/>
                <w:color w:val="auto"/>
              </w:rPr>
            </w:pPr>
          </w:p>
        </w:tc>
      </w:tr>
      <w:tr>
        <w:trPr>
          <w:trHeight w:val="173"/>
        </w:trPr>
        <w:tc>
          <w:tcPr>
            <w:tcW w:w="9680" w:type="dxa"/>
            <w:vAlign w:val="bottom"/>
            <w:gridSpan w:val="2"/>
          </w:tcPr>
          <w:p>
            <w:pPr>
              <w:spacing w:after="0" w:line="173" w:lineRule="exact"/>
              <w:rPr>
                <w:sz w:val="20"/>
                <w:szCs w:val="20"/>
                <w:color w:val="auto"/>
              </w:rPr>
            </w:pPr>
            <w:r>
              <w:rPr>
                <w:rFonts w:ascii="Arial" w:cs="Arial" w:eastAsia="Arial" w:hAnsi="Arial"/>
                <w:sz w:val="17"/>
                <w:szCs w:val="17"/>
                <w:color w:val="auto"/>
              </w:rPr>
              <w:t>long-term disability benefit would continue for up to 18 months following termination of employment. It ends if the NEO retires,</w:t>
            </w:r>
          </w:p>
        </w:tc>
        <w:tc>
          <w:tcPr>
            <w:tcW w:w="1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680" w:type="dxa"/>
            <w:vAlign w:val="bottom"/>
            <w:gridSpan w:val="2"/>
          </w:tcPr>
          <w:p>
            <w:pPr>
              <w:spacing w:after="0"/>
              <w:rPr>
                <w:sz w:val="20"/>
                <w:szCs w:val="20"/>
                <w:color w:val="auto"/>
              </w:rPr>
            </w:pPr>
            <w:r>
              <w:rPr>
                <w:rFonts w:ascii="Arial" w:cs="Arial" w:eastAsia="Arial" w:hAnsi="Arial"/>
                <w:sz w:val="17"/>
                <w:szCs w:val="17"/>
                <w:color w:val="auto"/>
              </w:rPr>
              <w:t>recovers, dies or ceases to meet eligibility criteria.</w:t>
            </w: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20" w:firstLine="661"/>
        <w:spacing w:after="0" w:line="250" w:lineRule="auto"/>
        <w:rPr>
          <w:sz w:val="20"/>
          <w:szCs w:val="20"/>
          <w:color w:val="auto"/>
        </w:rPr>
      </w:pPr>
      <w:r>
        <w:rPr>
          <w:rFonts w:ascii="Arial" w:cs="Arial" w:eastAsia="Arial" w:hAnsi="Arial"/>
          <w:sz w:val="17"/>
          <w:szCs w:val="17"/>
          <w:color w:val="auto"/>
        </w:rPr>
        <w:t>If the NEO's employment had terminated due to death or disability, his or her unvested stock options and restricted stock or unit awards would have vested on December 31, 2015 with values as set forth below in the subsection of this proxy statement captioned "Equity Awards."</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444867"/>
        </w:rPr>
        <w:t>Potential Payments upon Change in Control</w:t>
      </w:r>
    </w:p>
    <w:p>
      <w:pPr>
        <w:spacing w:after="0" w:line="230" w:lineRule="exact"/>
        <w:rPr>
          <w:sz w:val="20"/>
          <w:szCs w:val="20"/>
          <w:color w:val="auto"/>
        </w:rPr>
      </w:pPr>
    </w:p>
    <w:p>
      <w:pPr>
        <w:ind w:right="40" w:firstLine="651"/>
        <w:spacing w:after="0" w:line="243" w:lineRule="auto"/>
        <w:rPr>
          <w:sz w:val="20"/>
          <w:szCs w:val="20"/>
          <w:color w:val="auto"/>
        </w:rPr>
      </w:pPr>
      <w:r>
        <w:rPr>
          <w:rFonts w:ascii="Arial" w:cs="Arial" w:eastAsia="Arial" w:hAnsi="Arial"/>
          <w:sz w:val="17"/>
          <w:szCs w:val="17"/>
          <w:color w:val="auto"/>
        </w:rPr>
        <w:t>AbbVie has entered into change in control agreements with its NEOs. Each change in control agreement continues in effect until December 31, 2016, and can be renewed for successive two-year terms upon notice prior to the expiration date. If notice of non-renewal is given, the agreement will expire on the later of the scheduled expiration date and the one-year anniversary of the date of such notice. If no notice is given, the agreement will expire on the one-year anniversary of the scheduled expiration date. Each agreement also automatically extends for two years following any change in control (see below) that occurs while the agreement is in effect.</w:t>
      </w:r>
    </w:p>
    <w:p>
      <w:pPr>
        <w:spacing w:after="0" w:line="199" w:lineRule="exact"/>
        <w:rPr>
          <w:sz w:val="20"/>
          <w:szCs w:val="20"/>
          <w:color w:val="auto"/>
        </w:rPr>
      </w:pPr>
    </w:p>
    <w:p>
      <w:pPr>
        <w:ind w:firstLine="657"/>
        <w:spacing w:after="0" w:line="241" w:lineRule="auto"/>
        <w:rPr>
          <w:sz w:val="20"/>
          <w:szCs w:val="20"/>
          <w:color w:val="auto"/>
        </w:rPr>
      </w:pPr>
      <w:r>
        <w:rPr>
          <w:rFonts w:ascii="Arial" w:cs="Arial" w:eastAsia="Arial" w:hAnsi="Arial"/>
          <w:sz w:val="17"/>
          <w:szCs w:val="17"/>
          <w:color w:val="auto"/>
        </w:rPr>
        <w:t>The agreements provide that if the employee is terminated other than for cause or permanent disability or if the employee elects to terminate employment for good reason (see below) within two years following a change in control, he or she is entitled to receive a lump sum payment equal to three times his or her annual salary and annual incentive ("bonus") award (assuming for this purpose that all target performance goals have been achieved or, if higher, based on the average bonus for the last three years), plus any unpaid bonus owing for any completed performance period and the pro rata bonus for any current bonus period (based on the highest of the bonus assuming achievement of target performance, the average bonus for the past three years or, in the case of the unpaid bonus for any completed performance period, the actual bonus earned). If the employee is terminated other than for cause or permanent disability or if the employee elects to terminate employment for good reason during a potential change in control (see below), he or she is entitled to receive a lump sum payment of the annual salary and bonus payments described above, except that the amount of the bonus to which the employee is entitled will be based on the actual achievement of the applicable performance goals. If the potential change in control becomes a "change in control event" (within the meaning of Internal Revenue Code Section 409A), the employee will be entitled to receive the difference between the bonus amounts the officer received upon termination during the potential change in control and the bonus amounts that would have been received had such amounts instead been based on the higher of the employee's target bonus or the average bonus paid to the employee in the preceding three years.</w:t>
      </w:r>
    </w:p>
    <w:p>
      <w:pPr>
        <w:spacing w:after="0" w:line="205" w:lineRule="exact"/>
        <w:rPr>
          <w:sz w:val="20"/>
          <w:szCs w:val="20"/>
          <w:color w:val="auto"/>
        </w:rPr>
      </w:pPr>
    </w:p>
    <w:p>
      <w:pPr>
        <w:ind w:right="40" w:firstLine="661"/>
        <w:spacing w:after="0" w:line="242" w:lineRule="auto"/>
        <w:rPr>
          <w:sz w:val="20"/>
          <w:szCs w:val="20"/>
          <w:color w:val="auto"/>
        </w:rPr>
      </w:pPr>
      <w:r>
        <w:rPr>
          <w:rFonts w:ascii="Arial" w:cs="Arial" w:eastAsia="Arial" w:hAnsi="Arial"/>
          <w:sz w:val="17"/>
          <w:szCs w:val="17"/>
          <w:color w:val="auto"/>
        </w:rPr>
        <w:t>Bonus payments include payments made under the Performance Incentive Plan. The employee also will receive up to two years of additional employee benefits (including welfare benefits, outplacement services and tax and financial counseling) and the value of three more years of pension accruals. If change in control-related payments and benefits become subject to the excise tax imposed under Internal Revenue Code Section 4999, payments under the agreement will be reduced to prevent application of the excise tax if such a reduction would leave the employee in a better after-tax position than if the payments were not reduced and the tax applied. The agreements also limit the conduct for which awards under AbbVie's incentive stock programs can be terminated and generally permit options to remain exercisable for the remainder of their term. The compensation committee's independent compensation consultant has confirmed that the level of payments provided under the agreements is consistent with current market practice.</w:t>
      </w:r>
    </w:p>
    <w:p>
      <w:pPr>
        <w:spacing w:after="0" w:line="200" w:lineRule="exact"/>
        <w:rPr>
          <w:sz w:val="20"/>
          <w:szCs w:val="20"/>
          <w:color w:val="auto"/>
        </w:rPr>
      </w:pPr>
    </w:p>
    <w:p>
      <w:pPr>
        <w:ind w:right="60" w:firstLine="661"/>
        <w:spacing w:after="0" w:line="242" w:lineRule="auto"/>
        <w:rPr>
          <w:sz w:val="20"/>
          <w:szCs w:val="20"/>
          <w:color w:val="auto"/>
        </w:rPr>
      </w:pPr>
      <w:r>
        <w:rPr>
          <w:rFonts w:ascii="Arial" w:cs="Arial" w:eastAsia="Arial" w:hAnsi="Arial"/>
          <w:sz w:val="17"/>
          <w:szCs w:val="17"/>
          <w:color w:val="auto"/>
        </w:rPr>
        <w:t>For purposes of the agreements, the term "change in control" includes the following events: any person becoming the beneficial owner of AbbVie securities representing 20 percent or more of the outstanding voting power (not including an acquisition directly from AbbVie and its affiliates); a change in the majority of the members of the board of directors whose appointment was approved by a vote of at least two-thirds of the incumbent directors; and the consummation of certain mergers or similar corporate transactions involving AbbVie. A "potential change in control" under the agreements includes, among other things, AbbVie's entry into an agreement that would result in a change in control. Finally, the term "good reason" includes: a significant adverse change in the employee's position, duties, or authority; the company's failure to pay the employee's compensation or a reduction in the employee's base pay or benefits; or the relocation of the company's principal executive offices to a location that is more than 35 miles from the location of the offices at the time of the change in control.</w:t>
      </w:r>
    </w:p>
    <w:p>
      <w:pPr>
        <w:spacing w:after="0" w:line="208"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56" w:name="page57"/>
    <w:bookmarkEnd w:id="56"/>
    <w:p>
      <w:pPr>
        <w:spacing w:after="0" w:line="197" w:lineRule="auto"/>
        <w:framePr w:w="1540" w:h="95" w:wrap="auto" w:vAnchor="page" w:hAnchor="page" w:x="420" w:y="594"/>
        <w:rPr>
          <w:rFonts w:ascii="Arial" w:cs="Arial" w:eastAsia="Arial" w:hAnsi="Arial"/>
          <w:sz w:val="10"/>
          <w:szCs w:val="10"/>
          <w:b w:val="1"/>
          <w:bCs w:val="1"/>
          <w:color w:val="FFFFFE"/>
        </w:rPr>
      </w:pPr>
      <w:r>
        <w:rPr>
          <w:rFonts w:ascii="Arial" w:cs="Arial" w:eastAsia="Arial" w:hAnsi="Arial"/>
          <w:sz w:val="10"/>
          <w:szCs w:val="10"/>
          <w:b w:val="1"/>
          <w:bCs w:val="1"/>
          <w:color w:val="FFFFFE"/>
        </w:rPr>
        <w:t>EXECUTIVE COMPENSATION</w:t>
      </w: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103630" cy="14097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103630" cy="140970"/>
                    </a:xfrm>
                    <a:prstGeom prst="rect">
                      <a:avLst/>
                    </a:prstGeom>
                    <a:noFill/>
                  </pic:spPr>
                </pic:pic>
              </a:graphicData>
            </a:graphic>
          </wp:anchor>
        </w:drawing>
      </w:r>
    </w:p>
    <w:p>
      <w:pPr>
        <w:spacing w:after="0" w:line="190" w:lineRule="exact"/>
        <w:rPr>
          <w:rFonts w:ascii="Arial" w:cs="Arial" w:eastAsia="Arial" w:hAnsi="Arial"/>
          <w:sz w:val="10"/>
          <w:szCs w:val="10"/>
          <w:b w:val="1"/>
          <w:bCs w:val="1"/>
          <w:color w:val="FFFFFE"/>
        </w:rPr>
      </w:pPr>
    </w:p>
    <w:p>
      <w:pPr>
        <w:ind w:left="1740" w:right="60" w:firstLine="661"/>
        <w:spacing w:after="0" w:line="255" w:lineRule="auto"/>
        <w:rPr>
          <w:sz w:val="20"/>
          <w:szCs w:val="20"/>
          <w:color w:val="auto"/>
        </w:rPr>
      </w:pPr>
      <w:r>
        <w:rPr>
          <w:rFonts w:ascii="Arial" w:cs="Arial" w:eastAsia="Arial" w:hAnsi="Arial"/>
          <w:sz w:val="16"/>
          <w:szCs w:val="16"/>
          <w:color w:val="auto"/>
        </w:rPr>
        <w:t>If a change in control had occurred on December 31, 2015, immediately followed by one of the covered circumstances described above, Mr. Gonzalez, Mr. Chase, Ms. Schumacher, Mr. Alban, and Dr. Severino would have been entitled to receive</w:t>
      </w:r>
    </w:p>
    <w:p>
      <w:pPr>
        <w:spacing w:after="0" w:line="1"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color w:val="auto"/>
        </w:rPr>
        <w:t>the following payments and benefits under the change in control agreements:</w:t>
      </w:r>
    </w:p>
    <w:p>
      <w:pPr>
        <w:spacing w:after="0" w:line="210" w:lineRule="exact"/>
        <w:rPr>
          <w:rFonts w:ascii="Arial" w:cs="Arial" w:eastAsia="Arial" w:hAnsi="Arial"/>
          <w:sz w:val="10"/>
          <w:szCs w:val="10"/>
          <w:b w:val="1"/>
          <w:bCs w:val="1"/>
          <w:color w:val="FFFFFE"/>
        </w:rPr>
      </w:pPr>
    </w:p>
    <w:p>
      <w:pPr>
        <w:ind w:left="1040" w:hanging="513"/>
        <w:spacing w:after="0" w:line="250" w:lineRule="auto"/>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Mr. Gonzalez: cash termination payments—$14,100,000; additional Supplemental Pension Plan benefits—$3,648,753; welfare and fringe benefits—$75,783.</w:t>
      </w:r>
    </w:p>
    <w:p>
      <w:pPr>
        <w:spacing w:after="0" w:line="193" w:lineRule="exact"/>
        <w:rPr>
          <w:rFonts w:ascii="Arial" w:cs="Arial" w:eastAsia="Arial" w:hAnsi="Arial"/>
          <w:sz w:val="17"/>
          <w:szCs w:val="17"/>
          <w:color w:val="auto"/>
        </w:rPr>
      </w:pPr>
    </w:p>
    <w:p>
      <w:pPr>
        <w:ind w:left="1040" w:right="460" w:hanging="513"/>
        <w:spacing w:after="0" w:line="250" w:lineRule="auto"/>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Mr. Chase: cash termination payments—$6,948,900; additional Supplemental Pension Plan benefits—$783,375; welfare and fringe benefits—$76,518.</w:t>
      </w:r>
    </w:p>
    <w:p>
      <w:pPr>
        <w:spacing w:after="0" w:line="180" w:lineRule="exact"/>
        <w:rPr>
          <w:rFonts w:ascii="Arial" w:cs="Arial" w:eastAsia="Arial" w:hAnsi="Arial"/>
          <w:sz w:val="17"/>
          <w:szCs w:val="17"/>
          <w:color w:val="auto"/>
        </w:rPr>
      </w:pPr>
    </w:p>
    <w:p>
      <w:pPr>
        <w:ind w:left="1040" w:right="280" w:hanging="513"/>
        <w:spacing w:after="0" w:line="250" w:lineRule="auto"/>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Ms. Schumacher: cash termination payments—$6,948,900; additional Supplemental Pension Plan benefits—$3,471,334; welfare and fringe benefits—$61,885.</w:t>
      </w:r>
    </w:p>
    <w:p>
      <w:pPr>
        <w:spacing w:after="0" w:line="180" w:lineRule="exact"/>
        <w:rPr>
          <w:rFonts w:ascii="Arial" w:cs="Arial" w:eastAsia="Arial" w:hAnsi="Arial"/>
          <w:sz w:val="17"/>
          <w:szCs w:val="17"/>
          <w:color w:val="auto"/>
        </w:rPr>
      </w:pPr>
    </w:p>
    <w:p>
      <w:pPr>
        <w:ind w:left="1040" w:right="380" w:hanging="513"/>
        <w:spacing w:after="0" w:line="250" w:lineRule="auto"/>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Mr. Alban: cash termination payments—$6,010,358; additional Supplemental Pension Plan benefits—$3,726,232; welfare and fringe benefits—$76,323.</w:t>
      </w:r>
    </w:p>
    <w:p>
      <w:pPr>
        <w:spacing w:after="0" w:line="193" w:lineRule="exact"/>
        <w:rPr>
          <w:rFonts w:ascii="Arial" w:cs="Arial" w:eastAsia="Arial" w:hAnsi="Arial"/>
          <w:sz w:val="17"/>
          <w:szCs w:val="17"/>
          <w:color w:val="auto"/>
        </w:rPr>
      </w:pPr>
    </w:p>
    <w:p>
      <w:pPr>
        <w:ind w:left="1040" w:hanging="513"/>
        <w:spacing w:after="0"/>
        <w:tabs>
          <w:tab w:leader="none" w:pos="104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Dr. Severino: cash termination payments—$6,536,100; welfare and fringe benefits—$74,560.</w:t>
      </w:r>
    </w:p>
    <w:p>
      <w:pPr>
        <w:spacing w:after="0" w:line="210" w:lineRule="exact"/>
        <w:rPr>
          <w:rFonts w:ascii="Arial" w:cs="Arial" w:eastAsia="Arial" w:hAnsi="Arial"/>
          <w:sz w:val="10"/>
          <w:szCs w:val="10"/>
          <w:b w:val="1"/>
          <w:bCs w:val="1"/>
          <w:color w:val="FFFFFE"/>
        </w:rPr>
      </w:pPr>
    </w:p>
    <w:p>
      <w:pPr>
        <w:ind w:right="620" w:firstLine="657"/>
        <w:spacing w:after="0" w:line="250" w:lineRule="auto"/>
        <w:rPr>
          <w:sz w:val="20"/>
          <w:szCs w:val="20"/>
          <w:color w:val="auto"/>
        </w:rPr>
      </w:pPr>
      <w:r>
        <w:rPr>
          <w:rFonts w:ascii="Arial" w:cs="Arial" w:eastAsia="Arial" w:hAnsi="Arial"/>
          <w:sz w:val="17"/>
          <w:szCs w:val="17"/>
          <w:color w:val="auto"/>
        </w:rPr>
        <w:t>The amounts shown for Mr. Alban's cash termination payments and additional supplemental pension plan benefits reflect reductions of $289,642 and $179,569, respectively, which would have applied under cutback provisions in the agreement as described above.</w:t>
      </w:r>
    </w:p>
    <w:p>
      <w:pPr>
        <w:spacing w:after="0" w:line="174"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17"/>
          <w:szCs w:val="17"/>
          <w:b w:val="1"/>
          <w:bCs w:val="1"/>
          <w:i w:val="1"/>
          <w:iCs w:val="1"/>
          <w:color w:val="444867"/>
        </w:rPr>
        <w:t>Equity Awards</w:t>
      </w:r>
    </w:p>
    <w:p>
      <w:pPr>
        <w:spacing w:after="0" w:line="230" w:lineRule="exact"/>
        <w:rPr>
          <w:rFonts w:ascii="Arial" w:cs="Arial" w:eastAsia="Arial" w:hAnsi="Arial"/>
          <w:sz w:val="10"/>
          <w:szCs w:val="10"/>
          <w:b w:val="1"/>
          <w:bCs w:val="1"/>
          <w:color w:val="FFFFFE"/>
        </w:rPr>
      </w:pPr>
    </w:p>
    <w:p>
      <w:pPr>
        <w:ind w:right="160" w:firstLine="657"/>
        <w:spacing w:after="0" w:line="250" w:lineRule="auto"/>
        <w:rPr>
          <w:sz w:val="20"/>
          <w:szCs w:val="20"/>
          <w:color w:val="auto"/>
        </w:rPr>
      </w:pPr>
      <w:r>
        <w:rPr>
          <w:rFonts w:ascii="Arial" w:cs="Arial" w:eastAsia="Arial" w:hAnsi="Arial"/>
          <w:sz w:val="17"/>
          <w:szCs w:val="17"/>
          <w:color w:val="auto"/>
        </w:rPr>
        <w:t>The AbbVie 2013 Incentive Stock Program was approved by AbbVie's stockholders and covers approximately 7,000 participants, including a broad group of management and professional staff.</w:t>
      </w:r>
    </w:p>
    <w:p>
      <w:pPr>
        <w:spacing w:after="0" w:line="194" w:lineRule="exact"/>
        <w:rPr>
          <w:rFonts w:ascii="Arial" w:cs="Arial" w:eastAsia="Arial" w:hAnsi="Arial"/>
          <w:sz w:val="10"/>
          <w:szCs w:val="10"/>
          <w:b w:val="1"/>
          <w:bCs w:val="1"/>
          <w:color w:val="FFFFFE"/>
        </w:rPr>
      </w:pPr>
    </w:p>
    <w:p>
      <w:pPr>
        <w:ind w:right="160" w:firstLine="657"/>
        <w:spacing w:after="0" w:line="242" w:lineRule="auto"/>
        <w:rPr>
          <w:sz w:val="20"/>
          <w:szCs w:val="20"/>
          <w:color w:val="auto"/>
        </w:rPr>
      </w:pPr>
      <w:r>
        <w:rPr>
          <w:rFonts w:ascii="Arial" w:cs="Arial" w:eastAsia="Arial" w:hAnsi="Arial"/>
          <w:sz w:val="17"/>
          <w:szCs w:val="17"/>
          <w:color w:val="auto"/>
        </w:rPr>
        <w:t>The AbbVie 2013 Incentive Stock Program provides that any unvested stock options and restricted stock or unit awards granted in or after February 2013 may be assumed, converted or replaced on an equivalent basis by the surviving company upon a change in control. If the surviving company does not do so, the vesting of the awards is accelerated. If the surviving company does assume, convert or replace the awards on an equivalent basis, then accelerated vesting of the awards is limited to circumstances in which, during the period from six months before through two years after a change in control, the grantee's employment is terminated without cause or the grantee resigns for good reason. The terms "cause" and "good reason" have the same definitions as in the change in control agreements.</w:t>
      </w:r>
    </w:p>
    <w:p>
      <w:pPr>
        <w:spacing w:after="0" w:line="202" w:lineRule="exact"/>
        <w:rPr>
          <w:rFonts w:ascii="Arial" w:cs="Arial" w:eastAsia="Arial" w:hAnsi="Arial"/>
          <w:sz w:val="10"/>
          <w:szCs w:val="10"/>
          <w:b w:val="1"/>
          <w:bCs w:val="1"/>
          <w:color w:val="FFFFFE"/>
        </w:rPr>
      </w:pPr>
    </w:p>
    <w:p>
      <w:pPr>
        <w:ind w:right="180" w:firstLine="661"/>
        <w:spacing w:after="0" w:line="250" w:lineRule="auto"/>
        <w:rPr>
          <w:sz w:val="20"/>
          <w:szCs w:val="20"/>
          <w:color w:val="auto"/>
        </w:rPr>
      </w:pPr>
      <w:r>
        <w:rPr>
          <w:rFonts w:ascii="Arial" w:cs="Arial" w:eastAsia="Arial" w:hAnsi="Arial"/>
          <w:sz w:val="17"/>
          <w:szCs w:val="17"/>
          <w:color w:val="auto"/>
        </w:rPr>
        <w:t>If a change in control had occurred on December 31, 2015 and the surviving company did not assume, convert or replace any of the awards granted after January 2013, then the unvested equity awards of the NEOs would have vested as follows:</w:t>
      </w:r>
    </w:p>
    <w:p>
      <w:pPr>
        <w:spacing w:after="0" w:line="194" w:lineRule="exact"/>
        <w:rPr>
          <w:rFonts w:ascii="Arial" w:cs="Arial" w:eastAsia="Arial" w:hAnsi="Arial"/>
          <w:sz w:val="10"/>
          <w:szCs w:val="10"/>
          <w:b w:val="1"/>
          <w:bCs w:val="1"/>
          <w:color w:val="FFFFFE"/>
        </w:rPr>
      </w:pPr>
    </w:p>
    <w:p>
      <w:pPr>
        <w:ind w:left="1040" w:right="380" w:hanging="513"/>
        <w:spacing w:after="0" w:line="250"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Mr. Gonzalez would have vested in (i) 690,120 unvested AbbVie stock options with a value of $5,682,068, and (ii) 360,137 shares of AbbVie restricted stock with a value of $21,334,516.</w:t>
      </w:r>
    </w:p>
    <w:p>
      <w:pPr>
        <w:spacing w:after="0" w:line="180" w:lineRule="exact"/>
        <w:rPr>
          <w:rFonts w:ascii="Arial" w:cs="Arial" w:eastAsia="Arial" w:hAnsi="Arial"/>
          <w:sz w:val="17"/>
          <w:szCs w:val="17"/>
          <w:color w:val="auto"/>
        </w:rPr>
      </w:pPr>
    </w:p>
    <w:p>
      <w:pPr>
        <w:ind w:left="1040" w:right="20" w:hanging="513"/>
        <w:spacing w:after="0" w:line="250"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Mr. Chase would have vested in (i) 211,206 unvested AbbVie stock options with a value of $1,425,287, and (ii) 155,187 shares of AbbVie restricted stock with a value of $9,193,278.</w:t>
      </w:r>
    </w:p>
    <w:p>
      <w:pPr>
        <w:spacing w:after="0" w:line="193" w:lineRule="exact"/>
        <w:rPr>
          <w:rFonts w:ascii="Arial" w:cs="Arial" w:eastAsia="Arial" w:hAnsi="Arial"/>
          <w:sz w:val="17"/>
          <w:szCs w:val="17"/>
          <w:color w:val="auto"/>
        </w:rPr>
      </w:pPr>
    </w:p>
    <w:p>
      <w:pPr>
        <w:ind w:left="1040" w:right="100" w:hanging="513"/>
        <w:spacing w:after="0" w:line="250"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Ms. Schumacher would have vested in (i) 214,483 unvested AbbVie stock options with a value of $1,660,974, and (ii) 171,558 shares of AbbVie restricted stock with a value of $10,163,096.</w:t>
      </w:r>
    </w:p>
    <w:p>
      <w:pPr>
        <w:spacing w:after="0" w:line="180" w:lineRule="exact"/>
        <w:rPr>
          <w:rFonts w:ascii="Arial" w:cs="Arial" w:eastAsia="Arial" w:hAnsi="Arial"/>
          <w:sz w:val="17"/>
          <w:szCs w:val="17"/>
          <w:color w:val="auto"/>
        </w:rPr>
      </w:pPr>
    </w:p>
    <w:p>
      <w:pPr>
        <w:ind w:left="1040" w:right="80" w:hanging="513"/>
        <w:spacing w:after="0" w:line="250"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Mr. Alban would have vested in (i) 194,903 unvested AbbVie stock options with a value of $1,363,519, and (ii) 137,508 shares of AbbVie restricted stock with a value of $8,145,974.</w:t>
      </w:r>
    </w:p>
    <w:p>
      <w:pPr>
        <w:spacing w:after="0" w:line="180" w:lineRule="exact"/>
        <w:rPr>
          <w:rFonts w:ascii="Arial" w:cs="Arial" w:eastAsia="Arial" w:hAnsi="Arial"/>
          <w:sz w:val="17"/>
          <w:szCs w:val="17"/>
          <w:color w:val="auto"/>
        </w:rPr>
      </w:pPr>
    </w:p>
    <w:p>
      <w:pPr>
        <w:ind w:left="1040" w:hanging="513"/>
        <w:spacing w:after="0" w:line="250" w:lineRule="auto"/>
        <w:tabs>
          <w:tab w:leader="none" w:pos="1040" w:val="left"/>
        </w:tabs>
        <w:numPr>
          <w:ilvl w:val="0"/>
          <w:numId w:val="50"/>
        </w:numPr>
        <w:rPr>
          <w:rFonts w:ascii="Arial" w:cs="Arial" w:eastAsia="Arial" w:hAnsi="Arial"/>
          <w:sz w:val="17"/>
          <w:szCs w:val="17"/>
          <w:color w:val="auto"/>
        </w:rPr>
      </w:pPr>
      <w:r>
        <w:rPr>
          <w:rFonts w:ascii="Arial" w:cs="Arial" w:eastAsia="Arial" w:hAnsi="Arial"/>
          <w:sz w:val="17"/>
          <w:szCs w:val="17"/>
          <w:color w:val="auto"/>
        </w:rPr>
        <w:t>Dr. Severino would have vested in (i) 154,019 unvested AbbVie stock options with a value of $275,400, and (ii) 147,276 shares of AbbVie restricted stock with a value of $8,724,630.</w:t>
      </w:r>
    </w:p>
    <w:p>
      <w:pPr>
        <w:spacing w:after="0" w:line="194" w:lineRule="exact"/>
        <w:rPr>
          <w:rFonts w:ascii="Arial" w:cs="Arial" w:eastAsia="Arial" w:hAnsi="Arial"/>
          <w:sz w:val="10"/>
          <w:szCs w:val="10"/>
          <w:b w:val="1"/>
          <w:bCs w:val="1"/>
          <w:color w:val="FFFFFE"/>
        </w:rPr>
      </w:pPr>
    </w:p>
    <w:p>
      <w:pPr>
        <w:ind w:right="80" w:firstLine="657"/>
        <w:spacing w:after="0" w:line="243" w:lineRule="auto"/>
        <w:rPr>
          <w:sz w:val="20"/>
          <w:szCs w:val="20"/>
          <w:color w:val="auto"/>
        </w:rPr>
      </w:pPr>
      <w:r>
        <w:rPr>
          <w:rFonts w:ascii="Arial" w:cs="Arial" w:eastAsia="Arial" w:hAnsi="Arial"/>
          <w:sz w:val="17"/>
          <w:szCs w:val="17"/>
          <w:color w:val="auto"/>
        </w:rPr>
        <w:t>The value of stock options shown is based on the excess of the closing price of one share of common stock on December 31, 2015 over the exercise price of such options, multiplied by the number of unvested stock options held by the NEO. The value of restricted stock shown is determined by multiplying the number of restricted shares that would vest as of December 31, 2015 and the closing price of one share of common stock on December 31, 2015.</w:t>
      </w:r>
    </w:p>
    <w:p>
      <w:pPr>
        <w:spacing w:after="0" w:line="209" w:lineRule="exact"/>
        <w:rPr>
          <w:rFonts w:ascii="Arial" w:cs="Arial" w:eastAsia="Arial" w:hAnsi="Arial"/>
          <w:sz w:val="10"/>
          <w:szCs w:val="10"/>
          <w:b w:val="1"/>
          <w:bCs w:val="1"/>
          <w:color w:val="FFFFFE"/>
        </w:rPr>
      </w:pPr>
    </w:p>
    <w:p>
      <w:pPr>
        <w:ind w:left="60"/>
        <w:spacing w:after="0"/>
        <w:rPr>
          <w:sz w:val="20"/>
          <w:szCs w:val="20"/>
          <w:color w:val="auto"/>
        </w:rPr>
      </w:pPr>
      <w:r>
        <w:rPr>
          <w:rFonts w:ascii="Arial" w:cs="Arial" w:eastAsia="Arial" w:hAnsi="Arial"/>
          <w:sz w:val="17"/>
          <w:szCs w:val="17"/>
          <w:b w:val="1"/>
          <w:bCs w:val="1"/>
          <w:color w:val="auto"/>
        </w:rPr>
        <w:t xml:space="preserve">54  </w:t>
      </w:r>
      <w:r>
        <w:rPr>
          <w:sz w:val="1"/>
          <w:szCs w:val="1"/>
          <w:color w:val="auto"/>
        </w:rPr>
        <w:drawing>
          <wp:inline distT="0" distB="0" distL="0" distR="0">
            <wp:extent cx="622300" cy="107950"/>
            <wp:effectExtent l="0" t="0" r="0" b="0"/>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40"/>
          </w:cols>
          <w:pgMar w:left="240" w:top="143" w:right="319" w:bottom="1440" w:gutter="0" w:footer="0" w:header="0"/>
        </w:sectPr>
      </w:pPr>
    </w:p>
    <w:bookmarkStart w:id="57" w:name="page58"/>
    <w:bookmarkEnd w:id="5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114490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379845" cy="1144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firstLine="657"/>
        <w:spacing w:after="0" w:line="242" w:lineRule="auto"/>
        <w:rPr>
          <w:sz w:val="20"/>
          <w:szCs w:val="20"/>
          <w:color w:val="auto"/>
        </w:rPr>
      </w:pPr>
      <w:r>
        <w:rPr>
          <w:rFonts w:ascii="Arial" w:cs="Arial" w:eastAsia="Arial" w:hAnsi="Arial"/>
          <w:sz w:val="17"/>
          <w:szCs w:val="17"/>
          <w:color w:val="auto"/>
        </w:rPr>
        <w:t>The audit committee of the board of directors is directly responsible for the appointment, compensation, retention and oversight of the independent registered public accounting firm retained to audit the company's financial statements. On October 8, 2015, the audit committee appointed Ernst &amp; Young LLP to perform independent audit services for the fiscal year ending December 31, 2016. Ernst &amp; Young LLP has served as our independent registered public accounting firm since 2013. In conjunction with the periodic mandated rotation of the audit firm's lead engagement partner, the chair of the audit committee would be involved in the selection of a new lead engagement partner. Further, the audit committee will periodically consider whether there should be a regular rotation of the independent registered public accounting firm.</w:t>
      </w:r>
    </w:p>
    <w:p>
      <w:pPr>
        <w:spacing w:after="0" w:line="202" w:lineRule="exact"/>
        <w:rPr>
          <w:sz w:val="20"/>
          <w:szCs w:val="20"/>
          <w:color w:val="auto"/>
        </w:rPr>
      </w:pPr>
    </w:p>
    <w:p>
      <w:pPr>
        <w:ind w:right="80" w:firstLine="651"/>
        <w:spacing w:after="0" w:line="243" w:lineRule="auto"/>
        <w:rPr>
          <w:sz w:val="20"/>
          <w:szCs w:val="20"/>
          <w:color w:val="auto"/>
        </w:rPr>
      </w:pPr>
      <w:r>
        <w:rPr>
          <w:rFonts w:ascii="Arial" w:cs="Arial" w:eastAsia="Arial" w:hAnsi="Arial"/>
          <w:sz w:val="17"/>
          <w:szCs w:val="17"/>
          <w:color w:val="auto"/>
        </w:rPr>
        <w:t>Although the audit committee has sole authority to appoint the independent registered public accounting firm, it would like to know the opinion of the stockholders regarding its appointment of Ernst &amp; Young LLP for 2016. For this reason, stockholders are being asked to ratify this appointment. If the stockholders do not ratify the appointment of Ernst &amp; Young LLP for 2016, the audit committee will take that fact into consideration, but may, nevertheless, continue to retain Ernst &amp; Young LLP. The audit committee and the board believe that the continued retention of Ernst &amp; Young LLP to serve as the company's independent registered public accounting firm is in the best interests of the company and its stockholders.</w:t>
      </w:r>
    </w:p>
    <w:p>
      <w:pPr>
        <w:spacing w:after="0" w:line="199" w:lineRule="exact"/>
        <w:rPr>
          <w:sz w:val="20"/>
          <w:szCs w:val="20"/>
          <w:color w:val="auto"/>
        </w:rPr>
      </w:pPr>
    </w:p>
    <w:p>
      <w:pPr>
        <w:ind w:right="40" w:firstLine="661"/>
        <w:spacing w:after="0" w:line="250" w:lineRule="auto"/>
        <w:rPr>
          <w:sz w:val="20"/>
          <w:szCs w:val="20"/>
          <w:color w:val="auto"/>
        </w:rPr>
      </w:pPr>
      <w:r>
        <w:rPr>
          <w:rFonts w:ascii="Arial" w:cs="Arial" w:eastAsia="Arial" w:hAnsi="Arial"/>
          <w:sz w:val="17"/>
          <w:szCs w:val="17"/>
          <w:color w:val="auto"/>
        </w:rPr>
        <w:t>Representatives of Ernst &amp; Young LLP are expected to be present at the Annual Meeting and will be given the opportunity to make a statement if they desire to do so. They will also be available to respond to appropriate questions.</w:t>
      </w:r>
    </w:p>
    <w:p>
      <w:pPr>
        <w:spacing w:after="0" w:line="174" w:lineRule="exact"/>
        <w:rPr>
          <w:sz w:val="20"/>
          <w:szCs w:val="20"/>
          <w:color w:val="auto"/>
        </w:rPr>
      </w:pPr>
    </w:p>
    <w:p>
      <w:pPr>
        <w:ind w:firstLine="661"/>
        <w:spacing w:after="0" w:line="275" w:lineRule="auto"/>
        <w:rPr>
          <w:sz w:val="20"/>
          <w:szCs w:val="20"/>
          <w:color w:val="auto"/>
        </w:rPr>
      </w:pPr>
      <w:r>
        <w:rPr>
          <w:rFonts w:ascii="Arial" w:cs="Arial" w:eastAsia="Arial" w:hAnsi="Arial"/>
          <w:sz w:val="17"/>
          <w:szCs w:val="17"/>
          <w:b w:val="1"/>
          <w:bCs w:val="1"/>
          <w:color w:val="auto"/>
        </w:rPr>
        <w:t>The board of directors recommends that you vote FOR ratification of the appointment of Ernst &amp; Young LLP as AbbVie's independent registered public accounting firm for 2016.</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58" w:name="page59"/>
    <w:bookmarkEnd w:id="5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6819900" cy="77152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19900" cy="771525"/>
                    </a:xfrm>
                    <a:prstGeom prst="rect">
                      <a:avLst/>
                    </a:prstGeom>
                    <a:noFill/>
                  </pic:spPr>
                </pic:pic>
              </a:graphicData>
            </a:graphic>
          </wp:anchor>
        </w:drawing>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RATIFICATION OF ERNST &amp; YOUNG LLP AS ABBVIE'S INDEPENDENT REGISTERED PUBLIC ACCOUNTING FIRM (ITEM 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Audit Fees and Non-Audit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80" w:firstLine="657"/>
        <w:spacing w:after="0" w:line="250" w:lineRule="auto"/>
        <w:rPr>
          <w:sz w:val="20"/>
          <w:szCs w:val="20"/>
          <w:color w:val="auto"/>
        </w:rPr>
      </w:pPr>
      <w:r>
        <w:rPr>
          <w:rFonts w:ascii="Arial" w:cs="Arial" w:eastAsia="Arial" w:hAnsi="Arial"/>
          <w:sz w:val="17"/>
          <w:szCs w:val="17"/>
          <w:color w:val="auto"/>
        </w:rPr>
        <w:t>The following table presents fees for professional audit services rendered to AbbVie by Ernst &amp; Young LLP for the years ended December 31, 2015 and December 31, 2014, and fees for other services rendered to AbbVie by Ernst &amp; Young LLP for that period.</w:t>
      </w:r>
    </w:p>
    <w:p>
      <w:pPr>
        <w:spacing w:after="0" w:line="174" w:lineRule="exact"/>
        <w:rPr>
          <w:sz w:val="20"/>
          <w:szCs w:val="20"/>
          <w:color w:val="auto"/>
        </w:rPr>
      </w:pPr>
    </w:p>
    <w:tbl>
      <w:tblPr>
        <w:tblLayout w:type="fixed"/>
        <w:tblInd w:w="1380" w:type="dxa"/>
        <w:tblCellMar>
          <w:top w:w="0" w:type="dxa"/>
          <w:left w:w="0" w:type="dxa"/>
          <w:bottom w:w="0" w:type="dxa"/>
          <w:right w:w="0" w:type="dxa"/>
        </w:tblCellMar>
      </w:tblPr>
      <w:tr>
        <w:trPr>
          <w:trHeight w:val="196"/>
        </w:trPr>
        <w:tc>
          <w:tcPr>
            <w:tcW w:w="5720" w:type="dxa"/>
            <w:vAlign w:val="bottom"/>
            <w:gridSpan w:val="3"/>
          </w:tcPr>
          <w:p>
            <w:pPr>
              <w:ind w:left="5060"/>
              <w:spacing w:after="0"/>
              <w:rPr>
                <w:sz w:val="20"/>
                <w:szCs w:val="20"/>
                <w:color w:val="auto"/>
              </w:rPr>
            </w:pPr>
            <w:r>
              <w:rPr>
                <w:rFonts w:ascii="Arial" w:cs="Arial" w:eastAsia="Arial" w:hAnsi="Arial"/>
                <w:sz w:val="17"/>
                <w:szCs w:val="17"/>
                <w:b w:val="1"/>
                <w:bCs w:val="1"/>
                <w:color w:val="444867"/>
              </w:rPr>
              <w:t>2015</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0" w:type="dxa"/>
            <w:vAlign w:val="bottom"/>
          </w:tcPr>
          <w:p>
            <w:pPr>
              <w:jc w:val="right"/>
              <w:spacing w:after="0"/>
              <w:rPr>
                <w:sz w:val="20"/>
                <w:szCs w:val="20"/>
                <w:color w:val="auto"/>
              </w:rPr>
            </w:pPr>
            <w:r>
              <w:rPr>
                <w:rFonts w:ascii="Arial" w:cs="Arial" w:eastAsia="Arial" w:hAnsi="Arial"/>
                <w:sz w:val="17"/>
                <w:szCs w:val="17"/>
                <w:b w:val="1"/>
                <w:bCs w:val="1"/>
                <w:color w:val="444867"/>
              </w:rPr>
              <w:t>2014</w:t>
            </w:r>
          </w:p>
        </w:tc>
      </w:tr>
      <w:tr>
        <w:trPr>
          <w:trHeight w:val="213"/>
        </w:trPr>
        <w:tc>
          <w:tcPr>
            <w:tcW w:w="20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ind w:left="620"/>
              <w:spacing w:after="0"/>
              <w:rPr>
                <w:sz w:val="20"/>
                <w:szCs w:val="20"/>
                <w:color w:val="auto"/>
              </w:rPr>
            </w:pPr>
            <w:r>
              <w:rPr>
                <w:rFonts w:ascii="Arial" w:cs="Arial" w:eastAsia="Arial" w:hAnsi="Arial"/>
                <w:sz w:val="17"/>
                <w:szCs w:val="17"/>
                <w:b w:val="1"/>
                <w:bCs w:val="1"/>
                <w:color w:val="444867"/>
              </w:rPr>
              <w:t>(millions)</w:t>
            </w:r>
          </w:p>
        </w:tc>
        <w:tc>
          <w:tcPr>
            <w:tcW w:w="5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00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444867"/>
              </w:rPr>
              <w:t>(millions)</w:t>
            </w:r>
          </w:p>
        </w:tc>
      </w:tr>
      <w:tr>
        <w:trPr>
          <w:trHeight w:val="228"/>
        </w:trPr>
        <w:tc>
          <w:tcPr>
            <w:tcW w:w="5720" w:type="dxa"/>
            <w:vAlign w:val="bottom"/>
            <w:gridSpan w:val="3"/>
            <w:shd w:val="clear" w:color="auto" w:fill="E7E7E8"/>
          </w:tcPr>
          <w:p>
            <w:pPr>
              <w:spacing w:after="0" w:line="228" w:lineRule="exact"/>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520" w:type="dxa"/>
            <w:vAlign w:val="bottom"/>
            <w:shd w:val="clear" w:color="auto" w:fill="E7E7E8"/>
          </w:tcPr>
          <w:p>
            <w:pPr>
              <w:jc w:val="right"/>
              <w:spacing w:after="0"/>
              <w:rPr>
                <w:sz w:val="20"/>
                <w:szCs w:val="20"/>
                <w:color w:val="auto"/>
              </w:rPr>
            </w:pPr>
            <w:r>
              <w:rPr>
                <w:rFonts w:ascii="Arial" w:cs="Arial" w:eastAsia="Arial" w:hAnsi="Arial"/>
                <w:sz w:val="17"/>
                <w:szCs w:val="17"/>
                <w:color w:val="auto"/>
              </w:rPr>
              <w:t>$11.6</w:t>
            </w:r>
          </w:p>
        </w:tc>
        <w:tc>
          <w:tcPr>
            <w:tcW w:w="160" w:type="dxa"/>
            <w:vAlign w:val="bottom"/>
            <w:shd w:val="clear" w:color="auto" w:fill="E7E7E8"/>
          </w:tcPr>
          <w:p>
            <w:pPr>
              <w:spacing w:after="0"/>
              <w:rPr>
                <w:sz w:val="19"/>
                <w:szCs w:val="19"/>
                <w:color w:val="auto"/>
              </w:rPr>
            </w:pPr>
          </w:p>
        </w:tc>
        <w:tc>
          <w:tcPr>
            <w:tcW w:w="20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$10.0</w:t>
            </w:r>
          </w:p>
        </w:tc>
      </w:tr>
      <w:tr>
        <w:trPr>
          <w:trHeight w:val="235"/>
        </w:trPr>
        <w:tc>
          <w:tcPr>
            <w:tcW w:w="5720" w:type="dxa"/>
            <w:vAlign w:val="bottom"/>
            <w:gridSpan w:val="3"/>
          </w:tcPr>
          <w:p>
            <w:pPr>
              <w:spacing w:after="0" w:line="235" w:lineRule="exact"/>
              <w:rPr>
                <w:sz w:val="20"/>
                <w:szCs w:val="20"/>
                <w:color w:val="auto"/>
              </w:rPr>
            </w:pPr>
            <w:r>
              <w:rPr>
                <w:rFonts w:ascii="Arial" w:cs="Arial" w:eastAsia="Arial" w:hAnsi="Arial"/>
                <w:sz w:val="16"/>
                <w:szCs w:val="16"/>
                <w:color w:val="auto"/>
              </w:rPr>
              <w:t>Audit related fees:</w:t>
            </w:r>
            <w:r>
              <w:rPr>
                <w:rFonts w:ascii="Arial" w:cs="Arial" w:eastAsia="Arial" w:hAnsi="Arial"/>
                <w:sz w:val="27"/>
                <w:szCs w:val="27"/>
                <w:color w:val="auto"/>
                <w:vertAlign w:val="superscript"/>
              </w:rPr>
              <w:t>(2)</w:t>
            </w: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0.3</w:t>
            </w:r>
          </w:p>
        </w:tc>
        <w:tc>
          <w:tcPr>
            <w:tcW w:w="2000" w:type="dxa"/>
            <w:vAlign w:val="bottom"/>
          </w:tcPr>
          <w:p>
            <w:pPr>
              <w:jc w:val="right"/>
              <w:spacing w:after="0"/>
              <w:rPr>
                <w:sz w:val="20"/>
                <w:szCs w:val="20"/>
                <w:color w:val="auto"/>
              </w:rPr>
            </w:pPr>
            <w:r>
              <w:rPr>
                <w:rFonts w:ascii="Arial" w:cs="Arial" w:eastAsia="Arial" w:hAnsi="Arial"/>
                <w:sz w:val="17"/>
                <w:szCs w:val="17"/>
                <w:color w:val="auto"/>
              </w:rPr>
              <w:t>0.2</w:t>
            </w:r>
          </w:p>
        </w:tc>
      </w:tr>
      <w:tr>
        <w:trPr>
          <w:trHeight w:val="235"/>
        </w:trPr>
        <w:tc>
          <w:tcPr>
            <w:tcW w:w="5720" w:type="dxa"/>
            <w:vAlign w:val="bottom"/>
            <w:gridSpan w:val="3"/>
            <w:shd w:val="clear" w:color="auto" w:fill="E7E7E8"/>
          </w:tcPr>
          <w:p>
            <w:pPr>
              <w:spacing w:after="0" w:line="235" w:lineRule="exact"/>
              <w:rPr>
                <w:sz w:val="20"/>
                <w:szCs w:val="20"/>
                <w:color w:val="auto"/>
              </w:rPr>
            </w:pPr>
            <w:r>
              <w:rPr>
                <w:rFonts w:ascii="Arial" w:cs="Arial" w:eastAsia="Arial" w:hAnsi="Arial"/>
                <w:sz w:val="16"/>
                <w:szCs w:val="16"/>
                <w:color w:val="auto"/>
              </w:rPr>
              <w:t>Tax fees:</w:t>
            </w:r>
            <w:r>
              <w:rPr>
                <w:rFonts w:ascii="Arial" w:cs="Arial" w:eastAsia="Arial" w:hAnsi="Arial"/>
                <w:sz w:val="27"/>
                <w:szCs w:val="27"/>
                <w:color w:val="auto"/>
                <w:vertAlign w:val="superscript"/>
              </w:rPr>
              <w:t>(3)</w:t>
            </w:r>
          </w:p>
        </w:tc>
        <w:tc>
          <w:tcPr>
            <w:tcW w:w="680" w:type="dxa"/>
            <w:vAlign w:val="bottom"/>
            <w:gridSpan w:val="2"/>
            <w:shd w:val="clear" w:color="auto" w:fill="E7E7E8"/>
          </w:tcPr>
          <w:p>
            <w:pPr>
              <w:jc w:val="right"/>
              <w:ind w:right="160"/>
              <w:spacing w:after="0"/>
              <w:rPr>
                <w:sz w:val="20"/>
                <w:szCs w:val="20"/>
                <w:color w:val="auto"/>
              </w:rPr>
            </w:pPr>
            <w:r>
              <w:rPr>
                <w:rFonts w:ascii="Arial" w:cs="Arial" w:eastAsia="Arial" w:hAnsi="Arial"/>
                <w:sz w:val="17"/>
                <w:szCs w:val="17"/>
                <w:color w:val="auto"/>
              </w:rPr>
              <w:t>6.9</w:t>
            </w:r>
          </w:p>
        </w:tc>
        <w:tc>
          <w:tcPr>
            <w:tcW w:w="2000" w:type="dxa"/>
            <w:vAlign w:val="bottom"/>
            <w:shd w:val="clear" w:color="auto" w:fill="E7E7E8"/>
          </w:tcPr>
          <w:p>
            <w:pPr>
              <w:jc w:val="right"/>
              <w:spacing w:after="0"/>
              <w:rPr>
                <w:sz w:val="20"/>
                <w:szCs w:val="20"/>
                <w:color w:val="auto"/>
              </w:rPr>
            </w:pPr>
            <w:r>
              <w:rPr>
                <w:rFonts w:ascii="Arial" w:cs="Arial" w:eastAsia="Arial" w:hAnsi="Arial"/>
                <w:sz w:val="17"/>
                <w:szCs w:val="17"/>
                <w:color w:val="auto"/>
              </w:rPr>
              <w:t>5.1</w:t>
            </w:r>
          </w:p>
        </w:tc>
      </w:tr>
      <w:tr>
        <w:trPr>
          <w:trHeight w:val="235"/>
        </w:trPr>
        <w:tc>
          <w:tcPr>
            <w:tcW w:w="4240" w:type="dxa"/>
            <w:vAlign w:val="bottom"/>
            <w:gridSpan w:val="2"/>
          </w:tcPr>
          <w:p>
            <w:pPr>
              <w:spacing w:after="0" w:line="235" w:lineRule="exact"/>
              <w:rPr>
                <w:sz w:val="20"/>
                <w:szCs w:val="20"/>
                <w:color w:val="auto"/>
              </w:rPr>
            </w:pPr>
            <w:r>
              <w:rPr>
                <w:rFonts w:ascii="Arial" w:cs="Arial" w:eastAsia="Arial" w:hAnsi="Arial"/>
                <w:sz w:val="16"/>
                <w:szCs w:val="16"/>
                <w:color w:val="auto"/>
              </w:rPr>
              <w:t>All other fees:</w:t>
            </w:r>
            <w:r>
              <w:rPr>
                <w:rFonts w:ascii="Arial" w:cs="Arial" w:eastAsia="Arial" w:hAnsi="Arial"/>
                <w:sz w:val="27"/>
                <w:szCs w:val="27"/>
                <w:color w:val="auto"/>
                <w:vertAlign w:val="superscript"/>
              </w:rPr>
              <w:t>(4)</w:t>
            </w:r>
          </w:p>
        </w:tc>
        <w:tc>
          <w:tcPr>
            <w:tcW w:w="148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7"/>
                <w:szCs w:val="17"/>
                <w:color w:val="auto"/>
              </w:rPr>
              <w:t>0.5</w:t>
            </w:r>
          </w:p>
        </w:tc>
        <w:tc>
          <w:tcPr>
            <w:tcW w:w="2000" w:type="dxa"/>
            <w:vAlign w:val="bottom"/>
          </w:tcPr>
          <w:p>
            <w:pPr>
              <w:jc w:val="right"/>
              <w:spacing w:after="0"/>
              <w:rPr>
                <w:sz w:val="20"/>
                <w:szCs w:val="20"/>
                <w:color w:val="auto"/>
              </w:rPr>
            </w:pPr>
            <w:r>
              <w:rPr>
                <w:rFonts w:ascii="Arial" w:cs="Arial" w:eastAsia="Arial" w:hAnsi="Arial"/>
                <w:sz w:val="17"/>
                <w:szCs w:val="17"/>
                <w:color w:val="auto"/>
              </w:rPr>
              <w:t>0.5</w:t>
            </w:r>
          </w:p>
        </w:tc>
      </w:tr>
      <w:tr>
        <w:trPr>
          <w:trHeight w:val="189"/>
        </w:trPr>
        <w:tc>
          <w:tcPr>
            <w:tcW w:w="4240" w:type="dxa"/>
            <w:vAlign w:val="bottom"/>
            <w:gridSpan w:val="2"/>
            <w:shd w:val="clear" w:color="auto" w:fill="E7E7E8"/>
          </w:tcPr>
          <w:p>
            <w:pPr>
              <w:ind w:left="180"/>
              <w:spacing w:after="0" w:line="189" w:lineRule="exact"/>
              <w:rPr>
                <w:sz w:val="20"/>
                <w:szCs w:val="20"/>
                <w:color w:val="auto"/>
              </w:rPr>
            </w:pPr>
            <w:r>
              <w:rPr>
                <w:rFonts w:ascii="Arial" w:cs="Arial" w:eastAsia="Arial" w:hAnsi="Arial"/>
                <w:sz w:val="17"/>
                <w:szCs w:val="17"/>
                <w:color w:val="auto"/>
              </w:rPr>
              <w:t>Total</w:t>
            </w:r>
          </w:p>
        </w:tc>
        <w:tc>
          <w:tcPr>
            <w:tcW w:w="1480" w:type="dxa"/>
            <w:vAlign w:val="bottom"/>
            <w:tcBorders>
              <w:top w:val="single" w:sz="8" w:color="444867"/>
            </w:tcBorders>
            <w:shd w:val="clear" w:color="auto" w:fill="E7E7E8"/>
          </w:tcPr>
          <w:p>
            <w:pPr>
              <w:spacing w:after="0"/>
              <w:rPr>
                <w:sz w:val="16"/>
                <w:szCs w:val="16"/>
                <w:color w:val="auto"/>
              </w:rPr>
            </w:pPr>
          </w:p>
        </w:tc>
        <w:tc>
          <w:tcPr>
            <w:tcW w:w="520" w:type="dxa"/>
            <w:vAlign w:val="bottom"/>
            <w:tcBorders>
              <w:top w:val="single" w:sz="8" w:color="444867"/>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$19.3</w:t>
            </w:r>
          </w:p>
        </w:tc>
        <w:tc>
          <w:tcPr>
            <w:tcW w:w="160" w:type="dxa"/>
            <w:vAlign w:val="bottom"/>
            <w:shd w:val="clear" w:color="auto" w:fill="E7E7E8"/>
          </w:tcPr>
          <w:p>
            <w:pPr>
              <w:spacing w:after="0"/>
              <w:rPr>
                <w:sz w:val="16"/>
                <w:szCs w:val="16"/>
                <w:color w:val="auto"/>
              </w:rPr>
            </w:pPr>
          </w:p>
        </w:tc>
        <w:tc>
          <w:tcPr>
            <w:tcW w:w="2000" w:type="dxa"/>
            <w:vAlign w:val="bottom"/>
            <w:tcBorders>
              <w:top w:val="single" w:sz="8" w:color="444867"/>
            </w:tcBorders>
            <w:shd w:val="clear" w:color="auto" w:fill="E7E7E8"/>
          </w:tcPr>
          <w:p>
            <w:pPr>
              <w:jc w:val="right"/>
              <w:spacing w:after="0" w:line="189" w:lineRule="exact"/>
              <w:rPr>
                <w:sz w:val="20"/>
                <w:szCs w:val="20"/>
                <w:color w:val="auto"/>
              </w:rPr>
            </w:pPr>
            <w:r>
              <w:rPr>
                <w:rFonts w:ascii="Arial" w:cs="Arial" w:eastAsia="Arial" w:hAnsi="Arial"/>
                <w:sz w:val="17"/>
                <w:szCs w:val="17"/>
                <w:color w:val="auto"/>
              </w:rPr>
              <w:t>$15.8</w:t>
            </w:r>
          </w:p>
        </w:tc>
      </w:tr>
      <w:tr>
        <w:trPr>
          <w:trHeight w:val="105"/>
        </w:trPr>
        <w:tc>
          <w:tcPr>
            <w:tcW w:w="2000" w:type="dxa"/>
            <w:vAlign w:val="bottom"/>
            <w:tcBorders>
              <w:bottom w:val="single" w:sz="8" w:color="auto"/>
            </w:tcBorders>
          </w:tcPr>
          <w:p>
            <w:pPr>
              <w:spacing w:after="0"/>
              <w:rPr>
                <w:sz w:val="9"/>
                <w:szCs w:val="9"/>
                <w:color w:val="auto"/>
              </w:rPr>
            </w:pPr>
          </w:p>
        </w:tc>
        <w:tc>
          <w:tcPr>
            <w:tcW w:w="22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00" w:type="dxa"/>
            <w:vAlign w:val="bottom"/>
          </w:tcPr>
          <w:p>
            <w:pPr>
              <w:spacing w:after="0"/>
              <w:rPr>
                <w:sz w:val="9"/>
                <w:szCs w:val="9"/>
                <w:color w:val="auto"/>
              </w:rPr>
            </w:pPr>
          </w:p>
        </w:tc>
      </w:tr>
    </w:tbl>
    <w:p>
      <w:pPr>
        <w:spacing w:after="0" w:line="212" w:lineRule="exact"/>
        <w:rPr>
          <w:sz w:val="20"/>
          <w:szCs w:val="20"/>
          <w:color w:val="auto"/>
        </w:rPr>
      </w:pPr>
    </w:p>
    <w:p>
      <w:pPr>
        <w:ind w:left="1900" w:hanging="525"/>
        <w:spacing w:after="0" w:line="243" w:lineRule="auto"/>
        <w:tabs>
          <w:tab w:leader="none" w:pos="1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Ernst &amp; Young LLP billed or will bill AbbVie for professional services rendered for the audit of AbbVie's annual financial statements, the audits of AbbVie's internal control over financial reporting, statutory and subsidiary audits, the review of documents filed with the Securities and Exchange Commission, comfort letters, consents and certain accounting consultations in connection with the audits.</w:t>
      </w:r>
    </w:p>
    <w:p>
      <w:pPr>
        <w:spacing w:after="0" w:line="201" w:lineRule="exact"/>
        <w:rPr>
          <w:rFonts w:ascii="Arial" w:cs="Arial" w:eastAsia="Arial" w:hAnsi="Arial"/>
          <w:sz w:val="17"/>
          <w:szCs w:val="17"/>
          <w:color w:val="auto"/>
        </w:rPr>
      </w:pPr>
    </w:p>
    <w:p>
      <w:pPr>
        <w:ind w:left="1900" w:hanging="525"/>
        <w:spacing w:after="0"/>
        <w:tabs>
          <w:tab w:leader="none" w:pos="1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Audit related fees include: agreed upon procedures and audits of certain employee benefit plan financial statements.</w:t>
      </w:r>
    </w:p>
    <w:p>
      <w:pPr>
        <w:spacing w:after="0" w:line="196" w:lineRule="exact"/>
        <w:rPr>
          <w:rFonts w:ascii="Arial" w:cs="Arial" w:eastAsia="Arial" w:hAnsi="Arial"/>
          <w:sz w:val="17"/>
          <w:szCs w:val="17"/>
          <w:color w:val="auto"/>
        </w:rPr>
      </w:pPr>
    </w:p>
    <w:p>
      <w:pPr>
        <w:ind w:left="1900" w:right="140" w:hanging="525"/>
        <w:spacing w:after="0" w:line="250" w:lineRule="auto"/>
        <w:tabs>
          <w:tab w:leader="none" w:pos="1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Tax fees consist principally of professional services for corporate tax compliance, expatriate tax compliance and tax advisory services.</w:t>
      </w:r>
    </w:p>
    <w:p>
      <w:pPr>
        <w:spacing w:after="0" w:line="180" w:lineRule="exact"/>
        <w:rPr>
          <w:rFonts w:ascii="Arial" w:cs="Arial" w:eastAsia="Arial" w:hAnsi="Arial"/>
          <w:sz w:val="17"/>
          <w:szCs w:val="17"/>
          <w:color w:val="auto"/>
        </w:rPr>
      </w:pPr>
    </w:p>
    <w:p>
      <w:pPr>
        <w:ind w:left="1900" w:hanging="525"/>
        <w:spacing w:after="0"/>
        <w:tabs>
          <w:tab w:leader="none" w:pos="19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Other fees represent Independent Review Organization services.</w:t>
      </w:r>
    </w:p>
    <w:p>
      <w:pPr>
        <w:spacing w:after="0" w:line="174" w:lineRule="exact"/>
        <w:rPr>
          <w:sz w:val="20"/>
          <w:szCs w:val="20"/>
          <w:color w:val="auto"/>
        </w:rPr>
      </w:pPr>
    </w:p>
    <w:p>
      <w:pPr>
        <w:ind w:right="900"/>
        <w:spacing w:after="0" w:line="269" w:lineRule="auto"/>
        <w:rPr>
          <w:sz w:val="20"/>
          <w:szCs w:val="20"/>
          <w:color w:val="auto"/>
        </w:rPr>
      </w:pPr>
      <w:r>
        <w:rPr>
          <w:rFonts w:ascii="Arial" w:cs="Arial" w:eastAsia="Arial" w:hAnsi="Arial"/>
          <w:sz w:val="21"/>
          <w:szCs w:val="21"/>
          <w:b w:val="1"/>
          <w:bCs w:val="1"/>
          <w:color w:val="444867"/>
        </w:rPr>
        <w:t>Policy on Audit Committee Pre-Approval of Audit and Permissible Non-Audit Services of the Independent Registered Public Accounting Firm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10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193" w:lineRule="exact"/>
        <w:rPr>
          <w:sz w:val="20"/>
          <w:szCs w:val="20"/>
          <w:color w:val="auto"/>
        </w:rPr>
      </w:pPr>
    </w:p>
    <w:p>
      <w:pPr>
        <w:ind w:right="320" w:firstLine="657"/>
        <w:spacing w:after="0" w:line="250" w:lineRule="auto"/>
        <w:rPr>
          <w:sz w:val="20"/>
          <w:szCs w:val="20"/>
          <w:color w:val="auto"/>
        </w:rPr>
      </w:pPr>
      <w:r>
        <w:rPr>
          <w:rFonts w:ascii="Arial" w:cs="Arial" w:eastAsia="Arial" w:hAnsi="Arial"/>
          <w:sz w:val="17"/>
          <w:szCs w:val="17"/>
          <w:color w:val="auto"/>
        </w:rPr>
        <w:t>The audit committee has established policies and procedures to pre-approve all audit and permissible non-audit services performed by the independent registered public accounting firm and its related affiliates.</w:t>
      </w:r>
    </w:p>
    <w:p>
      <w:pPr>
        <w:spacing w:after="0" w:line="194" w:lineRule="exact"/>
        <w:rPr>
          <w:sz w:val="20"/>
          <w:szCs w:val="20"/>
          <w:color w:val="auto"/>
        </w:rPr>
      </w:pPr>
    </w:p>
    <w:p>
      <w:pPr>
        <w:ind w:right="220" w:firstLine="661"/>
        <w:spacing w:after="0" w:line="250" w:lineRule="auto"/>
        <w:rPr>
          <w:sz w:val="20"/>
          <w:szCs w:val="20"/>
          <w:color w:val="auto"/>
        </w:rPr>
      </w:pPr>
      <w:r>
        <w:rPr>
          <w:rFonts w:ascii="Arial" w:cs="Arial" w:eastAsia="Arial" w:hAnsi="Arial"/>
          <w:sz w:val="17"/>
          <w:szCs w:val="17"/>
          <w:color w:val="auto"/>
        </w:rPr>
        <w:t>Prior to engagement of the independent registered public accounting firm for the next year's audit, management will submit a schedule of all proposed services expected to be rendered during that year for each of four categories of services to the audit committee for approval.</w:t>
      </w:r>
    </w:p>
    <w:p>
      <w:pPr>
        <w:spacing w:after="0" w:line="194" w:lineRule="exact"/>
        <w:rPr>
          <w:sz w:val="20"/>
          <w:szCs w:val="20"/>
          <w:color w:val="auto"/>
        </w:rPr>
      </w:pPr>
    </w:p>
    <w:p>
      <w:pPr>
        <w:ind w:right="20" w:firstLine="661"/>
        <w:spacing w:after="0" w:line="243" w:lineRule="auto"/>
        <w:rPr>
          <w:sz w:val="20"/>
          <w:szCs w:val="20"/>
          <w:color w:val="auto"/>
        </w:rPr>
      </w:pPr>
      <w:r>
        <w:rPr>
          <w:rFonts w:ascii="Arial" w:cs="Arial" w:eastAsia="Arial" w:hAnsi="Arial"/>
          <w:sz w:val="17"/>
          <w:szCs w:val="17"/>
          <w:color w:val="auto"/>
        </w:rPr>
        <w:t>Prior to engagement, the audit committee pre-approves these services by category of service. The fees are budgeted and the audit committee requires the independent registered public accounting firm and management to report actual fees versus the budget periodically by category of service. During the year, circumstances may arise when it may become necessary to engage the independent registered public accounting firm for additional services not contemplated in the original pre-approval. In those instances, the audit committee requires specific pre-approval before engaging the independent registered public accounting firm.</w:t>
      </w:r>
    </w:p>
    <w:p>
      <w:pPr>
        <w:spacing w:after="0" w:line="199" w:lineRule="exact"/>
        <w:rPr>
          <w:sz w:val="20"/>
          <w:szCs w:val="20"/>
          <w:color w:val="auto"/>
        </w:rPr>
      </w:pPr>
    </w:p>
    <w:p>
      <w:pPr>
        <w:ind w:right="260" w:firstLine="657"/>
        <w:spacing w:after="0" w:line="250" w:lineRule="auto"/>
        <w:rPr>
          <w:sz w:val="20"/>
          <w:szCs w:val="20"/>
          <w:color w:val="auto"/>
        </w:rPr>
      </w:pPr>
      <w:r>
        <w:rPr>
          <w:rFonts w:ascii="Arial" w:cs="Arial" w:eastAsia="Arial" w:hAnsi="Arial"/>
          <w:sz w:val="17"/>
          <w:szCs w:val="17"/>
          <w:color w:val="auto"/>
        </w:rPr>
        <w:t>The audit committee may delegate pre-approval authority to one or more of its members. The member to whom such authority is delegated must report any pre-approval decisions to the audit committee at its next scheduled meeting.</w:t>
      </w:r>
    </w:p>
    <w:p>
      <w:pPr>
        <w:spacing w:after="0" w:line="201"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56  </w:t>
      </w:r>
      <w:r>
        <w:rPr>
          <w:sz w:val="1"/>
          <w:szCs w:val="1"/>
          <w:color w:val="auto"/>
        </w:rPr>
        <w:drawing>
          <wp:inline distT="0" distB="0" distL="0" distR="0">
            <wp:extent cx="622300" cy="107950"/>
            <wp:effectExtent l="0" t="0" r="0" b="0"/>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60"/>
          </w:cols>
          <w:pgMar w:left="240" w:top="143" w:right="299" w:bottom="1440" w:gutter="0" w:footer="0" w:header="0"/>
        </w:sectPr>
      </w:pPr>
    </w:p>
    <w:bookmarkStart w:id="59" w:name="page60"/>
    <w:bookmarkEnd w:id="5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6399530</wp:posOffset>
            </wp:positionH>
            <wp:positionV relativeFrom="paragraph">
              <wp:posOffset>130810</wp:posOffset>
            </wp:positionV>
            <wp:extent cx="854710" cy="14097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54710" cy="140970"/>
                    </a:xfrm>
                    <a:prstGeom prst="rect">
                      <a:avLst/>
                    </a:prstGeom>
                    <a:noFill/>
                  </pic:spPr>
                </pic:pic>
              </a:graphicData>
            </a:graphic>
          </wp:anchor>
        </w:drawing>
      </w:r>
    </w:p>
    <w:p>
      <w:pPr>
        <w:spacing w:after="0" w:line="224" w:lineRule="exact"/>
        <w:rPr>
          <w:sz w:val="20"/>
          <w:szCs w:val="20"/>
          <w:color w:val="auto"/>
        </w:rPr>
      </w:pPr>
    </w:p>
    <w:p>
      <w:pPr>
        <w:ind w:left="10140"/>
        <w:spacing w:after="0"/>
        <w:rPr>
          <w:sz w:val="20"/>
          <w:szCs w:val="20"/>
          <w:color w:val="auto"/>
        </w:rPr>
      </w:pPr>
      <w:r>
        <w:rPr>
          <w:rFonts w:ascii="Arial" w:cs="Arial" w:eastAsia="Arial" w:hAnsi="Arial"/>
          <w:sz w:val="10"/>
          <w:szCs w:val="10"/>
          <w:b w:val="1"/>
          <w:bCs w:val="1"/>
          <w:color w:val="FFFFFE"/>
        </w:rPr>
        <w:t>AUDIT INFORMATION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Audit Committee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100" w:firstLine="661"/>
        <w:spacing w:after="0" w:line="243" w:lineRule="auto"/>
        <w:rPr>
          <w:sz w:val="20"/>
          <w:szCs w:val="20"/>
          <w:color w:val="auto"/>
        </w:rPr>
      </w:pPr>
      <w:r>
        <w:rPr>
          <w:rFonts w:ascii="Arial" w:cs="Arial" w:eastAsia="Arial" w:hAnsi="Arial"/>
          <w:sz w:val="17"/>
          <w:szCs w:val="17"/>
          <w:color w:val="auto"/>
        </w:rPr>
        <w:t>Management is responsible for the preparation and integrity of AbbVie's consolidated financial statements. The independent registered public accounting firm is responsible for performing an audit of the consolidated financial statements and expressing an opinion on the conformity of those financial statements with accounting principles generally accepted in the United States of America. The audit committee reviews these processes on behalf of the board of directors. In this context, the audit committee has reviewed and discussed the audited financial statements contained in the 2015 Annual Report on Form 10-K with AbbVie's management and its independent registered public accounting firm.</w:t>
      </w:r>
    </w:p>
    <w:p>
      <w:pPr>
        <w:spacing w:after="0" w:line="199" w:lineRule="exact"/>
        <w:rPr>
          <w:sz w:val="20"/>
          <w:szCs w:val="20"/>
          <w:color w:val="auto"/>
        </w:rPr>
      </w:pPr>
    </w:p>
    <w:p>
      <w:pPr>
        <w:ind w:right="300" w:firstLine="657"/>
        <w:spacing w:after="0" w:line="250" w:lineRule="auto"/>
        <w:rPr>
          <w:sz w:val="20"/>
          <w:szCs w:val="20"/>
          <w:color w:val="auto"/>
        </w:rPr>
      </w:pPr>
      <w:r>
        <w:rPr>
          <w:rFonts w:ascii="Arial" w:cs="Arial" w:eastAsia="Arial" w:hAnsi="Arial"/>
          <w:sz w:val="17"/>
          <w:szCs w:val="17"/>
          <w:color w:val="auto"/>
        </w:rPr>
        <w:t xml:space="preserve">The audit committee has discussed with the independent registered public accounting firm the matters required to be discussed pursuant to Auditing Standards Section No. 16, </w:t>
      </w:r>
      <w:r>
        <w:rPr>
          <w:rFonts w:ascii="Arial" w:cs="Arial" w:eastAsia="Arial" w:hAnsi="Arial"/>
          <w:sz w:val="17"/>
          <w:szCs w:val="17"/>
          <w:i w:val="1"/>
          <w:iCs w:val="1"/>
          <w:color w:val="auto"/>
        </w:rPr>
        <w:t>Communication with Audit Committees</w:t>
      </w:r>
      <w:r>
        <w:rPr>
          <w:rFonts w:ascii="Arial" w:cs="Arial" w:eastAsia="Arial" w:hAnsi="Arial"/>
          <w:sz w:val="17"/>
          <w:szCs w:val="17"/>
          <w:color w:val="auto"/>
        </w:rPr>
        <w:t>, as adopted by the Public Company Accounting Oversight Board.</w:t>
      </w:r>
    </w:p>
    <w:p>
      <w:pPr>
        <w:spacing w:after="0" w:line="194" w:lineRule="exact"/>
        <w:rPr>
          <w:sz w:val="20"/>
          <w:szCs w:val="20"/>
          <w:color w:val="auto"/>
        </w:rPr>
      </w:pPr>
    </w:p>
    <w:p>
      <w:pPr>
        <w:ind w:right="120" w:firstLine="657"/>
        <w:spacing w:after="0" w:line="243" w:lineRule="auto"/>
        <w:rPr>
          <w:sz w:val="20"/>
          <w:szCs w:val="20"/>
          <w:color w:val="auto"/>
        </w:rPr>
      </w:pPr>
      <w:r>
        <w:rPr>
          <w:rFonts w:ascii="Arial" w:cs="Arial" w:eastAsia="Arial" w:hAnsi="Arial"/>
          <w:sz w:val="17"/>
          <w:szCs w:val="17"/>
          <w:color w:val="auto"/>
        </w:rPr>
        <w:t>The audit committee has received the written disclosures and the letter from the independent registered public accounting firm required by the applicable requirements of the Public Company Accounting Oversight Board regarding the independent registered public accounting firm's communications with the audit committee concerning independence, and has discussed with the independent registered public accounting firm the firm's independence. The audit committee has also considered whether the provision of non-audit services is compatible with maintaining the independence of the independent registered public accounting firm.</w:t>
      </w:r>
    </w:p>
    <w:p>
      <w:pPr>
        <w:spacing w:after="0" w:line="199" w:lineRule="exact"/>
        <w:rPr>
          <w:sz w:val="20"/>
          <w:szCs w:val="20"/>
          <w:color w:val="auto"/>
        </w:rPr>
      </w:pPr>
    </w:p>
    <w:p>
      <w:pPr>
        <w:ind w:right="180" w:firstLine="661"/>
        <w:spacing w:after="0" w:line="245" w:lineRule="auto"/>
        <w:rPr>
          <w:sz w:val="20"/>
          <w:szCs w:val="20"/>
          <w:color w:val="auto"/>
        </w:rPr>
      </w:pPr>
      <w:r>
        <w:rPr>
          <w:rFonts w:ascii="Arial" w:cs="Arial" w:eastAsia="Arial" w:hAnsi="Arial"/>
          <w:sz w:val="17"/>
          <w:szCs w:val="17"/>
          <w:color w:val="auto"/>
        </w:rPr>
        <w:t>Based on the review and discussions referred to above, the audit committee recommended to the board of directors that the audited financial statements be included in AbbVie's Annual Report on Form 10-K for the year ended December 31, 2015 filed with the Securities and Exchange Commission.</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Audit Committee</w:t>
      </w:r>
    </w:p>
    <w:p>
      <w:pPr>
        <w:spacing w:after="0" w:line="22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 Austin, Chair, W. Burnside, E. Rapp, and F. Waddell</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0" w:name="page61"/>
    <w:bookmarkEnd w:id="6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87947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379845" cy="87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both"/>
        <w:ind w:firstLine="661"/>
        <w:spacing w:after="0" w:line="281" w:lineRule="auto"/>
        <w:rPr>
          <w:sz w:val="20"/>
          <w:szCs w:val="20"/>
          <w:color w:val="auto"/>
        </w:rPr>
      </w:pPr>
      <w:r>
        <w:rPr>
          <w:rFonts w:ascii="Arial" w:cs="Arial" w:eastAsia="Arial" w:hAnsi="Arial"/>
          <w:sz w:val="16"/>
          <w:szCs w:val="16"/>
          <w:color w:val="auto"/>
        </w:rPr>
        <w:t>Stockholders are being asked to approve the compensation of AbbVie's named executive officers, as disclosed under Securities and Exchange Commission rules, including the Compensation Discussion and Analysis, the compensation tables and related material included in this proxy statement.</w:t>
      </w:r>
    </w:p>
    <w:p>
      <w:pPr>
        <w:spacing w:after="0" w:line="170" w:lineRule="exact"/>
        <w:rPr>
          <w:sz w:val="20"/>
          <w:szCs w:val="20"/>
          <w:color w:val="auto"/>
        </w:rPr>
      </w:pPr>
    </w:p>
    <w:p>
      <w:pPr>
        <w:ind w:right="240" w:firstLine="657"/>
        <w:spacing w:after="0" w:line="243" w:lineRule="auto"/>
        <w:rPr>
          <w:sz w:val="20"/>
          <w:szCs w:val="20"/>
          <w:color w:val="auto"/>
        </w:rPr>
      </w:pPr>
      <w:r>
        <w:rPr>
          <w:rFonts w:ascii="Arial" w:cs="Arial" w:eastAsia="Arial" w:hAnsi="Arial"/>
          <w:sz w:val="17"/>
          <w:szCs w:val="17"/>
          <w:color w:val="auto"/>
        </w:rPr>
        <w:t>The independent compensation committee of the board of directors, with the counsel of its independent compensation consultant, has thoroughly examined AbbVie's programs, the company's performance related to our industry and peer group, and market factors. The committee has determined that the specific pay decisions for the named executive officers are appropriate given the company's performance, the executives' contributions, and our stockholders' interests.</w:t>
      </w:r>
    </w:p>
    <w:p>
      <w:pPr>
        <w:spacing w:after="0" w:line="201" w:lineRule="exact"/>
        <w:rPr>
          <w:sz w:val="20"/>
          <w:szCs w:val="20"/>
          <w:color w:val="auto"/>
        </w:rPr>
      </w:pPr>
    </w:p>
    <w:p>
      <w:pPr>
        <w:ind w:right="140" w:firstLine="661"/>
        <w:spacing w:after="0" w:line="250" w:lineRule="auto"/>
        <w:rPr>
          <w:sz w:val="20"/>
          <w:szCs w:val="20"/>
          <w:color w:val="auto"/>
        </w:rPr>
      </w:pPr>
      <w:r>
        <w:rPr>
          <w:rFonts w:ascii="Arial" w:cs="Arial" w:eastAsia="Arial" w:hAnsi="Arial"/>
          <w:sz w:val="17"/>
          <w:szCs w:val="17"/>
          <w:color w:val="auto"/>
        </w:rPr>
        <w:t>While this vote is advisory and non-binding, the board of directors and the compensation committee value the opinion of the stockholders and will review the voting results and take them into account when future compensation decisions are made.</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Accordingly, the board of directors recommends that you vote FOR the approval of the named executive officers' compensation.</w:t>
      </w:r>
    </w:p>
    <w:p>
      <w:pPr>
        <w:spacing w:after="0" w:line="23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58  </w:t>
      </w:r>
      <w:r>
        <w:rPr>
          <w:sz w:val="1"/>
          <w:szCs w:val="1"/>
          <w:color w:val="auto"/>
        </w:rPr>
        <w:drawing>
          <wp:inline distT="0" distB="0" distL="0" distR="0">
            <wp:extent cx="622300" cy="107950"/>
            <wp:effectExtent l="0" t="0" r="0" b="0"/>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1" w:name="page62"/>
    <w:bookmarkEnd w:id="61"/>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87947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6379845" cy="879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right="400" w:firstLine="661"/>
        <w:spacing w:after="0" w:line="250" w:lineRule="auto"/>
        <w:rPr>
          <w:sz w:val="20"/>
          <w:szCs w:val="20"/>
          <w:color w:val="auto"/>
        </w:rPr>
      </w:pPr>
      <w:r>
        <w:rPr>
          <w:rFonts w:ascii="Arial" w:cs="Arial" w:eastAsia="Arial" w:hAnsi="Arial"/>
          <w:sz w:val="17"/>
          <w:szCs w:val="17"/>
          <w:color w:val="auto"/>
        </w:rPr>
        <w:t>Currently, AbbVie's Amended and Restated Certificate of Incorporation (the "Certificate of Incorporation") provides for a classified board of directors divided into three classes of directors, with each class elected for three-year terms.</w:t>
      </w:r>
    </w:p>
    <w:p>
      <w:pPr>
        <w:spacing w:after="0" w:line="194" w:lineRule="exact"/>
        <w:rPr>
          <w:sz w:val="20"/>
          <w:szCs w:val="20"/>
          <w:color w:val="auto"/>
        </w:rPr>
      </w:pPr>
    </w:p>
    <w:p>
      <w:pPr>
        <w:ind w:right="20" w:firstLine="651"/>
        <w:spacing w:after="0" w:line="245" w:lineRule="auto"/>
        <w:rPr>
          <w:sz w:val="20"/>
          <w:szCs w:val="20"/>
          <w:color w:val="auto"/>
        </w:rPr>
      </w:pPr>
      <w:r>
        <w:rPr>
          <w:rFonts w:ascii="Arial" w:cs="Arial" w:eastAsia="Arial" w:hAnsi="Arial"/>
          <w:sz w:val="17"/>
          <w:szCs w:val="17"/>
          <w:color w:val="auto"/>
        </w:rPr>
        <w:t>After considering the advantages and disadvantages of declassification, including through an open dialogue with our stockholders, the board has determined it is in the best interests of the company and its stockholders to amend the company's Certificate of Incorporation and the Amended and Restated By-Laws (the "By-Laws") to declassify the board. This will result in a fully declassified board by the 2019 Annual Meeting.</w:t>
      </w:r>
    </w:p>
    <w:p>
      <w:pPr>
        <w:spacing w:after="0" w:line="198" w:lineRule="exact"/>
        <w:rPr>
          <w:sz w:val="20"/>
          <w:szCs w:val="20"/>
          <w:color w:val="auto"/>
        </w:rPr>
      </w:pPr>
    </w:p>
    <w:p>
      <w:pPr>
        <w:ind w:right="140" w:firstLine="657"/>
        <w:spacing w:after="0" w:line="242" w:lineRule="auto"/>
        <w:rPr>
          <w:sz w:val="20"/>
          <w:szCs w:val="20"/>
          <w:color w:val="auto"/>
        </w:rPr>
      </w:pPr>
      <w:r>
        <w:rPr>
          <w:rFonts w:ascii="Arial" w:cs="Arial" w:eastAsia="Arial" w:hAnsi="Arial"/>
          <w:sz w:val="17"/>
          <w:szCs w:val="17"/>
          <w:color w:val="auto"/>
        </w:rPr>
        <w:t>The proposed amendment to the Certificate of Incorporation would eliminate the classification of the board over a three-year period beginning at the 2017 Annual Meeting with directors elected to a one-year term following the expiration of the directors' existing terms and provide for the annual election of all directors beginning at the 2019 Annual Meeting. The proposed amendment to the Certificate of Incorporation would become effective upon the filing of a Certificate of Amendment with the Secretary of State of the State of Delaware, which the company would file promptly following the 2016 Annual Meeting if our stockholders approve the amendment. The proposed amendment would not change the present number of directors or the board's authority to change that number and to fill any vacancies or newly created directorships.</w:t>
      </w:r>
    </w:p>
    <w:p>
      <w:pPr>
        <w:spacing w:after="0" w:line="202" w:lineRule="exact"/>
        <w:rPr>
          <w:sz w:val="20"/>
          <w:szCs w:val="20"/>
          <w:color w:val="auto"/>
        </w:rPr>
      </w:pPr>
    </w:p>
    <w:p>
      <w:pPr>
        <w:jc w:val="both"/>
        <w:ind w:right="520" w:firstLine="661"/>
        <w:spacing w:after="0" w:line="245" w:lineRule="auto"/>
        <w:rPr>
          <w:sz w:val="20"/>
          <w:szCs w:val="20"/>
          <w:color w:val="auto"/>
        </w:rPr>
      </w:pPr>
      <w:r>
        <w:rPr>
          <w:rFonts w:ascii="Arial" w:cs="Arial" w:eastAsia="Arial" w:hAnsi="Arial"/>
          <w:sz w:val="17"/>
          <w:szCs w:val="17"/>
          <w:color w:val="auto"/>
        </w:rPr>
        <w:t>Delaware law provides, unless otherwise addressed in the certificate of incorporation, that members of a board that is classified may be removed only for cause. The proposed amendment would provide that once the AbbVie board is fully declassified as of the 2019 Annual Meeting, directors may be removed with or without cause.</w:t>
      </w:r>
    </w:p>
    <w:p>
      <w:pPr>
        <w:spacing w:after="0" w:line="178" w:lineRule="exact"/>
        <w:rPr>
          <w:sz w:val="20"/>
          <w:szCs w:val="20"/>
          <w:color w:val="auto"/>
        </w:rPr>
      </w:pPr>
    </w:p>
    <w:p>
      <w:pPr>
        <w:ind w:right="160" w:firstLine="657"/>
        <w:spacing w:after="0" w:line="252" w:lineRule="auto"/>
        <w:rPr>
          <w:sz w:val="20"/>
          <w:szCs w:val="20"/>
          <w:color w:val="auto"/>
        </w:rPr>
      </w:pPr>
      <w:r>
        <w:rPr>
          <w:rFonts w:ascii="Arial" w:cs="Arial" w:eastAsia="Arial" w:hAnsi="Arial"/>
          <w:sz w:val="17"/>
          <w:szCs w:val="17"/>
          <w:color w:val="auto"/>
        </w:rPr>
        <w:t xml:space="preserve">The proposed Certificate of Amendment to the Certificate of Incorporation is attached to this proxy statement as </w:t>
      </w:r>
      <w:r>
        <w:rPr>
          <w:rFonts w:ascii="Arial" w:cs="Arial" w:eastAsia="Arial" w:hAnsi="Arial"/>
          <w:sz w:val="17"/>
          <w:szCs w:val="17"/>
          <w:b w:val="1"/>
          <w:bCs w:val="1"/>
          <w:u w:val="single" w:color="auto"/>
          <w:color w:val="auto"/>
        </w:rPr>
        <w:t>Appendix A</w:t>
      </w:r>
      <w:r>
        <w:rPr>
          <w:rFonts w:ascii="Arial" w:cs="Arial" w:eastAsia="Arial" w:hAnsi="Arial"/>
          <w:sz w:val="17"/>
          <w:szCs w:val="17"/>
          <w:color w:val="auto"/>
        </w:rPr>
        <w:t>. The affirmative vote of the holders of 80 percent of the outstanding shares of stock entitled to vote generally in the election of directors on the Record Date is required to approve this proposal pursuant to the Certificate of Incorporation. If our stockholders approve the proposed amendment to the Certificate of Incorporation, the board will make certain conforming changes to the company's By-Laws.</w:t>
      </w:r>
    </w:p>
    <w:p>
      <w:pPr>
        <w:spacing w:after="0" w:line="172" w:lineRule="exact"/>
        <w:rPr>
          <w:sz w:val="20"/>
          <w:szCs w:val="20"/>
          <w:color w:val="auto"/>
        </w:rPr>
      </w:pPr>
    </w:p>
    <w:p>
      <w:pPr>
        <w:ind w:right="640" w:firstLine="661"/>
        <w:spacing w:after="0" w:line="275" w:lineRule="auto"/>
        <w:rPr>
          <w:sz w:val="20"/>
          <w:szCs w:val="20"/>
          <w:color w:val="auto"/>
        </w:rPr>
      </w:pPr>
      <w:r>
        <w:rPr>
          <w:rFonts w:ascii="Arial" w:cs="Arial" w:eastAsia="Arial" w:hAnsi="Arial"/>
          <w:sz w:val="17"/>
          <w:szCs w:val="17"/>
          <w:b w:val="1"/>
          <w:bCs w:val="1"/>
          <w:color w:val="auto"/>
        </w:rPr>
        <w:t>The board of directors recommends that you vote FOR the management proposal to amend the Certificate of Incorporation to declassify the board of directors for annual elections.</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2" w:name="page63"/>
    <w:bookmarkEnd w:id="62"/>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131445</wp:posOffset>
            </wp:positionV>
            <wp:extent cx="6379845" cy="100393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379845" cy="10039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right="360" w:firstLine="661"/>
        <w:spacing w:after="0" w:line="250" w:lineRule="auto"/>
        <w:rPr>
          <w:sz w:val="20"/>
          <w:szCs w:val="20"/>
          <w:color w:val="auto"/>
        </w:rPr>
      </w:pPr>
      <w:r>
        <w:rPr>
          <w:rFonts w:ascii="Arial" w:cs="Arial" w:eastAsia="Arial" w:hAnsi="Arial"/>
          <w:sz w:val="17"/>
          <w:szCs w:val="17"/>
          <w:color w:val="auto"/>
        </w:rPr>
        <w:t>We ask that stockholders approve the material terms of the performance goals under the AbbVie Performance Incentive Plan to satisfy the stockholder approval component of the performance-based compensation requirements under Section 162(m) of the Internal Revenue Code.</w:t>
      </w:r>
    </w:p>
    <w:p>
      <w:pPr>
        <w:spacing w:after="0" w:line="194" w:lineRule="exact"/>
        <w:rPr>
          <w:sz w:val="20"/>
          <w:szCs w:val="20"/>
          <w:color w:val="auto"/>
        </w:rPr>
      </w:pPr>
    </w:p>
    <w:p>
      <w:pPr>
        <w:ind w:firstLine="657"/>
        <w:spacing w:after="0" w:line="243" w:lineRule="auto"/>
        <w:rPr>
          <w:sz w:val="20"/>
          <w:szCs w:val="20"/>
          <w:color w:val="auto"/>
        </w:rPr>
      </w:pPr>
      <w:r>
        <w:rPr>
          <w:rFonts w:ascii="Arial" w:cs="Arial" w:eastAsia="Arial" w:hAnsi="Arial"/>
          <w:sz w:val="17"/>
          <w:szCs w:val="17"/>
          <w:color w:val="auto"/>
        </w:rPr>
        <w:t>The Performance Incentive Plan (PIP) provides for awards to designated AbbVie employees based on the attainment of specified performance goals. The main purposes of the PIP are to facilitate the attraction, motivation and retention of key management employees and to encourage them to achieve and exceed the company's established financial, operational and strategic goals by giving them the opportunity to earn annual incentive awards based on company and individual performance against these goals.</w:t>
      </w:r>
    </w:p>
    <w:p>
      <w:pPr>
        <w:spacing w:after="0" w:line="201" w:lineRule="exact"/>
        <w:rPr>
          <w:sz w:val="20"/>
          <w:szCs w:val="20"/>
          <w:color w:val="auto"/>
        </w:rPr>
      </w:pPr>
    </w:p>
    <w:p>
      <w:pPr>
        <w:ind w:right="100" w:firstLine="661"/>
        <w:spacing w:after="0" w:line="243" w:lineRule="auto"/>
        <w:rPr>
          <w:sz w:val="20"/>
          <w:szCs w:val="20"/>
          <w:color w:val="auto"/>
        </w:rPr>
      </w:pPr>
      <w:r>
        <w:rPr>
          <w:rFonts w:ascii="Arial" w:cs="Arial" w:eastAsia="Arial" w:hAnsi="Arial"/>
          <w:sz w:val="17"/>
          <w:szCs w:val="17"/>
          <w:color w:val="auto"/>
        </w:rPr>
        <w:t>Section 162(m) of the Internal Revenue Code limits the amount of compensation that may be deducted by the company in any tax year with respect to the company's most highly-paid executives. However, certain performance-based compensation that has been approved by stockholders is not subject to this deduction limit. The PIP is designed to provide for this type of performance-based compensation and to permit the company to claim the corresponding tax deduction.</w:t>
      </w:r>
    </w:p>
    <w:p>
      <w:pPr>
        <w:spacing w:after="0" w:line="201" w:lineRule="exact"/>
        <w:rPr>
          <w:sz w:val="20"/>
          <w:szCs w:val="20"/>
          <w:color w:val="auto"/>
        </w:rPr>
      </w:pPr>
    </w:p>
    <w:p>
      <w:pPr>
        <w:ind w:firstLine="651"/>
        <w:spacing w:after="0" w:line="243" w:lineRule="auto"/>
        <w:rPr>
          <w:sz w:val="20"/>
          <w:szCs w:val="20"/>
          <w:color w:val="auto"/>
        </w:rPr>
      </w:pPr>
      <w:r>
        <w:rPr>
          <w:rFonts w:ascii="Arial" w:cs="Arial" w:eastAsia="Arial" w:hAnsi="Arial"/>
          <w:sz w:val="17"/>
          <w:szCs w:val="17"/>
          <w:color w:val="auto"/>
        </w:rPr>
        <w:t>At the annual meeting, stockholders are being asked to approve the material terms of the performance goals for the PIP so awards paid under the plan will be tax-deductible as performance-based compensation under Section 162(m) of the Internal Revenue Code. If the stockholders do not approve the material terms of the performance goals, awards paid to our executive officers under the PIP for the 2016 fiscal year may not be deductible. In such case, however, the compensation committee will consider other alternatives for the overall compensation package being provided to our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Description of the Performance Incentive Plan</w:t>
      </w:r>
    </w:p>
    <w:p>
      <w:pPr>
        <w:spacing w:after="0" w:line="230" w:lineRule="exact"/>
        <w:rPr>
          <w:sz w:val="20"/>
          <w:szCs w:val="20"/>
          <w:color w:val="auto"/>
        </w:rPr>
      </w:pPr>
    </w:p>
    <w:p>
      <w:pPr>
        <w:ind w:right="180" w:firstLine="661"/>
        <w:spacing w:after="0" w:line="250" w:lineRule="auto"/>
        <w:rPr>
          <w:sz w:val="20"/>
          <w:szCs w:val="20"/>
          <w:color w:val="auto"/>
        </w:rPr>
      </w:pPr>
      <w:r>
        <w:rPr>
          <w:rFonts w:ascii="Arial" w:cs="Arial" w:eastAsia="Arial" w:hAnsi="Arial"/>
          <w:sz w:val="17"/>
          <w:szCs w:val="17"/>
          <w:color w:val="auto"/>
        </w:rPr>
        <w:t>Following is a summary of the material features of the PIP. The summary is qualified by reference to the text of the plan, which is attached as Exhibit 10.4 to our 2015 Annual Report on Form 10-K.</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Administration and Participants</w:t>
      </w:r>
    </w:p>
    <w:p>
      <w:pPr>
        <w:spacing w:after="0" w:line="230" w:lineRule="exact"/>
        <w:rPr>
          <w:sz w:val="20"/>
          <w:szCs w:val="20"/>
          <w:color w:val="auto"/>
        </w:rPr>
      </w:pPr>
    </w:p>
    <w:p>
      <w:pPr>
        <w:jc w:val="both"/>
        <w:ind w:right="380" w:firstLine="657"/>
        <w:spacing w:after="0" w:line="245" w:lineRule="auto"/>
        <w:rPr>
          <w:sz w:val="20"/>
          <w:szCs w:val="20"/>
          <w:color w:val="auto"/>
        </w:rPr>
      </w:pPr>
      <w:r>
        <w:rPr>
          <w:rFonts w:ascii="Arial" w:cs="Arial" w:eastAsia="Arial" w:hAnsi="Arial"/>
          <w:sz w:val="17"/>
          <w:szCs w:val="17"/>
          <w:color w:val="auto"/>
        </w:rPr>
        <w:t>The PIP is administered by the compensation committee of the board of directors. The committee has sole responsibility for identifying the participants, establishing performance objectives, setting award targets and determining award amounts. The committee has designated AbbVie's executive officers as PIP participants for 2016.</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Performance Goals</w:t>
      </w:r>
    </w:p>
    <w:p>
      <w:pPr>
        <w:spacing w:after="0" w:line="230" w:lineRule="exact"/>
        <w:rPr>
          <w:sz w:val="20"/>
          <w:szCs w:val="20"/>
          <w:color w:val="auto"/>
        </w:rPr>
      </w:pPr>
    </w:p>
    <w:p>
      <w:pPr>
        <w:ind w:right="80" w:firstLine="651"/>
        <w:spacing w:after="0" w:line="242" w:lineRule="auto"/>
        <w:rPr>
          <w:sz w:val="20"/>
          <w:szCs w:val="20"/>
          <w:color w:val="auto"/>
        </w:rPr>
      </w:pPr>
      <w:r>
        <w:rPr>
          <w:rFonts w:ascii="Arial" w:cs="Arial" w:eastAsia="Arial" w:hAnsi="Arial"/>
          <w:sz w:val="17"/>
          <w:szCs w:val="17"/>
          <w:color w:val="auto"/>
        </w:rPr>
        <w:t>All awards payable under the PIP are based on the company's consolidated net earnings. If the company does not have consolidated net earnings, no awards are payable under the plan. The amount of a participant's award is determined as follows: the PIP plan document sets the base award allocation for the Chief Executive Officer at ..0015 of the consolidated net earnings of the company for the fiscal year, the base award allocation for the Chief Operating Officer at .0010 of consolidated net earnings, and the base award allocation for any other participant at .00075 of consolidated net earnings. After the fiscal year ends and consolidated net earnings are determined, the compensation committee assesses each participant's contributions and determines the actual awards by adjusting each individual's base award allocation based on his or her performance against company financial, operational and strategic goals and individual goals during the year. The compensation committee has, and frequently exercises, negative discretion to reduce</w:t>
      </w:r>
    </w:p>
    <w:p>
      <w:pPr>
        <w:spacing w:after="0" w:line="208"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60  </w:t>
      </w:r>
      <w:r>
        <w:rPr>
          <w:sz w:val="1"/>
          <w:szCs w:val="1"/>
          <w:color w:val="auto"/>
        </w:rPr>
        <w:drawing>
          <wp:inline distT="0" distB="0" distL="0" distR="0">
            <wp:extent cx="622300" cy="107950"/>
            <wp:effectExtent l="0" t="0" r="0" b="0"/>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3" w:name="page64"/>
    <w:bookmarkEnd w:id="6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3014345</wp:posOffset>
            </wp:positionH>
            <wp:positionV relativeFrom="paragraph">
              <wp:posOffset>130810</wp:posOffset>
            </wp:positionV>
            <wp:extent cx="4239260" cy="14097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239260" cy="140970"/>
                    </a:xfrm>
                    <a:prstGeom prst="rect">
                      <a:avLst/>
                    </a:prstGeom>
                    <a:noFill/>
                  </pic:spPr>
                </pic:pic>
              </a:graphicData>
            </a:graphic>
          </wp:anchor>
        </w:drawing>
      </w:r>
    </w:p>
    <w:p>
      <w:pPr>
        <w:spacing w:after="0" w:line="190" w:lineRule="exact"/>
        <w:rPr>
          <w:sz w:val="20"/>
          <w:szCs w:val="20"/>
          <w:color w:val="auto"/>
        </w:rPr>
      </w:pPr>
    </w:p>
    <w:p>
      <w:pPr>
        <w:spacing w:after="0"/>
        <w:tabs>
          <w:tab w:leader="none" w:pos="4780" w:val="left"/>
        </w:tabs>
        <w:rPr>
          <w:sz w:val="20"/>
          <w:szCs w:val="20"/>
          <w:color w:val="auto"/>
        </w:rPr>
      </w:pPr>
      <w:r>
        <w:rPr>
          <w:rFonts w:ascii="Arial" w:cs="Arial" w:eastAsia="Arial" w:hAnsi="Arial"/>
          <w:sz w:val="17"/>
          <w:szCs w:val="17"/>
          <w:color w:val="auto"/>
        </w:rPr>
        <w:t>the awards payable to the PIP participants. The PIP does not</w:t>
      </w:r>
      <w:r>
        <w:rPr>
          <w:sz w:val="20"/>
          <w:szCs w:val="20"/>
          <w:color w:val="auto"/>
        </w:rPr>
        <w:tab/>
      </w:r>
      <w:r>
        <w:rPr>
          <w:rFonts w:ascii="Arial" w:cs="Arial" w:eastAsia="Arial" w:hAnsi="Arial"/>
          <w:sz w:val="10"/>
          <w:szCs w:val="10"/>
          <w:b w:val="1"/>
          <w:bCs w:val="1"/>
          <w:color w:val="FFFFFE"/>
        </w:rPr>
        <w:t>APPROVAL OF THE MATERIAL TERMS OF THE PERFORMANCE GOALS UNDER THE ABBVIE PERFORMANCE INCENTIVE PLAN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permit the committee to award amounts that exceed the base</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award allocations set forth in the plan document.</w:t>
      </w:r>
    </w:p>
    <w:p>
      <w:pPr>
        <w:spacing w:after="0" w:line="210" w:lineRule="exact"/>
        <w:rPr>
          <w:sz w:val="20"/>
          <w:szCs w:val="20"/>
          <w:color w:val="auto"/>
        </w:rPr>
      </w:pPr>
    </w:p>
    <w:p>
      <w:pPr>
        <w:ind w:right="560" w:firstLine="651"/>
        <w:spacing w:after="0" w:line="250" w:lineRule="auto"/>
        <w:rPr>
          <w:sz w:val="20"/>
          <w:szCs w:val="20"/>
          <w:color w:val="auto"/>
        </w:rPr>
      </w:pPr>
      <w:r>
        <w:rPr>
          <w:rFonts w:ascii="Arial" w:cs="Arial" w:eastAsia="Arial" w:hAnsi="Arial"/>
          <w:sz w:val="17"/>
          <w:szCs w:val="17"/>
          <w:color w:val="auto"/>
        </w:rPr>
        <w:t>Amounts that may be paid under the PIP in the future are not determinable. The Non-Equity Incentive Plan Compensation column of the Summary Compensation Table set forth in this proxy statement shows the awards paid to the NEOs under the PIP in 2013 through 2015.</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Plan Modification or Termination</w:t>
      </w:r>
    </w:p>
    <w:p>
      <w:pPr>
        <w:spacing w:after="0" w:line="230" w:lineRule="exact"/>
        <w:rPr>
          <w:sz w:val="20"/>
          <w:szCs w:val="20"/>
          <w:color w:val="auto"/>
        </w:rPr>
      </w:pPr>
    </w:p>
    <w:p>
      <w:pPr>
        <w:ind w:right="80" w:firstLine="657"/>
        <w:spacing w:after="0" w:line="250" w:lineRule="auto"/>
        <w:rPr>
          <w:sz w:val="20"/>
          <w:szCs w:val="20"/>
          <w:color w:val="auto"/>
        </w:rPr>
      </w:pPr>
      <w:r>
        <w:rPr>
          <w:rFonts w:ascii="Arial" w:cs="Arial" w:eastAsia="Arial" w:hAnsi="Arial"/>
          <w:sz w:val="17"/>
          <w:szCs w:val="17"/>
          <w:color w:val="auto"/>
        </w:rPr>
        <w:t>The AbbVie board of directors may modify, amend, suspend or terminate the PIP. However, no modification may, without the consent of the participant, reduce the right of a participant to a payment or distribution to which the participant is entitled by reason of an outstanding award allocation.</w:t>
      </w:r>
    </w:p>
    <w:p>
      <w:pPr>
        <w:spacing w:after="0" w:line="174" w:lineRule="exact"/>
        <w:rPr>
          <w:sz w:val="20"/>
          <w:szCs w:val="20"/>
          <w:color w:val="auto"/>
        </w:rPr>
      </w:pPr>
    </w:p>
    <w:p>
      <w:pPr>
        <w:ind w:right="40" w:firstLine="661"/>
        <w:spacing w:after="0" w:line="275" w:lineRule="auto"/>
        <w:rPr>
          <w:sz w:val="20"/>
          <w:szCs w:val="20"/>
          <w:color w:val="auto"/>
        </w:rPr>
      </w:pPr>
      <w:r>
        <w:rPr>
          <w:rFonts w:ascii="Arial" w:cs="Arial" w:eastAsia="Arial" w:hAnsi="Arial"/>
          <w:sz w:val="17"/>
          <w:szCs w:val="17"/>
          <w:b w:val="1"/>
          <w:bCs w:val="1"/>
          <w:color w:val="auto"/>
        </w:rPr>
        <w:t>The board of directors recommends that you vote FOR the approval of the material terms of the performance goals under the AbbVie Performance Incentive Plan.</w:t>
      </w:r>
    </w:p>
    <w:p>
      <w:pPr>
        <w:spacing w:after="0" w:line="18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4" w:name="page65"/>
    <w:bookmarkEnd w:id="6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6305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right="320" w:firstLine="657"/>
        <w:spacing w:after="0" w:line="243" w:lineRule="auto"/>
        <w:rPr>
          <w:sz w:val="20"/>
          <w:szCs w:val="20"/>
          <w:color w:val="auto"/>
        </w:rPr>
      </w:pPr>
      <w:r>
        <w:rPr>
          <w:rFonts w:ascii="Arial" w:cs="Arial" w:eastAsia="Arial" w:hAnsi="Arial"/>
          <w:sz w:val="17"/>
          <w:szCs w:val="17"/>
          <w:color w:val="auto"/>
        </w:rPr>
        <w:t>Two stockholder proposals will be voted upon at the Annual Meeting if properly presented by or on behalf of the proponent. The address of each of the proponents is available upon request. The proposed resolutions and the statements made in support thereof, as well as the Board of Directors' statements in opposition to these proposals, are presented on the following pages. The proposal may contain assertions about AbbVie or other statements that we believe are incorrect.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The board of directors recommends that you vote AGAINST the proposals for the reasons set forth following the proposals.</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Stockholder Proposal on Drug Disposal Report (Item 6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220" w:firstLine="651"/>
        <w:spacing w:after="0" w:line="245" w:lineRule="auto"/>
        <w:rPr>
          <w:sz w:val="20"/>
          <w:szCs w:val="20"/>
          <w:color w:val="auto"/>
        </w:rPr>
      </w:pPr>
      <w:r>
        <w:rPr>
          <w:rFonts w:ascii="Arial" w:cs="Arial" w:eastAsia="Arial" w:hAnsi="Arial"/>
          <w:sz w:val="17"/>
          <w:szCs w:val="17"/>
          <w:color w:val="auto"/>
        </w:rPr>
        <w:t>As You Sow, on behalf of The Gun Denhart Living Trust and Samajak LP, and co-filers Congregation of the Divine Providence, Providence Trust, and Sisters of Charity of the Incarnate Word, have notified AbbVie that they intend to present the following proposal at the Annual Meeting and that they collectively own 484 AbbVie shares.</w:t>
      </w:r>
    </w:p>
    <w:p>
      <w:pPr>
        <w:spacing w:after="0" w:line="178" w:lineRule="exact"/>
        <w:rPr>
          <w:sz w:val="20"/>
          <w:szCs w:val="20"/>
          <w:color w:val="auto"/>
        </w:rPr>
      </w:pPr>
    </w:p>
    <w:p>
      <w:pPr>
        <w:ind w:right="320" w:firstLine="661"/>
        <w:spacing w:after="0" w:line="275"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Lack of free, convenient programs for proper disposal of unneeded or expired consumer prescription drugs and accessories</w:t>
      </w:r>
      <w:r>
        <w:rPr>
          <w:rFonts w:ascii="Arial" w:cs="Arial" w:eastAsia="Arial" w:hAnsi="Arial"/>
          <w:sz w:val="17"/>
          <w:szCs w:val="17"/>
          <w:b w:val="1"/>
          <w:bCs w:val="1"/>
          <w:color w:val="auto"/>
        </w:rPr>
        <w:t xml:space="preserve"> </w:t>
      </w:r>
      <w:r>
        <w:rPr>
          <w:rFonts w:ascii="Arial" w:cs="Arial" w:eastAsia="Arial" w:hAnsi="Arial"/>
          <w:sz w:val="17"/>
          <w:szCs w:val="17"/>
          <w:color w:val="auto"/>
        </w:rPr>
        <w:t>contributes to water pollution, illicit drug use, drug addiction, and threats to sanitation workers.</w:t>
      </w:r>
    </w:p>
    <w:p>
      <w:pPr>
        <w:spacing w:after="0" w:line="173" w:lineRule="exact"/>
        <w:rPr>
          <w:sz w:val="20"/>
          <w:szCs w:val="20"/>
          <w:color w:val="auto"/>
        </w:rPr>
      </w:pPr>
    </w:p>
    <w:p>
      <w:pPr>
        <w:ind w:right="100" w:firstLine="661"/>
        <w:spacing w:after="0" w:line="243" w:lineRule="auto"/>
        <w:rPr>
          <w:sz w:val="20"/>
          <w:szCs w:val="20"/>
          <w:color w:val="auto"/>
        </w:rPr>
      </w:pPr>
      <w:r>
        <w:rPr>
          <w:rFonts w:ascii="Arial" w:cs="Arial" w:eastAsia="Arial" w:hAnsi="Arial"/>
          <w:sz w:val="17"/>
          <w:szCs w:val="17"/>
          <w:color w:val="auto"/>
        </w:rPr>
        <w:t>Consumers lacking drug disposal programs in their communities often flush old drugs down the drain or toilet, contributing to water pollution. Numerous studies have found detectable levels of pharmaceuticals in surface and groundwater drinking water sources. Water treatment plants are not equipped to remove such medicines. The U.S. Environmental Protection Agency advises consumers not to flush prescription drugs, but to return medications to a disposal or take back program.</w:t>
      </w:r>
    </w:p>
    <w:p>
      <w:pPr>
        <w:spacing w:after="0" w:line="201" w:lineRule="exact"/>
        <w:rPr>
          <w:sz w:val="20"/>
          <w:szCs w:val="20"/>
          <w:color w:val="auto"/>
        </w:rPr>
      </w:pPr>
    </w:p>
    <w:p>
      <w:pPr>
        <w:ind w:right="80" w:firstLine="661"/>
        <w:spacing w:after="0" w:line="243" w:lineRule="auto"/>
        <w:rPr>
          <w:sz w:val="20"/>
          <w:szCs w:val="20"/>
          <w:color w:val="auto"/>
        </w:rPr>
      </w:pPr>
      <w:r>
        <w:rPr>
          <w:rFonts w:ascii="Arial" w:cs="Arial" w:eastAsia="Arial" w:hAnsi="Arial"/>
          <w:sz w:val="17"/>
          <w:szCs w:val="17"/>
          <w:color w:val="auto"/>
        </w:rPr>
        <w:t>In 2013, overdoses from prescription pain medications killed more than 16,000 Americans. President Obama says most young people who begin misusing prescription drugs get them from the medicine cabinet. Lack of convenient disposal programs for prescription drugs has been linked to poisoning of children and pets; misuse by teenagers and adults; and senior accidentally taking the wrong medicine. About 3 billion needles are used in U.S. homes annually to deliver medication; their improper disposal leads to needles washing up on beaches and threats to sanitation workers handling waste with used needles.</w:t>
      </w:r>
    </w:p>
    <w:p>
      <w:pPr>
        <w:spacing w:after="0" w:line="199" w:lineRule="exact"/>
        <w:rPr>
          <w:sz w:val="20"/>
          <w:szCs w:val="20"/>
          <w:color w:val="auto"/>
        </w:rPr>
      </w:pPr>
    </w:p>
    <w:p>
      <w:pPr>
        <w:ind w:right="100" w:firstLine="661"/>
        <w:spacing w:after="0" w:line="243" w:lineRule="auto"/>
        <w:rPr>
          <w:sz w:val="20"/>
          <w:szCs w:val="20"/>
          <w:color w:val="auto"/>
        </w:rPr>
      </w:pPr>
      <w:r>
        <w:rPr>
          <w:rFonts w:ascii="Arial" w:cs="Arial" w:eastAsia="Arial" w:hAnsi="Arial"/>
          <w:sz w:val="17"/>
          <w:szCs w:val="17"/>
          <w:color w:val="auto"/>
        </w:rPr>
        <w:t>Most U.S. communities lack free, convenient, on-going collection programs that could help alleviate these critical problems. The Drug Enforcement Administration has partnered with state and local law enforcement agencies to hold periodic National Take-Back Days for medicines, collecting and disposing of more than 5.5 million pounds of medications in just ten events. But far more convenient and ongoing collection services are needed. The National Drug Control Strategy report calls for establishment of long-term, sustainable disposal programs in communities.</w:t>
      </w:r>
    </w:p>
    <w:p>
      <w:pPr>
        <w:spacing w:after="0" w:line="201" w:lineRule="exact"/>
        <w:rPr>
          <w:sz w:val="20"/>
          <w:szCs w:val="20"/>
          <w:color w:val="auto"/>
        </w:rPr>
      </w:pPr>
    </w:p>
    <w:p>
      <w:pPr>
        <w:ind w:firstLine="657"/>
        <w:spacing w:after="0" w:line="242" w:lineRule="auto"/>
        <w:rPr>
          <w:sz w:val="20"/>
          <w:szCs w:val="20"/>
          <w:color w:val="auto"/>
        </w:rPr>
      </w:pPr>
      <w:r>
        <w:rPr>
          <w:rFonts w:ascii="Arial" w:cs="Arial" w:eastAsia="Arial" w:hAnsi="Arial"/>
          <w:sz w:val="17"/>
          <w:szCs w:val="17"/>
          <w:color w:val="auto"/>
        </w:rPr>
        <w:t>The concept of producer responsibility calls for company accountability for financing take back of unneeded or expired medications and accessories by the companies that have placed them on the market. Several states have enacted regulations requiring manufacturers of paint, pesticides, and electronics to develop programs for take back and proper recycling or disposal. The province of Ontario, Canada enacted a regulation in 2012 assigning responsibility for end-of-life management of pharmaceutical waste to manufacturers. Many European countries have industry-funded drug take back programs. While the company has published detailed social responsibility statements on issues like energy and water, it has not issued a position on this escalating policy area.</w:t>
      </w:r>
    </w:p>
    <w:p>
      <w:pPr>
        <w:spacing w:after="0" w:line="182" w:lineRule="exact"/>
        <w:rPr>
          <w:sz w:val="20"/>
          <w:szCs w:val="20"/>
          <w:color w:val="auto"/>
        </w:rPr>
      </w:pPr>
    </w:p>
    <w:p>
      <w:pPr>
        <w:ind w:right="360" w:firstLine="661"/>
        <w:spacing w:after="0" w:line="257" w:lineRule="auto"/>
        <w:rPr>
          <w:sz w:val="20"/>
          <w:szCs w:val="20"/>
          <w:color w:val="auto"/>
        </w:rPr>
      </w:pPr>
      <w:r>
        <w:rPr>
          <w:rFonts w:ascii="Arial" w:cs="Arial" w:eastAsia="Arial" w:hAnsi="Arial"/>
          <w:sz w:val="17"/>
          <w:szCs w:val="17"/>
          <w:b w:val="1"/>
          <w:bCs w:val="1"/>
          <w:color w:val="auto"/>
        </w:rPr>
        <w:t xml:space="preserve">Resolved: </w:t>
      </w:r>
      <w:r>
        <w:rPr>
          <w:rFonts w:ascii="Arial" w:cs="Arial" w:eastAsia="Arial" w:hAnsi="Arial"/>
          <w:sz w:val="17"/>
          <w:szCs w:val="17"/>
          <w:color w:val="auto"/>
        </w:rPr>
        <w:t>Shareowners of AbbVie request that the board of directors issue a report, at reasonable expense and excluding proprietary</w:t>
      </w:r>
      <w:r>
        <w:rPr>
          <w:rFonts w:ascii="Arial" w:cs="Arial" w:eastAsia="Arial" w:hAnsi="Arial"/>
          <w:sz w:val="17"/>
          <w:szCs w:val="17"/>
          <w:b w:val="1"/>
          <w:bCs w:val="1"/>
          <w:color w:val="auto"/>
        </w:rPr>
        <w:t xml:space="preserve"> </w:t>
      </w:r>
      <w:r>
        <w:rPr>
          <w:rFonts w:ascii="Arial" w:cs="Arial" w:eastAsia="Arial" w:hAnsi="Arial"/>
          <w:sz w:val="17"/>
          <w:szCs w:val="17"/>
          <w:color w:val="auto"/>
        </w:rPr>
        <w:t>information, reviewing the company's existing policies for safe disposition by users of prescription drugs to prevent water pollution, and setting forth policy options for a proactive response, including</w:t>
      </w:r>
    </w:p>
    <w:p>
      <w:pPr>
        <w:spacing w:after="0" w:line="19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62  </w:t>
      </w:r>
      <w:r>
        <w:rPr>
          <w:sz w:val="1"/>
          <w:szCs w:val="1"/>
          <w:color w:val="auto"/>
        </w:rPr>
        <w:drawing>
          <wp:inline distT="0" distB="0" distL="0" distR="0">
            <wp:extent cx="622300" cy="107950"/>
            <wp:effectExtent l="0" t="0" r="0" b="0"/>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65" w:name="page66"/>
    <w:bookmarkEnd w:id="6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10" w:lineRule="exact"/>
        <w:rPr>
          <w:sz w:val="20"/>
          <w:szCs w:val="20"/>
          <w:color w:val="auto"/>
        </w:rPr>
      </w:pPr>
    </w:p>
    <w:p>
      <w:pPr>
        <w:spacing w:after="0" w:line="250" w:lineRule="auto"/>
        <w:rPr>
          <w:sz w:val="20"/>
          <w:szCs w:val="20"/>
          <w:color w:val="auto"/>
        </w:rPr>
      </w:pPr>
      <w:r>
        <w:rPr>
          <w:rFonts w:ascii="Arial" w:cs="Arial" w:eastAsia="Arial" w:hAnsi="Arial"/>
          <w:sz w:val="17"/>
          <w:szCs w:val="17"/>
          <w:color w:val="auto"/>
        </w:rPr>
        <w:t>determining whether the company should endorse partial or full industry responsibility for take back programs by providing funding or resources for such programs.</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Supporting Statement: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0"/>
          <w:szCs w:val="10"/>
          <w:b w:val="1"/>
          <w:bCs w:val="1"/>
          <w:color w:val="FFFFFE"/>
        </w:rPr>
        <w:t>STOCKHOLDER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-37465</wp:posOffset>
            </wp:positionH>
            <wp:positionV relativeFrom="paragraph">
              <wp:posOffset>-95885</wp:posOffset>
            </wp:positionV>
            <wp:extent cx="1120140" cy="14097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120140" cy="140970"/>
                    </a:xfrm>
                    <a:prstGeom prst="rect">
                      <a:avLst/>
                    </a:prstGeom>
                    <a:noFill/>
                  </pic:spPr>
                </pic:pic>
              </a:graphicData>
            </a:graphic>
          </wp:anchor>
        </w:drawing>
      </w:r>
    </w:p>
    <w:p>
      <w:pPr>
        <w:spacing w:after="0" w:line="827" w:lineRule="exact"/>
        <w:rPr>
          <w:sz w:val="20"/>
          <w:szCs w:val="20"/>
          <w:color w:val="auto"/>
        </w:rPr>
      </w:pPr>
    </w:p>
    <w:p>
      <w:pPr>
        <w:sectPr>
          <w:pgSz w:w="11900" w:h="16838" w:orient="portrait"/>
          <w:cols w:equalWidth="0" w:num="2">
            <w:col w:w="9160" w:space="560"/>
            <w:col w:w="1700"/>
          </w:cols>
          <w:pgMar w:left="240" w:top="143" w:right="239" w:bottom="1440" w:gutter="0" w:footer="0" w:header="0"/>
        </w:sectPr>
      </w:pPr>
    </w:p>
    <w:p>
      <w:pPr>
        <w:spacing w:after="0" w:line="30" w:lineRule="exact"/>
        <w:rPr>
          <w:sz w:val="20"/>
          <w:szCs w:val="20"/>
          <w:color w:val="auto"/>
        </w:rPr>
      </w:pPr>
    </w:p>
    <w:p>
      <w:pPr>
        <w:ind w:right="120" w:firstLine="661"/>
        <w:spacing w:after="0" w:line="250" w:lineRule="auto"/>
        <w:rPr>
          <w:sz w:val="20"/>
          <w:szCs w:val="20"/>
          <w:color w:val="auto"/>
        </w:rPr>
      </w:pPr>
      <w:r>
        <w:rPr>
          <w:rFonts w:ascii="Arial" w:cs="Arial" w:eastAsia="Arial" w:hAnsi="Arial"/>
          <w:sz w:val="17"/>
          <w:szCs w:val="17"/>
          <w:color w:val="auto"/>
        </w:rPr>
        <w:t>Management may also consider other harms besides water pollution in evaluating take back programs, and whether, in addition to addressing disposition of prescription drugs, such programs should encompass accessories such as used needles and syringes.</w:t>
      </w:r>
    </w:p>
    <w:p>
      <w:pPr>
        <w:spacing w:after="0" w:line="158" w:lineRule="exact"/>
        <w:rPr>
          <w:sz w:val="20"/>
          <w:szCs w:val="20"/>
          <w:color w:val="auto"/>
        </w:rPr>
      </w:pPr>
    </w:p>
    <w:p>
      <w:pPr>
        <w:ind w:right="60"/>
        <w:spacing w:after="0" w:line="269" w:lineRule="auto"/>
        <w:rPr>
          <w:sz w:val="20"/>
          <w:szCs w:val="20"/>
          <w:color w:val="auto"/>
        </w:rPr>
      </w:pPr>
      <w:r>
        <w:rPr>
          <w:rFonts w:ascii="Arial" w:cs="Arial" w:eastAsia="Arial" w:hAnsi="Arial"/>
          <w:sz w:val="21"/>
          <w:szCs w:val="21"/>
          <w:b w:val="1"/>
          <w:bCs w:val="1"/>
          <w:color w:val="444867"/>
        </w:rPr>
        <w:t>Board of Directors Statement in Opposition to the Stockholder Proposal on Drug Disposal Report (Item 6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106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The Board of Directors recommends that stockholders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this proposal.</w:t>
      </w:r>
    </w:p>
    <w:p>
      <w:pPr>
        <w:spacing w:after="0" w:line="230" w:lineRule="exact"/>
        <w:rPr>
          <w:sz w:val="20"/>
          <w:szCs w:val="20"/>
          <w:color w:val="auto"/>
        </w:rPr>
      </w:pPr>
    </w:p>
    <w:p>
      <w:pPr>
        <w:ind w:right="120" w:firstLine="651"/>
        <w:spacing w:after="0" w:line="243" w:lineRule="auto"/>
        <w:rPr>
          <w:sz w:val="20"/>
          <w:szCs w:val="20"/>
          <w:color w:val="auto"/>
        </w:rPr>
      </w:pPr>
      <w:r>
        <w:rPr>
          <w:rFonts w:ascii="Arial" w:cs="Arial" w:eastAsia="Arial" w:hAnsi="Arial"/>
          <w:sz w:val="17"/>
          <w:szCs w:val="17"/>
          <w:color w:val="auto"/>
        </w:rPr>
        <w:t>At AbbVie, we are committed to developing the highest quality products and ensuring the safety of the patients who use them. We believe that addressing the world's health challenges requires a comprehensive and responsible approach, and we dedicate significant resources to improving healthcare and communities. The issue of secure disposal of hazardous medical waste is part of this commitment. Accordingly, we have proactively taken a number of steps to address this concern in a socially responsible manner.</w:t>
      </w:r>
    </w:p>
    <w:p>
      <w:pPr>
        <w:spacing w:after="0" w:line="201" w:lineRule="exact"/>
        <w:rPr>
          <w:sz w:val="20"/>
          <w:szCs w:val="20"/>
          <w:color w:val="auto"/>
        </w:rPr>
      </w:pPr>
    </w:p>
    <w:p>
      <w:pPr>
        <w:ind w:right="120" w:firstLine="651"/>
        <w:spacing w:after="0" w:line="243" w:lineRule="auto"/>
        <w:rPr>
          <w:sz w:val="20"/>
          <w:szCs w:val="20"/>
          <w:color w:val="auto"/>
        </w:rPr>
      </w:pPr>
      <w:r>
        <w:rPr>
          <w:rFonts w:ascii="Arial" w:cs="Arial" w:eastAsia="Arial" w:hAnsi="Arial"/>
          <w:sz w:val="17"/>
          <w:szCs w:val="17"/>
          <w:color w:val="auto"/>
        </w:rPr>
        <w:t>AbbVie has a comprehensive collection, containment, return, and waste treatment option for patients using Humira, our flagship product. To mitigate potential risk posed by injection needles, we developed the HUMIRA Sharps Mail-Back Program in 2007. This service provides patients with a safe and environmentally-friendly way to dispose of Humira needles following an injection and includes collection containers and mail-back boxes with pre-paid postage, to each individual who enrolls in AbbVie's program. We believe our proactive approach has created a safer environment for patients and their communities.</w:t>
      </w:r>
    </w:p>
    <w:p>
      <w:pPr>
        <w:spacing w:after="0" w:line="199" w:lineRule="exact"/>
        <w:rPr>
          <w:sz w:val="20"/>
          <w:szCs w:val="20"/>
          <w:color w:val="auto"/>
        </w:rPr>
      </w:pPr>
    </w:p>
    <w:p>
      <w:pPr>
        <w:ind w:right="60" w:firstLine="651"/>
        <w:spacing w:after="0" w:line="243" w:lineRule="auto"/>
        <w:rPr>
          <w:sz w:val="20"/>
          <w:szCs w:val="20"/>
          <w:color w:val="auto"/>
        </w:rPr>
      </w:pPr>
      <w:r>
        <w:rPr>
          <w:rFonts w:ascii="Arial" w:cs="Arial" w:eastAsia="Arial" w:hAnsi="Arial"/>
          <w:sz w:val="17"/>
          <w:szCs w:val="17"/>
          <w:color w:val="auto"/>
        </w:rPr>
        <w:t>AbbVie believes that effectively addressing industry-wide drug disposal policies requires the collective effort of numerous interested parties, including pharmacies, law enforcement officials, pharmaceutical drug distributors, institutional healthcare providers, and others. In September 2014, the Drug Enforcement Administration published final rules concerning secure drug disposal that encouraged partnerships among retail pharmacies, hospitals, clinics, drug manufacturers, drug distributors and reverse distributors, other community organizations and law enforcement to provide methods of safe drug disposal in the communities they serve. AbbVie supports collective effort on this issue.</w:t>
      </w:r>
    </w:p>
    <w:p>
      <w:pPr>
        <w:spacing w:after="0" w:line="199" w:lineRule="exact"/>
        <w:rPr>
          <w:sz w:val="20"/>
          <w:szCs w:val="20"/>
          <w:color w:val="auto"/>
        </w:rPr>
      </w:pPr>
    </w:p>
    <w:p>
      <w:pPr>
        <w:ind w:firstLine="651"/>
        <w:spacing w:after="0" w:line="245" w:lineRule="auto"/>
        <w:rPr>
          <w:sz w:val="20"/>
          <w:szCs w:val="20"/>
          <w:color w:val="auto"/>
        </w:rPr>
      </w:pPr>
      <w:r>
        <w:rPr>
          <w:rFonts w:ascii="Arial" w:cs="Arial" w:eastAsia="Arial" w:hAnsi="Arial"/>
          <w:sz w:val="17"/>
          <w:szCs w:val="17"/>
          <w:color w:val="auto"/>
        </w:rPr>
        <w:t>AbbVie and other companies have also been actively engaged with the Pharmaceutical Research and Manufacturers of America ("PhRMA") and Biotechnology Industry Organization ("BIO") in working to develop an effective solution to the secure drug disposal issue. In February 2015, PhRMA created a working group with the goal of effecting positive change in the area of secure drug disposal.</w:t>
      </w:r>
    </w:p>
    <w:p>
      <w:pPr>
        <w:spacing w:after="0" w:line="198" w:lineRule="exact"/>
        <w:rPr>
          <w:sz w:val="20"/>
          <w:szCs w:val="20"/>
          <w:color w:val="auto"/>
        </w:rPr>
      </w:pPr>
    </w:p>
    <w:p>
      <w:pPr>
        <w:ind w:right="20" w:firstLine="657"/>
        <w:spacing w:after="0" w:line="242" w:lineRule="auto"/>
        <w:rPr>
          <w:sz w:val="20"/>
          <w:szCs w:val="20"/>
          <w:color w:val="auto"/>
        </w:rPr>
      </w:pPr>
      <w:r>
        <w:rPr>
          <w:rFonts w:ascii="Arial" w:cs="Arial" w:eastAsia="Arial" w:hAnsi="Arial"/>
          <w:sz w:val="17"/>
          <w:szCs w:val="17"/>
          <w:color w:val="auto"/>
        </w:rPr>
        <w:t>The proponent requests that our Board of Directors issue a report to "set forth policy options for a proactive response," among other things. We are one of many participants in a broader industry-wide discussion that continues to develop. Therefore, neither AbbVie, nor any individual company, is best-suited to set forth policy options on this issue. Further, preparation of a comprehensive report on the issue of secure drug disposal, as proposed, would require significant resources and expenditures, which would be better addressed in partnership with numerous interested parties as PhRMA has undertaken. We believe that a report requested by the proposal would neither be an effective use of company resources, nor in the best interests of our stockholders.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The Board of Directors recommends that you vote AGAINST the proposal.</w:t>
      </w:r>
    </w:p>
    <w:p>
      <w:pPr>
        <w:spacing w:after="0" w:line="194"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Stockholder Proposal on Lobbying Report (Item 7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60" w:firstLine="661"/>
        <w:spacing w:after="0" w:line="250" w:lineRule="auto"/>
        <w:rPr>
          <w:sz w:val="20"/>
          <w:szCs w:val="20"/>
          <w:color w:val="auto"/>
        </w:rPr>
      </w:pPr>
      <w:r>
        <w:rPr>
          <w:rFonts w:ascii="Arial" w:cs="Arial" w:eastAsia="Arial" w:hAnsi="Arial"/>
          <w:sz w:val="17"/>
          <w:szCs w:val="17"/>
          <w:color w:val="auto"/>
        </w:rPr>
        <w:t>Zevin Asset Management on behalf of Janet Axelrod has notified AbbVie that it intends to present the following proposal at the Annual Meeting and that the proponent owns 1,800 AbbVie shares.</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type w:val="continuous"/>
        </w:sectPr>
      </w:pPr>
    </w:p>
    <w:bookmarkStart w:id="66" w:name="page67"/>
    <w:bookmarkEnd w:id="66"/>
    <w:tbl>
      <w:tblPr>
        <w:tblLayout w:type="fixed"/>
        <w:tblInd w:w="0" w:type="dxa"/>
        <w:tblCellMar>
          <w:top w:w="0" w:type="dxa"/>
          <w:left w:w="0" w:type="dxa"/>
          <w:bottom w:w="0" w:type="dxa"/>
          <w:right w:w="0" w:type="dxa"/>
        </w:tblCellMar>
      </w:tblPr>
      <w:tr>
        <w:trPr>
          <w:trHeight w:val="195"/>
        </w:trPr>
        <w:tc>
          <w:tcPr>
            <w:tcW w:w="1760" w:type="dxa"/>
            <w:vAlign w:val="bottom"/>
            <w:gridSpan w:val="2"/>
          </w:tcPr>
          <w:p>
            <w:pPr>
              <w:spacing w:after="0"/>
              <w:rPr>
                <w:rFonts w:ascii="Arial" w:cs="Arial" w:eastAsia="Arial" w:hAnsi="Arial"/>
                <w:sz w:val="17"/>
                <w:szCs w:val="17"/>
                <w:color w:val="0000EE"/>
              </w:rPr>
            </w:pPr>
            <w:hyperlink w:anchor="page3">
              <w:r>
                <w:rPr>
                  <w:rFonts w:ascii="Arial" w:cs="Arial" w:eastAsia="Arial" w:hAnsi="Arial"/>
                  <w:sz w:val="17"/>
                  <w:szCs w:val="17"/>
                  <w:color w:val="0000EE"/>
                </w:rPr>
                <w:t>Table of Contents</w:t>
              </w:r>
            </w:hyperlink>
          </w:p>
        </w:tc>
        <w:tc>
          <w:tcPr>
            <w:tcW w:w="9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320" w:type="dxa"/>
            <w:vAlign w:val="bottom"/>
            <w:tcBorders>
              <w:top w:val="single" w:sz="8" w:color="0000EE"/>
            </w:tcBorders>
          </w:tcPr>
          <w:p>
            <w:pPr>
              <w:spacing w:after="0"/>
              <w:rPr>
                <w:sz w:val="18"/>
                <w:szCs w:val="18"/>
                <w:color w:val="auto"/>
              </w:rPr>
            </w:pPr>
          </w:p>
        </w:tc>
        <w:tc>
          <w:tcPr>
            <w:tcW w:w="440" w:type="dxa"/>
            <w:vAlign w:val="bottom"/>
          </w:tcPr>
          <w:p>
            <w:pPr>
              <w:spacing w:after="0"/>
              <w:rPr>
                <w:sz w:val="18"/>
                <w:szCs w:val="18"/>
                <w:color w:val="auto"/>
              </w:rPr>
            </w:pPr>
          </w:p>
        </w:tc>
        <w:tc>
          <w:tcPr>
            <w:tcW w:w="9300" w:type="dxa"/>
            <w:vAlign w:val="bottom"/>
            <w:vMerge w:val="restart"/>
          </w:tcPr>
          <w:p>
            <w:pPr>
              <w:ind w:left="660"/>
              <w:spacing w:after="0"/>
              <w:rPr>
                <w:sz w:val="20"/>
                <w:szCs w:val="20"/>
                <w:color w:val="auto"/>
              </w:rPr>
            </w:pPr>
            <w:r>
              <w:rPr>
                <w:rFonts w:ascii="Arial" w:cs="Arial" w:eastAsia="Arial" w:hAnsi="Arial"/>
                <w:sz w:val="17"/>
                <w:szCs w:val="17"/>
                <w:b w:val="1"/>
                <w:bCs w:val="1"/>
                <w:color w:val="auto"/>
                <w:w w:val="99"/>
              </w:rPr>
              <w:t>Whereas</w:t>
            </w:r>
            <w:r>
              <w:rPr>
                <w:rFonts w:ascii="Arial" w:cs="Arial" w:eastAsia="Arial" w:hAnsi="Arial"/>
                <w:sz w:val="17"/>
                <w:szCs w:val="17"/>
                <w:color w:val="auto"/>
                <w:w w:val="99"/>
              </w:rPr>
              <w:t>, we believe in full disclosure of AbbVie's direct and indirect lobbying activities and expenditures to assess</w:t>
            </w:r>
          </w:p>
        </w:tc>
        <w:tc>
          <w:tcPr>
            <w:tcW w:w="0" w:type="dxa"/>
            <w:vAlign w:val="bottom"/>
          </w:tcPr>
          <w:p>
            <w:pPr>
              <w:spacing w:after="0"/>
              <w:rPr>
                <w:sz w:val="1"/>
                <w:szCs w:val="1"/>
                <w:color w:val="auto"/>
              </w:rPr>
            </w:pPr>
          </w:p>
        </w:tc>
      </w:tr>
      <w:tr>
        <w:trPr>
          <w:trHeight w:val="202"/>
        </w:trPr>
        <w:tc>
          <w:tcPr>
            <w:tcW w:w="1760" w:type="dxa"/>
            <w:vAlign w:val="bottom"/>
            <w:tcBorders>
              <w:bottom w:val="single" w:sz="8" w:color="444867"/>
            </w:tcBorders>
            <w:gridSpan w:val="2"/>
            <w:shd w:val="clear" w:color="auto" w:fill="444867"/>
          </w:tcPr>
          <w:p>
            <w:pPr>
              <w:ind w:left="220"/>
              <w:spacing w:after="0"/>
              <w:rPr>
                <w:sz w:val="20"/>
                <w:szCs w:val="20"/>
                <w:color w:val="auto"/>
              </w:rPr>
            </w:pPr>
            <w:r>
              <w:rPr>
                <w:rFonts w:ascii="Arial" w:cs="Arial" w:eastAsia="Arial" w:hAnsi="Arial"/>
                <w:sz w:val="10"/>
                <w:szCs w:val="10"/>
                <w:b w:val="1"/>
                <w:bCs w:val="1"/>
                <w:color w:val="FFFFFE"/>
              </w:rPr>
              <w:t>STOCKHOLDER PROPOSALS</w:t>
            </w:r>
          </w:p>
        </w:tc>
        <w:tc>
          <w:tcPr>
            <w:tcW w:w="93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3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300" w:type="dxa"/>
            <w:vAlign w:val="bottom"/>
          </w:tcPr>
          <w:p>
            <w:pPr>
              <w:spacing w:after="0" w:line="180" w:lineRule="exact"/>
              <w:rPr>
                <w:sz w:val="20"/>
                <w:szCs w:val="20"/>
                <w:color w:val="auto"/>
              </w:rPr>
            </w:pPr>
            <w:r>
              <w:rPr>
                <w:rFonts w:ascii="Arial" w:cs="Arial" w:eastAsia="Arial" w:hAnsi="Arial"/>
                <w:sz w:val="17"/>
                <w:szCs w:val="17"/>
                <w:color w:val="auto"/>
              </w:rPr>
              <w:t>whether AbbVie's lobbying is consistent with AbbVie's expressed goals and in the best interests of stockholders.</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Resolved</w:t>
      </w:r>
      <w:r>
        <w:rPr>
          <w:rFonts w:ascii="Arial" w:cs="Arial" w:eastAsia="Arial" w:hAnsi="Arial"/>
          <w:sz w:val="17"/>
          <w:szCs w:val="17"/>
          <w:color w:val="auto"/>
        </w:rPr>
        <w:t>, the stockholders of AbbVie request the preparation of a report, updated annually, disclosing:</w:t>
      </w:r>
    </w:p>
    <w:p>
      <w:pPr>
        <w:spacing w:after="0" w:line="230" w:lineRule="exact"/>
        <w:rPr>
          <w:sz w:val="20"/>
          <w:szCs w:val="20"/>
          <w:color w:val="auto"/>
        </w:rPr>
      </w:pPr>
    </w:p>
    <w:p>
      <w:pPr>
        <w:ind w:left="1040" w:hanging="513"/>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Company policy and procedures governing lobbying, both direct and indirect, and grassroots lobbying communications.</w:t>
      </w:r>
    </w:p>
    <w:p>
      <w:pPr>
        <w:spacing w:after="0" w:line="13" w:lineRule="exact"/>
        <w:rPr>
          <w:rFonts w:ascii="Arial" w:cs="Arial" w:eastAsia="Arial" w:hAnsi="Arial"/>
          <w:sz w:val="17"/>
          <w:szCs w:val="17"/>
          <w:color w:val="auto"/>
        </w:rPr>
      </w:pPr>
    </w:p>
    <w:p>
      <w:pPr>
        <w:ind w:left="1040" w:hanging="513"/>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Payments by AbbVie used for (a) direct or indirect lobbying or (b) grassroots lobbying communications, in each case including the amount of the payment and the recipient.</w:t>
      </w:r>
    </w:p>
    <w:p>
      <w:pPr>
        <w:spacing w:after="0" w:line="1" w:lineRule="exact"/>
        <w:rPr>
          <w:rFonts w:ascii="Arial" w:cs="Arial" w:eastAsia="Arial" w:hAnsi="Arial"/>
          <w:sz w:val="17"/>
          <w:szCs w:val="17"/>
          <w:color w:val="auto"/>
        </w:rPr>
      </w:pPr>
    </w:p>
    <w:p>
      <w:pPr>
        <w:ind w:left="1040" w:hanging="513"/>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AbbVie's membership in and payments to any tax-exempt organization that writes and endorses model legislation.</w:t>
      </w:r>
    </w:p>
    <w:p>
      <w:pPr>
        <w:ind w:left="1040" w:hanging="513"/>
        <w:spacing w:after="0"/>
        <w:tabs>
          <w:tab w:leader="none" w:pos="1040" w:val="left"/>
        </w:tabs>
        <w:numPr>
          <w:ilvl w:val="0"/>
          <w:numId w:val="52"/>
        </w:numPr>
        <w:rPr>
          <w:rFonts w:ascii="Arial" w:cs="Arial" w:eastAsia="Arial" w:hAnsi="Arial"/>
          <w:sz w:val="17"/>
          <w:szCs w:val="17"/>
          <w:color w:val="auto"/>
        </w:rPr>
      </w:pPr>
      <w:r>
        <w:rPr>
          <w:rFonts w:ascii="Arial" w:cs="Arial" w:eastAsia="Arial" w:hAnsi="Arial"/>
          <w:sz w:val="17"/>
          <w:szCs w:val="17"/>
          <w:color w:val="auto"/>
        </w:rPr>
        <w:t>Description of management's decision making process and the Board's oversight for making payments described in section 2 above.</w:t>
      </w:r>
    </w:p>
    <w:p>
      <w:pPr>
        <w:spacing w:after="0" w:line="210" w:lineRule="exact"/>
        <w:rPr>
          <w:sz w:val="20"/>
          <w:szCs w:val="20"/>
          <w:color w:val="auto"/>
        </w:rPr>
      </w:pPr>
    </w:p>
    <w:p>
      <w:pPr>
        <w:ind w:right="80" w:firstLine="661"/>
        <w:spacing w:after="0" w:line="243" w:lineRule="auto"/>
        <w:rPr>
          <w:sz w:val="20"/>
          <w:szCs w:val="20"/>
          <w:color w:val="auto"/>
        </w:rPr>
      </w:pPr>
      <w:r>
        <w:rPr>
          <w:rFonts w:ascii="Arial" w:cs="Arial" w:eastAsia="Arial" w:hAnsi="Arial"/>
          <w:sz w:val="17"/>
          <w:szCs w:val="17"/>
          <w:color w:val="auto"/>
        </w:rPr>
        <w:t>For purposes of this proposal, a "grassroots lobbying communication" is a communication directed to the general public that (a) refers to specific legislation or regulation, (b) reflects a view on the legislation or regulation and (c) encourages the recipient of the communication to take action with respect to the legislation or regulation. "Indirect lobbying" is lobbying engaged in by a trade association or other organization of which AbbVie is a member.</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Both "direct and indirect lobbying" and "grassroots lobbying communications" include efforts at the local, state and federal levels.</w:t>
      </w:r>
    </w:p>
    <w:p>
      <w:pPr>
        <w:spacing w:after="0" w:line="21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report shall be presented to the Audit Committee or other relevant oversight committees and posted on AbbVie's website.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Supporting Statement</w:t>
      </w:r>
    </w:p>
    <w:p>
      <w:pPr>
        <w:spacing w:after="0" w:line="230" w:lineRule="exact"/>
        <w:rPr>
          <w:sz w:val="20"/>
          <w:szCs w:val="20"/>
          <w:color w:val="auto"/>
        </w:rPr>
      </w:pPr>
    </w:p>
    <w:p>
      <w:pPr>
        <w:ind w:right="100" w:firstLine="651"/>
        <w:spacing w:after="0" w:line="243" w:lineRule="auto"/>
        <w:rPr>
          <w:sz w:val="20"/>
          <w:szCs w:val="20"/>
          <w:color w:val="auto"/>
        </w:rPr>
      </w:pPr>
      <w:r>
        <w:rPr>
          <w:rFonts w:ascii="Arial" w:cs="Arial" w:eastAsia="Arial" w:hAnsi="Arial"/>
          <w:sz w:val="17"/>
          <w:szCs w:val="17"/>
          <w:color w:val="auto"/>
        </w:rPr>
        <w:t xml:space="preserve">As stockholders, we encourage transparency and accountability in the use of corporate funds to influence legislation and regulation. AbbVie spent $8.08 million in 2013 and 2014 on direct federal lobbying activities (opensecrets.org). This figure does not include lobbying expenditures to influence legislation in states, where AbbVie also lobbies but disclosure is uneven or absent. For example, AbbVie spent $615,908 on lobbying in California in 2013 and 2014. AbbVie's lobbying on tax inversions has attracted media scrutiny ("Corporate Tax Dodgers Might Make Congress Actually Do Something," </w:t>
      </w:r>
      <w:r>
        <w:rPr>
          <w:rFonts w:ascii="Arial" w:cs="Arial" w:eastAsia="Arial" w:hAnsi="Arial"/>
          <w:sz w:val="17"/>
          <w:szCs w:val="17"/>
          <w:i w:val="1"/>
          <w:iCs w:val="1"/>
          <w:color w:val="auto"/>
        </w:rPr>
        <w:t>Fortune</w:t>
      </w:r>
      <w:r>
        <w:rPr>
          <w:rFonts w:ascii="Arial" w:cs="Arial" w:eastAsia="Arial" w:hAnsi="Arial"/>
          <w:sz w:val="17"/>
          <w:szCs w:val="17"/>
          <w:color w:val="auto"/>
        </w:rPr>
        <w:t>, July 22, 2014).</w:t>
      </w:r>
    </w:p>
    <w:p>
      <w:pPr>
        <w:spacing w:after="0" w:line="199" w:lineRule="exact"/>
        <w:rPr>
          <w:sz w:val="20"/>
          <w:szCs w:val="20"/>
          <w:color w:val="auto"/>
        </w:rPr>
      </w:pPr>
    </w:p>
    <w:p>
      <w:pPr>
        <w:ind w:right="180" w:firstLine="651"/>
        <w:spacing w:after="0" w:line="268" w:lineRule="auto"/>
        <w:rPr>
          <w:sz w:val="20"/>
          <w:szCs w:val="20"/>
          <w:color w:val="auto"/>
        </w:rPr>
      </w:pPr>
      <w:r>
        <w:rPr>
          <w:rFonts w:ascii="Arial" w:cs="Arial" w:eastAsia="Arial" w:hAnsi="Arial"/>
          <w:sz w:val="16"/>
          <w:szCs w:val="16"/>
          <w:color w:val="auto"/>
        </w:rPr>
        <w:t>AbbVie is a member of the Chamber of Commerce, which spent over $124 million lobbying in 2014 and has spent over $1 billion on lobbying since 1998. AbbVie is also a member of the Pharmaceutical Research and Manufacturers of America and the Business Roundtable, which together spent over $61 million on lobbying in 2013 and 2014. AbbVie does not disclose its payments to trade associations or the amounts used for lobbying.</w:t>
      </w:r>
    </w:p>
    <w:p>
      <w:pPr>
        <w:spacing w:after="0" w:line="181" w:lineRule="exact"/>
        <w:rPr>
          <w:sz w:val="20"/>
          <w:szCs w:val="20"/>
          <w:color w:val="auto"/>
        </w:rPr>
      </w:pPr>
    </w:p>
    <w:p>
      <w:pPr>
        <w:ind w:right="180" w:firstLine="657"/>
        <w:spacing w:after="0" w:line="243" w:lineRule="auto"/>
        <w:rPr>
          <w:sz w:val="20"/>
          <w:szCs w:val="20"/>
          <w:color w:val="auto"/>
        </w:rPr>
      </w:pPr>
      <w:r>
        <w:rPr>
          <w:rFonts w:ascii="Arial" w:cs="Arial" w:eastAsia="Arial" w:hAnsi="Arial"/>
          <w:sz w:val="17"/>
          <w:szCs w:val="17"/>
          <w:color w:val="auto"/>
        </w:rPr>
        <w:t xml:space="preserve">Transparent reporting would reveal whether company assets are being used for objectives contrary to AbbVie's long-term interests. For example, AbbVie supports smoking cessation, yet the Chamber has worked to block global antismoking laws ("U.S. Chamber Works Globally to Fight Antismoking Measures," </w:t>
      </w:r>
      <w:r>
        <w:rPr>
          <w:rFonts w:ascii="Arial" w:cs="Arial" w:eastAsia="Arial" w:hAnsi="Arial"/>
          <w:sz w:val="17"/>
          <w:szCs w:val="17"/>
          <w:i w:val="1"/>
          <w:iCs w:val="1"/>
          <w:color w:val="auto"/>
        </w:rPr>
        <w:t>New York Times</w:t>
      </w:r>
      <w:r>
        <w:rPr>
          <w:rFonts w:ascii="Arial" w:cs="Arial" w:eastAsia="Arial" w:hAnsi="Arial"/>
          <w:sz w:val="17"/>
          <w:szCs w:val="17"/>
          <w:color w:val="auto"/>
        </w:rPr>
        <w:t xml:space="preserve">, June 30, 2015). AbbVie also believes it has an obligation to reduce its greenhouse gas emissions, yet the Chamber is aggressively attacking the EPA on its new Clear Power Plan to address climate change ("Move to Fight Obama's Climate Plan Started Early," </w:t>
      </w:r>
      <w:r>
        <w:rPr>
          <w:rFonts w:ascii="Arial" w:cs="Arial" w:eastAsia="Arial" w:hAnsi="Arial"/>
          <w:sz w:val="17"/>
          <w:szCs w:val="17"/>
          <w:i w:val="1"/>
          <w:iCs w:val="1"/>
          <w:color w:val="auto"/>
        </w:rPr>
        <w:t>New York Times</w:t>
      </w:r>
      <w:r>
        <w:rPr>
          <w:rFonts w:ascii="Arial" w:cs="Arial" w:eastAsia="Arial" w:hAnsi="Arial"/>
          <w:sz w:val="17"/>
          <w:szCs w:val="17"/>
          <w:color w:val="auto"/>
        </w:rPr>
        <w:t>, Aug. 3, 2015).</w:t>
      </w:r>
    </w:p>
    <w:p>
      <w:pPr>
        <w:spacing w:after="0" w:line="164" w:lineRule="exact"/>
        <w:rPr>
          <w:sz w:val="20"/>
          <w:szCs w:val="20"/>
          <w:color w:val="auto"/>
        </w:rPr>
      </w:pPr>
    </w:p>
    <w:p>
      <w:pPr>
        <w:ind w:right="500"/>
        <w:spacing w:after="0" w:line="269" w:lineRule="auto"/>
        <w:rPr>
          <w:sz w:val="20"/>
          <w:szCs w:val="20"/>
          <w:color w:val="auto"/>
        </w:rPr>
      </w:pPr>
      <w:r>
        <w:rPr>
          <w:rFonts w:ascii="Arial" w:cs="Arial" w:eastAsia="Arial" w:hAnsi="Arial"/>
          <w:sz w:val="21"/>
          <w:szCs w:val="21"/>
          <w:b w:val="1"/>
          <w:bCs w:val="1"/>
          <w:color w:val="444867"/>
        </w:rPr>
        <w:t>Board of Directors Statement in Opposition to the Stockholder Proposal on Lobbying Report (Item 7 on 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-7620</wp:posOffset>
            </wp:positionV>
            <wp:extent cx="725106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173" w:lineRule="exact"/>
        <w:rPr>
          <w:sz w:val="20"/>
          <w:szCs w:val="20"/>
          <w:color w:val="auto"/>
        </w:rPr>
      </w:pPr>
    </w:p>
    <w:p>
      <w:pPr>
        <w:ind w:right="120" w:firstLine="657"/>
        <w:spacing w:after="0" w:line="252" w:lineRule="auto"/>
        <w:rPr>
          <w:sz w:val="20"/>
          <w:szCs w:val="20"/>
          <w:color w:val="auto"/>
        </w:rPr>
      </w:pPr>
      <w:r>
        <w:rPr>
          <w:rFonts w:ascii="Arial" w:cs="Arial" w:eastAsia="Arial" w:hAnsi="Arial"/>
          <w:sz w:val="17"/>
          <w:szCs w:val="17"/>
          <w:color w:val="auto"/>
        </w:rPr>
        <w:t xml:space="preserve">The Board of Directors recommends that stockholders vote </w:t>
      </w:r>
      <w:r>
        <w:rPr>
          <w:rFonts w:ascii="Arial" w:cs="Arial" w:eastAsia="Arial" w:hAnsi="Arial"/>
          <w:sz w:val="17"/>
          <w:szCs w:val="17"/>
          <w:b w:val="1"/>
          <w:bCs w:val="1"/>
          <w:color w:val="auto"/>
        </w:rPr>
        <w:t>AGAINST</w:t>
      </w:r>
      <w:r>
        <w:rPr>
          <w:rFonts w:ascii="Arial" w:cs="Arial" w:eastAsia="Arial" w:hAnsi="Arial"/>
          <w:sz w:val="17"/>
          <w:szCs w:val="17"/>
          <w:color w:val="auto"/>
        </w:rPr>
        <w:t xml:space="preserve"> this proposal. This proposal is unnecessary, because AbbVie already makes extensive disclosures regarding our lobbying and political activities as required by law and we voluntarily disclose additional related information on our website, as outlined below. AbbVie has already demonstrated transparency with respect to lobbying activities and strong risk mitigation procedures governing such</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64  </w:t>
      </w:r>
      <w:r>
        <w:rPr>
          <w:sz w:val="1"/>
          <w:szCs w:val="1"/>
          <w:color w:val="auto"/>
        </w:rPr>
        <w:drawing>
          <wp:inline distT="0" distB="0" distL="0" distR="0">
            <wp:extent cx="622300" cy="107950"/>
            <wp:effectExtent l="0" t="0" r="0" b="0"/>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14" w:right="279" w:bottom="1440" w:gutter="0" w:footer="0" w:header="0"/>
        </w:sectPr>
      </w:pPr>
    </w:p>
    <w:bookmarkStart w:id="67" w:name="page68"/>
    <w:bookmarkEnd w:id="67"/>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6134100</wp:posOffset>
            </wp:positionH>
            <wp:positionV relativeFrom="paragraph">
              <wp:posOffset>130810</wp:posOffset>
            </wp:positionV>
            <wp:extent cx="1120140" cy="14097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120140" cy="140970"/>
                    </a:xfrm>
                    <a:prstGeom prst="rect">
                      <a:avLst/>
                    </a:prstGeom>
                    <a:noFill/>
                  </pic:spPr>
                </pic:pic>
              </a:graphicData>
            </a:graphic>
          </wp:anchor>
        </w:drawing>
      </w:r>
    </w:p>
    <w:p>
      <w:pPr>
        <w:spacing w:after="0" w:line="190" w:lineRule="exact"/>
        <w:rPr>
          <w:sz w:val="20"/>
          <w:szCs w:val="20"/>
          <w:color w:val="auto"/>
        </w:rPr>
      </w:pPr>
    </w:p>
    <w:p>
      <w:pPr>
        <w:ind w:right="220"/>
        <w:spacing w:after="0" w:line="250" w:lineRule="auto"/>
        <w:rPr>
          <w:sz w:val="20"/>
          <w:szCs w:val="20"/>
          <w:color w:val="auto"/>
        </w:rPr>
      </w:pPr>
      <w:r>
        <w:rPr>
          <w:rFonts w:ascii="Arial" w:cs="Arial" w:eastAsia="Arial" w:hAnsi="Arial"/>
          <w:sz w:val="17"/>
          <w:szCs w:val="17"/>
          <w:color w:val="auto"/>
        </w:rPr>
        <w:t xml:space="preserve">activities. The preparation and maintenance of an additional report, as proposed, is neither a good use of resources, nor would it </w:t>
      </w:r>
      <w:r>
        <w:rPr>
          <w:rFonts w:ascii="Arial" w:cs="Arial" w:eastAsia="Arial" w:hAnsi="Arial"/>
          <w:sz w:val="10"/>
          <w:szCs w:val="10"/>
          <w:b w:val="1"/>
          <w:bCs w:val="1"/>
          <w:color w:val="FFFFFE"/>
        </w:rPr>
        <w:t>STOCKHOLDER PROPOSALS</w:t>
      </w:r>
      <w:r>
        <w:rPr>
          <w:rFonts w:ascii="Arial" w:cs="Arial" w:eastAsia="Arial" w:hAnsi="Arial"/>
          <w:sz w:val="17"/>
          <w:szCs w:val="17"/>
          <w:color w:val="auto"/>
        </w:rPr>
        <w:t xml:space="preserve"> increase stockholder value.</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Board, through its Public Policy Committee, exercises oversight of AbbVie's political and lobbying activities.</w:t>
      </w:r>
    </w:p>
    <w:p>
      <w:pPr>
        <w:spacing w:after="0" w:line="230" w:lineRule="exact"/>
        <w:rPr>
          <w:sz w:val="20"/>
          <w:szCs w:val="20"/>
          <w:color w:val="auto"/>
        </w:rPr>
      </w:pPr>
    </w:p>
    <w:p>
      <w:pPr>
        <w:ind w:left="1040" w:right="280" w:hanging="513"/>
        <w:spacing w:after="0" w:line="268" w:lineRule="auto"/>
        <w:tabs>
          <w:tab w:leader="none" w:pos="10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Board of Directors Public Policy Committee exercises oversight of AbbVie's political expenditures and lobbying activities, as specifically enumerated in the Committee's charter, and further governed by the Committee's approved policy on political contributions. The Public Policy Committee and AbbVie's senior management review these activities and expenditures on a regular basis.</w:t>
      </w:r>
    </w:p>
    <w:p>
      <w:pPr>
        <w:spacing w:after="0" w:line="180" w:lineRule="exact"/>
        <w:rPr>
          <w:rFonts w:ascii="Arial" w:cs="Arial" w:eastAsia="Arial" w:hAnsi="Arial"/>
          <w:sz w:val="16"/>
          <w:szCs w:val="16"/>
          <w:color w:val="auto"/>
        </w:rPr>
      </w:pPr>
    </w:p>
    <w:p>
      <w:pPr>
        <w:jc w:val="both"/>
        <w:ind w:left="1040" w:right="100" w:hanging="513"/>
        <w:spacing w:after="0" w:line="245"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Our Executive Vice President, External Affairs, who reports directly to the CEO, and our Vice President, Government Affairs, each review and approve all plans for corporate political contributions and lobbying at the recommendation of AbbVie's Government Affairs function to ensure that these activities are consistent with the company's guidelines and comply with applicable laws.</w:t>
      </w:r>
    </w:p>
    <w:p>
      <w:pPr>
        <w:spacing w:after="0" w:line="185" w:lineRule="exact"/>
        <w:rPr>
          <w:rFonts w:ascii="Arial" w:cs="Arial" w:eastAsia="Arial" w:hAnsi="Arial"/>
          <w:sz w:val="17"/>
          <w:szCs w:val="17"/>
          <w:color w:val="auto"/>
        </w:rPr>
      </w:pPr>
    </w:p>
    <w:p>
      <w:pPr>
        <w:ind w:left="1040" w:right="160" w:hanging="513"/>
        <w:spacing w:after="0" w:line="250" w:lineRule="auto"/>
        <w:tabs>
          <w:tab w:leader="none" w:pos="1040" w:val="left"/>
        </w:tabs>
        <w:numPr>
          <w:ilvl w:val="0"/>
          <w:numId w:val="53"/>
        </w:numPr>
        <w:rPr>
          <w:rFonts w:ascii="Arial" w:cs="Arial" w:eastAsia="Arial" w:hAnsi="Arial"/>
          <w:sz w:val="17"/>
          <w:szCs w:val="17"/>
          <w:color w:val="auto"/>
        </w:rPr>
      </w:pPr>
      <w:r>
        <w:rPr>
          <w:rFonts w:ascii="Arial" w:cs="Arial" w:eastAsia="Arial" w:hAnsi="Arial"/>
          <w:sz w:val="17"/>
          <w:szCs w:val="17"/>
          <w:color w:val="auto"/>
        </w:rPr>
        <w:t>We believe this approach minimizes risk and reflects our guiding commitment to transparency, stewardship of corporate and stockholder funds, sound corporate practice, and high standards of ethical conduct.</w:t>
      </w:r>
    </w:p>
    <w:p>
      <w:pPr>
        <w:spacing w:after="0" w:line="174" w:lineRule="exact"/>
        <w:rPr>
          <w:sz w:val="20"/>
          <w:szCs w:val="20"/>
          <w:color w:val="auto"/>
        </w:rPr>
      </w:pPr>
    </w:p>
    <w:p>
      <w:pPr>
        <w:ind w:right="240"/>
        <w:spacing w:after="0" w:line="275" w:lineRule="auto"/>
        <w:rPr>
          <w:sz w:val="20"/>
          <w:szCs w:val="20"/>
          <w:color w:val="auto"/>
        </w:rPr>
      </w:pPr>
      <w:r>
        <w:rPr>
          <w:rFonts w:ascii="Arial" w:cs="Arial" w:eastAsia="Arial" w:hAnsi="Arial"/>
          <w:sz w:val="17"/>
          <w:szCs w:val="17"/>
          <w:b w:val="1"/>
          <w:bCs w:val="1"/>
          <w:color w:val="auto"/>
        </w:rPr>
        <w:t>AbbVie already makes extensive disclosures regarding lobbying and political activities and has been recognized by a leading organization for transparency in this area.</w:t>
      </w:r>
    </w:p>
    <w:p>
      <w:pPr>
        <w:spacing w:after="0" w:line="173" w:lineRule="exact"/>
        <w:rPr>
          <w:sz w:val="20"/>
          <w:szCs w:val="20"/>
          <w:color w:val="auto"/>
        </w:rPr>
      </w:pPr>
    </w:p>
    <w:p>
      <w:pPr>
        <w:ind w:left="1040" w:right="140" w:hanging="513"/>
        <w:spacing w:after="0" w:line="245" w:lineRule="auto"/>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Since our launch as a new public company in 2013, AbbVie has provided robust transparency through the disclosures described below. AbbVie's website describes our oversight process and our guiding principles for lobbying and political activities. We pursue activities that shape policies to benefit patients, with a focus on improving patient access to new therapeutic advances.</w:t>
      </w:r>
    </w:p>
    <w:p>
      <w:pPr>
        <w:spacing w:after="0" w:line="198" w:lineRule="exact"/>
        <w:rPr>
          <w:rFonts w:ascii="Arial" w:cs="Arial" w:eastAsia="Arial" w:hAnsi="Arial"/>
          <w:sz w:val="17"/>
          <w:szCs w:val="17"/>
          <w:color w:val="auto"/>
        </w:rPr>
      </w:pPr>
    </w:p>
    <w:p>
      <w:pPr>
        <w:ind w:left="1040" w:right="120" w:hanging="513"/>
        <w:spacing w:after="0" w:line="242" w:lineRule="auto"/>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AbbVie files quarterly reports that include (i) total federal lobbying expenditures, (ii) the name of the legislation or subject matter covered, (iii) individuals who lobbied on behalf of AbbVie, and (iv) identification of the legislative body or executive branch that was contacted, in compliance with the Lobbying Disclosure Act. These reports include expenses associated with lobbying the federal government and the portion of trade association dues associated with federal lobbying. AbbVie provides links to these reports on our website at http://www.abbvie.com/responsibility/transparency-policies/home.html#cpc. We file similar publicly-available lobbying reports with state and local agencies as required by law.</w:t>
      </w:r>
    </w:p>
    <w:p>
      <w:pPr>
        <w:spacing w:after="0" w:line="189" w:lineRule="exact"/>
        <w:rPr>
          <w:rFonts w:ascii="Arial" w:cs="Arial" w:eastAsia="Arial" w:hAnsi="Arial"/>
          <w:sz w:val="17"/>
          <w:szCs w:val="17"/>
          <w:color w:val="auto"/>
        </w:rPr>
      </w:pPr>
    </w:p>
    <w:p>
      <w:pPr>
        <w:ind w:left="1040" w:right="200" w:hanging="513"/>
        <w:spacing w:after="0" w:line="245" w:lineRule="auto"/>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AbbVie also provides a listing of corporate contributions to political candidates, political parties, political committees, ballot measure committees, and organizations operating under Section 527 of the Internal Revenue Code. These reports are updated every six months and are archived for reference on our website identified above.</w:t>
      </w:r>
    </w:p>
    <w:p>
      <w:pPr>
        <w:spacing w:after="0" w:line="185" w:lineRule="exact"/>
        <w:rPr>
          <w:rFonts w:ascii="Arial" w:cs="Arial" w:eastAsia="Arial" w:hAnsi="Arial"/>
          <w:sz w:val="17"/>
          <w:szCs w:val="17"/>
          <w:color w:val="auto"/>
        </w:rPr>
      </w:pPr>
    </w:p>
    <w:p>
      <w:pPr>
        <w:ind w:left="1040" w:hanging="513"/>
        <w:spacing w:after="0" w:line="243" w:lineRule="auto"/>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AbbVie does not currently make direct expenditures toward U.S. federal or state grassroots lobbying communications to the general public and does not currently contribute funds intended for use in elections to tax-exempt organizations under Section 501(c)(4) of the Internal Revenue Code, as disclosed on our website. If such a contribution were made, it would be enumerated in AbbVie's reports on other corporate political contributions.</w:t>
      </w:r>
    </w:p>
    <w:p>
      <w:pPr>
        <w:spacing w:after="0" w:line="201" w:lineRule="exact"/>
        <w:rPr>
          <w:rFonts w:ascii="Arial" w:cs="Arial" w:eastAsia="Arial" w:hAnsi="Arial"/>
          <w:sz w:val="17"/>
          <w:szCs w:val="17"/>
          <w:color w:val="auto"/>
        </w:rPr>
      </w:pPr>
    </w:p>
    <w:p>
      <w:pPr>
        <w:ind w:left="1040" w:right="180" w:hanging="513"/>
        <w:spacing w:after="0" w:line="245" w:lineRule="auto"/>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AbbVie discloses trade associations and membership organizations to which AbbVie provides $100,000 or more in annual membership, which are reviewed by the Public Policy Committee. AbbVie also posts a list of global trade associations in which an AbbVie employee serves on the organization's board of directors. Both of these lists are available on our website.</w:t>
      </w:r>
    </w:p>
    <w:p>
      <w:pPr>
        <w:spacing w:after="0" w:line="185" w:lineRule="exact"/>
        <w:rPr>
          <w:rFonts w:ascii="Arial" w:cs="Arial" w:eastAsia="Arial" w:hAnsi="Arial"/>
          <w:sz w:val="17"/>
          <w:szCs w:val="17"/>
          <w:color w:val="auto"/>
        </w:rPr>
      </w:pPr>
    </w:p>
    <w:p>
      <w:pPr>
        <w:ind w:left="1040" w:right="60" w:hanging="513"/>
        <w:spacing w:after="0" w:line="250" w:lineRule="auto"/>
        <w:tabs>
          <w:tab w:leader="none" w:pos="1040" w:val="left"/>
        </w:tabs>
        <w:numPr>
          <w:ilvl w:val="0"/>
          <w:numId w:val="54"/>
        </w:numPr>
        <w:rPr>
          <w:rFonts w:ascii="Arial" w:cs="Arial" w:eastAsia="Arial" w:hAnsi="Arial"/>
          <w:sz w:val="17"/>
          <w:szCs w:val="17"/>
          <w:color w:val="auto"/>
        </w:rPr>
      </w:pPr>
      <w:r>
        <w:rPr>
          <w:rFonts w:ascii="Arial" w:cs="Arial" w:eastAsia="Arial" w:hAnsi="Arial"/>
          <w:sz w:val="17"/>
          <w:szCs w:val="17"/>
          <w:color w:val="auto"/>
        </w:rPr>
        <w:t>AbbVie also provides a link to the Federal Election Commission reports of the AbbVie Political Action Committee ("PAC"), which detail the PAC's political contributions and expenditures.</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68" w:name="page69"/>
    <w:bookmarkEnd w:id="68"/>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120140" cy="14097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120140" cy="140970"/>
                    </a:xfrm>
                    <a:prstGeom prst="rect">
                      <a:avLst/>
                    </a:prstGeom>
                    <a:noFill/>
                  </pic:spPr>
                </pic:pic>
              </a:graphicData>
            </a:graphic>
          </wp:anchor>
        </w:drawing>
      </w:r>
    </w:p>
    <w:p>
      <w:pPr>
        <w:spacing w:after="0" w:line="190" w:lineRule="exact"/>
        <w:rPr>
          <w:sz w:val="20"/>
          <w:szCs w:val="20"/>
          <w:color w:val="auto"/>
        </w:rPr>
      </w:pPr>
    </w:p>
    <w:p>
      <w:pPr>
        <w:ind w:left="1760" w:hanging="1554"/>
        <w:spacing w:after="0" w:line="281" w:lineRule="auto"/>
        <w:rPr>
          <w:sz w:val="20"/>
          <w:szCs w:val="20"/>
          <w:color w:val="auto"/>
        </w:rPr>
      </w:pPr>
      <w:r>
        <w:rPr>
          <w:rFonts w:ascii="Arial" w:cs="Arial" w:eastAsia="Arial" w:hAnsi="Arial"/>
          <w:sz w:val="10"/>
          <w:szCs w:val="10"/>
          <w:b w:val="1"/>
          <w:bCs w:val="1"/>
          <w:color w:val="FFFFFE"/>
        </w:rPr>
        <w:t xml:space="preserve">STOCKHOLDER PROPOSALS </w:t>
      </w:r>
      <w:r>
        <w:rPr>
          <w:rFonts w:ascii="Arial" w:cs="Arial" w:eastAsia="Arial" w:hAnsi="Arial"/>
          <w:sz w:val="16"/>
          <w:szCs w:val="16"/>
          <w:color w:val="000000"/>
        </w:rPr>
        <w:t>•In part due to the extensive disclosures described above, AbbVie is listed in the first tier of companies providing the highest level</w:t>
      </w:r>
      <w:r>
        <w:rPr>
          <w:rFonts w:ascii="Arial" w:cs="Arial" w:eastAsia="Arial" w:hAnsi="Arial"/>
          <w:sz w:val="10"/>
          <w:szCs w:val="10"/>
          <w:b w:val="1"/>
          <w:bCs w:val="1"/>
          <w:color w:val="FFFFFE"/>
        </w:rPr>
        <w:t xml:space="preserve"> </w:t>
      </w:r>
      <w:r>
        <w:rPr>
          <w:rFonts w:ascii="Arial" w:cs="Arial" w:eastAsia="Arial" w:hAnsi="Arial"/>
          <w:sz w:val="16"/>
          <w:szCs w:val="16"/>
          <w:color w:val="000000"/>
        </w:rPr>
        <w:t>of political transparency and accountability in the 2015 CPA-Zicklin Index of Corporate Political Accountability and Disclosure.</w:t>
      </w:r>
    </w:p>
    <w:p>
      <w:pPr>
        <w:spacing w:after="0" w:line="170" w:lineRule="exact"/>
        <w:rPr>
          <w:sz w:val="20"/>
          <w:szCs w:val="20"/>
          <w:color w:val="auto"/>
        </w:rPr>
      </w:pPr>
    </w:p>
    <w:p>
      <w:pPr>
        <w:ind w:left="1040" w:right="100" w:hanging="513"/>
        <w:spacing w:after="0" w:line="245" w:lineRule="auto"/>
        <w:tabs>
          <w:tab w:leader="none" w:pos="1040" w:val="left"/>
        </w:tabs>
        <w:numPr>
          <w:ilvl w:val="0"/>
          <w:numId w:val="55"/>
        </w:numPr>
        <w:rPr>
          <w:rFonts w:ascii="Arial" w:cs="Arial" w:eastAsia="Arial" w:hAnsi="Arial"/>
          <w:sz w:val="17"/>
          <w:szCs w:val="17"/>
          <w:color w:val="auto"/>
        </w:rPr>
      </w:pPr>
      <w:r>
        <w:rPr>
          <w:rFonts w:ascii="Arial" w:cs="Arial" w:eastAsia="Arial" w:hAnsi="Arial"/>
          <w:sz w:val="17"/>
          <w:szCs w:val="17"/>
          <w:color w:val="auto"/>
        </w:rPr>
        <w:t>Attempting to quantify indirect lobbying would be difficult to estimate and potentially misleading to stockholders as AbbVie is not directing the lobbying activities of trade, civic or patient groups. Further, it would be difficult for us to determine which third parties may endorse model legislation and whether such activities fall within the proposal's request.</w:t>
      </w:r>
    </w:p>
    <w:p>
      <w:pPr>
        <w:spacing w:after="0" w:line="198" w:lineRule="exact"/>
        <w:rPr>
          <w:sz w:val="20"/>
          <w:szCs w:val="20"/>
          <w:color w:val="auto"/>
        </w:rPr>
      </w:pPr>
    </w:p>
    <w:p>
      <w:pPr>
        <w:ind w:right="580" w:firstLine="661"/>
        <w:spacing w:after="0" w:line="250" w:lineRule="auto"/>
        <w:rPr>
          <w:sz w:val="20"/>
          <w:szCs w:val="20"/>
          <w:color w:val="auto"/>
        </w:rPr>
      </w:pPr>
      <w:r>
        <w:rPr>
          <w:rFonts w:ascii="Arial" w:cs="Arial" w:eastAsia="Arial" w:hAnsi="Arial"/>
          <w:sz w:val="17"/>
          <w:szCs w:val="17"/>
          <w:color w:val="auto"/>
        </w:rPr>
        <w:t>In summary, our robust oversight mechanisms and extensive disclosures address the concerns underlying the proposal, but without the unnecessary business risks and additional resources the proposal would introduce if implemented.</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The Board of Directors recommends that you vote AGAINST the proposal.</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66  </w:t>
      </w:r>
      <w:r>
        <w:rPr>
          <w:sz w:val="1"/>
          <w:szCs w:val="1"/>
          <w:color w:val="auto"/>
        </w:rPr>
        <w:drawing>
          <wp:inline distT="0" distB="0" distL="0" distR="0">
            <wp:extent cx="622300" cy="107950"/>
            <wp:effectExtent l="0" t="0" r="0" b="0"/>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139065</wp:posOffset>
            </wp:positionV>
            <wp:extent cx="7255510"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00"/>
          </w:cols>
          <w:pgMar w:left="240" w:top="143" w:right="259" w:bottom="1440" w:gutter="0" w:footer="0" w:header="0"/>
        </w:sectPr>
      </w:pPr>
    </w:p>
    <w:bookmarkStart w:id="69" w:name="page70"/>
    <w:bookmarkEnd w:id="69"/>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442595</wp:posOffset>
            </wp:positionH>
            <wp:positionV relativeFrom="paragraph">
              <wp:posOffset>130810</wp:posOffset>
            </wp:positionV>
            <wp:extent cx="6379845" cy="6305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379845" cy="630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Corporate Governance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40" w:firstLine="651"/>
        <w:spacing w:after="0" w:line="245" w:lineRule="auto"/>
        <w:rPr>
          <w:sz w:val="20"/>
          <w:szCs w:val="20"/>
          <w:color w:val="auto"/>
        </w:rPr>
      </w:pPr>
      <w:r>
        <w:rPr>
          <w:rFonts w:ascii="Arial" w:cs="Arial" w:eastAsia="Arial" w:hAnsi="Arial"/>
          <w:sz w:val="17"/>
          <w:szCs w:val="17"/>
          <w:color w:val="auto"/>
        </w:rPr>
        <w:t xml:space="preserve">AbbVie's corporate governance guidelines with the outline of directorship qualifications; director independence guidelines; code of business conduct; and audit committee, compensation committee, nominations and governance committee, and public policy committee charters are all available in the corporate governance section of AbbVie's investor relations website at </w:t>
      </w:r>
      <w:r>
        <w:rPr>
          <w:rFonts w:ascii="Arial" w:cs="Arial" w:eastAsia="Arial" w:hAnsi="Arial"/>
          <w:sz w:val="17"/>
          <w:szCs w:val="17"/>
          <w:i w:val="1"/>
          <w:iCs w:val="1"/>
          <w:color w:val="auto"/>
        </w:rPr>
        <w:t>www.abbvieinvestor.com</w:t>
      </w:r>
      <w:r>
        <w:rPr>
          <w:rFonts w:ascii="Arial" w:cs="Arial" w:eastAsia="Arial" w:hAnsi="Arial"/>
          <w:sz w:val="17"/>
          <w:szCs w:val="17"/>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Procedures for Approval of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220" w:firstLine="661"/>
        <w:spacing w:after="0" w:line="243" w:lineRule="auto"/>
        <w:rPr>
          <w:sz w:val="20"/>
          <w:szCs w:val="20"/>
          <w:color w:val="auto"/>
        </w:rPr>
      </w:pPr>
      <w:r>
        <w:rPr>
          <w:rFonts w:ascii="Arial" w:cs="Arial" w:eastAsia="Arial" w:hAnsi="Arial"/>
          <w:sz w:val="17"/>
          <w:szCs w:val="17"/>
          <w:color w:val="auto"/>
        </w:rPr>
        <w:t>It is AbbVie's policy that the nominations and governance committee review, approve, ratify or disapprove of all transactions in which AbbVie participates and in which any related person has a direct or indirect material interest if such transaction involves or is expected to involve payments of $120,000 or more in the aggregate per fiscal year. Related person transactions requiring review by the nominations and governance committee pursuant to this policy are identified in:</w:t>
      </w:r>
    </w:p>
    <w:p>
      <w:pPr>
        <w:spacing w:after="0" w:line="201" w:lineRule="exact"/>
        <w:rPr>
          <w:sz w:val="20"/>
          <w:szCs w:val="20"/>
          <w:color w:val="auto"/>
        </w:rPr>
      </w:pPr>
    </w:p>
    <w:p>
      <w:pPr>
        <w:ind w:left="1040" w:hanging="513"/>
        <w:spacing w:after="0"/>
        <w:tabs>
          <w:tab w:leader="none" w:pos="10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questionnaires annually distributed to AbbVie's directors and executive officers;</w:t>
      </w:r>
    </w:p>
    <w:p>
      <w:pPr>
        <w:spacing w:after="0" w:line="209" w:lineRule="exact"/>
        <w:rPr>
          <w:rFonts w:ascii="Arial" w:cs="Arial" w:eastAsia="Arial" w:hAnsi="Arial"/>
          <w:sz w:val="17"/>
          <w:szCs w:val="17"/>
          <w:color w:val="auto"/>
        </w:rPr>
      </w:pPr>
    </w:p>
    <w:p>
      <w:pPr>
        <w:ind w:left="1040" w:hanging="513"/>
        <w:spacing w:after="0"/>
        <w:tabs>
          <w:tab w:leader="none" w:pos="10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certifications submitted annually by AbbVie executive officers related to their compliance with AbbVie's Code of Business Conduct; or</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56"/>
        </w:numPr>
        <w:rPr>
          <w:rFonts w:ascii="Arial" w:cs="Arial" w:eastAsia="Arial" w:hAnsi="Arial"/>
          <w:sz w:val="17"/>
          <w:szCs w:val="17"/>
          <w:color w:val="auto"/>
        </w:rPr>
      </w:pPr>
      <w:r>
        <w:rPr>
          <w:rFonts w:ascii="Arial" w:cs="Arial" w:eastAsia="Arial" w:hAnsi="Arial"/>
          <w:sz w:val="17"/>
          <w:szCs w:val="17"/>
          <w:color w:val="auto"/>
        </w:rPr>
        <w:t>communications made directly by the related person to the chief financial officer or general counsel.</w:t>
      </w:r>
    </w:p>
    <w:p>
      <w:pPr>
        <w:spacing w:after="0" w:line="210" w:lineRule="exact"/>
        <w:rPr>
          <w:sz w:val="20"/>
          <w:szCs w:val="20"/>
          <w:color w:val="auto"/>
        </w:rPr>
      </w:pPr>
    </w:p>
    <w:p>
      <w:pPr>
        <w:ind w:right="60" w:firstLine="661"/>
        <w:spacing w:after="0" w:line="250" w:lineRule="auto"/>
        <w:rPr>
          <w:sz w:val="20"/>
          <w:szCs w:val="20"/>
          <w:color w:val="auto"/>
        </w:rPr>
      </w:pPr>
      <w:r>
        <w:rPr>
          <w:rFonts w:ascii="Arial" w:cs="Arial" w:eastAsia="Arial" w:hAnsi="Arial"/>
          <w:sz w:val="17"/>
          <w:szCs w:val="17"/>
          <w:color w:val="auto"/>
        </w:rPr>
        <w:t>In determining whether to approve or ratify a related person transaction, the nominations and governance committee will consider the following items, among others:</w:t>
      </w:r>
    </w:p>
    <w:p>
      <w:pPr>
        <w:spacing w:after="0" w:line="194" w:lineRule="exact"/>
        <w:rPr>
          <w:sz w:val="20"/>
          <w:szCs w:val="20"/>
          <w:color w:val="auto"/>
        </w:rPr>
      </w:pPr>
    </w:p>
    <w:p>
      <w:pPr>
        <w:ind w:left="1040" w:hanging="513"/>
        <w:spacing w:after="0"/>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related person's relationship to AbbVie and interest in the transaction;</w:t>
      </w:r>
    </w:p>
    <w:p>
      <w:pPr>
        <w:spacing w:after="0" w:line="209" w:lineRule="exact"/>
        <w:rPr>
          <w:rFonts w:ascii="Arial" w:cs="Arial" w:eastAsia="Arial" w:hAnsi="Arial"/>
          <w:sz w:val="17"/>
          <w:szCs w:val="17"/>
          <w:color w:val="auto"/>
        </w:rPr>
      </w:pPr>
    </w:p>
    <w:p>
      <w:pPr>
        <w:ind w:left="1040" w:right="460" w:hanging="513"/>
        <w:spacing w:after="0" w:line="250" w:lineRule="auto"/>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material facts of the transaction, including the aggregate value of such transaction or, in the case of indebtedness, the amount of principal involved;</w:t>
      </w:r>
    </w:p>
    <w:p>
      <w:pPr>
        <w:spacing w:after="0" w:line="180" w:lineRule="exact"/>
        <w:rPr>
          <w:rFonts w:ascii="Arial" w:cs="Arial" w:eastAsia="Arial" w:hAnsi="Arial"/>
          <w:sz w:val="17"/>
          <w:szCs w:val="17"/>
          <w:color w:val="auto"/>
        </w:rPr>
      </w:pPr>
    </w:p>
    <w:p>
      <w:pPr>
        <w:ind w:left="1040" w:hanging="513"/>
        <w:spacing w:after="0"/>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benefits to AbbVie of the transaction;</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if applicable, the availability of other sources of comparable products or services;</w:t>
      </w:r>
    </w:p>
    <w:p>
      <w:pPr>
        <w:spacing w:after="0" w:line="209" w:lineRule="exact"/>
        <w:rPr>
          <w:rFonts w:ascii="Arial" w:cs="Arial" w:eastAsia="Arial" w:hAnsi="Arial"/>
          <w:sz w:val="17"/>
          <w:szCs w:val="17"/>
          <w:color w:val="auto"/>
        </w:rPr>
      </w:pPr>
    </w:p>
    <w:p>
      <w:pPr>
        <w:ind w:left="1040" w:right="760" w:hanging="513"/>
        <w:spacing w:after="0" w:line="250" w:lineRule="auto"/>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an assessment of whether the transaction is on terms that are comparable to the terms available to an unrelated third party or to employees generally;</w:t>
      </w:r>
    </w:p>
    <w:p>
      <w:pPr>
        <w:spacing w:after="0" w:line="180" w:lineRule="exact"/>
        <w:rPr>
          <w:rFonts w:ascii="Arial" w:cs="Arial" w:eastAsia="Arial" w:hAnsi="Arial"/>
          <w:sz w:val="17"/>
          <w:szCs w:val="17"/>
          <w:color w:val="auto"/>
        </w:rPr>
      </w:pPr>
    </w:p>
    <w:p>
      <w:pPr>
        <w:ind w:left="1040" w:hanging="513"/>
        <w:spacing w:after="0"/>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whether a transaction has the potential to impair director independence; and</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57"/>
        </w:numPr>
        <w:rPr>
          <w:rFonts w:ascii="Arial" w:cs="Arial" w:eastAsia="Arial" w:hAnsi="Arial"/>
          <w:sz w:val="17"/>
          <w:szCs w:val="17"/>
          <w:color w:val="auto"/>
        </w:rPr>
      </w:pPr>
      <w:r>
        <w:rPr>
          <w:rFonts w:ascii="Arial" w:cs="Arial" w:eastAsia="Arial" w:hAnsi="Arial"/>
          <w:sz w:val="17"/>
          <w:szCs w:val="17"/>
          <w:color w:val="auto"/>
        </w:rPr>
        <w:t>whether the transaction constitutes a conflict of interest.</w:t>
      </w:r>
    </w:p>
    <w:p>
      <w:pPr>
        <w:spacing w:after="0" w:line="210" w:lineRule="exact"/>
        <w:rPr>
          <w:sz w:val="20"/>
          <w:szCs w:val="20"/>
          <w:color w:val="auto"/>
        </w:rPr>
      </w:pPr>
    </w:p>
    <w:p>
      <w:pPr>
        <w:ind w:right="560" w:firstLine="657"/>
        <w:spacing w:after="0" w:line="250" w:lineRule="auto"/>
        <w:rPr>
          <w:sz w:val="20"/>
          <w:szCs w:val="20"/>
          <w:color w:val="auto"/>
        </w:rPr>
      </w:pPr>
      <w:r>
        <w:rPr>
          <w:rFonts w:ascii="Arial" w:cs="Arial" w:eastAsia="Arial" w:hAnsi="Arial"/>
          <w:sz w:val="17"/>
          <w:szCs w:val="17"/>
          <w:color w:val="auto"/>
        </w:rPr>
        <w:t xml:space="preserve">This process is included in the nominations and governance committee's written charter, which is available on the corporate governance section of AbbVie's investor relations website at </w:t>
      </w:r>
      <w:r>
        <w:rPr>
          <w:rFonts w:ascii="Arial" w:cs="Arial" w:eastAsia="Arial" w:hAnsi="Arial"/>
          <w:sz w:val="17"/>
          <w:szCs w:val="17"/>
          <w:i w:val="1"/>
          <w:iCs w:val="1"/>
          <w:color w:val="auto"/>
        </w:rPr>
        <w:t>www.abbvieinvestor.com</w:t>
      </w:r>
      <w:r>
        <w:rPr>
          <w:rFonts w:ascii="Arial" w:cs="Arial" w:eastAsia="Arial" w:hAnsi="Arial"/>
          <w:sz w:val="17"/>
          <w:szCs w:val="17"/>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440" w:firstLine="651"/>
        <w:spacing w:after="0" w:line="250" w:lineRule="auto"/>
        <w:rPr>
          <w:sz w:val="20"/>
          <w:szCs w:val="20"/>
          <w:color w:val="auto"/>
        </w:rPr>
      </w:pPr>
      <w:r>
        <w:rPr>
          <w:rFonts w:ascii="Arial" w:cs="Arial" w:eastAsia="Arial" w:hAnsi="Arial"/>
          <w:sz w:val="17"/>
          <w:szCs w:val="17"/>
          <w:color w:val="auto"/>
        </w:rPr>
        <w:t>AbbVie believes that during 2015 its executive officers and directors timely complied with all filing requirements under Section 16(a) of the Securities Exchange Act of 1934.</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0" w:name="page71"/>
    <w:bookmarkEnd w:id="70"/>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061720" cy="14097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061720" cy="140970"/>
                    </a:xfrm>
                    <a:prstGeom prst="rect">
                      <a:avLst/>
                    </a:prstGeom>
                    <a:noFill/>
                  </pic:spPr>
                </pic:pic>
              </a:graphicData>
            </a:graphic>
          </wp:anchor>
        </w:drawing>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ADDITIONAL INFORMATION</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Performance-Based Compensation Arrangements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160" w:firstLine="657"/>
        <w:spacing w:after="0" w:line="250" w:lineRule="auto"/>
        <w:rPr>
          <w:sz w:val="20"/>
          <w:szCs w:val="20"/>
          <w:color w:val="auto"/>
        </w:rPr>
      </w:pPr>
      <w:r>
        <w:rPr>
          <w:rFonts w:ascii="Arial" w:cs="Arial" w:eastAsia="Arial" w:hAnsi="Arial"/>
          <w:sz w:val="17"/>
          <w:szCs w:val="17"/>
          <w:color w:val="auto"/>
        </w:rPr>
        <w:t>The Performance Incentive Plan and the Incentive Stock Program, which are described above, are intended to comply with Internal Revenue Code Section 162(m) to permit deductibility of performance-based compensation.</w:t>
      </w:r>
    </w:p>
    <w:p>
      <w:pPr>
        <w:spacing w:after="0" w:line="194" w:lineRule="exact"/>
        <w:rPr>
          <w:sz w:val="20"/>
          <w:szCs w:val="20"/>
          <w:color w:val="auto"/>
        </w:rPr>
      </w:pPr>
    </w:p>
    <w:p>
      <w:pPr>
        <w:ind w:right="260" w:firstLine="657"/>
        <w:spacing w:after="0" w:line="243" w:lineRule="auto"/>
        <w:rPr>
          <w:sz w:val="20"/>
          <w:szCs w:val="20"/>
          <w:color w:val="auto"/>
        </w:rPr>
      </w:pPr>
      <w:r>
        <w:rPr>
          <w:rFonts w:ascii="Arial" w:cs="Arial" w:eastAsia="Arial" w:hAnsi="Arial"/>
          <w:sz w:val="17"/>
          <w:szCs w:val="17"/>
          <w:color w:val="auto"/>
        </w:rPr>
        <w:t>The compensation committee reserves the flexibility to take actions that may be based on considerations in addition to tax deductibility. The committee believes that stockholder interests are best served by not restricting the committee's discretion and flexibility in crafting compensation programs, even if such programs may result in certain non-deductible compensation expenses. Accordingly, the committee may from time to time approve components of compensation for certain executive officers that are not deductible.</w:t>
      </w:r>
    </w:p>
    <w:p>
      <w:pPr>
        <w:spacing w:after="0" w:line="201" w:lineRule="exact"/>
        <w:rPr>
          <w:sz w:val="20"/>
          <w:szCs w:val="20"/>
          <w:color w:val="auto"/>
        </w:rPr>
      </w:pPr>
    </w:p>
    <w:p>
      <w:pPr>
        <w:jc w:val="both"/>
        <w:ind w:right="140" w:firstLine="661"/>
        <w:spacing w:after="0" w:line="245" w:lineRule="auto"/>
        <w:rPr>
          <w:sz w:val="20"/>
          <w:szCs w:val="20"/>
          <w:color w:val="auto"/>
        </w:rPr>
      </w:pPr>
      <w:r>
        <w:rPr>
          <w:rFonts w:ascii="Arial" w:cs="Arial" w:eastAsia="Arial" w:hAnsi="Arial"/>
          <w:sz w:val="17"/>
          <w:szCs w:val="17"/>
          <w:color w:val="auto"/>
        </w:rPr>
        <w:t>While the compensation committee does not anticipate there would ever be circumstances where a restatement of earnings upon which any incentive plan award decisions were based would occur, the committee, in evaluating such circumstances, has discretion to take all actions necessary to protect the interests of stockholders up to and including actions to recover such incentive awards.</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Exclusive Forum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right="20" w:firstLine="651"/>
        <w:spacing w:after="0" w:line="243" w:lineRule="auto"/>
        <w:rPr>
          <w:sz w:val="20"/>
          <w:szCs w:val="20"/>
          <w:color w:val="auto"/>
        </w:rPr>
      </w:pPr>
      <w:r>
        <w:rPr>
          <w:rFonts w:ascii="Arial" w:cs="Arial" w:eastAsia="Arial" w:hAnsi="Arial"/>
          <w:sz w:val="17"/>
          <w:szCs w:val="17"/>
          <w:color w:val="auto"/>
        </w:rPr>
        <w:t>AbbVie is incorporated in the state of Delaware and Delaware law governs the relationship among its directors, officers, and stockholders (also known as the internal affairs doctrine). To provide for the orderly, efficient and cost- effective resolution of Delaware-law issues affecting AbbVie, the company's Certificate of Incorporation provides that unless the board of directors otherwise determines, Delaware courts are the exclusive forum for cases involving the internal affairs doctrine, derivative actions brought on behalf of the company, claims for breach of fiduciary duty, and other matters concerning Delaware statutory and common law. The provision does not apply to any other cases brought against AbbVie.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Other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ind w:firstLine="657"/>
        <w:spacing w:after="0" w:line="245" w:lineRule="auto"/>
        <w:rPr>
          <w:sz w:val="20"/>
          <w:szCs w:val="20"/>
          <w:color w:val="auto"/>
        </w:rPr>
      </w:pPr>
      <w:r>
        <w:rPr>
          <w:rFonts w:ascii="Arial" w:cs="Arial" w:eastAsia="Arial" w:hAnsi="Arial"/>
          <w:sz w:val="17"/>
          <w:szCs w:val="17"/>
          <w:color w:val="auto"/>
        </w:rPr>
        <w:t>The board of directors knows of no other business to be transacted at the 2016 Annual Meeting of Stockholders, but if any other matters do come before the meeting, it is the intention of the persons named in the accompanying proxy to vote or act with respect to them in accordance with their best judgment.</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Date for Receipt of Stockholder Proposals for the 2017 Annual Meeting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jc w:val="both"/>
        <w:ind w:right="220" w:firstLine="661"/>
        <w:spacing w:after="0" w:line="245" w:lineRule="auto"/>
        <w:rPr>
          <w:sz w:val="20"/>
          <w:szCs w:val="20"/>
          <w:color w:val="auto"/>
        </w:rPr>
      </w:pPr>
      <w:r>
        <w:rPr>
          <w:rFonts w:ascii="Arial" w:cs="Arial" w:eastAsia="Arial" w:hAnsi="Arial"/>
          <w:sz w:val="17"/>
          <w:szCs w:val="17"/>
          <w:color w:val="auto"/>
        </w:rPr>
        <w:t>Stockholder proposals for presentation at the 2017 Annual Meeting must be received by AbbVie no later than November 21, 2016 and must otherwise comply with the applicable requirements of the Securities and Exchange Commission to be considered for inclusion in the proxy statement and proxy for the 2017 meeting.</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color w:val="444867"/>
        </w:rPr>
        <w:t>Procedure for Recommendation and Nomination of Directors and Transaction of Business at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sz w:val="20"/>
          <w:szCs w:val="20"/>
          <w:color w:val="auto"/>
        </w:rPr>
      </w:pPr>
    </w:p>
    <w:p>
      <w:pPr>
        <w:jc w:val="both"/>
        <w:ind w:right="80" w:firstLine="651"/>
        <w:spacing w:after="0" w:line="243" w:lineRule="auto"/>
        <w:rPr>
          <w:sz w:val="20"/>
          <w:szCs w:val="20"/>
          <w:color w:val="auto"/>
        </w:rPr>
      </w:pPr>
      <w:r>
        <w:rPr>
          <w:rFonts w:ascii="Arial" w:cs="Arial" w:eastAsia="Arial" w:hAnsi="Arial"/>
          <w:sz w:val="17"/>
          <w:szCs w:val="17"/>
          <w:color w:val="auto"/>
        </w:rPr>
        <w:t>A stockholder may recommend persons as potential nominees for director by submitting the names of such persons in writing to the secretary of AbbVie. Recommendations must be accompanied by certain information about both the nominee and the stockholder making the nomination, as set forth in AbbVie's Amended and Restated By-Laws. A nominee who is recommended by a stockholder following these procedures will receive the same consideration as other comparably qualified nominees.</w:t>
      </w:r>
    </w:p>
    <w:p>
      <w:pPr>
        <w:spacing w:after="0" w:line="20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 stockholder entitled to vote for the election of directors at an Annual Meeting and who is a stockholder of record on:</w:t>
      </w:r>
    </w:p>
    <w:p>
      <w:pPr>
        <w:spacing w:after="0" w:line="210" w:lineRule="exact"/>
        <w:rPr>
          <w:sz w:val="20"/>
          <w:szCs w:val="20"/>
          <w:color w:val="auto"/>
        </w:rPr>
      </w:pPr>
    </w:p>
    <w:p>
      <w:pPr>
        <w:ind w:left="1040" w:hanging="513"/>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record date for that Annual Meeting,</w:t>
      </w:r>
    </w:p>
    <w:p>
      <w:pPr>
        <w:spacing w:after="0" w:line="209" w:lineRule="exact"/>
        <w:rPr>
          <w:rFonts w:ascii="Arial" w:cs="Arial" w:eastAsia="Arial" w:hAnsi="Arial"/>
          <w:sz w:val="17"/>
          <w:szCs w:val="17"/>
          <w:color w:val="auto"/>
        </w:rPr>
      </w:pPr>
    </w:p>
    <w:p>
      <w:pPr>
        <w:ind w:left="1040" w:hanging="513"/>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date of this proxy statement, and</w:t>
      </w:r>
    </w:p>
    <w:p>
      <w:pPr>
        <w:spacing w:after="0" w:line="196" w:lineRule="exact"/>
        <w:rPr>
          <w:rFonts w:ascii="Arial" w:cs="Arial" w:eastAsia="Arial" w:hAnsi="Arial"/>
          <w:sz w:val="17"/>
          <w:szCs w:val="17"/>
          <w:color w:val="auto"/>
        </w:rPr>
      </w:pPr>
    </w:p>
    <w:p>
      <w:pPr>
        <w:ind w:left="1040" w:hanging="513"/>
        <w:spacing w:after="0"/>
        <w:tabs>
          <w:tab w:leader="none" w:pos="1040" w:val="left"/>
        </w:tabs>
        <w:numPr>
          <w:ilvl w:val="0"/>
          <w:numId w:val="58"/>
        </w:numPr>
        <w:rPr>
          <w:rFonts w:ascii="Arial" w:cs="Arial" w:eastAsia="Arial" w:hAnsi="Arial"/>
          <w:sz w:val="17"/>
          <w:szCs w:val="17"/>
          <w:color w:val="auto"/>
        </w:rPr>
      </w:pPr>
      <w:r>
        <w:rPr>
          <w:rFonts w:ascii="Arial" w:cs="Arial" w:eastAsia="Arial" w:hAnsi="Arial"/>
          <w:sz w:val="17"/>
          <w:szCs w:val="17"/>
          <w:color w:val="auto"/>
        </w:rPr>
        <w:t>the date of the Annual Meeting</w:t>
      </w:r>
    </w:p>
    <w:p>
      <w:pPr>
        <w:spacing w:after="0" w:line="217"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 xml:space="preserve">68  </w:t>
      </w:r>
      <w:r>
        <w:rPr>
          <w:sz w:val="1"/>
          <w:szCs w:val="1"/>
          <w:color w:val="auto"/>
        </w:rPr>
        <w:drawing>
          <wp:inline distT="0" distB="0" distL="0" distR="0">
            <wp:extent cx="622300" cy="107950"/>
            <wp:effectExtent l="0" t="0" r="0" b="0"/>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1" w:name="page72"/>
    <w:bookmarkEnd w:id="71"/>
    <w:p>
      <w:pPr>
        <w:spacing w:after="0" w:line="197" w:lineRule="auto"/>
        <w:framePr w:w="1480" w:h="95" w:wrap="auto" w:vAnchor="page" w:hAnchor="page" w:x="10000" w:y="594"/>
        <w:rPr>
          <w:rFonts w:ascii="Arial" w:cs="Arial" w:eastAsia="Arial" w:hAnsi="Arial"/>
          <w:sz w:val="10"/>
          <w:szCs w:val="10"/>
          <w:b w:val="1"/>
          <w:bCs w:val="1"/>
          <w:color w:val="FFFFFE"/>
        </w:rPr>
      </w:pPr>
      <w:r>
        <w:rPr>
          <w:rFonts w:ascii="Arial" w:cs="Arial" w:eastAsia="Arial" w:hAnsi="Arial"/>
          <w:sz w:val="10"/>
          <w:szCs w:val="10"/>
          <w:b w:val="1"/>
          <w:bCs w:val="1"/>
          <w:color w:val="FFFFFE"/>
        </w:rPr>
        <w:t>ADDITIONAL INFORMATION</w:t>
      </w: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6191885</wp:posOffset>
            </wp:positionH>
            <wp:positionV relativeFrom="paragraph">
              <wp:posOffset>130810</wp:posOffset>
            </wp:positionV>
            <wp:extent cx="1061720" cy="14097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061720" cy="140970"/>
                    </a:xfrm>
                    <a:prstGeom prst="rect">
                      <a:avLst/>
                    </a:prstGeom>
                    <a:noFill/>
                  </pic:spPr>
                </pic:pic>
              </a:graphicData>
            </a:graphic>
          </wp:anchor>
        </w:drawing>
      </w:r>
    </w:p>
    <w:p>
      <w:pPr>
        <w:spacing w:after="0" w:line="190" w:lineRule="exact"/>
        <w:rPr>
          <w:rFonts w:ascii="Arial" w:cs="Arial" w:eastAsia="Arial" w:hAnsi="Arial"/>
          <w:sz w:val="10"/>
          <w:szCs w:val="10"/>
          <w:b w:val="1"/>
          <w:bCs w:val="1"/>
          <w:color w:val="FFFFFE"/>
        </w:rPr>
      </w:pPr>
    </w:p>
    <w:p>
      <w:pPr>
        <w:ind w:right="1920"/>
        <w:spacing w:after="0" w:line="255" w:lineRule="auto"/>
        <w:rPr>
          <w:sz w:val="20"/>
          <w:szCs w:val="20"/>
          <w:color w:val="auto"/>
        </w:rPr>
      </w:pPr>
      <w:r>
        <w:rPr>
          <w:rFonts w:ascii="Arial" w:cs="Arial" w:eastAsia="Arial" w:hAnsi="Arial"/>
          <w:sz w:val="16"/>
          <w:szCs w:val="16"/>
          <w:color w:val="auto"/>
        </w:rPr>
        <w:t>may nominate persons for director, or make proposals of other business to be brought before the Annual Meeting, by providing proper timely written notice to the secretary of AbbVie. That notice must include certain information required by Article II of</w:t>
      </w:r>
    </w:p>
    <w:p>
      <w:pPr>
        <w:spacing w:after="0" w:line="1" w:lineRule="exact"/>
        <w:rPr>
          <w:rFonts w:ascii="Arial" w:cs="Arial" w:eastAsia="Arial" w:hAnsi="Arial"/>
          <w:sz w:val="10"/>
          <w:szCs w:val="10"/>
          <w:b w:val="1"/>
          <w:bCs w:val="1"/>
          <w:color w:val="FFFFFE"/>
        </w:rPr>
      </w:pPr>
    </w:p>
    <w:p>
      <w:pPr>
        <w:ind w:right="620"/>
        <w:spacing w:after="0" w:line="250" w:lineRule="auto"/>
        <w:rPr>
          <w:sz w:val="20"/>
          <w:szCs w:val="20"/>
          <w:color w:val="auto"/>
        </w:rPr>
      </w:pPr>
      <w:r>
        <w:rPr>
          <w:rFonts w:ascii="Arial" w:cs="Arial" w:eastAsia="Arial" w:hAnsi="Arial"/>
          <w:sz w:val="17"/>
          <w:szCs w:val="17"/>
          <w:color w:val="auto"/>
        </w:rPr>
        <w:t>AbbVie's Amended and Restated By-Laws, including information about the stockholder, any beneficial owner on whose behalf the nomination or proposal is being made, their respective affiliates or associates or others acting on concert with them, and any proposed director nominee.</w:t>
      </w:r>
    </w:p>
    <w:p>
      <w:pPr>
        <w:spacing w:after="0" w:line="194" w:lineRule="exact"/>
        <w:rPr>
          <w:rFonts w:ascii="Arial" w:cs="Arial" w:eastAsia="Arial" w:hAnsi="Arial"/>
          <w:sz w:val="10"/>
          <w:szCs w:val="10"/>
          <w:b w:val="1"/>
          <w:bCs w:val="1"/>
          <w:color w:val="FFFFFE"/>
        </w:rPr>
      </w:pPr>
    </w:p>
    <w:p>
      <w:pPr>
        <w:ind w:firstLine="661"/>
        <w:spacing w:after="0" w:line="243" w:lineRule="auto"/>
        <w:rPr>
          <w:sz w:val="20"/>
          <w:szCs w:val="20"/>
          <w:color w:val="auto"/>
        </w:rPr>
      </w:pPr>
      <w:r>
        <w:rPr>
          <w:rFonts w:ascii="Arial" w:cs="Arial" w:eastAsia="Arial" w:hAnsi="Arial"/>
          <w:sz w:val="17"/>
          <w:szCs w:val="17"/>
          <w:color w:val="auto"/>
        </w:rPr>
        <w:t>For each matter the stockholder proposes to bring before the Annual Meeting, the notice must also include a brief description of the business to be discussed, the reasons for conducting such business at the Annual Meeting, any material interest of the stockholder in such business and certain other information specified in the By-Laws. In addition, in the case of a director nomination, the notice must include a completed and signed questionnaire, representation and agreement of the nominee addressing matters specified in the By-Laws.</w:t>
      </w:r>
    </w:p>
    <w:p>
      <w:pPr>
        <w:spacing w:after="0" w:line="201" w:lineRule="exact"/>
        <w:rPr>
          <w:rFonts w:ascii="Arial" w:cs="Arial" w:eastAsia="Arial" w:hAnsi="Arial"/>
          <w:sz w:val="10"/>
          <w:szCs w:val="10"/>
          <w:b w:val="1"/>
          <w:bCs w:val="1"/>
          <w:color w:val="FFFFFE"/>
        </w:rPr>
      </w:pPr>
    </w:p>
    <w:p>
      <w:pPr>
        <w:ind w:right="80" w:firstLine="657"/>
        <w:spacing w:after="0" w:line="242" w:lineRule="auto"/>
        <w:rPr>
          <w:sz w:val="20"/>
          <w:szCs w:val="20"/>
          <w:color w:val="auto"/>
        </w:rPr>
      </w:pPr>
      <w:r>
        <w:rPr>
          <w:rFonts w:ascii="Arial" w:cs="Arial" w:eastAsia="Arial" w:hAnsi="Arial"/>
          <w:sz w:val="17"/>
          <w:szCs w:val="17"/>
          <w:color w:val="auto"/>
        </w:rPr>
        <w:t>To be timely, written notice either to directly nominate persons for director or to bring business properly before the Annual Meeting must be received at AbbVie's principal executive offices not less than ninety days and not more than one hundred twenty days prior to the anniversary date of the preceding Annual Meeting. If the Annual Meeting is called for a date that is more than thirty days before or sixty days after such anniversary date, notice by the stockholder must be received not less than ninety days and not more than one hundred twenty days prior to the date of such Annual Meeting and not later than the close of business on the later of ninety days prior to the date of such Annual Meeting, or, if the first public announcement of the date of such Annual Meeting is less than one hundred days prior to the date of such Annual Meeting, the tenth day following the day on which public announcement of the date of such meeting is first made by AbbVie. To be timely for the 2017 Annual Meeting, this written notice must be received by AbbVie no later than February 8, 2017.</w:t>
      </w:r>
    </w:p>
    <w:p>
      <w:pPr>
        <w:spacing w:after="0" w:line="200" w:lineRule="exact"/>
        <w:rPr>
          <w:rFonts w:ascii="Arial" w:cs="Arial" w:eastAsia="Arial" w:hAnsi="Arial"/>
          <w:sz w:val="10"/>
          <w:szCs w:val="10"/>
          <w:b w:val="1"/>
          <w:bCs w:val="1"/>
          <w:color w:val="FFFFFE"/>
        </w:rPr>
      </w:pPr>
    </w:p>
    <w:p>
      <w:pPr>
        <w:ind w:right="80" w:firstLine="661"/>
        <w:spacing w:after="0" w:line="243" w:lineRule="auto"/>
        <w:rPr>
          <w:sz w:val="20"/>
          <w:szCs w:val="20"/>
          <w:color w:val="auto"/>
        </w:rPr>
      </w:pPr>
      <w:r>
        <w:rPr>
          <w:rFonts w:ascii="Arial" w:cs="Arial" w:eastAsia="Arial" w:hAnsi="Arial"/>
          <w:sz w:val="17"/>
          <w:szCs w:val="17"/>
          <w:color w:val="auto"/>
        </w:rPr>
        <w:t>In addition, the notice must be updated and supplemented, if necessary, so that the information provided or required to be provided is true and correct as of the record date for the Annual Meeting and as of the date that is ten business days prior to the meeting. Any such update or supplement must be delivered to the secretary of AbbVie at AbbVie's principal executive offices not more than five business days after the record date for the Annual Meeting, and not less than eight business days before the date of the Annual Meeting in the case of any update or supplement required to be made as of ten business days prior to the Annual Meeting.</w:t>
      </w:r>
    </w:p>
    <w:p>
      <w:pPr>
        <w:spacing w:after="0" w:line="164"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21"/>
          <w:szCs w:val="21"/>
          <w:b w:val="1"/>
          <w:bCs w:val="1"/>
          <w:color w:val="444867"/>
        </w:rPr>
        <w:t>Procedure for Stockholder Nominations to be Included in AbbVie's Proxy Materials</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rFonts w:ascii="Arial" w:cs="Arial" w:eastAsia="Arial" w:hAnsi="Arial"/>
          <w:sz w:val="10"/>
          <w:szCs w:val="10"/>
          <w:b w:val="1"/>
          <w:bCs w:val="1"/>
          <w:color w:val="FFFFFE"/>
        </w:rPr>
      </w:pPr>
    </w:p>
    <w:p>
      <w:pPr>
        <w:ind w:right="200" w:firstLine="651"/>
        <w:spacing w:after="0" w:line="242" w:lineRule="auto"/>
        <w:rPr>
          <w:sz w:val="20"/>
          <w:szCs w:val="20"/>
          <w:color w:val="auto"/>
        </w:rPr>
      </w:pPr>
      <w:r>
        <w:rPr>
          <w:rFonts w:ascii="Arial" w:cs="Arial" w:eastAsia="Arial" w:hAnsi="Arial"/>
          <w:sz w:val="17"/>
          <w:szCs w:val="17"/>
          <w:color w:val="auto"/>
        </w:rPr>
        <w:t>AbbVie recently adopted a proxy access By-Law provision to permit a stockholder, or a group of up to 20 stockholders, continuously owning shares of our company for at least 3 years and representing an aggregate of at least 3% of the outstanding shares of common stock, to nominate and include in our proxy materials director nominee(s) constituting up to 25% of the total number of the directors in office, provided that the stockholder(s) and the nominee(s) satisfy the requirements in our By-Laws. Notice must include certain information required by Article II of AbbVie's Amended and Restated By-Laws. To be timely, written notice must be received at AbbVie's principal executive offices not earlier than 150 days and not later than 120 days before the anniversary of the date that the company mailed its proxy statement for the prior year's annual meeting of stockholders. To be timely for the 2017 Annual Meeting, this written notice must be received by AbbVie no later than November 21, 2016 and must include the specific information required by, and otherwise comply with the requirements of, our By-Laws.</w:t>
      </w:r>
    </w:p>
    <w:p>
      <w:pPr>
        <w:spacing w:after="0" w:line="165"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21"/>
          <w:szCs w:val="21"/>
          <w:b w:val="1"/>
          <w:bCs w:val="1"/>
          <w:color w:val="444867"/>
        </w:rPr>
        <w:t>Householding of Proxy Materials</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rFonts w:ascii="Arial" w:cs="Arial" w:eastAsia="Arial" w:hAnsi="Arial"/>
          <w:sz w:val="10"/>
          <w:szCs w:val="10"/>
          <w:b w:val="1"/>
          <w:bCs w:val="1"/>
          <w:color w:val="FFFFFE"/>
        </w:rPr>
      </w:pPr>
    </w:p>
    <w:p>
      <w:pPr>
        <w:ind w:right="220" w:firstLine="657"/>
        <w:spacing w:after="0" w:line="243" w:lineRule="auto"/>
        <w:rPr>
          <w:sz w:val="20"/>
          <w:szCs w:val="20"/>
          <w:color w:val="auto"/>
        </w:rPr>
      </w:pPr>
      <w:r>
        <w:rPr>
          <w:rFonts w:ascii="Arial" w:cs="Arial" w:eastAsia="Arial" w:hAnsi="Arial"/>
          <w:sz w:val="17"/>
          <w:szCs w:val="17"/>
          <w:color w:val="auto"/>
        </w:rPr>
        <w:t>The Securities and Exchange Commission has adopted rules that permit companies and intermediaries (such as brokers or banks) to satisfy the delivery requirements for proxy statements with respect to two or more security holders sharing the same address by delivering a single Notice or proxy statement addressed to those security holders. This process, which is commonly referred to as "householding," potentially provides extra convenience for security holders and cost savings for companies.</w:t>
      </w:r>
    </w:p>
    <w:p>
      <w:pPr>
        <w:spacing w:after="0" w:line="201" w:lineRule="exact"/>
        <w:rPr>
          <w:rFonts w:ascii="Arial" w:cs="Arial" w:eastAsia="Arial" w:hAnsi="Arial"/>
          <w:sz w:val="10"/>
          <w:szCs w:val="10"/>
          <w:b w:val="1"/>
          <w:bCs w:val="1"/>
          <w:color w:val="FFFFFE"/>
        </w:rPr>
      </w:pPr>
    </w:p>
    <w:p>
      <w:pPr>
        <w:ind w:right="140" w:firstLine="661"/>
        <w:spacing w:after="0" w:line="243" w:lineRule="auto"/>
        <w:rPr>
          <w:sz w:val="20"/>
          <w:szCs w:val="20"/>
          <w:color w:val="auto"/>
        </w:rPr>
      </w:pPr>
      <w:r>
        <w:rPr>
          <w:rFonts w:ascii="Arial" w:cs="Arial" w:eastAsia="Arial" w:hAnsi="Arial"/>
          <w:sz w:val="17"/>
          <w:szCs w:val="17"/>
          <w:color w:val="auto"/>
        </w:rPr>
        <w:t>Several brokers and banks with accountholders who are AbbVie stockholders will be "householding" our proxy materials. As indicated in the notice provided by these brokers to AbbVie stockholders, a single proxy statement will be delivered to multiple stockholders sharing an address unless contrary instructions have been received from an affected stockholder. Once you have received notice from your broker that it will be "householding" communications to your</w:t>
      </w:r>
    </w:p>
    <w:p>
      <w:pPr>
        <w:spacing w:after="0" w:line="209" w:lineRule="exact"/>
        <w:rPr>
          <w:rFonts w:ascii="Arial" w:cs="Arial" w:eastAsia="Arial" w:hAnsi="Arial"/>
          <w:sz w:val="10"/>
          <w:szCs w:val="10"/>
          <w:b w:val="1"/>
          <w:bCs w:val="1"/>
          <w:color w:val="FFFFFE"/>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69</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2" w:name="page73"/>
    <w:bookmarkEnd w:id="72"/>
    <w:p>
      <w:pPr>
        <w:spacing w:after="0" w:line="197" w:lineRule="auto"/>
        <w:framePr w:w="1480" w:h="95" w:wrap="auto" w:vAnchor="page" w:hAnchor="page" w:x="420" w:y="594"/>
        <w:rPr>
          <w:rFonts w:ascii="Arial" w:cs="Arial" w:eastAsia="Arial" w:hAnsi="Arial"/>
          <w:sz w:val="10"/>
          <w:szCs w:val="10"/>
          <w:b w:val="1"/>
          <w:bCs w:val="1"/>
          <w:color w:val="FFFFFE"/>
        </w:rPr>
      </w:pPr>
      <w:r>
        <w:rPr>
          <w:rFonts w:ascii="Arial" w:cs="Arial" w:eastAsia="Arial" w:hAnsi="Arial"/>
          <w:sz w:val="10"/>
          <w:szCs w:val="10"/>
          <w:b w:val="1"/>
          <w:bCs w:val="1"/>
          <w:color w:val="FFFFFE"/>
        </w:rPr>
        <w:t>ADDITIONAL INFORMATION</w:t>
      </w:r>
    </w:p>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061720" cy="14097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1061720" cy="140970"/>
                    </a:xfrm>
                    <a:prstGeom prst="rect">
                      <a:avLst/>
                    </a:prstGeom>
                    <a:noFill/>
                  </pic:spPr>
                </pic:pic>
              </a:graphicData>
            </a:graphic>
          </wp:anchor>
        </w:drawing>
      </w:r>
    </w:p>
    <w:p>
      <w:pPr>
        <w:spacing w:after="0" w:line="190" w:lineRule="exact"/>
        <w:rPr>
          <w:rFonts w:ascii="Arial" w:cs="Arial" w:eastAsia="Arial" w:hAnsi="Arial"/>
          <w:sz w:val="10"/>
          <w:szCs w:val="10"/>
          <w:b w:val="1"/>
          <w:bCs w:val="1"/>
          <w:color w:val="FFFFFE"/>
        </w:rPr>
      </w:pPr>
    </w:p>
    <w:p>
      <w:pPr>
        <w:ind w:left="1680" w:right="240"/>
        <w:spacing w:after="0" w:line="255" w:lineRule="auto"/>
        <w:rPr>
          <w:sz w:val="20"/>
          <w:szCs w:val="20"/>
          <w:color w:val="auto"/>
        </w:rPr>
      </w:pPr>
      <w:r>
        <w:rPr>
          <w:rFonts w:ascii="Arial" w:cs="Arial" w:eastAsia="Arial" w:hAnsi="Arial"/>
          <w:sz w:val="16"/>
          <w:szCs w:val="16"/>
          <w:color w:val="auto"/>
        </w:rPr>
        <w:t>address, "householding" will continue until you are notified otherwise or until you revoke your consent. If, at any time, you no longer wish to participate in "householding" and you prefer to receive a separate proxy statement, please notify your broker, or</w:t>
      </w:r>
    </w:p>
    <w:p>
      <w:pPr>
        <w:spacing w:after="0" w:line="1" w:lineRule="exact"/>
        <w:rPr>
          <w:rFonts w:ascii="Arial" w:cs="Arial" w:eastAsia="Arial" w:hAnsi="Arial"/>
          <w:sz w:val="10"/>
          <w:szCs w:val="10"/>
          <w:b w:val="1"/>
          <w:bCs w:val="1"/>
          <w:color w:val="FFFFFE"/>
        </w:rPr>
      </w:pPr>
    </w:p>
    <w:p>
      <w:pPr>
        <w:jc w:val="both"/>
        <w:ind w:right="220"/>
        <w:spacing w:after="0" w:line="245" w:lineRule="auto"/>
        <w:rPr>
          <w:sz w:val="20"/>
          <w:szCs w:val="20"/>
          <w:color w:val="auto"/>
        </w:rPr>
      </w:pPr>
      <w:r>
        <w:rPr>
          <w:rFonts w:ascii="Arial" w:cs="Arial" w:eastAsia="Arial" w:hAnsi="Arial"/>
          <w:sz w:val="17"/>
          <w:szCs w:val="17"/>
          <w:color w:val="auto"/>
        </w:rPr>
        <w:t>contact Broadridge Financial Solutions at 1-866-540-7095, or write to us at Investor Relations, AbbVie Inc., 1 North Waukegan Road, North Chicago, Illinois 60064. Stockholders who currently receive multiple copies of the proxy statement at their address and would like to request "householding" of their communications should contact their broker or bank.</w:t>
      </w:r>
    </w:p>
    <w:p>
      <w:pPr>
        <w:spacing w:after="0" w:line="163"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21"/>
          <w:szCs w:val="21"/>
          <w:b w:val="1"/>
          <w:bCs w:val="1"/>
          <w:color w:val="444867"/>
        </w:rPr>
        <w:t>Cautionary Statement Regarding Forward-Looking Statements</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rFonts w:ascii="Arial" w:cs="Arial" w:eastAsia="Arial" w:hAnsi="Arial"/>
          <w:sz w:val="10"/>
          <w:szCs w:val="10"/>
          <w:b w:val="1"/>
          <w:bCs w:val="1"/>
          <w:color w:val="FFFFFE"/>
        </w:rPr>
      </w:pPr>
    </w:p>
    <w:p>
      <w:pPr>
        <w:ind w:right="60" w:firstLine="657"/>
        <w:spacing w:after="0" w:line="241" w:lineRule="auto"/>
        <w:rPr>
          <w:sz w:val="20"/>
          <w:szCs w:val="20"/>
          <w:color w:val="auto"/>
        </w:rPr>
      </w:pPr>
      <w:r>
        <w:rPr>
          <w:rFonts w:ascii="Arial" w:cs="Arial" w:eastAsia="Arial" w:hAnsi="Arial"/>
          <w:sz w:val="17"/>
          <w:szCs w:val="17"/>
          <w:color w:val="auto"/>
        </w:rPr>
        <w:t>This proxy statement contains certain forward-looking statements regarding business strategies, market potential, future financial performance and other matters. The words "believe," "expect," "anticipate," "project" and similar expressions, among others, generally identify "forward-looking statements," which speak only as of the date the statements were made. The matters discussed in these forward-looking statements are subject to risks, uncertainties and other factors that may cause actual results to differ materially from those projected, anticipated or implied in the forward-looking statements. Where, in any forward-looking statement, an expectation or belief as to future results or events is expressed, such expectation or belief is based on the current plans and expectations of AbbVie management and expressed in good faith and believed to have a reasonable basis, but there can be no assurance that the expectation or belief will result or be achieved or accomplished. Factors that could cause actual results or events to differ materially from those anticipated include the matters described in AbbVie's Annual Report on Form 10-K for the year ended December 31, 2015 under Item 1A, "Risk Factors" and Item 7, "Management's Discussion and Analysis of Financial Condition and Results of Operations." AbbVie does not undertake any obligation to update the forward-looking statements included in this proxy statement to reflect events or circumstances after the date hereof, unless AbbVie is required by applicable securities law to do so.</w:t>
      </w:r>
    </w:p>
    <w:p>
      <w:pPr>
        <w:spacing w:after="0" w:line="170" w:lineRule="exact"/>
        <w:rPr>
          <w:rFonts w:ascii="Arial" w:cs="Arial" w:eastAsia="Arial" w:hAnsi="Arial"/>
          <w:sz w:val="10"/>
          <w:szCs w:val="10"/>
          <w:b w:val="1"/>
          <w:bCs w:val="1"/>
          <w:color w:val="FFFFFE"/>
        </w:rPr>
      </w:pPr>
    </w:p>
    <w:p>
      <w:pPr>
        <w:spacing w:after="0"/>
        <w:rPr>
          <w:sz w:val="20"/>
          <w:szCs w:val="20"/>
          <w:color w:val="auto"/>
        </w:rPr>
      </w:pPr>
      <w:r>
        <w:rPr>
          <w:rFonts w:ascii="Arial" w:cs="Arial" w:eastAsia="Arial" w:hAnsi="Arial"/>
          <w:sz w:val="21"/>
          <w:szCs w:val="21"/>
          <w:b w:val="1"/>
          <w:bCs w:val="1"/>
          <w:color w:val="444867"/>
        </w:rPr>
        <w:t>General</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3175</wp:posOffset>
            </wp:positionH>
            <wp:positionV relativeFrom="paragraph">
              <wp:posOffset>33020</wp:posOffset>
            </wp:positionV>
            <wp:extent cx="725106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51065" cy="8255"/>
                    </a:xfrm>
                    <a:prstGeom prst="rect">
                      <a:avLst/>
                    </a:prstGeom>
                    <a:noFill/>
                  </pic:spPr>
                </pic:pic>
              </a:graphicData>
            </a:graphic>
          </wp:anchor>
        </w:drawing>
      </w:r>
    </w:p>
    <w:p>
      <w:pPr>
        <w:spacing w:after="0" w:line="257" w:lineRule="exact"/>
        <w:rPr>
          <w:rFonts w:ascii="Arial" w:cs="Arial" w:eastAsia="Arial" w:hAnsi="Arial"/>
          <w:sz w:val="10"/>
          <w:szCs w:val="10"/>
          <w:b w:val="1"/>
          <w:bCs w:val="1"/>
          <w:color w:val="FFFFFE"/>
        </w:rPr>
      </w:pPr>
    </w:p>
    <w:p>
      <w:pPr>
        <w:jc w:val="both"/>
        <w:ind w:right="100" w:firstLine="661"/>
        <w:spacing w:after="0" w:line="245" w:lineRule="auto"/>
        <w:rPr>
          <w:sz w:val="20"/>
          <w:szCs w:val="20"/>
          <w:color w:val="auto"/>
        </w:rPr>
      </w:pPr>
      <w:r>
        <w:rPr>
          <w:rFonts w:ascii="Arial" w:cs="Arial" w:eastAsia="Arial" w:hAnsi="Arial"/>
          <w:sz w:val="17"/>
          <w:szCs w:val="17"/>
          <w:color w:val="auto"/>
        </w:rPr>
        <w:t>It is important that proxies be returned promptly. Stockholders are urged to vote, regardless of the number of shares of AbbVie common stock owned. Stockholders may vote by telephone, by Internet, or by mail if a printed version of the proxy card was received or requested. Stockholders who vote by telephone or the Internet do not need to return a proxy card.</w:t>
      </w:r>
    </w:p>
    <w:p>
      <w:pPr>
        <w:spacing w:after="0" w:line="198" w:lineRule="exact"/>
        <w:rPr>
          <w:rFonts w:ascii="Arial" w:cs="Arial" w:eastAsia="Arial" w:hAnsi="Arial"/>
          <w:sz w:val="10"/>
          <w:szCs w:val="10"/>
          <w:b w:val="1"/>
          <w:bCs w:val="1"/>
          <w:color w:val="FFFFFE"/>
        </w:rPr>
      </w:pPr>
    </w:p>
    <w:p>
      <w:pPr>
        <w:ind w:firstLine="657"/>
        <w:spacing w:after="0" w:line="243" w:lineRule="auto"/>
        <w:rPr>
          <w:sz w:val="20"/>
          <w:szCs w:val="20"/>
          <w:color w:val="auto"/>
        </w:rPr>
      </w:pPr>
      <w:r>
        <w:rPr>
          <w:rFonts w:ascii="Arial" w:cs="Arial" w:eastAsia="Arial" w:hAnsi="Arial"/>
          <w:sz w:val="17"/>
          <w:szCs w:val="17"/>
          <w:color w:val="auto"/>
        </w:rPr>
        <w:t>The Annual Meeting will be held at the Fairmont Chicago, Millennium Park, 200 North Columbus Drive, Chicago, Illinois 60601. Admission to the meeting will be by admission card only. A stockholder planning to attend the meeting should promptly complete and return the reservation form. Reservation forms must be received before April 29, 2016. An admission card admits only one person. A stockholder may request two admission cards, but a guest must be accompanied by a stockholder.</w:t>
      </w:r>
    </w:p>
    <w:p>
      <w:pPr>
        <w:spacing w:after="0" w:line="201" w:lineRule="exact"/>
        <w:rPr>
          <w:rFonts w:ascii="Arial" w:cs="Arial" w:eastAsia="Arial" w:hAnsi="Arial"/>
          <w:sz w:val="10"/>
          <w:szCs w:val="10"/>
          <w:b w:val="1"/>
          <w:bCs w:val="1"/>
          <w:color w:val="FFFFFE"/>
        </w:rPr>
      </w:pPr>
    </w:p>
    <w:p>
      <w:pPr>
        <w:ind w:left="5720"/>
        <w:spacing w:after="0"/>
        <w:rPr>
          <w:sz w:val="20"/>
          <w:szCs w:val="20"/>
          <w:color w:val="auto"/>
        </w:rPr>
      </w:pPr>
      <w:r>
        <w:rPr>
          <w:rFonts w:ascii="Arial" w:cs="Arial" w:eastAsia="Arial" w:hAnsi="Arial"/>
          <w:sz w:val="17"/>
          <w:szCs w:val="17"/>
          <w:color w:val="auto"/>
        </w:rPr>
        <w:t>By order of the board of directors.</w:t>
      </w:r>
    </w:p>
    <w:p>
      <w:pPr>
        <w:spacing w:after="0" w:line="1" w:lineRule="exact"/>
        <w:rPr>
          <w:rFonts w:ascii="Arial" w:cs="Arial" w:eastAsia="Arial" w:hAnsi="Arial"/>
          <w:sz w:val="10"/>
          <w:szCs w:val="10"/>
          <w:b w:val="1"/>
          <w:bCs w:val="1"/>
          <w:color w:val="FFFFFE"/>
        </w:rPr>
      </w:pPr>
    </w:p>
    <w:p>
      <w:pPr>
        <w:ind w:left="5720"/>
        <w:spacing w:after="0"/>
        <w:rPr>
          <w:sz w:val="20"/>
          <w:szCs w:val="20"/>
          <w:color w:val="auto"/>
        </w:rPr>
      </w:pPr>
      <w:r>
        <w:rPr>
          <w:rFonts w:ascii="Arial" w:cs="Arial" w:eastAsia="Arial" w:hAnsi="Arial"/>
          <w:sz w:val="17"/>
          <w:szCs w:val="17"/>
          <w:color w:val="auto"/>
        </w:rPr>
        <w:t>LAURA J. SCHUMACHER</w:t>
      </w:r>
    </w:p>
    <w:p>
      <w:pPr>
        <w:spacing w:after="0" w:line="1" w:lineRule="exact"/>
        <w:rPr>
          <w:rFonts w:ascii="Arial" w:cs="Arial" w:eastAsia="Arial" w:hAnsi="Arial"/>
          <w:sz w:val="10"/>
          <w:szCs w:val="10"/>
          <w:b w:val="1"/>
          <w:bCs w:val="1"/>
          <w:color w:val="FFFFFE"/>
        </w:rPr>
      </w:pPr>
    </w:p>
    <w:p>
      <w:pPr>
        <w:ind w:left="5720"/>
        <w:spacing w:after="0"/>
        <w:rPr>
          <w:sz w:val="20"/>
          <w:szCs w:val="20"/>
          <w:color w:val="auto"/>
        </w:rPr>
      </w:pPr>
      <w:r>
        <w:rPr>
          <w:rFonts w:ascii="Arial" w:cs="Arial" w:eastAsia="Arial" w:hAnsi="Arial"/>
          <w:sz w:val="17"/>
          <w:szCs w:val="17"/>
          <w:i w:val="1"/>
          <w:iCs w:val="1"/>
          <w:color w:val="auto"/>
        </w:rPr>
        <w:t>SECRETARY</w:t>
      </w:r>
    </w:p>
    <w:p>
      <w:pPr>
        <w:spacing w:after="0" w:line="217" w:lineRule="exact"/>
        <w:rPr>
          <w:rFonts w:ascii="Arial" w:cs="Arial" w:eastAsia="Arial" w:hAnsi="Arial"/>
          <w:sz w:val="10"/>
          <w:szCs w:val="10"/>
          <w:b w:val="1"/>
          <w:bCs w:val="1"/>
          <w:color w:val="FFFFFE"/>
        </w:rPr>
      </w:pPr>
    </w:p>
    <w:p>
      <w:pPr>
        <w:ind w:left="60"/>
        <w:spacing w:after="0"/>
        <w:rPr>
          <w:sz w:val="20"/>
          <w:szCs w:val="20"/>
          <w:color w:val="auto"/>
        </w:rPr>
      </w:pPr>
      <w:r>
        <w:rPr>
          <w:rFonts w:ascii="Arial" w:cs="Arial" w:eastAsia="Arial" w:hAnsi="Arial"/>
          <w:sz w:val="17"/>
          <w:szCs w:val="17"/>
          <w:b w:val="1"/>
          <w:bCs w:val="1"/>
          <w:color w:val="auto"/>
        </w:rPr>
        <w:t xml:space="preserve">70  </w:t>
      </w:r>
      <w:r>
        <w:rPr>
          <w:sz w:val="1"/>
          <w:szCs w:val="1"/>
          <w:color w:val="auto"/>
        </w:rPr>
        <w:drawing>
          <wp:inline distT="0" distB="0" distL="0" distR="0">
            <wp:extent cx="622300" cy="107950"/>
            <wp:effectExtent l="0" t="0" r="0" b="0"/>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24"/>
          <w:szCs w:val="24"/>
          <w:b w:val="1"/>
          <w:bCs w:val="1"/>
          <w:color w:val="444867"/>
        </w:rPr>
        <w:t xml:space="preserve">  | </w:t>
      </w:r>
      <w:r>
        <w:rPr>
          <w:rFonts w:ascii="Arial" w:cs="Arial" w:eastAsia="Arial" w:hAnsi="Arial"/>
          <w:sz w:val="16"/>
          <w:szCs w:val="16"/>
          <w:i w:val="1"/>
          <w:iCs w:val="1"/>
          <w:color w:val="000000"/>
        </w:rPr>
        <w:t>2016 Proxy Statement</w:t>
      </w:r>
    </w:p>
    <w:p>
      <w:pPr>
        <w:spacing w:after="0" w:line="20" w:lineRule="exact"/>
        <w:rPr>
          <w:rFonts w:ascii="Arial" w:cs="Arial" w:eastAsia="Arial" w:hAnsi="Arial"/>
          <w:sz w:val="10"/>
          <w:szCs w:val="10"/>
          <w:b w:val="1"/>
          <w:bCs w:val="1"/>
          <w:color w:val="FFFFFE"/>
        </w:rPr>
      </w:pPr>
      <w:r>
        <w:rPr>
          <w:rFonts w:ascii="Arial" w:cs="Arial" w:eastAsia="Arial" w:hAnsi="Arial"/>
          <w:sz w:val="10"/>
          <w:szCs w:val="10"/>
          <w:b w:val="1"/>
          <w:bCs w:val="1"/>
          <w:color w:val="FFFFFE"/>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380"/>
          </w:cols>
          <w:pgMar w:left="240" w:top="143" w:right="279" w:bottom="1440" w:gutter="0" w:footer="0" w:header="0"/>
        </w:sectPr>
      </w:pPr>
    </w:p>
    <w:bookmarkStart w:id="73" w:name="page74"/>
    <w:bookmarkEnd w:id="73"/>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6714490</wp:posOffset>
            </wp:positionH>
            <wp:positionV relativeFrom="paragraph">
              <wp:posOffset>130810</wp:posOffset>
            </wp:positionV>
            <wp:extent cx="539115" cy="14097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539115" cy="140970"/>
                    </a:xfrm>
                    <a:prstGeom prst="rect">
                      <a:avLst/>
                    </a:prstGeom>
                    <a:noFill/>
                  </pic:spPr>
                </pic:pic>
              </a:graphicData>
            </a:graphic>
          </wp:anchor>
        </w:drawing>
      </w:r>
    </w:p>
    <w:p>
      <w:pPr>
        <w:spacing w:after="0" w:line="224" w:lineRule="exact"/>
        <w:rPr>
          <w:sz w:val="20"/>
          <w:szCs w:val="20"/>
          <w:color w:val="auto"/>
        </w:rPr>
      </w:pPr>
    </w:p>
    <w:p>
      <w:pPr>
        <w:ind w:left="10620"/>
        <w:spacing w:after="0"/>
        <w:rPr>
          <w:sz w:val="20"/>
          <w:szCs w:val="20"/>
          <w:color w:val="auto"/>
        </w:rPr>
      </w:pPr>
      <w:r>
        <w:rPr>
          <w:rFonts w:ascii="Arial" w:cs="Arial" w:eastAsia="Arial" w:hAnsi="Arial"/>
          <w:sz w:val="10"/>
          <w:szCs w:val="10"/>
          <w:b w:val="1"/>
          <w:bCs w:val="1"/>
          <w:color w:val="FFFFFE"/>
        </w:rPr>
        <w:t>Appendix A</w:t>
      </w:r>
    </w:p>
    <w:p>
      <w:pPr>
        <w:spacing w:after="0" w:line="27" w:lineRule="exact"/>
        <w:rPr>
          <w:sz w:val="20"/>
          <w:szCs w:val="20"/>
          <w:color w:val="auto"/>
        </w:rPr>
      </w:pPr>
    </w:p>
    <w:p>
      <w:pPr>
        <w:ind w:left="900"/>
        <w:spacing w:after="0"/>
        <w:rPr>
          <w:sz w:val="20"/>
          <w:szCs w:val="20"/>
          <w:color w:val="auto"/>
        </w:rPr>
      </w:pPr>
      <w:r>
        <w:rPr>
          <w:rFonts w:ascii="Arial" w:cs="Arial" w:eastAsia="Arial" w:hAnsi="Arial"/>
          <w:sz w:val="17"/>
          <w:szCs w:val="17"/>
          <w:b w:val="1"/>
          <w:bCs w:val="1"/>
          <w:color w:val="auto"/>
        </w:rPr>
        <w:t>Proposed Certificate of Amendment to the Amended and Restated Certificate of Incorporation of AbbVie Inc.</w:t>
      </w:r>
    </w:p>
    <w:p>
      <w:pPr>
        <w:spacing w:after="0" w:line="23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text of the proposed amendment is marked to reflect the proposed changes.</w:t>
      </w:r>
    </w:p>
    <w:p>
      <w:pPr>
        <w:spacing w:after="0" w:line="210" w:lineRule="exact"/>
        <w:rPr>
          <w:sz w:val="20"/>
          <w:szCs w:val="20"/>
          <w:color w:val="auto"/>
        </w:rPr>
      </w:pPr>
    </w:p>
    <w:p>
      <w:pPr>
        <w:ind w:right="940" w:firstLine="651"/>
        <w:spacing w:after="0" w:line="250" w:lineRule="auto"/>
        <w:rPr>
          <w:sz w:val="20"/>
          <w:szCs w:val="20"/>
          <w:color w:val="auto"/>
        </w:rPr>
      </w:pPr>
      <w:r>
        <w:rPr>
          <w:rFonts w:ascii="Arial" w:cs="Arial" w:eastAsia="Arial" w:hAnsi="Arial"/>
          <w:sz w:val="17"/>
          <w:szCs w:val="17"/>
          <w:color w:val="auto"/>
        </w:rPr>
        <w:t>AbbVie Inc., a corporation organized and existing under and by virtue of the General Corporation Law of the State of Delaware (the "</w:t>
      </w:r>
      <w:r>
        <w:rPr>
          <w:rFonts w:ascii="Arial" w:cs="Arial" w:eastAsia="Arial" w:hAnsi="Arial"/>
          <w:sz w:val="17"/>
          <w:szCs w:val="17"/>
          <w:u w:val="single" w:color="auto"/>
          <w:color w:val="auto"/>
        </w:rPr>
        <w:t>Corporation</w:t>
      </w:r>
      <w:r>
        <w:rPr>
          <w:rFonts w:ascii="Arial" w:cs="Arial" w:eastAsia="Arial" w:hAnsi="Arial"/>
          <w:sz w:val="17"/>
          <w:szCs w:val="17"/>
          <w:color w:val="auto"/>
        </w:rPr>
        <w:t>"), does hereby certify:</w:t>
      </w:r>
    </w:p>
    <w:p>
      <w:pPr>
        <w:spacing w:after="0" w:line="194" w:lineRule="exact"/>
        <w:rPr>
          <w:sz w:val="20"/>
          <w:szCs w:val="20"/>
          <w:color w:val="auto"/>
        </w:rPr>
      </w:pPr>
    </w:p>
    <w:p>
      <w:pPr>
        <w:ind w:left="340" w:hanging="335"/>
        <w:spacing w:after="0"/>
        <w:tabs>
          <w:tab w:leader="none" w:pos="340" w:val="left"/>
        </w:tabs>
        <w:numPr>
          <w:ilvl w:val="0"/>
          <w:numId w:val="59"/>
        </w:numPr>
        <w:rPr>
          <w:rFonts w:ascii="Arial" w:cs="Arial" w:eastAsia="Arial" w:hAnsi="Arial"/>
          <w:sz w:val="17"/>
          <w:szCs w:val="17"/>
          <w:color w:val="auto"/>
        </w:rPr>
      </w:pPr>
      <w:r>
        <w:rPr>
          <w:rFonts w:ascii="Arial" w:cs="Arial" w:eastAsia="Arial" w:hAnsi="Arial"/>
          <w:sz w:val="17"/>
          <w:szCs w:val="17"/>
          <w:color w:val="auto"/>
        </w:rPr>
        <w:t>Sections 2, 3, and 4 of Article VI of AbbVie's Amended and Restated Certificate of Incorporation are amended to read as follows:</w:t>
      </w:r>
    </w:p>
    <w:p>
      <w:pPr>
        <w:spacing w:after="0" w:line="210" w:lineRule="exact"/>
        <w:rPr>
          <w:sz w:val="20"/>
          <w:szCs w:val="20"/>
          <w:color w:val="auto"/>
        </w:rPr>
      </w:pPr>
    </w:p>
    <w:p>
      <w:pPr>
        <w:ind w:left="520" w:right="40" w:firstLine="661"/>
        <w:spacing w:after="0"/>
        <w:rPr>
          <w:sz w:val="20"/>
          <w:szCs w:val="20"/>
          <w:color w:val="auto"/>
        </w:rPr>
      </w:pPr>
      <w:r>
        <w:rPr>
          <w:rFonts w:ascii="Arial" w:cs="Arial" w:eastAsia="Arial" w:hAnsi="Arial"/>
          <w:sz w:val="17"/>
          <w:szCs w:val="17"/>
          <w:u w:val="single" w:color="auto"/>
          <w:color w:val="auto"/>
        </w:rPr>
        <w:t>Section 2. Classes of Directors</w:t>
      </w:r>
      <w:r>
        <w:rPr>
          <w:rFonts w:ascii="Arial" w:cs="Arial" w:eastAsia="Arial" w:hAnsi="Arial"/>
          <w:sz w:val="17"/>
          <w:szCs w:val="17"/>
          <w:color w:val="auto"/>
        </w:rPr>
        <w:t>. Subject to the rights of the holders of any series of Preferred Stock to elect directors under specified circumstances, the directors shall</w:t>
      </w:r>
      <w:r>
        <w:rPr>
          <w:rFonts w:ascii="Arial" w:cs="Arial" w:eastAsia="Arial" w:hAnsi="Arial"/>
          <w:sz w:val="17"/>
          <w:szCs w:val="17"/>
          <w:u w:val="single" w:color="auto"/>
          <w:color w:val="auto"/>
        </w:rPr>
        <w:t>, until the annual meeting of stockholders to be held in 2019,</w:t>
      </w:r>
      <w:r>
        <w:rPr>
          <w:rFonts w:ascii="Arial" w:cs="Arial" w:eastAsia="Arial" w:hAnsi="Arial"/>
          <w:sz w:val="17"/>
          <w:szCs w:val="17"/>
          <w:color w:val="auto"/>
        </w:rPr>
        <w:t xml:space="preserve"> be divided</w:t>
      </w:r>
      <w:r>
        <w:rPr>
          <w:rFonts w:ascii="Arial" w:cs="Arial" w:eastAsia="Arial" w:hAnsi="Arial"/>
          <w:sz w:val="17"/>
          <w:szCs w:val="17"/>
          <w:color w:val="auto"/>
          <w:strike w:val="1"/>
        </w:rPr>
        <w:t>,</w:t>
      </w:r>
      <w:r>
        <w:rPr>
          <w:rFonts w:ascii="Arial" w:cs="Arial" w:eastAsia="Arial" w:hAnsi="Arial"/>
          <w:sz w:val="17"/>
          <w:szCs w:val="17"/>
          <w:color w:val="auto"/>
        </w:rPr>
        <w:t xml:space="preserve"> with respect to the time for which they severally hold office, into three classes, as nearly equal in number as is reasonably possible</w:t>
      </w:r>
      <w:r>
        <w:rPr>
          <w:rFonts w:ascii="Arial" w:cs="Arial" w:eastAsia="Arial" w:hAnsi="Arial"/>
          <w:sz w:val="17"/>
          <w:szCs w:val="17"/>
          <w:u w:val="single" w:color="auto"/>
          <w:color w:val="auto"/>
        </w:rPr>
        <w:t>.</w:t>
      </w:r>
      <w:r>
        <w:rPr>
          <w:rFonts w:ascii="Arial" w:cs="Arial" w:eastAsia="Arial" w:hAnsi="Arial"/>
          <w:sz w:val="17"/>
          <w:szCs w:val="17"/>
          <w:color w:val="auto"/>
        </w:rPr>
        <w:t xml:space="preserve"> </w:t>
      </w:r>
      <w:r>
        <w:rPr>
          <w:rFonts w:ascii="Arial" w:cs="Arial" w:eastAsia="Arial" w:hAnsi="Arial"/>
          <w:sz w:val="17"/>
          <w:szCs w:val="17"/>
          <w:color w:val="auto"/>
          <w:strike w:val="1"/>
        </w:rPr>
        <w:t>, with t</w:t>
      </w:r>
      <w:r>
        <w:rPr>
          <w:rFonts w:ascii="Arial" w:cs="Arial" w:eastAsia="Arial" w:hAnsi="Arial"/>
          <w:sz w:val="17"/>
          <w:szCs w:val="17"/>
          <w:u w:val="single" w:color="auto"/>
          <w:color w:val="auto"/>
        </w:rPr>
        <w:t>T</w:t>
      </w:r>
      <w:r>
        <w:rPr>
          <w:rFonts w:ascii="Arial" w:cs="Arial" w:eastAsia="Arial" w:hAnsi="Arial"/>
          <w:sz w:val="17"/>
          <w:szCs w:val="17"/>
          <w:color w:val="auto"/>
        </w:rPr>
        <w:t xml:space="preserve">he term of office of the </w:t>
      </w:r>
      <w:r>
        <w:rPr>
          <w:rFonts w:ascii="Arial" w:cs="Arial" w:eastAsia="Arial" w:hAnsi="Arial"/>
          <w:sz w:val="17"/>
          <w:szCs w:val="17"/>
          <w:u w:val="single" w:color="auto"/>
          <w:color w:val="auto"/>
        </w:rPr>
        <w:t>class of directors</w:t>
      </w:r>
      <w:r>
        <w:rPr>
          <w:rFonts w:ascii="Arial" w:cs="Arial" w:eastAsia="Arial" w:hAnsi="Arial"/>
          <w:sz w:val="17"/>
          <w:szCs w:val="17"/>
          <w:color w:val="auto"/>
        </w:rPr>
        <w:t xml:space="preserve"> </w:t>
      </w:r>
      <w:r>
        <w:rPr>
          <w:rFonts w:ascii="Arial" w:cs="Arial" w:eastAsia="Arial" w:hAnsi="Arial"/>
          <w:sz w:val="17"/>
          <w:szCs w:val="17"/>
          <w:u w:val="single" w:color="auto"/>
          <w:color w:val="auto"/>
        </w:rPr>
        <w:t>elected at the annual meeting of stockholders in 2016 shall</w:t>
      </w:r>
      <w:r>
        <w:rPr>
          <w:rFonts w:ascii="Arial" w:cs="Arial" w:eastAsia="Arial" w:hAnsi="Arial"/>
          <w:sz w:val="17"/>
          <w:szCs w:val="17"/>
          <w:color w:val="auto"/>
        </w:rPr>
        <w:t xml:space="preserve"> </w:t>
      </w:r>
      <w:r>
        <w:rPr>
          <w:rFonts w:ascii="Arial" w:cs="Arial" w:eastAsia="Arial" w:hAnsi="Arial"/>
          <w:sz w:val="17"/>
          <w:szCs w:val="17"/>
          <w:color w:val="auto"/>
          <w:strike w:val="1"/>
        </w:rPr>
        <w:t>first class to</w:t>
      </w:r>
      <w:r>
        <w:rPr>
          <w:rFonts w:ascii="Arial" w:cs="Arial" w:eastAsia="Arial" w:hAnsi="Arial"/>
          <w:sz w:val="17"/>
          <w:szCs w:val="17"/>
          <w:color w:val="auto"/>
        </w:rPr>
        <w:t xml:space="preserve"> expire at the 20 </w:t>
      </w:r>
      <w:r>
        <w:rPr>
          <w:rFonts w:ascii="Arial" w:cs="Arial" w:eastAsia="Arial" w:hAnsi="Arial"/>
          <w:sz w:val="17"/>
          <w:szCs w:val="17"/>
          <w:u w:val="single" w:color="auto"/>
          <w:color w:val="auto"/>
        </w:rPr>
        <w:t>19</w:t>
      </w:r>
      <w:r>
        <w:rPr>
          <w:rFonts w:ascii="Arial" w:cs="Arial" w:eastAsia="Arial" w:hAnsi="Arial"/>
          <w:sz w:val="17"/>
          <w:szCs w:val="17"/>
          <w:color w:val="auto"/>
          <w:strike w:val="1"/>
        </w:rPr>
        <w:t>13</w:t>
      </w:r>
      <w:r>
        <w:rPr>
          <w:rFonts w:ascii="Arial" w:cs="Arial" w:eastAsia="Arial" w:hAnsi="Arial"/>
          <w:sz w:val="17"/>
          <w:szCs w:val="17"/>
          <w:color w:val="auto"/>
        </w:rPr>
        <w:t xml:space="preserve"> annual meeting of stockholders, the term of office of the </w:t>
      </w:r>
      <w:r>
        <w:rPr>
          <w:rFonts w:ascii="Arial" w:cs="Arial" w:eastAsia="Arial" w:hAnsi="Arial"/>
          <w:sz w:val="17"/>
          <w:szCs w:val="17"/>
          <w:u w:val="single" w:color="auto"/>
          <w:color w:val="auto"/>
        </w:rPr>
        <w:t>class of directors elected at the annual meeting of stockholders held in 2017 shall</w:t>
      </w:r>
      <w:r>
        <w:rPr>
          <w:rFonts w:ascii="Arial" w:cs="Arial" w:eastAsia="Arial" w:hAnsi="Arial"/>
          <w:sz w:val="17"/>
          <w:szCs w:val="17"/>
          <w:color w:val="auto"/>
        </w:rPr>
        <w:t xml:space="preserve"> </w:t>
      </w:r>
      <w:r>
        <w:rPr>
          <w:rFonts w:ascii="Arial" w:cs="Arial" w:eastAsia="Arial" w:hAnsi="Arial"/>
          <w:sz w:val="17"/>
          <w:szCs w:val="17"/>
          <w:color w:val="auto"/>
          <w:strike w:val="1"/>
        </w:rPr>
        <w:t>second class to</w:t>
      </w:r>
      <w:r>
        <w:rPr>
          <w:rFonts w:ascii="Arial" w:cs="Arial" w:eastAsia="Arial" w:hAnsi="Arial"/>
          <w:sz w:val="17"/>
          <w:szCs w:val="17"/>
          <w:color w:val="auto"/>
        </w:rPr>
        <w:t xml:space="preserve"> expire at the 201</w:t>
      </w:r>
      <w:r>
        <w:rPr>
          <w:rFonts w:ascii="Arial" w:cs="Arial" w:eastAsia="Arial" w:hAnsi="Arial"/>
          <w:sz w:val="17"/>
          <w:szCs w:val="17"/>
          <w:u w:val="single" w:color="auto"/>
          <w:color w:val="auto"/>
        </w:rPr>
        <w:t>8</w:t>
      </w:r>
      <w:r>
        <w:rPr>
          <w:rFonts w:ascii="Arial" w:cs="Arial" w:eastAsia="Arial" w:hAnsi="Arial"/>
          <w:sz w:val="17"/>
          <w:szCs w:val="17"/>
          <w:color w:val="auto"/>
          <w:strike w:val="1"/>
        </w:rPr>
        <w:t>4</w:t>
      </w:r>
      <w:r>
        <w:rPr>
          <w:rFonts w:ascii="Arial" w:cs="Arial" w:eastAsia="Arial" w:hAnsi="Arial"/>
          <w:sz w:val="17"/>
          <w:szCs w:val="17"/>
          <w:color w:val="auto"/>
        </w:rPr>
        <w:t xml:space="preserve"> annual meeting of stockholders and the term of office of the </w:t>
      </w:r>
      <w:r>
        <w:rPr>
          <w:rFonts w:ascii="Arial" w:cs="Arial" w:eastAsia="Arial" w:hAnsi="Arial"/>
          <w:sz w:val="17"/>
          <w:szCs w:val="17"/>
          <w:color w:val="auto"/>
          <w:strike w:val="1"/>
        </w:rPr>
        <w:t>third class to</w:t>
      </w:r>
      <w:r>
        <w:rPr>
          <w:rFonts w:ascii="Arial" w:cs="Arial" w:eastAsia="Arial" w:hAnsi="Arial"/>
          <w:sz w:val="17"/>
          <w:szCs w:val="17"/>
          <w:color w:val="auto"/>
        </w:rPr>
        <w:t xml:space="preserve"> </w:t>
      </w:r>
      <w:r>
        <w:rPr>
          <w:rFonts w:ascii="Arial" w:cs="Arial" w:eastAsia="Arial" w:hAnsi="Arial"/>
          <w:sz w:val="17"/>
          <w:szCs w:val="17"/>
          <w:u w:val="single" w:color="auto"/>
          <w:color w:val="auto"/>
        </w:rPr>
        <w:t>class of directors elected at the annual meeting of stockholders held in 2018 shall</w:t>
      </w:r>
      <w:r>
        <w:rPr>
          <w:rFonts w:ascii="Arial" w:cs="Arial" w:eastAsia="Arial" w:hAnsi="Arial"/>
          <w:sz w:val="17"/>
          <w:szCs w:val="17"/>
          <w:color w:val="auto"/>
        </w:rPr>
        <w:t xml:space="preserve"> expire at the 20</w:t>
      </w:r>
      <w:r>
        <w:rPr>
          <w:rFonts w:ascii="Arial" w:cs="Arial" w:eastAsia="Arial" w:hAnsi="Arial"/>
          <w:sz w:val="17"/>
          <w:szCs w:val="17"/>
          <w:u w:val="single" w:color="auto"/>
          <w:color w:val="auto"/>
        </w:rPr>
        <w:t>19</w:t>
      </w:r>
      <w:r>
        <w:rPr>
          <w:rFonts w:ascii="Arial" w:cs="Arial" w:eastAsia="Arial" w:hAnsi="Arial"/>
          <w:sz w:val="17"/>
          <w:szCs w:val="17"/>
          <w:color w:val="auto"/>
          <w:strike w:val="1"/>
        </w:rPr>
        <w:t>15</w:t>
      </w:r>
      <w:r>
        <w:rPr>
          <w:rFonts w:ascii="Arial" w:cs="Arial" w:eastAsia="Arial" w:hAnsi="Arial"/>
          <w:sz w:val="17"/>
          <w:szCs w:val="17"/>
          <w:color w:val="auto"/>
        </w:rPr>
        <w:t xml:space="preserve"> annual meeting of stockholders, with each director to hold office until his or her successor shall have been duly elected and qualified. At each annual meeting of stockholders, commencing with the 201</w:t>
      </w:r>
      <w:r>
        <w:rPr>
          <w:rFonts w:ascii="Arial" w:cs="Arial" w:eastAsia="Arial" w:hAnsi="Arial"/>
          <w:sz w:val="17"/>
          <w:szCs w:val="17"/>
          <w:u w:val="single" w:color="auto"/>
          <w:color w:val="auto"/>
        </w:rPr>
        <w:t>7</w:t>
      </w:r>
      <w:r>
        <w:rPr>
          <w:rFonts w:ascii="Arial" w:cs="Arial" w:eastAsia="Arial" w:hAnsi="Arial"/>
          <w:sz w:val="17"/>
          <w:szCs w:val="17"/>
          <w:color w:val="auto"/>
          <w:strike w:val="1"/>
        </w:rPr>
        <w:t>3</w:t>
      </w:r>
      <w:r>
        <w:rPr>
          <w:rFonts w:ascii="Arial" w:cs="Arial" w:eastAsia="Arial" w:hAnsi="Arial"/>
          <w:sz w:val="17"/>
          <w:szCs w:val="17"/>
          <w:color w:val="auto"/>
        </w:rPr>
        <w:t xml:space="preserve"> annual meeting, (a) directors elected to succeed those directors whose terms then expire shall be elected for a term of office to expire at the </w:t>
      </w:r>
      <w:r>
        <w:rPr>
          <w:rFonts w:ascii="Arial" w:cs="Arial" w:eastAsia="Arial" w:hAnsi="Arial"/>
          <w:sz w:val="17"/>
          <w:szCs w:val="17"/>
          <w:color w:val="auto"/>
          <w:strike w:val="1"/>
        </w:rPr>
        <w:t>third succeeding</w:t>
      </w:r>
      <w:r>
        <w:rPr>
          <w:rFonts w:ascii="Arial" w:cs="Arial" w:eastAsia="Arial" w:hAnsi="Arial"/>
          <w:sz w:val="17"/>
          <w:szCs w:val="17"/>
          <w:color w:val="auto"/>
        </w:rPr>
        <w:t xml:space="preserve"> annual meeting of stockholders </w:t>
      </w:r>
      <w:r>
        <w:rPr>
          <w:rFonts w:ascii="Arial" w:cs="Arial" w:eastAsia="Arial" w:hAnsi="Arial"/>
          <w:sz w:val="17"/>
          <w:szCs w:val="17"/>
          <w:u w:val="single" w:color="auto"/>
          <w:color w:val="auto"/>
        </w:rPr>
        <w:t>held in the year</w:t>
      </w:r>
      <w:r>
        <w:rPr>
          <w:rFonts w:ascii="Arial" w:cs="Arial" w:eastAsia="Arial" w:hAnsi="Arial"/>
          <w:sz w:val="17"/>
          <w:szCs w:val="17"/>
          <w:color w:val="auto"/>
        </w:rPr>
        <w:t xml:space="preserve"> </w:t>
      </w:r>
      <w:r>
        <w:rPr>
          <w:rFonts w:ascii="Arial" w:cs="Arial" w:eastAsia="Arial" w:hAnsi="Arial"/>
          <w:sz w:val="17"/>
          <w:szCs w:val="17"/>
          <w:u w:val="single" w:color="auto"/>
          <w:color w:val="auto"/>
        </w:rPr>
        <w:t>following the year of</w:t>
      </w:r>
      <w:r>
        <w:rPr>
          <w:rFonts w:ascii="Arial" w:cs="Arial" w:eastAsia="Arial" w:hAnsi="Arial"/>
          <w:sz w:val="17"/>
          <w:szCs w:val="17"/>
          <w:color w:val="auto"/>
        </w:rPr>
        <w:t xml:space="preserve"> </w:t>
      </w:r>
      <w:r>
        <w:rPr>
          <w:rFonts w:ascii="Arial" w:cs="Arial" w:eastAsia="Arial" w:hAnsi="Arial"/>
          <w:sz w:val="17"/>
          <w:szCs w:val="17"/>
          <w:color w:val="auto"/>
          <w:strike w:val="1"/>
        </w:rPr>
        <w:t>after</w:t>
      </w:r>
      <w:r>
        <w:rPr>
          <w:rFonts w:ascii="Arial" w:cs="Arial" w:eastAsia="Arial" w:hAnsi="Arial"/>
          <w:sz w:val="17"/>
          <w:szCs w:val="17"/>
          <w:color w:val="auto"/>
        </w:rPr>
        <w:t xml:space="preserve"> their election, with each director to hold office until his or her successor shall have been duly elected and qualified, and</w:t>
      </w:r>
    </w:p>
    <w:p>
      <w:pPr>
        <w:spacing w:after="0" w:line="5" w:lineRule="exact"/>
        <w:rPr>
          <w:sz w:val="20"/>
          <w:szCs w:val="20"/>
          <w:color w:val="auto"/>
        </w:rPr>
      </w:pPr>
    </w:p>
    <w:p>
      <w:pPr>
        <w:ind w:left="520" w:right="320" w:firstLine="7"/>
        <w:spacing w:after="0" w:line="250" w:lineRule="auto"/>
        <w:tabs>
          <w:tab w:leader="none" w:pos="775" w:val="left"/>
        </w:tabs>
        <w:numPr>
          <w:ilvl w:val="0"/>
          <w:numId w:val="60"/>
        </w:numPr>
        <w:rPr>
          <w:rFonts w:ascii="Arial" w:cs="Arial" w:eastAsia="Arial" w:hAnsi="Arial"/>
          <w:sz w:val="17"/>
          <w:szCs w:val="17"/>
          <w:color w:val="auto"/>
        </w:rPr>
      </w:pPr>
      <w:r>
        <w:rPr>
          <w:rFonts w:ascii="Arial" w:cs="Arial" w:eastAsia="Arial" w:hAnsi="Arial"/>
          <w:sz w:val="17"/>
          <w:szCs w:val="17"/>
          <w:color w:val="auto"/>
        </w:rPr>
        <w:t>if authorized by a resolution of the Board of Directors, directors may be elected to fill any vacancy on the Board of Directors, regardless of how such vacancy shall have been created.</w:t>
      </w:r>
    </w:p>
    <w:p>
      <w:pPr>
        <w:spacing w:after="0" w:line="194" w:lineRule="exact"/>
        <w:rPr>
          <w:sz w:val="20"/>
          <w:szCs w:val="20"/>
          <w:color w:val="auto"/>
        </w:rPr>
      </w:pPr>
    </w:p>
    <w:p>
      <w:pPr>
        <w:ind w:left="520" w:right="60" w:firstLine="661"/>
        <w:spacing w:after="0" w:line="242" w:lineRule="auto"/>
        <w:rPr>
          <w:sz w:val="20"/>
          <w:szCs w:val="20"/>
          <w:color w:val="auto"/>
        </w:rPr>
      </w:pPr>
      <w:r>
        <w:rPr>
          <w:rFonts w:ascii="Arial" w:cs="Arial" w:eastAsia="Arial" w:hAnsi="Arial"/>
          <w:sz w:val="17"/>
          <w:szCs w:val="17"/>
          <w:u w:val="single" w:color="auto"/>
          <w:color w:val="auto"/>
        </w:rPr>
        <w:t>Section 3. Vacancies</w:t>
      </w:r>
      <w:r>
        <w:rPr>
          <w:rFonts w:ascii="Arial" w:cs="Arial" w:eastAsia="Arial" w:hAnsi="Arial"/>
          <w:sz w:val="17"/>
          <w:szCs w:val="17"/>
          <w:color w:val="auto"/>
        </w:rPr>
        <w:t xml:space="preserve">. Subject to applicable law and the rights of the holders of any series of Preferred Stock with respect to such series of Preferred Stock, and unless the Board of Directors otherwise determines, vacancies resulting from death, resignation, retirement, disqualification, removal from office or other cause, and newly created directorships resulting from any increase in the authorized number of directors, may be filled only by the affirmative vote of a majority of the remaining directors, though less than a quorum of the Board of Directors, and in the event that there is only one director remaining in office, by such sole remaining director, and directors so chosen shall hold office </w:t>
      </w:r>
      <w:r>
        <w:rPr>
          <w:rFonts w:ascii="Arial" w:cs="Arial" w:eastAsia="Arial" w:hAnsi="Arial"/>
          <w:sz w:val="17"/>
          <w:szCs w:val="17"/>
          <w:color w:val="auto"/>
          <w:strike w:val="1"/>
        </w:rPr>
        <w:t>for a</w:t>
      </w:r>
      <w:r>
        <w:rPr>
          <w:rFonts w:ascii="Arial" w:cs="Arial" w:eastAsia="Arial" w:hAnsi="Arial"/>
          <w:sz w:val="17"/>
          <w:szCs w:val="17"/>
          <w:color w:val="auto"/>
        </w:rPr>
        <w:t xml:space="preserve"> </w:t>
      </w:r>
      <w:r>
        <w:rPr>
          <w:rFonts w:ascii="Arial" w:cs="Arial" w:eastAsia="Arial" w:hAnsi="Arial"/>
          <w:sz w:val="17"/>
          <w:szCs w:val="17"/>
          <w:color w:val="auto"/>
          <w:strike w:val="1"/>
        </w:rPr>
        <w:t>term expiring at the annual meeting of stockholders at which the term of office of the class to which they have been appointed expires and</w:t>
      </w:r>
      <w:r>
        <w:rPr>
          <w:rFonts w:ascii="Arial" w:cs="Arial" w:eastAsia="Arial" w:hAnsi="Arial"/>
          <w:sz w:val="17"/>
          <w:szCs w:val="17"/>
          <w:color w:val="auto"/>
        </w:rPr>
        <w:t xml:space="preserve"> until such director's successor shall have been duly elected and qualified </w:t>
      </w:r>
      <w:r>
        <w:rPr>
          <w:rFonts w:ascii="Arial" w:cs="Arial" w:eastAsia="Arial" w:hAnsi="Arial"/>
          <w:sz w:val="17"/>
          <w:szCs w:val="17"/>
          <w:u w:val="single" w:color="auto"/>
          <w:color w:val="auto"/>
        </w:rPr>
        <w:t>and, if the Board of Directors at such time is classified, for a term expiring at</w:t>
      </w:r>
      <w:r>
        <w:rPr>
          <w:rFonts w:ascii="Arial" w:cs="Arial" w:eastAsia="Arial" w:hAnsi="Arial"/>
          <w:sz w:val="17"/>
          <w:szCs w:val="17"/>
          <w:color w:val="auto"/>
        </w:rPr>
        <w:t xml:space="preserve"> </w:t>
      </w:r>
      <w:r>
        <w:rPr>
          <w:rFonts w:ascii="Arial" w:cs="Arial" w:eastAsia="Arial" w:hAnsi="Arial"/>
          <w:sz w:val="17"/>
          <w:szCs w:val="17"/>
          <w:u w:val="single" w:color="auto"/>
          <w:color w:val="auto"/>
        </w:rPr>
        <w:t>the annual meeting of stockholders at which the term of office of the class to which such director has been appointed expires</w:t>
      </w:r>
      <w:r>
        <w:rPr>
          <w:rFonts w:ascii="Arial" w:cs="Arial" w:eastAsia="Arial" w:hAnsi="Arial"/>
          <w:sz w:val="17"/>
          <w:szCs w:val="17"/>
          <w:color w:val="auto"/>
        </w:rPr>
        <w:t>.</w:t>
      </w:r>
    </w:p>
    <w:p>
      <w:pPr>
        <w:spacing w:after="0" w:line="200" w:lineRule="exact"/>
        <w:rPr>
          <w:sz w:val="20"/>
          <w:szCs w:val="20"/>
          <w:color w:val="auto"/>
        </w:rPr>
      </w:pPr>
    </w:p>
    <w:p>
      <w:pPr>
        <w:ind w:left="520" w:right="60" w:firstLine="661"/>
        <w:spacing w:after="0" w:line="241" w:lineRule="auto"/>
        <w:rPr>
          <w:sz w:val="20"/>
          <w:szCs w:val="20"/>
          <w:color w:val="auto"/>
        </w:rPr>
      </w:pPr>
      <w:r>
        <w:rPr>
          <w:rFonts w:ascii="Arial" w:cs="Arial" w:eastAsia="Arial" w:hAnsi="Arial"/>
          <w:sz w:val="17"/>
          <w:szCs w:val="17"/>
          <w:u w:val="single" w:color="auto"/>
          <w:color w:val="auto"/>
        </w:rPr>
        <w:t>Section 4. Removal</w:t>
      </w:r>
      <w:r>
        <w:rPr>
          <w:rFonts w:ascii="Arial" w:cs="Arial" w:eastAsia="Arial" w:hAnsi="Arial"/>
          <w:sz w:val="17"/>
          <w:szCs w:val="17"/>
          <w:color w:val="auto"/>
        </w:rPr>
        <w:t xml:space="preserve">. </w:t>
      </w:r>
      <w:r>
        <w:rPr>
          <w:rFonts w:ascii="Arial" w:cs="Arial" w:eastAsia="Arial" w:hAnsi="Arial"/>
          <w:sz w:val="17"/>
          <w:szCs w:val="17"/>
          <w:u w:val="single" w:color="auto"/>
          <w:color w:val="auto"/>
        </w:rPr>
        <w:t>Except as provided in the subsequent sentence and subject to the rights of the holders of any series of Preferred</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 with respect to such series of Preferred Stock, any director, or the entire Board of Directors, may be removed from office at any time, with or without cause by the affirmative vote of the holders of at least a majority of the outstanding shares of capital stock of the Corporation entitled to vote generally in the election of directors. Notwithstanding the immediately preceding sentence, subject to the rights of the holders of any series of Preferred Stock with respect to such series of Preferred Stock, until the 2019 annual meeting of the stockholders, a director may be removed from office only for cause by the affirmative vote of the holders of at least a majority of the outstanding shares of capital stock of the Corporation entitled to vote generally in the election of directors</w:t>
      </w:r>
      <w:r>
        <w:rPr>
          <w:rFonts w:ascii="Arial" w:cs="Arial" w:eastAsia="Arial" w:hAnsi="Arial"/>
          <w:sz w:val="17"/>
          <w:szCs w:val="17"/>
          <w:color w:val="auto"/>
          <w:strike w:val="1"/>
        </w:rPr>
        <w:t>Subject to the rights of the holders of any series of Preferred Stock with respect</w:t>
      </w:r>
      <w:r>
        <w:rPr>
          <w:rFonts w:ascii="Arial" w:cs="Arial" w:eastAsia="Arial" w:hAnsi="Arial"/>
          <w:sz w:val="17"/>
          <w:szCs w:val="17"/>
          <w:u w:val="single" w:color="auto"/>
          <w:color w:val="auto"/>
        </w:rPr>
        <w:t xml:space="preserve"> </w:t>
      </w:r>
      <w:r>
        <w:rPr>
          <w:rFonts w:ascii="Arial" w:cs="Arial" w:eastAsia="Arial" w:hAnsi="Arial"/>
          <w:sz w:val="17"/>
          <w:szCs w:val="17"/>
          <w:color w:val="auto"/>
          <w:strike w:val="1"/>
        </w:rPr>
        <w:t>to such series of Preferred Stock, any director, or the entire Board of Directors, may be removed from office at any time but only for cause by the affirmative vote of the holders of at least a majority of the outstanding shares of capital stock of the Corporation entitled to vote generally in the election of directors.</w:t>
      </w:r>
    </w:p>
    <w:p>
      <w:pPr>
        <w:spacing w:after="0" w:line="206" w:lineRule="exact"/>
        <w:rPr>
          <w:sz w:val="20"/>
          <w:szCs w:val="20"/>
          <w:color w:val="auto"/>
        </w:rPr>
      </w:pPr>
    </w:p>
    <w:p>
      <w:pPr>
        <w:ind w:right="240" w:firstLine="5"/>
        <w:spacing w:after="0" w:line="250" w:lineRule="auto"/>
        <w:tabs>
          <w:tab w:leader="none" w:pos="327"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foregoing amendment to the Amended and Restated Certificate of Incorporation of the Corporation was duly adopted in accordance with the provisions of Section 242 of the Delaware General Corporation Law.</w:t>
      </w:r>
    </w:p>
    <w:p>
      <w:pPr>
        <w:spacing w:after="0" w:line="201"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 xml:space="preserve">2016 Proxy Statement  </w:t>
      </w:r>
      <w:r>
        <w:rPr>
          <w:rFonts w:ascii="Arial" w:cs="Arial" w:eastAsia="Arial" w:hAnsi="Arial"/>
          <w:sz w:val="24"/>
          <w:szCs w:val="24"/>
          <w:b w:val="1"/>
          <w:bCs w:val="1"/>
          <w:color w:val="444867"/>
        </w:rPr>
        <w:t xml:space="preserve">| </w:t>
      </w:r>
      <w:r>
        <w:rPr>
          <w:sz w:val="1"/>
          <w:szCs w:val="1"/>
          <w:color w:val="auto"/>
        </w:rPr>
        <w:drawing>
          <wp:inline distT="0" distB="0" distL="0" distR="0">
            <wp:extent cx="622300" cy="107950"/>
            <wp:effectExtent l="0" t="0" r="0" b="0"/>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22300" cy="107950"/>
                    </a:xfrm>
                    <a:prstGeom prst="rect">
                      <a:avLst/>
                    </a:prstGeom>
                    <a:noFill/>
                    <a:ln>
                      <a:noFill/>
                    </a:ln>
                  </pic:spPr>
                </pic:pic>
              </a:graphicData>
            </a:graphic>
          </wp:inline>
        </w:drawing>
      </w:r>
      <w:r>
        <w:rPr>
          <w:rFonts w:ascii="Arial" w:cs="Arial" w:eastAsia="Arial" w:hAnsi="Arial"/>
          <w:sz w:val="17"/>
          <w:szCs w:val="17"/>
          <w:b w:val="1"/>
          <w:bCs w:val="1"/>
          <w:color w:val="auto"/>
        </w:rPr>
        <w:t xml:space="preserve">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130810</wp:posOffset>
            </wp:positionV>
            <wp:extent cx="7255510"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55510" cy="20955"/>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4" w:name="page75"/>
    <w:bookmarkEnd w:id="74"/>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190" w:lineRule="exact"/>
        <w:rPr>
          <w:sz w:val="20"/>
          <w:szCs w:val="20"/>
          <w:color w:val="auto"/>
        </w:rPr>
      </w:pPr>
    </w:p>
    <w:p>
      <w:pPr>
        <w:ind w:left="220"/>
        <w:spacing w:after="0"/>
        <w:rPr>
          <w:sz w:val="20"/>
          <w:szCs w:val="20"/>
          <w:color w:val="auto"/>
        </w:rPr>
      </w:pPr>
      <w:r>
        <w:rPr>
          <w:rFonts w:ascii="Arial" w:cs="Arial" w:eastAsia="Arial" w:hAnsi="Arial"/>
          <w:sz w:val="10"/>
          <w:szCs w:val="10"/>
          <w:b w:val="1"/>
          <w:bCs w:val="1"/>
          <w:color w:val="FFFFFE"/>
        </w:rPr>
        <w:t xml:space="preserve">Appendix A </w:t>
      </w:r>
      <w:r>
        <w:rPr>
          <w:rFonts w:ascii="Arial" w:cs="Arial" w:eastAsia="Arial" w:hAnsi="Arial"/>
          <w:sz w:val="16"/>
          <w:szCs w:val="16"/>
          <w:b w:val="1"/>
          <w:bCs w:val="1"/>
          <w:color w:val="000000"/>
        </w:rPr>
        <w:t>IN WITNESS WHEREOF,</w:t>
      </w:r>
      <w:r>
        <w:rPr>
          <w:rFonts w:ascii="Arial" w:cs="Arial" w:eastAsia="Arial" w:hAnsi="Arial"/>
          <w:sz w:val="10"/>
          <w:szCs w:val="10"/>
          <w:b w:val="1"/>
          <w:bCs w:val="1"/>
          <w:color w:val="FFFFFE"/>
        </w:rPr>
        <w:t xml:space="preserve"> </w:t>
      </w:r>
      <w:r>
        <w:rPr>
          <w:rFonts w:ascii="Arial" w:cs="Arial" w:eastAsia="Arial" w:hAnsi="Arial"/>
          <w:sz w:val="16"/>
          <w:szCs w:val="16"/>
          <w:color w:val="000000"/>
        </w:rPr>
        <w:t>the Corporation has caused this Certificate of Amendment to the Amended and Restated Certificate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-105410</wp:posOffset>
            </wp:positionV>
            <wp:extent cx="539115" cy="14097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39115" cy="140970"/>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00" w:type="dxa"/>
            <w:vAlign w:val="bottom"/>
          </w:tcPr>
          <w:p>
            <w:pPr>
              <w:spacing w:after="0"/>
              <w:rPr>
                <w:sz w:val="17"/>
                <w:szCs w:val="17"/>
                <w:color w:val="auto"/>
              </w:rPr>
            </w:pPr>
          </w:p>
        </w:tc>
        <w:tc>
          <w:tcPr>
            <w:tcW w:w="6580" w:type="dxa"/>
            <w:vAlign w:val="bottom"/>
            <w:gridSpan w:val="2"/>
          </w:tcPr>
          <w:p>
            <w:pPr>
              <w:ind w:left="260"/>
              <w:spacing w:after="0"/>
              <w:rPr>
                <w:sz w:val="20"/>
                <w:szCs w:val="20"/>
                <w:color w:val="auto"/>
              </w:rPr>
            </w:pPr>
            <w:r>
              <w:rPr>
                <w:rFonts w:ascii="Arial" w:cs="Arial" w:eastAsia="Arial" w:hAnsi="Arial"/>
                <w:sz w:val="17"/>
                <w:szCs w:val="17"/>
                <w:color w:val="auto"/>
              </w:rPr>
              <w:t>Incorporation to be executed by the undersigned officer, duly authorized, as of the</w:t>
            </w:r>
          </w:p>
        </w:tc>
        <w:tc>
          <w:tcPr>
            <w:tcW w:w="1020" w:type="dxa"/>
            <w:vAlign w:val="bottom"/>
          </w:tcPr>
          <w:p>
            <w:pPr>
              <w:ind w:left="180"/>
              <w:spacing w:after="0"/>
              <w:rPr>
                <w:sz w:val="20"/>
                <w:szCs w:val="20"/>
                <w:color w:val="auto"/>
              </w:rPr>
            </w:pPr>
            <w:r>
              <w:rPr>
                <w:rFonts w:ascii="Arial" w:cs="Arial" w:eastAsia="Arial" w:hAnsi="Arial"/>
                <w:sz w:val="17"/>
                <w:szCs w:val="17"/>
                <w:color w:val="auto"/>
              </w:rPr>
              <w:t>day of</w:t>
            </w:r>
          </w:p>
        </w:tc>
        <w:tc>
          <w:tcPr>
            <w:tcW w:w="2100" w:type="dxa"/>
            <w:vAlign w:val="bottom"/>
          </w:tcPr>
          <w:p>
            <w:pPr>
              <w:jc w:val="right"/>
              <w:ind w:right="1215"/>
              <w:spacing w:after="0"/>
              <w:rPr>
                <w:sz w:val="20"/>
                <w:szCs w:val="20"/>
                <w:color w:val="auto"/>
              </w:rPr>
            </w:pPr>
            <w:r>
              <w:rPr>
                <w:rFonts w:ascii="Arial" w:cs="Arial" w:eastAsia="Arial" w:hAnsi="Arial"/>
                <w:sz w:val="17"/>
                <w:szCs w:val="17"/>
                <w:color w:val="auto"/>
              </w:rPr>
              <w:t>2016.</w:t>
            </w:r>
          </w:p>
        </w:tc>
        <w:tc>
          <w:tcPr>
            <w:tcW w:w="1120" w:type="dxa"/>
            <w:vAlign w:val="bottom"/>
          </w:tcPr>
          <w:p>
            <w:pPr>
              <w:spacing w:after="0"/>
              <w:rPr>
                <w:sz w:val="17"/>
                <w:szCs w:val="17"/>
                <w:color w:val="auto"/>
              </w:rPr>
            </w:pPr>
          </w:p>
        </w:tc>
      </w:tr>
      <w:tr>
        <w:trPr>
          <w:trHeight w:val="405"/>
        </w:trPr>
        <w:tc>
          <w:tcPr>
            <w:tcW w:w="600" w:type="dxa"/>
            <w:vAlign w:val="bottom"/>
          </w:tcPr>
          <w:p>
            <w:pPr>
              <w:spacing w:after="0"/>
              <w:rPr>
                <w:sz w:val="24"/>
                <w:szCs w:val="24"/>
                <w:color w:val="auto"/>
              </w:rPr>
            </w:pPr>
          </w:p>
        </w:tc>
        <w:tc>
          <w:tcPr>
            <w:tcW w:w="6580" w:type="dxa"/>
            <w:vAlign w:val="bottom"/>
            <w:gridSpan w:val="2"/>
          </w:tcPr>
          <w:p>
            <w:pPr>
              <w:ind w:left="4940"/>
              <w:spacing w:after="0"/>
              <w:rPr>
                <w:sz w:val="20"/>
                <w:szCs w:val="20"/>
                <w:color w:val="auto"/>
              </w:rPr>
            </w:pPr>
            <w:r>
              <w:rPr>
                <w:rFonts w:ascii="Arial" w:cs="Arial" w:eastAsia="Arial" w:hAnsi="Arial"/>
                <w:sz w:val="17"/>
                <w:szCs w:val="17"/>
                <w:b w:val="1"/>
                <w:bCs w:val="1"/>
                <w:color w:val="auto"/>
              </w:rPr>
              <w:t>AbbVie Inc.</w:t>
            </w:r>
          </w:p>
        </w:tc>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431"/>
        </w:trPr>
        <w:tc>
          <w:tcPr>
            <w:tcW w:w="600" w:type="dxa"/>
            <w:vAlign w:val="bottom"/>
          </w:tcPr>
          <w:p>
            <w:pPr>
              <w:spacing w:after="0"/>
              <w:rPr>
                <w:sz w:val="24"/>
                <w:szCs w:val="24"/>
                <w:color w:val="auto"/>
              </w:rPr>
            </w:pPr>
          </w:p>
        </w:tc>
        <w:tc>
          <w:tcPr>
            <w:tcW w:w="6580" w:type="dxa"/>
            <w:vAlign w:val="bottom"/>
            <w:gridSpan w:val="2"/>
          </w:tcPr>
          <w:p>
            <w:pPr>
              <w:ind w:left="4940"/>
              <w:spacing w:after="0"/>
              <w:rPr>
                <w:sz w:val="20"/>
                <w:szCs w:val="20"/>
                <w:color w:val="auto"/>
              </w:rPr>
            </w:pPr>
            <w:r>
              <w:rPr>
                <w:rFonts w:ascii="Arial" w:cs="Arial" w:eastAsia="Arial" w:hAnsi="Arial"/>
                <w:sz w:val="17"/>
                <w:szCs w:val="17"/>
                <w:color w:val="auto"/>
              </w:rPr>
              <w:t>By:</w:t>
            </w:r>
          </w:p>
        </w:tc>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81"/>
        </w:trPr>
        <w:tc>
          <w:tcPr>
            <w:tcW w:w="600" w:type="dxa"/>
            <w:vAlign w:val="bottom"/>
          </w:tcPr>
          <w:p>
            <w:pPr>
              <w:spacing w:after="0"/>
              <w:rPr>
                <w:sz w:val="7"/>
                <w:szCs w:val="7"/>
                <w:color w:val="auto"/>
              </w:rPr>
            </w:pPr>
          </w:p>
        </w:tc>
        <w:tc>
          <w:tcPr>
            <w:tcW w:w="5780" w:type="dxa"/>
            <w:vAlign w:val="bottom"/>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1020" w:type="dxa"/>
            <w:vAlign w:val="bottom"/>
            <w:tcBorders>
              <w:bottom w:val="single" w:sz="8" w:color="auto"/>
            </w:tcBorders>
          </w:tcPr>
          <w:p>
            <w:pPr>
              <w:spacing w:after="0"/>
              <w:rPr>
                <w:sz w:val="7"/>
                <w:szCs w:val="7"/>
                <w:color w:val="auto"/>
              </w:rPr>
            </w:pPr>
          </w:p>
        </w:tc>
        <w:tc>
          <w:tcPr>
            <w:tcW w:w="2100" w:type="dxa"/>
            <w:vAlign w:val="bottom"/>
            <w:tcBorders>
              <w:bottom w:val="single" w:sz="8" w:color="auto"/>
            </w:tcBorders>
          </w:tcPr>
          <w:p>
            <w:pPr>
              <w:spacing w:after="0"/>
              <w:rPr>
                <w:sz w:val="7"/>
                <w:szCs w:val="7"/>
                <w:color w:val="auto"/>
              </w:rPr>
            </w:pPr>
          </w:p>
        </w:tc>
        <w:tc>
          <w:tcPr>
            <w:tcW w:w="1120" w:type="dxa"/>
            <w:vAlign w:val="bottom"/>
          </w:tcPr>
          <w:p>
            <w:pPr>
              <w:spacing w:after="0"/>
              <w:rPr>
                <w:sz w:val="7"/>
                <w:szCs w:val="7"/>
                <w:color w:val="auto"/>
              </w:rPr>
            </w:pPr>
          </w:p>
        </w:tc>
      </w:tr>
      <w:tr>
        <w:trPr>
          <w:trHeight w:val="271"/>
        </w:trPr>
        <w:tc>
          <w:tcPr>
            <w:tcW w:w="600" w:type="dxa"/>
            <w:vAlign w:val="bottom"/>
          </w:tcPr>
          <w:p>
            <w:pPr>
              <w:spacing w:after="0"/>
              <w:rPr>
                <w:sz w:val="23"/>
                <w:szCs w:val="23"/>
                <w:color w:val="auto"/>
              </w:rPr>
            </w:pPr>
          </w:p>
        </w:tc>
        <w:tc>
          <w:tcPr>
            <w:tcW w:w="6580" w:type="dxa"/>
            <w:vAlign w:val="bottom"/>
            <w:gridSpan w:val="2"/>
          </w:tcPr>
          <w:p>
            <w:pPr>
              <w:ind w:left="4940"/>
              <w:spacing w:after="0"/>
              <w:rPr>
                <w:sz w:val="20"/>
                <w:szCs w:val="20"/>
                <w:color w:val="auto"/>
              </w:rPr>
            </w:pPr>
            <w:r>
              <w:rPr>
                <w:rFonts w:ascii="Arial" w:cs="Arial" w:eastAsia="Arial" w:hAnsi="Arial"/>
                <w:sz w:val="17"/>
                <w:szCs w:val="17"/>
                <w:color w:val="auto"/>
              </w:rPr>
              <w:t>Name:</w:t>
            </w:r>
          </w:p>
        </w:tc>
        <w:tc>
          <w:tcPr>
            <w:tcW w:w="10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04"/>
        </w:trPr>
        <w:tc>
          <w:tcPr>
            <w:tcW w:w="600" w:type="dxa"/>
            <w:vAlign w:val="bottom"/>
          </w:tcPr>
          <w:p>
            <w:pPr>
              <w:spacing w:after="0"/>
              <w:rPr>
                <w:sz w:val="17"/>
                <w:szCs w:val="17"/>
                <w:color w:val="auto"/>
              </w:rPr>
            </w:pPr>
          </w:p>
        </w:tc>
        <w:tc>
          <w:tcPr>
            <w:tcW w:w="6580" w:type="dxa"/>
            <w:vAlign w:val="bottom"/>
            <w:gridSpan w:val="2"/>
          </w:tcPr>
          <w:p>
            <w:pPr>
              <w:ind w:left="4940"/>
              <w:spacing w:after="0"/>
              <w:rPr>
                <w:sz w:val="20"/>
                <w:szCs w:val="20"/>
                <w:color w:val="auto"/>
              </w:rPr>
            </w:pPr>
            <w:r>
              <w:rPr>
                <w:rFonts w:ascii="Arial" w:cs="Arial" w:eastAsia="Arial" w:hAnsi="Arial"/>
                <w:sz w:val="17"/>
                <w:szCs w:val="17"/>
                <w:color w:val="auto"/>
              </w:rPr>
              <w:t>Title:</w:t>
            </w:r>
          </w:p>
        </w:tc>
        <w:tc>
          <w:tcPr>
            <w:tcW w:w="10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532"/>
        </w:trPr>
        <w:tc>
          <w:tcPr>
            <w:tcW w:w="600" w:type="dxa"/>
            <w:vAlign w:val="bottom"/>
          </w:tcPr>
          <w:p>
            <w:pPr>
              <w:ind w:left="60"/>
              <w:spacing w:after="0"/>
              <w:rPr>
                <w:sz w:val="20"/>
                <w:szCs w:val="20"/>
                <w:color w:val="auto"/>
              </w:rPr>
            </w:pPr>
            <w:r>
              <w:rPr>
                <w:rFonts w:ascii="Arial" w:cs="Arial" w:eastAsia="Arial" w:hAnsi="Arial"/>
                <w:sz w:val="17"/>
                <w:szCs w:val="17"/>
                <w:b w:val="1"/>
                <w:bCs w:val="1"/>
                <w:color w:val="auto"/>
              </w:rPr>
              <w:t>A-2</w:t>
            </w:r>
          </w:p>
        </w:tc>
        <w:tc>
          <w:tcPr>
            <w:tcW w:w="6580" w:type="dxa"/>
            <w:vAlign w:val="bottom"/>
            <w:gridSpan w:val="2"/>
          </w:tcPr>
          <w:p>
            <w:pPr>
              <w:ind w:left="1040"/>
              <w:spacing w:after="0"/>
              <w:rPr>
                <w:sz w:val="20"/>
                <w:szCs w:val="20"/>
                <w:color w:val="auto"/>
              </w:rPr>
            </w:pPr>
            <w:r>
              <w:rPr>
                <w:rFonts w:ascii="Arial" w:cs="Arial" w:eastAsia="Arial" w:hAnsi="Arial"/>
                <w:sz w:val="24"/>
                <w:szCs w:val="24"/>
                <w:b w:val="1"/>
                <w:bCs w:val="1"/>
                <w:color w:val="444867"/>
              </w:rPr>
              <w:t xml:space="preserve">| </w:t>
            </w:r>
            <w:r>
              <w:rPr>
                <w:rFonts w:ascii="Arial" w:cs="Arial" w:eastAsia="Arial" w:hAnsi="Arial"/>
                <w:sz w:val="16"/>
                <w:szCs w:val="16"/>
                <w:i w:val="1"/>
                <w:iCs w:val="1"/>
                <w:color w:val="000000"/>
              </w:rPr>
              <w:t>2016 Proxy Statement</w:t>
            </w:r>
          </w:p>
        </w:tc>
        <w:tc>
          <w:tcPr>
            <w:tcW w:w="102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73"/>
        </w:trPr>
        <w:tc>
          <w:tcPr>
            <w:tcW w:w="600" w:type="dxa"/>
            <w:vAlign w:val="bottom"/>
            <w:tcBorders>
              <w:bottom w:val="single" w:sz="8" w:color="808080"/>
            </w:tcBorders>
          </w:tcPr>
          <w:p>
            <w:pPr>
              <w:spacing w:after="0"/>
              <w:rPr>
                <w:sz w:val="15"/>
                <w:szCs w:val="15"/>
                <w:color w:val="auto"/>
              </w:rPr>
            </w:pPr>
          </w:p>
        </w:tc>
        <w:tc>
          <w:tcPr>
            <w:tcW w:w="5780" w:type="dxa"/>
            <w:vAlign w:val="bottom"/>
            <w:tcBorders>
              <w:bottom w:val="single" w:sz="8" w:color="808080"/>
            </w:tcBorders>
          </w:tcPr>
          <w:p>
            <w:pPr>
              <w:spacing w:after="0"/>
              <w:rPr>
                <w:sz w:val="15"/>
                <w:szCs w:val="15"/>
                <w:color w:val="auto"/>
              </w:rPr>
            </w:pPr>
          </w:p>
        </w:tc>
        <w:tc>
          <w:tcPr>
            <w:tcW w:w="800" w:type="dxa"/>
            <w:vAlign w:val="bottom"/>
            <w:tcBorders>
              <w:bottom w:val="single" w:sz="8" w:color="808080"/>
            </w:tcBorders>
          </w:tcPr>
          <w:p>
            <w:pPr>
              <w:spacing w:after="0"/>
              <w:rPr>
                <w:sz w:val="15"/>
                <w:szCs w:val="15"/>
                <w:color w:val="auto"/>
              </w:rPr>
            </w:pPr>
          </w:p>
        </w:tc>
        <w:tc>
          <w:tcPr>
            <w:tcW w:w="1020" w:type="dxa"/>
            <w:vAlign w:val="bottom"/>
            <w:tcBorders>
              <w:bottom w:val="single" w:sz="8" w:color="808080"/>
            </w:tcBorders>
          </w:tcPr>
          <w:p>
            <w:pPr>
              <w:spacing w:after="0"/>
              <w:rPr>
                <w:sz w:val="15"/>
                <w:szCs w:val="15"/>
                <w:color w:val="auto"/>
              </w:rPr>
            </w:pPr>
          </w:p>
        </w:tc>
        <w:tc>
          <w:tcPr>
            <w:tcW w:w="2100" w:type="dxa"/>
            <w:vAlign w:val="bottom"/>
            <w:tcBorders>
              <w:bottom w:val="single" w:sz="8" w:color="808080"/>
            </w:tcBorders>
          </w:tcPr>
          <w:p>
            <w:pPr>
              <w:spacing w:after="0"/>
              <w:rPr>
                <w:sz w:val="15"/>
                <w:szCs w:val="15"/>
                <w:color w:val="auto"/>
              </w:rPr>
            </w:pPr>
          </w:p>
        </w:tc>
        <w:tc>
          <w:tcPr>
            <w:tcW w:w="1120" w:type="dxa"/>
            <w:vAlign w:val="bottom"/>
            <w:tcBorders>
              <w:bottom w:val="single" w:sz="8" w:color="808080"/>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7243445</wp:posOffset>
            </wp:positionH>
            <wp:positionV relativeFrom="paragraph">
              <wp:posOffset>-13970</wp:posOffset>
            </wp:positionV>
            <wp:extent cx="1270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301625</wp:posOffset>
            </wp:positionH>
            <wp:positionV relativeFrom="paragraph">
              <wp:posOffset>-300355</wp:posOffset>
            </wp:positionV>
            <wp:extent cx="622300" cy="10795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22300" cy="107950"/>
                    </a:xfrm>
                    <a:prstGeom prst="rect">
                      <a:avLst/>
                    </a:prstGeom>
                    <a:noFill/>
                  </pic:spPr>
                </pic:pic>
              </a:graphicData>
            </a:graphic>
          </wp:anchor>
        </w:drawing>
      </w:r>
    </w:p>
    <w:p>
      <w:pPr>
        <w:sectPr>
          <w:pgSz w:w="11900" w:h="16838" w:orient="portrait"/>
          <w:cols w:equalWidth="0" w:num="1">
            <w:col w:w="11420"/>
          </w:cols>
          <w:pgMar w:left="240" w:top="143" w:right="239" w:bottom="1440" w:gutter="0" w:footer="0" w:header="0"/>
        </w:sectPr>
      </w:pPr>
    </w:p>
    <w:bookmarkStart w:id="75" w:name="page76"/>
    <w:bookmarkEnd w:id="75"/>
    <w:p>
      <w:pPr>
        <w:spacing w:after="0"/>
        <w:rPr>
          <w:rFonts w:ascii="Arial" w:cs="Arial" w:eastAsia="Arial" w:hAnsi="Arial"/>
          <w:sz w:val="17"/>
          <w:szCs w:val="17"/>
          <w:u w:val="single" w:color="auto"/>
          <w:color w:val="0000EE"/>
        </w:rPr>
      </w:pPr>
      <w:hyperlink w:anchor="page3">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130810</wp:posOffset>
            </wp:positionV>
            <wp:extent cx="1451610" cy="25717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451610"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AbbVie Inc.</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1 North Waukegan Road</w:t>
      </w:r>
    </w:p>
    <w:p>
      <w:pPr>
        <w:spacing w:after="0"/>
        <w:rPr>
          <w:sz w:val="20"/>
          <w:szCs w:val="20"/>
          <w:color w:val="auto"/>
        </w:rPr>
      </w:pPr>
      <w:r>
        <w:rPr>
          <w:rFonts w:ascii="Arial" w:cs="Arial" w:eastAsia="Arial" w:hAnsi="Arial"/>
          <w:sz w:val="21"/>
          <w:szCs w:val="21"/>
          <w:b w:val="1"/>
          <w:bCs w:val="1"/>
          <w:color w:val="auto"/>
        </w:rPr>
        <w:t>North Chicago, Illinois 60064 U.S.A.</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Notice of Annual Meeting</w:t>
      </w:r>
    </w:p>
    <w:p>
      <w:pPr>
        <w:spacing w:after="0" w:line="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of Stockholders</w:t>
      </w:r>
    </w:p>
    <w:p>
      <w:pPr>
        <w:spacing w:after="0"/>
        <w:rPr>
          <w:sz w:val="20"/>
          <w:szCs w:val="20"/>
          <w:color w:val="auto"/>
        </w:rPr>
      </w:pPr>
      <w:r>
        <w:rPr>
          <w:rFonts w:ascii="Arial" w:cs="Arial" w:eastAsia="Arial" w:hAnsi="Arial"/>
          <w:sz w:val="21"/>
          <w:szCs w:val="21"/>
          <w:b w:val="1"/>
          <w:bCs w:val="1"/>
          <w:color w:val="auto"/>
        </w:rPr>
        <w:t>and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Meeting Date</w:t>
      </w:r>
    </w:p>
    <w:p>
      <w:pPr>
        <w:spacing w:after="0" w:line="2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May 6, 2016</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YOUR VOTE IS IMPORTANT!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Please sign and promptly return your proxy</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in the enclosed envelope or vote your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shares by telephone or using the Internet.</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444867"/>
        </w:rPr>
        <w:t>Reservation Form for Annual Meeting</w:t>
      </w:r>
    </w:p>
    <w:p>
      <w:pPr>
        <w:spacing w:after="0" w:line="230" w:lineRule="exact"/>
        <w:rPr>
          <w:sz w:val="20"/>
          <w:szCs w:val="20"/>
          <w:color w:val="auto"/>
        </w:rPr>
      </w:pPr>
    </w:p>
    <w:p>
      <w:pPr>
        <w:ind w:right="320"/>
        <w:spacing w:after="0" w:line="250" w:lineRule="auto"/>
        <w:rPr>
          <w:sz w:val="20"/>
          <w:szCs w:val="20"/>
          <w:color w:val="auto"/>
        </w:rPr>
      </w:pPr>
      <w:r>
        <w:rPr>
          <w:rFonts w:ascii="Arial" w:cs="Arial" w:eastAsia="Arial" w:hAnsi="Arial"/>
          <w:sz w:val="17"/>
          <w:szCs w:val="17"/>
          <w:color w:val="auto"/>
        </w:rPr>
        <w:t>I am a stockholder of AbbVie Inc. and I plan to attend the Annual Meeting to be held at the Fairmont Chicago, Millennium Park, 200 North Columbus Drive, Chicago, Illinois 60601 at 9:00 a.m. CT on May 6, 2016.</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Please send me an admission card for each of the following persons.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40" w:type="dxa"/>
            <w:vAlign w:val="bottom"/>
          </w:tcPr>
          <w:p>
            <w:pPr>
              <w:spacing w:after="0"/>
              <w:rPr>
                <w:sz w:val="20"/>
                <w:szCs w:val="20"/>
                <w:color w:val="auto"/>
              </w:rPr>
            </w:pPr>
            <w:r>
              <w:rPr>
                <w:rFonts w:ascii="Arial" w:cs="Arial" w:eastAsia="Arial" w:hAnsi="Arial"/>
                <w:sz w:val="17"/>
                <w:szCs w:val="17"/>
                <w:color w:val="auto"/>
              </w:rPr>
              <w:t>Name</w:t>
            </w:r>
          </w:p>
        </w:tc>
        <w:tc>
          <w:tcPr>
            <w:tcW w:w="4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Name</w:t>
            </w:r>
          </w:p>
        </w:tc>
        <w:tc>
          <w:tcPr>
            <w:tcW w:w="4180" w:type="dxa"/>
            <w:vAlign w:val="bottom"/>
          </w:tcPr>
          <w:p>
            <w:pPr>
              <w:spacing w:after="0"/>
              <w:rPr>
                <w:sz w:val="17"/>
                <w:szCs w:val="17"/>
                <w:color w:val="auto"/>
              </w:rPr>
            </w:pPr>
          </w:p>
        </w:tc>
      </w:tr>
      <w:tr>
        <w:trPr>
          <w:trHeight w:val="81"/>
        </w:trPr>
        <w:tc>
          <w:tcPr>
            <w:tcW w:w="144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r>
      <w:tr>
        <w:trPr>
          <w:trHeight w:val="513"/>
        </w:trPr>
        <w:tc>
          <w:tcPr>
            <w:tcW w:w="1440" w:type="dxa"/>
            <w:vAlign w:val="bottom"/>
          </w:tcPr>
          <w:p>
            <w:pPr>
              <w:spacing w:after="0"/>
              <w:rPr>
                <w:sz w:val="20"/>
                <w:szCs w:val="20"/>
                <w:color w:val="auto"/>
              </w:rPr>
            </w:pPr>
            <w:r>
              <w:rPr>
                <w:rFonts w:ascii="Arial" w:cs="Arial" w:eastAsia="Arial" w:hAnsi="Arial"/>
                <w:sz w:val="17"/>
                <w:szCs w:val="17"/>
                <w:color w:val="auto"/>
              </w:rPr>
              <w:t>Address</w:t>
            </w:r>
          </w:p>
        </w:tc>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Address</w:t>
            </w:r>
          </w:p>
        </w:tc>
        <w:tc>
          <w:tcPr>
            <w:tcW w:w="4180" w:type="dxa"/>
            <w:vAlign w:val="bottom"/>
          </w:tcPr>
          <w:p>
            <w:pPr>
              <w:spacing w:after="0"/>
              <w:rPr>
                <w:sz w:val="24"/>
                <w:szCs w:val="24"/>
                <w:color w:val="auto"/>
              </w:rPr>
            </w:pPr>
          </w:p>
        </w:tc>
      </w:tr>
      <w:tr>
        <w:trPr>
          <w:trHeight w:val="81"/>
        </w:trPr>
        <w:tc>
          <w:tcPr>
            <w:tcW w:w="144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r>
      <w:tr>
        <w:trPr>
          <w:trHeight w:val="513"/>
        </w:trPr>
        <w:tc>
          <w:tcPr>
            <w:tcW w:w="1440" w:type="dxa"/>
            <w:vAlign w:val="bottom"/>
          </w:tcPr>
          <w:p>
            <w:pPr>
              <w:spacing w:after="0"/>
              <w:rPr>
                <w:sz w:val="20"/>
                <w:szCs w:val="20"/>
                <w:color w:val="auto"/>
              </w:rPr>
            </w:pPr>
            <w:r>
              <w:rPr>
                <w:rFonts w:ascii="Arial" w:cs="Arial" w:eastAsia="Arial" w:hAnsi="Arial"/>
                <w:sz w:val="17"/>
                <w:szCs w:val="17"/>
                <w:color w:val="auto"/>
              </w:rPr>
              <w:t>City</w:t>
            </w:r>
          </w:p>
        </w:tc>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City</w:t>
            </w:r>
          </w:p>
        </w:tc>
        <w:tc>
          <w:tcPr>
            <w:tcW w:w="4180" w:type="dxa"/>
            <w:vAlign w:val="bottom"/>
          </w:tcPr>
          <w:p>
            <w:pPr>
              <w:spacing w:after="0"/>
              <w:rPr>
                <w:sz w:val="24"/>
                <w:szCs w:val="24"/>
                <w:color w:val="auto"/>
              </w:rPr>
            </w:pPr>
          </w:p>
        </w:tc>
      </w:tr>
      <w:tr>
        <w:trPr>
          <w:trHeight w:val="81"/>
        </w:trPr>
        <w:tc>
          <w:tcPr>
            <w:tcW w:w="144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r>
      <w:tr>
        <w:trPr>
          <w:trHeight w:val="513"/>
        </w:trPr>
        <w:tc>
          <w:tcPr>
            <w:tcW w:w="1440" w:type="dxa"/>
            <w:vAlign w:val="bottom"/>
          </w:tcPr>
          <w:p>
            <w:pPr>
              <w:spacing w:after="0"/>
              <w:rPr>
                <w:sz w:val="20"/>
                <w:szCs w:val="20"/>
                <w:color w:val="auto"/>
              </w:rPr>
            </w:pPr>
            <w:r>
              <w:rPr>
                <w:rFonts w:ascii="Arial" w:cs="Arial" w:eastAsia="Arial" w:hAnsi="Arial"/>
                <w:sz w:val="17"/>
                <w:szCs w:val="17"/>
                <w:color w:val="auto"/>
              </w:rPr>
              <w:t>State</w:t>
            </w:r>
          </w:p>
        </w:tc>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State</w:t>
            </w:r>
          </w:p>
        </w:tc>
        <w:tc>
          <w:tcPr>
            <w:tcW w:w="4180" w:type="dxa"/>
            <w:vAlign w:val="bottom"/>
          </w:tcPr>
          <w:p>
            <w:pPr>
              <w:spacing w:after="0"/>
              <w:rPr>
                <w:sz w:val="24"/>
                <w:szCs w:val="24"/>
                <w:color w:val="auto"/>
              </w:rPr>
            </w:pPr>
          </w:p>
        </w:tc>
      </w:tr>
      <w:tr>
        <w:trPr>
          <w:trHeight w:val="81"/>
        </w:trPr>
        <w:tc>
          <w:tcPr>
            <w:tcW w:w="144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r>
      <w:tr>
        <w:trPr>
          <w:trHeight w:val="513"/>
        </w:trPr>
        <w:tc>
          <w:tcPr>
            <w:tcW w:w="1440" w:type="dxa"/>
            <w:vAlign w:val="bottom"/>
          </w:tcPr>
          <w:p>
            <w:pPr>
              <w:spacing w:after="0"/>
              <w:rPr>
                <w:sz w:val="20"/>
                <w:szCs w:val="20"/>
                <w:color w:val="auto"/>
              </w:rPr>
            </w:pPr>
            <w:r>
              <w:rPr>
                <w:rFonts w:ascii="Arial" w:cs="Arial" w:eastAsia="Arial" w:hAnsi="Arial"/>
                <w:sz w:val="17"/>
                <w:szCs w:val="17"/>
                <w:color w:val="auto"/>
              </w:rPr>
              <w:t>Zip Code</w:t>
            </w:r>
          </w:p>
        </w:tc>
        <w:tc>
          <w:tcPr>
            <w:tcW w:w="4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Zip Code</w:t>
            </w:r>
          </w:p>
        </w:tc>
        <w:tc>
          <w:tcPr>
            <w:tcW w:w="4180" w:type="dxa"/>
            <w:vAlign w:val="bottom"/>
          </w:tcPr>
          <w:p>
            <w:pPr>
              <w:spacing w:after="0"/>
              <w:rPr>
                <w:sz w:val="24"/>
                <w:szCs w:val="24"/>
                <w:color w:val="auto"/>
              </w:rPr>
            </w:pPr>
          </w:p>
        </w:tc>
      </w:tr>
      <w:tr>
        <w:trPr>
          <w:trHeight w:val="81"/>
        </w:trPr>
        <w:tc>
          <w:tcPr>
            <w:tcW w:w="144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r>
      <w:tr>
        <w:trPr>
          <w:trHeight w:val="513"/>
        </w:trPr>
        <w:tc>
          <w:tcPr>
            <w:tcW w:w="1440" w:type="dxa"/>
            <w:vAlign w:val="bottom"/>
          </w:tcPr>
          <w:p>
            <w:pPr>
              <w:spacing w:after="0"/>
              <w:rPr>
                <w:sz w:val="20"/>
                <w:szCs w:val="20"/>
                <w:color w:val="auto"/>
              </w:rPr>
            </w:pPr>
            <w:r>
              <w:rPr>
                <w:rFonts w:ascii="Arial" w:cs="Arial" w:eastAsia="Arial" w:hAnsi="Arial"/>
                <w:sz w:val="17"/>
                <w:szCs w:val="17"/>
                <w:color w:val="auto"/>
              </w:rPr>
              <w:t>Phone Number (</w:t>
            </w:r>
          </w:p>
        </w:tc>
        <w:tc>
          <w:tcPr>
            <w:tcW w:w="4180" w:type="dxa"/>
            <w:vAlign w:val="bottom"/>
          </w:tcPr>
          <w:p>
            <w:pPr>
              <w:jc w:val="right"/>
              <w:ind w:right="3855"/>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24"/>
                <w:szCs w:val="24"/>
                <w:color w:val="auto"/>
              </w:rPr>
            </w:pPr>
          </w:p>
        </w:tc>
        <w:tc>
          <w:tcPr>
            <w:tcW w:w="1420" w:type="dxa"/>
            <w:vAlign w:val="bottom"/>
          </w:tcPr>
          <w:p>
            <w:pPr>
              <w:spacing w:after="0"/>
              <w:rPr>
                <w:sz w:val="20"/>
                <w:szCs w:val="20"/>
                <w:color w:val="auto"/>
              </w:rPr>
            </w:pPr>
            <w:r>
              <w:rPr>
                <w:rFonts w:ascii="Arial" w:cs="Arial" w:eastAsia="Arial" w:hAnsi="Arial"/>
                <w:sz w:val="17"/>
                <w:szCs w:val="17"/>
                <w:color w:val="auto"/>
              </w:rPr>
              <w:t>Phone Number (</w:t>
            </w:r>
          </w:p>
        </w:tc>
        <w:tc>
          <w:tcPr>
            <w:tcW w:w="4180" w:type="dxa"/>
            <w:vAlign w:val="bottom"/>
          </w:tcPr>
          <w:p>
            <w:pPr>
              <w:jc w:val="right"/>
              <w:ind w:right="3835"/>
              <w:spacing w:after="0"/>
              <w:rPr>
                <w:sz w:val="20"/>
                <w:szCs w:val="20"/>
                <w:color w:val="auto"/>
              </w:rPr>
            </w:pPr>
            <w:r>
              <w:rPr>
                <w:rFonts w:ascii="Arial" w:cs="Arial" w:eastAsia="Arial" w:hAnsi="Arial"/>
                <w:sz w:val="17"/>
                <w:szCs w:val="17"/>
                <w:color w:val="auto"/>
              </w:rPr>
              <w:t>)</w:t>
            </w:r>
          </w:p>
        </w:tc>
      </w:tr>
      <w:tr>
        <w:trPr>
          <w:trHeight w:val="81"/>
        </w:trPr>
        <w:tc>
          <w:tcPr>
            <w:tcW w:w="144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4180" w:type="dxa"/>
            <w:vAlign w:val="bottom"/>
            <w:tcBorders>
              <w:bottom w:val="single" w:sz="8" w:color="auto"/>
            </w:tcBorders>
          </w:tcPr>
          <w:p>
            <w:pPr>
              <w:spacing w:after="0"/>
              <w:rPr>
                <w:sz w:val="7"/>
                <w:szCs w:val="7"/>
                <w:color w:val="auto"/>
              </w:rPr>
            </w:pPr>
          </w:p>
        </w:tc>
      </w:tr>
    </w:tbl>
    <w:p>
      <w:pPr>
        <w:spacing w:after="0" w:line="271" w:lineRule="exact"/>
        <w:rPr>
          <w:sz w:val="20"/>
          <w:szCs w:val="20"/>
          <w:color w:val="auto"/>
        </w:rPr>
      </w:pPr>
    </w:p>
    <w:p>
      <w:pPr>
        <w:ind w:right="200"/>
        <w:spacing w:after="0" w:line="252" w:lineRule="auto"/>
        <w:rPr>
          <w:sz w:val="20"/>
          <w:szCs w:val="20"/>
          <w:color w:val="auto"/>
        </w:rPr>
      </w:pPr>
      <w:r>
        <w:rPr>
          <w:rFonts w:ascii="Arial" w:cs="Arial" w:eastAsia="Arial" w:hAnsi="Arial"/>
          <w:sz w:val="17"/>
          <w:szCs w:val="17"/>
          <w:b w:val="1"/>
          <w:bCs w:val="1"/>
          <w:color w:val="auto"/>
        </w:rPr>
        <w:t>If you plan to attend the meeting, please complete the Reservation Form and send it to AbbVie Inc., Annual Meeting Ticket Requests, AP34, 1 North Waukegan Road, North Chicago, Illinois 60064. Due to space limitations, Reservation Forms must be received before April 29, 2016. An admission card, along with a form of photo identification, admits one person. A stockholder may request two admission cards, but a guest must be accompanied by a stockholder.</w:t>
      </w:r>
    </w:p>
    <w:p>
      <w:pPr>
        <w:spacing w:after="0" w:line="172" w:lineRule="exact"/>
        <w:rPr>
          <w:sz w:val="20"/>
          <w:szCs w:val="20"/>
          <w:color w:val="auto"/>
        </w:rPr>
      </w:pPr>
    </w:p>
    <w:p>
      <w:pPr>
        <w:ind w:right="480"/>
        <w:spacing w:after="0" w:line="275" w:lineRule="auto"/>
        <w:rPr>
          <w:sz w:val="20"/>
          <w:szCs w:val="20"/>
          <w:color w:val="auto"/>
        </w:rPr>
      </w:pPr>
      <w:r>
        <w:rPr>
          <w:rFonts w:ascii="Arial" w:cs="Arial" w:eastAsia="Arial" w:hAnsi="Arial"/>
          <w:sz w:val="17"/>
          <w:szCs w:val="17"/>
          <w:b w:val="1"/>
          <w:bCs w:val="1"/>
          <w:color w:val="auto"/>
        </w:rPr>
        <w:t>To prevent a delay in the receipt of your admission card, do not return this form with your proxy card or mail it in the enclosed business envelope.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960120</wp:posOffset>
            </wp:positionV>
            <wp:extent cx="7255510"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55510" cy="20955"/>
                    </a:xfrm>
                    <a:prstGeom prst="rect">
                      <a:avLst/>
                    </a:prstGeom>
                    <a:noFill/>
                  </pic:spPr>
                </pic:pic>
              </a:graphicData>
            </a:graphic>
          </wp:anchor>
        </w:drawing>
        <w:drawing>
          <wp:anchor simplePos="0" relativeHeight="251657728" behindDoc="1" locked="0" layoutInCell="0" allowOverlap="1">
            <wp:simplePos x="0" y="0"/>
            <wp:positionH relativeFrom="column">
              <wp:posOffset>3030855</wp:posOffset>
            </wp:positionH>
            <wp:positionV relativeFrom="paragraph">
              <wp:posOffset>107950</wp:posOffset>
            </wp:positionV>
            <wp:extent cx="1194435" cy="72199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194435" cy="72199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76" w:name="page77"/>
    <w:bookmarkEnd w:id="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644525</wp:posOffset>
            </wp:positionH>
            <wp:positionV relativeFrom="page">
              <wp:posOffset>88900</wp:posOffset>
            </wp:positionV>
            <wp:extent cx="5973445" cy="77241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5973445"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7" w:name="page78"/>
    <w:bookmarkEnd w:id="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644525</wp:posOffset>
            </wp:positionH>
            <wp:positionV relativeFrom="page">
              <wp:posOffset>88900</wp:posOffset>
            </wp:positionV>
            <wp:extent cx="5973445" cy="77241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clrChange>
                        <a:clrFrom>
                          <a:srgbClr val="FFFFFF"/>
                        </a:clrFrom>
                        <a:clrTo>
                          <a:srgbClr val="FFFFFF">
                            <a:alpha val="0"/>
                          </a:srgbClr>
                        </a:clrTo>
                      </a:clrChange>
                      <a:extLst>
                        <a:ext uri="{28A0092B-C50C-407E-A947-70E740481C1C}"/>
                      </a:extLst>
                    </a:blip>
                    <a:srcRect/>
                    <a:stretch>
                      <a:fillRect/>
                    </a:stretch>
                  </pic:blipFill>
                  <pic:spPr bwMode="auto">
                    <a:xfrm>
                      <a:off x="0" y="0"/>
                      <a:ext cx="5973445"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8" w:name="page79"/>
    <w:bookmarkEnd w:id="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644525</wp:posOffset>
            </wp:positionH>
            <wp:positionV relativeFrom="page">
              <wp:posOffset>88900</wp:posOffset>
            </wp:positionV>
            <wp:extent cx="5973445" cy="77241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clrChange>
                        <a:clrFrom>
                          <a:srgbClr val="FFFFFF"/>
                        </a:clrFrom>
                        <a:clrTo>
                          <a:srgbClr val="FFFFFF">
                            <a:alpha val="0"/>
                          </a:srgbClr>
                        </a:clrTo>
                      </a:clrChange>
                      <a:extLst>
                        <a:ext uri="{28A0092B-C50C-407E-A947-70E740481C1C}"/>
                      </a:extLst>
                    </a:blip>
                    <a:srcRect/>
                    <a:stretch>
                      <a:fillRect/>
                    </a:stretch>
                  </pic:blipFill>
                  <pic:spPr bwMode="auto">
                    <a:xfrm>
                      <a:off x="0" y="0"/>
                      <a:ext cx="5973445"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9" w:name="page80"/>
    <w:bookmarkEnd w:id="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644525</wp:posOffset>
            </wp:positionH>
            <wp:positionV relativeFrom="page">
              <wp:posOffset>88900</wp:posOffset>
            </wp:positionV>
            <wp:extent cx="5973445" cy="772350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5973445" cy="772350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0" w:name="page81"/>
    <w:bookmarkEnd w:id="8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644525</wp:posOffset>
            </wp:positionH>
            <wp:positionV relativeFrom="page">
              <wp:posOffset>88900</wp:posOffset>
            </wp:positionV>
            <wp:extent cx="5973445" cy="77241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clrChange>
                        <a:clrFrom>
                          <a:srgbClr val="FFFFFF"/>
                        </a:clrFrom>
                        <a:clrTo>
                          <a:srgbClr val="FFFFFF">
                            <a:alpha val="0"/>
                          </a:srgbClr>
                        </a:clrTo>
                      </a:clrChange>
                      <a:extLst>
                        <a:ext uri="{28A0092B-C50C-407E-A947-70E740481C1C}"/>
                      </a:extLst>
                    </a:blip>
                    <a:srcRect/>
                    <a:stretch>
                      <a:fillRect/>
                    </a:stretch>
                  </pic:blipFill>
                  <pic:spPr bwMode="auto">
                    <a:xfrm>
                      <a:off x="0" y="0"/>
                      <a:ext cx="5973445"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1" w:name="page82"/>
    <w:bookmarkEnd w:id="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644525</wp:posOffset>
            </wp:positionH>
            <wp:positionV relativeFrom="page">
              <wp:posOffset>88900</wp:posOffset>
            </wp:positionV>
            <wp:extent cx="5973445" cy="77241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clrChange>
                        <a:clrFrom>
                          <a:srgbClr val="FFFFFF"/>
                        </a:clrFrom>
                        <a:clrTo>
                          <a:srgbClr val="FFFFFF">
                            <a:alpha val="0"/>
                          </a:srgbClr>
                        </a:clrTo>
                      </a:clrChange>
                      <a:extLst>
                        <a:ext uri="{28A0092B-C50C-407E-A947-70E740481C1C}"/>
                      </a:extLst>
                    </a:blip>
                    <a:srcRect/>
                    <a:stretch>
                      <a:fillRect/>
                    </a:stretch>
                  </pic:blipFill>
                  <pic:spPr bwMode="auto">
                    <a:xfrm>
                      <a:off x="0" y="0"/>
                      <a:ext cx="5973445"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2" w:name="page83"/>
    <w:bookmarkEnd w:id="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644525</wp:posOffset>
            </wp:positionH>
            <wp:positionV relativeFrom="page">
              <wp:posOffset>88900</wp:posOffset>
            </wp:positionV>
            <wp:extent cx="5973445" cy="77241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5973445" cy="77241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3" w:name="page84"/>
    <w:bookmarkEnd w:id="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644525</wp:posOffset>
            </wp:positionH>
            <wp:positionV relativeFrom="page">
              <wp:posOffset>88900</wp:posOffset>
            </wp:positionV>
            <wp:extent cx="5973445" cy="772350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clrChange>
                        <a:clrFrom>
                          <a:srgbClr val="FFFFFF"/>
                        </a:clrFrom>
                        <a:clrTo>
                          <a:srgbClr val="FFFFFF">
                            <a:alpha val="0"/>
                          </a:srgbClr>
                        </a:clrTo>
                      </a:clrChange>
                      <a:extLst>
                        <a:ext uri="{28A0092B-C50C-407E-A947-70E740481C1C}"/>
                      </a:extLst>
                    </a:blip>
                    <a:srcRect/>
                    <a:stretch>
                      <a:fillRect/>
                    </a:stretch>
                  </pic:blipFill>
                  <pic:spPr bwMode="auto">
                    <a:xfrm>
                      <a:off x="0" y="0"/>
                      <a:ext cx="5973445" cy="772350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3DBD3D"/>
    <w:multiLevelType w:val="hybridMultilevel"/>
    <w:lvl w:ilvl="0">
      <w:lvlJc w:val="left"/>
      <w:lvlText w:val="o"/>
      <w:numFmt w:val="bullet"/>
      <w:start w:val="1"/>
    </w:lvl>
  </w:abstractNum>
  <w:abstractNum w:abstractNumId="1">
    <w:nsid w:val="737B8DDC"/>
    <w:multiLevelType w:val="hybridMultilevel"/>
    <w:lvl w:ilvl="0">
      <w:lvlJc w:val="left"/>
      <w:lvlText w:val="☒"/>
      <w:numFmt w:val="bullet"/>
      <w:start w:val="1"/>
    </w:lvl>
  </w:abstractNum>
  <w:abstractNum w:abstractNumId="2">
    <w:nsid w:val="6CEAF087"/>
    <w:multiLevelType w:val="hybridMultilevel"/>
    <w:lvl w:ilvl="0">
      <w:lvlJc w:val="left"/>
      <w:lvlText w:val="o"/>
      <w:numFmt w:val="bullet"/>
      <w:start w:val="1"/>
    </w:lvl>
  </w:abstractNum>
  <w:abstractNum w:abstractNumId="3">
    <w:nsid w:val="22221A70"/>
    <w:multiLevelType w:val="hybridMultilevel"/>
    <w:lvl w:ilvl="0">
      <w:lvlJc w:val="left"/>
      <w:lvlText w:val="☒"/>
      <w:numFmt w:val="bullet"/>
      <w:start w:val="1"/>
    </w:lvl>
  </w:abstractNum>
  <w:abstractNum w:abstractNumId="4">
    <w:nsid w:val="4516DDE9"/>
    <w:multiLevelType w:val="hybridMultilevel"/>
    <w:lvl w:ilvl="0">
      <w:lvlJc w:val="left"/>
      <w:lvlText w:val="o"/>
      <w:numFmt w:val="bullet"/>
      <w:start w:val="1"/>
    </w:lvl>
    <w:lvl w:ilvl="1">
      <w:lvlJc w:val="left"/>
      <w:lvlText w:val="(%2)"/>
      <w:numFmt w:val="decimal"/>
      <w:start w:val="1"/>
    </w:lvl>
  </w:abstractNum>
  <w:abstractNum w:abstractNumId="5">
    <w:nsid w:val="3006C83E"/>
    <w:multiLevelType w:val="hybridMultilevel"/>
    <w:lvl w:ilvl="0">
      <w:lvlJc w:val="left"/>
      <w:lvlText w:val="•"/>
      <w:numFmt w:val="bullet"/>
      <w:start w:val="1"/>
    </w:lvl>
  </w:abstractNum>
  <w:abstractNum w:abstractNumId="6">
    <w:nsid w:val="614FD4A1"/>
    <w:multiLevelType w:val="hybridMultilevel"/>
    <w:lvl w:ilvl="0">
      <w:lvlJc w:val="left"/>
      <w:lvlText w:val="•"/>
      <w:numFmt w:val="bullet"/>
      <w:start w:val="1"/>
    </w:lvl>
  </w:abstractNum>
  <w:abstractNum w:abstractNumId="7">
    <w:nsid w:val="419AC241"/>
    <w:multiLevelType w:val="hybridMultilevel"/>
    <w:lvl w:ilvl="0">
      <w:lvlJc w:val="left"/>
      <w:lvlText w:val="*"/>
      <w:numFmt w:val="bullet"/>
      <w:start w:val="1"/>
    </w:lvl>
  </w:abstractNum>
  <w:abstractNum w:abstractNumId="8">
    <w:nsid w:val="5577F8E1"/>
    <w:multiLevelType w:val="hybridMultilevel"/>
    <w:lvl w:ilvl="0">
      <w:lvlJc w:val="left"/>
      <w:lvlText w:val="•"/>
      <w:numFmt w:val="bullet"/>
      <w:start w:val="1"/>
    </w:lvl>
  </w:abstractNum>
  <w:abstractNum w:abstractNumId="9">
    <w:nsid w:val="440BADFC"/>
    <w:multiLevelType w:val="hybridMultilevel"/>
    <w:lvl w:ilvl="0">
      <w:lvlJc w:val="left"/>
      <w:lvlText w:val="•"/>
      <w:numFmt w:val="bullet"/>
      <w:start w:val="1"/>
    </w:lvl>
  </w:abstractNum>
  <w:abstractNum w:abstractNumId="10">
    <w:nsid w:val="5072367"/>
    <w:multiLevelType w:val="hybridMultilevel"/>
    <w:lvl w:ilvl="0">
      <w:lvlJc w:val="left"/>
      <w:lvlText w:val="•"/>
      <w:numFmt w:val="bullet"/>
      <w:start w:val="1"/>
    </w:lvl>
  </w:abstractNum>
  <w:abstractNum w:abstractNumId="11">
    <w:nsid w:val="3804823E"/>
    <w:multiLevelType w:val="hybridMultilevel"/>
    <w:lvl w:ilvl="0">
      <w:lvlJc w:val="left"/>
      <w:lvlText w:val="%1."/>
      <w:numFmt w:val="decimal"/>
      <w:start w:val="1"/>
    </w:lvl>
  </w:abstractNum>
  <w:abstractNum w:abstractNumId="12">
    <w:nsid w:val="77465F01"/>
    <w:multiLevelType w:val="hybridMultilevel"/>
    <w:lvl w:ilvl="0">
      <w:lvlJc w:val="left"/>
      <w:lvlText w:val="•"/>
      <w:numFmt w:val="bullet"/>
      <w:start w:val="1"/>
    </w:lvl>
  </w:abstractNum>
  <w:abstractNum w:abstractNumId="13">
    <w:nsid w:val="7724C67E"/>
    <w:multiLevelType w:val="hybridMultilevel"/>
    <w:lvl w:ilvl="0">
      <w:lvlJc w:val="left"/>
      <w:lvlText w:val="(%1)"/>
      <w:numFmt w:val="decimal"/>
      <w:start w:val="1"/>
    </w:lvl>
  </w:abstractNum>
  <w:abstractNum w:abstractNumId="14">
    <w:nsid w:val="5C482A97"/>
    <w:multiLevelType w:val="hybridMultilevel"/>
    <w:lvl w:ilvl="0">
      <w:lvlJc w:val="left"/>
      <w:lvlText w:val="(%1)"/>
      <w:numFmt w:val="decimal"/>
      <w:start w:val="3"/>
    </w:lvl>
  </w:abstractNum>
  <w:abstractNum w:abstractNumId="15">
    <w:nsid w:val="2463B9EA"/>
    <w:multiLevelType w:val="hybridMultilevel"/>
    <w:lvl w:ilvl="0">
      <w:lvlJc w:val="left"/>
      <w:lvlText w:val="(%1)"/>
      <w:numFmt w:val="decimal"/>
      <w:start w:val="1"/>
    </w:lvl>
  </w:abstractNum>
  <w:abstractNum w:abstractNumId="16">
    <w:nsid w:val="5E884ADC"/>
    <w:multiLevelType w:val="hybridMultilevel"/>
    <w:lvl w:ilvl="0">
      <w:lvlJc w:val="left"/>
      <w:lvlText w:val="%1."/>
      <w:numFmt w:val="upperLetter"/>
      <w:start w:val="9"/>
    </w:lvl>
  </w:abstractNum>
  <w:abstractNum w:abstractNumId="17">
    <w:nsid w:val="51EAD36B"/>
    <w:multiLevelType w:val="hybridMultilevel"/>
    <w:lvl w:ilvl="0">
      <w:lvlJc w:val="left"/>
      <w:lvlText w:val="*"/>
      <w:numFmt w:val="bullet"/>
      <w:start w:val="1"/>
    </w:lvl>
  </w:abstractNum>
  <w:abstractNum w:abstractNumId="18">
    <w:nsid w:val="2D517796"/>
    <w:multiLevelType w:val="hybridMultilevel"/>
    <w:lvl w:ilvl="0">
      <w:lvlJc w:val="left"/>
      <w:lvlText w:val="•"/>
      <w:numFmt w:val="bullet"/>
      <w:start w:val="1"/>
    </w:lvl>
  </w:abstractNum>
  <w:abstractNum w:abstractNumId="19">
    <w:nsid w:val="580BD78F"/>
    <w:multiLevelType w:val="hybridMultilevel"/>
    <w:lvl w:ilvl="0">
      <w:lvlJc w:val="left"/>
      <w:lvlText w:val="(%1)"/>
      <w:numFmt w:val="decimal"/>
      <w:start w:val="1"/>
    </w:lvl>
  </w:abstractNum>
  <w:abstractNum w:abstractNumId="20">
    <w:nsid w:val="153EA438"/>
    <w:multiLevelType w:val="hybridMultilevel"/>
    <w:lvl w:ilvl="0">
      <w:lvlJc w:val="left"/>
      <w:lvlText w:val="•"/>
      <w:numFmt w:val="bullet"/>
      <w:start w:val="1"/>
    </w:lvl>
  </w:abstractNum>
  <w:abstractNum w:abstractNumId="21">
    <w:nsid w:val="3855585C"/>
    <w:multiLevelType w:val="hybridMultilevel"/>
    <w:lvl w:ilvl="0">
      <w:lvlJc w:val="left"/>
      <w:lvlText w:val="(%1)"/>
      <w:numFmt w:val="lowerRoman"/>
      <w:start w:val="1"/>
    </w:lvl>
  </w:abstractNum>
  <w:abstractNum w:abstractNumId="22">
    <w:nsid w:val="70A64E2A"/>
    <w:multiLevelType w:val="hybridMultilevel"/>
    <w:lvl w:ilvl="0">
      <w:lvlJc w:val="left"/>
      <w:lvlText w:val="ü"/>
      <w:numFmt w:val="bullet"/>
      <w:start w:val="1"/>
    </w:lvl>
  </w:abstractNum>
  <w:abstractNum w:abstractNumId="23">
    <w:nsid w:val="6A2342EC"/>
    <w:multiLevelType w:val="hybridMultilevel"/>
    <w:lvl w:ilvl="0">
      <w:lvlJc w:val="left"/>
      <w:lvlText w:val="ü"/>
      <w:numFmt w:val="bullet"/>
      <w:start w:val="1"/>
    </w:lvl>
  </w:abstractNum>
  <w:abstractNum w:abstractNumId="24">
    <w:nsid w:val="2A487CB0"/>
    <w:multiLevelType w:val="hybridMultilevel"/>
    <w:lvl w:ilvl="0">
      <w:lvlJc w:val="left"/>
      <w:lvlText w:val="%1."/>
      <w:numFmt w:val="upperLetter"/>
      <w:start w:val="61"/>
    </w:lvl>
  </w:abstractNum>
  <w:abstractNum w:abstractNumId="25">
    <w:nsid w:val="1D4ED43B"/>
    <w:multiLevelType w:val="hybridMultilevel"/>
    <w:lvl w:ilvl="0">
      <w:lvlJc w:val="left"/>
      <w:lvlText w:val="•"/>
      <w:numFmt w:val="bullet"/>
      <w:start w:val="1"/>
    </w:lvl>
  </w:abstractNum>
  <w:abstractNum w:abstractNumId="26">
    <w:nsid w:val="725A06FB"/>
    <w:multiLevelType w:val="hybridMultilevel"/>
    <w:lvl w:ilvl="0">
      <w:lvlJc w:val="left"/>
      <w:lvlText w:val="•"/>
      <w:numFmt w:val="bullet"/>
      <w:start w:val="1"/>
    </w:lvl>
  </w:abstractNum>
  <w:abstractNum w:abstractNumId="27">
    <w:nsid w:val="2CD89A32"/>
    <w:multiLevelType w:val="hybridMultilevel"/>
    <w:lvl w:ilvl="0">
      <w:lvlJc w:val="left"/>
      <w:lvlText w:val="•"/>
      <w:numFmt w:val="bullet"/>
      <w:start w:val="1"/>
    </w:lvl>
  </w:abstractNum>
  <w:abstractNum w:abstractNumId="28">
    <w:nsid w:val="57E4CCAF"/>
    <w:multiLevelType w:val="hybridMultilevel"/>
    <w:lvl w:ilvl="0">
      <w:lvlJc w:val="left"/>
      <w:lvlText w:val="•"/>
      <w:numFmt w:val="bullet"/>
      <w:start w:val="1"/>
    </w:lvl>
  </w:abstractNum>
  <w:abstractNum w:abstractNumId="29">
    <w:nsid w:val="7A6D8D3C"/>
    <w:multiLevelType w:val="hybridMultilevel"/>
    <w:lvl w:ilvl="0">
      <w:lvlJc w:val="left"/>
      <w:lvlText w:val="•"/>
      <w:numFmt w:val="bullet"/>
      <w:start w:val="1"/>
    </w:lvl>
  </w:abstractNum>
  <w:abstractNum w:abstractNumId="30">
    <w:nsid w:val="4B588F54"/>
    <w:multiLevelType w:val="hybridMultilevel"/>
    <w:lvl w:ilvl="0">
      <w:lvlJc w:val="left"/>
      <w:lvlText w:val="•"/>
      <w:numFmt w:val="bullet"/>
      <w:start w:val="1"/>
    </w:lvl>
  </w:abstractNum>
  <w:abstractNum w:abstractNumId="31">
    <w:nsid w:val="542289EC"/>
    <w:multiLevelType w:val="hybridMultilevel"/>
    <w:lvl w:ilvl="0">
      <w:lvlJc w:val="left"/>
      <w:lvlText w:val="(%1)"/>
      <w:numFmt w:val="lowerRoman"/>
      <w:start w:val="1"/>
    </w:lvl>
  </w:abstractNum>
  <w:abstractNum w:abstractNumId="32">
    <w:nsid w:val="6DE91B18"/>
    <w:multiLevelType w:val="hybridMultilevel"/>
    <w:lvl w:ilvl="0">
      <w:lvlJc w:val="left"/>
      <w:lvlText w:val="(%1)"/>
      <w:numFmt w:val="decimal"/>
      <w:start w:val="1"/>
    </w:lvl>
  </w:abstractNum>
  <w:abstractNum w:abstractNumId="33">
    <w:nsid w:val="38437FDB"/>
    <w:multiLevelType w:val="hybridMultilevel"/>
    <w:lvl w:ilvl="0">
      <w:lvlJc w:val="left"/>
      <w:lvlText w:val="(%1)"/>
      <w:numFmt w:val="decimal"/>
      <w:start w:val="5"/>
    </w:lvl>
  </w:abstractNum>
  <w:abstractNum w:abstractNumId="34">
    <w:nsid w:val="7644A45C"/>
    <w:multiLevelType w:val="hybridMultilevel"/>
    <w:lvl w:ilvl="0">
      <w:lvlJc w:val="left"/>
      <w:lvlText w:val="(%1)"/>
      <w:numFmt w:val="decimal"/>
      <w:start w:val="7"/>
    </w:lvl>
  </w:abstractNum>
  <w:abstractNum w:abstractNumId="35">
    <w:nsid w:val="32FFF902"/>
    <w:multiLevelType w:val="hybridMultilevel"/>
    <w:lvl w:ilvl="0">
      <w:lvlJc w:val="left"/>
      <w:lvlText w:val="(%1)"/>
      <w:numFmt w:val="decimal"/>
      <w:start w:val="8"/>
    </w:lvl>
  </w:abstractNum>
  <w:abstractNum w:abstractNumId="36">
    <w:nsid w:val="684A481A"/>
    <w:multiLevelType w:val="hybridMultilevel"/>
    <w:lvl w:ilvl="0">
      <w:lvlJc w:val="left"/>
      <w:lvlText w:val="(%1)"/>
      <w:numFmt w:val="decimal"/>
      <w:start w:val="9"/>
    </w:lvl>
  </w:abstractNum>
  <w:abstractNum w:abstractNumId="37">
    <w:nsid w:val="579478FE"/>
    <w:multiLevelType w:val="hybridMultilevel"/>
    <w:lvl w:ilvl="0">
      <w:lvlJc w:val="left"/>
      <w:lvlText w:val="(%1)"/>
      <w:numFmt w:val="decimal"/>
      <w:start w:val="1"/>
    </w:lvl>
  </w:abstractNum>
  <w:abstractNum w:abstractNumId="38">
    <w:nsid w:val="749ABB43"/>
    <w:multiLevelType w:val="hybridMultilevel"/>
    <w:lvl w:ilvl="0">
      <w:lvlJc w:val="left"/>
      <w:lvlText w:val="(%1)"/>
      <w:numFmt w:val="decimal"/>
      <w:start w:val="1"/>
    </w:lvl>
  </w:abstractNum>
  <w:abstractNum w:abstractNumId="39">
    <w:nsid w:val="3DC240FB"/>
    <w:multiLevelType w:val="hybridMultilevel"/>
    <w:lvl w:ilvl="0">
      <w:lvlJc w:val="left"/>
      <w:lvlText w:val="(%1)"/>
      <w:numFmt w:val="decimal"/>
      <w:start w:val="1"/>
    </w:lvl>
    <w:lvl w:ilvl="1">
      <w:lvlJc w:val="left"/>
      <w:lvlText w:val="•"/>
      <w:numFmt w:val="bullet"/>
      <w:start w:val="1"/>
    </w:lvl>
  </w:abstractNum>
  <w:abstractNum w:abstractNumId="40">
    <w:nsid w:val="1BA026FA"/>
    <w:multiLevelType w:val="hybridMultilevel"/>
    <w:lvl w:ilvl="0">
      <w:lvlJc w:val="left"/>
      <w:lvlText w:val="(%1)"/>
      <w:numFmt w:val="lowerLetter"/>
      <w:start w:val="1"/>
    </w:lvl>
  </w:abstractNum>
  <w:abstractNum w:abstractNumId="41">
    <w:nsid w:val="79A1DEAA"/>
    <w:multiLevelType w:val="hybridMultilevel"/>
    <w:lvl w:ilvl="0">
      <w:lvlJc w:val="left"/>
      <w:lvlText w:val="(%1)"/>
      <w:numFmt w:val="lowerLetter"/>
      <w:start w:val="4"/>
    </w:lvl>
  </w:abstractNum>
  <w:abstractNum w:abstractNumId="42">
    <w:nsid w:val="75C6C33A"/>
    <w:multiLevelType w:val="hybridMultilevel"/>
    <w:lvl w:ilvl="0">
      <w:lvlJc w:val="left"/>
      <w:lvlText w:val="%1."/>
      <w:numFmt w:val="upperLetter"/>
      <w:start w:val="1"/>
    </w:lvl>
  </w:abstractNum>
  <w:abstractNum w:abstractNumId="43">
    <w:nsid w:val="12E685FB"/>
    <w:multiLevelType w:val="hybridMultilevel"/>
    <w:lvl w:ilvl="0">
      <w:lvlJc w:val="left"/>
      <w:lvlText w:val="%1."/>
      <w:numFmt w:val="upperLetter"/>
      <w:start w:val="2"/>
    </w:lvl>
  </w:abstractNum>
  <w:abstractNum w:abstractNumId="44">
    <w:nsid w:val="70C6A529"/>
    <w:multiLevelType w:val="hybridMultilevel"/>
    <w:lvl w:ilvl="0">
      <w:lvlJc w:val="left"/>
      <w:lvlText w:val="•"/>
      <w:numFmt w:val="bullet"/>
      <w:start w:val="1"/>
    </w:lvl>
  </w:abstractNum>
  <w:abstractNum w:abstractNumId="45">
    <w:nsid w:val="520EEDD1"/>
    <w:multiLevelType w:val="hybridMultilevel"/>
    <w:lvl w:ilvl="0">
      <w:lvlJc w:val="left"/>
      <w:lvlText w:val="•"/>
      <w:numFmt w:val="bullet"/>
      <w:start w:val="1"/>
    </w:lvl>
  </w:abstractNum>
  <w:abstractNum w:abstractNumId="46">
    <w:nsid w:val="374A3FE6"/>
    <w:multiLevelType w:val="hybridMultilevel"/>
    <w:lvl w:ilvl="0">
      <w:lvlJc w:val="left"/>
      <w:lvlText w:val="(%1)"/>
      <w:numFmt w:val="decimal"/>
      <w:start w:val="1"/>
    </w:lvl>
  </w:abstractNum>
  <w:abstractNum w:abstractNumId="47">
    <w:nsid w:val="4F4EF005"/>
    <w:multiLevelType w:val="hybridMultilevel"/>
    <w:lvl w:ilvl="0">
      <w:lvlJc w:val="left"/>
      <w:lvlText w:val="(%1)"/>
      <w:numFmt w:val="decimal"/>
      <w:start w:val="1"/>
    </w:lvl>
  </w:abstractNum>
  <w:abstractNum w:abstractNumId="48">
    <w:nsid w:val="23F9C13C"/>
    <w:multiLevelType w:val="hybridMultilevel"/>
    <w:lvl w:ilvl="0">
      <w:lvlJc w:val="left"/>
      <w:lvlText w:val="•"/>
      <w:numFmt w:val="bullet"/>
      <w:start w:val="1"/>
    </w:lvl>
  </w:abstractNum>
  <w:abstractNum w:abstractNumId="49">
    <w:nsid w:val="649BB77C"/>
    <w:multiLevelType w:val="hybridMultilevel"/>
    <w:lvl w:ilvl="0">
      <w:lvlJc w:val="left"/>
      <w:lvlText w:val="•"/>
      <w:numFmt w:val="bullet"/>
      <w:start w:val="1"/>
    </w:lvl>
  </w:abstractNum>
  <w:abstractNum w:abstractNumId="50">
    <w:nsid w:val="275AC794"/>
    <w:multiLevelType w:val="hybridMultilevel"/>
    <w:lvl w:ilvl="0">
      <w:lvlJc w:val="left"/>
      <w:lvlText w:val="(%1)"/>
      <w:numFmt w:val="decimal"/>
      <w:start w:val="1"/>
    </w:lvl>
  </w:abstractNum>
  <w:abstractNum w:abstractNumId="51">
    <w:nsid w:val="39386575"/>
    <w:multiLevelType w:val="hybridMultilevel"/>
    <w:lvl w:ilvl="0">
      <w:lvlJc w:val="left"/>
      <w:lvlText w:val="%1."/>
      <w:numFmt w:val="decimal"/>
      <w:start w:val="1"/>
    </w:lvl>
  </w:abstractNum>
  <w:abstractNum w:abstractNumId="52">
    <w:nsid w:val="1CF10FD8"/>
    <w:multiLevelType w:val="hybridMultilevel"/>
    <w:lvl w:ilvl="0">
      <w:lvlJc w:val="left"/>
      <w:lvlText w:val="•"/>
      <w:numFmt w:val="bullet"/>
      <w:start w:val="1"/>
    </w:lvl>
  </w:abstractNum>
  <w:abstractNum w:abstractNumId="53">
    <w:nsid w:val="180115BE"/>
    <w:multiLevelType w:val="hybridMultilevel"/>
    <w:lvl w:ilvl="0">
      <w:lvlJc w:val="left"/>
      <w:lvlText w:val="•"/>
      <w:numFmt w:val="bullet"/>
      <w:start w:val="1"/>
    </w:lvl>
  </w:abstractNum>
  <w:abstractNum w:abstractNumId="54">
    <w:nsid w:val="235BA861"/>
    <w:multiLevelType w:val="hybridMultilevel"/>
    <w:lvl w:ilvl="0">
      <w:lvlJc w:val="left"/>
      <w:lvlText w:val="•"/>
      <w:numFmt w:val="bullet"/>
      <w:start w:val="1"/>
    </w:lvl>
  </w:abstractNum>
  <w:abstractNum w:abstractNumId="55">
    <w:nsid w:val="47398C89"/>
    <w:multiLevelType w:val="hybridMultilevel"/>
    <w:lvl w:ilvl="0">
      <w:lvlJc w:val="left"/>
      <w:lvlText w:val="•"/>
      <w:numFmt w:val="bullet"/>
      <w:start w:val="1"/>
    </w:lvl>
  </w:abstractNum>
  <w:abstractNum w:abstractNumId="56">
    <w:nsid w:val="354FE9F9"/>
    <w:multiLevelType w:val="hybridMultilevel"/>
    <w:lvl w:ilvl="0">
      <w:lvlJc w:val="left"/>
      <w:lvlText w:val="•"/>
      <w:numFmt w:val="bullet"/>
      <w:start w:val="1"/>
    </w:lvl>
  </w:abstractNum>
  <w:abstractNum w:abstractNumId="57">
    <w:nsid w:val="15B5AF5C"/>
    <w:multiLevelType w:val="hybridMultilevel"/>
    <w:lvl w:ilvl="0">
      <w:lvlJc w:val="left"/>
      <w:lvlText w:val="•"/>
      <w:numFmt w:val="bullet"/>
      <w:start w:val="1"/>
    </w:lvl>
  </w:abstractNum>
  <w:abstractNum w:abstractNumId="58">
    <w:nsid w:val="741226BB"/>
    <w:multiLevelType w:val="hybridMultilevel"/>
    <w:lvl w:ilvl="0">
      <w:lvlJc w:val="left"/>
      <w:lvlText w:val="%1."/>
      <w:numFmt w:val="decimal"/>
      <w:start w:val="1"/>
    </w:lvl>
  </w:abstractNum>
  <w:abstractNum w:abstractNumId="59">
    <w:nsid w:val="D34B6A8"/>
    <w:multiLevelType w:val="hybridMultilevel"/>
    <w:lvl w:ilvl="0">
      <w:lvlJc w:val="left"/>
      <w:lvlText w:val="(%1)"/>
      <w:numFmt w:val="lowerLetter"/>
      <w:start w:val="2"/>
    </w:lvl>
  </w:abstractNum>
  <w:abstractNum w:abstractNumId="60">
    <w:nsid w:val="10233C9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jpe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jpeg"/><Relationship Id="rId40" Type="http://schemas.openxmlformats.org/officeDocument/2006/relationships/image" Target="media/image33.png"/><Relationship Id="rId41" Type="http://schemas.openxmlformats.org/officeDocument/2006/relationships/image" Target="media/image34.jpe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jpe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jpeg"/><Relationship Id="rId76" Type="http://schemas.openxmlformats.org/officeDocument/2006/relationships/image" Target="media/image69.jpe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jpe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jpe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jpe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jpe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jpe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jpe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jpe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jpe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jpe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jpe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jpeg"/><Relationship Id="rId247" Type="http://schemas.openxmlformats.org/officeDocument/2006/relationships/image" Target="media/image240.png"/><Relationship Id="rId248" Type="http://schemas.openxmlformats.org/officeDocument/2006/relationships/image" Target="media/image241.jpe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jpeg"/><Relationship Id="rId254" Type="http://schemas.openxmlformats.org/officeDocument/2006/relationships/image" Target="media/image247.png"/><Relationship Id="rId255" Type="http://schemas.openxmlformats.org/officeDocument/2006/relationships/image" Target="media/image248.jpe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jpeg"/><Relationship Id="rId271" Type="http://schemas.openxmlformats.org/officeDocument/2006/relationships/image" Target="media/image264.png"/><Relationship Id="rId272" Type="http://schemas.openxmlformats.org/officeDocument/2006/relationships/image" Target="media/image265.jpeg"/><Relationship Id="rId273" Type="http://schemas.openxmlformats.org/officeDocument/2006/relationships/image" Target="media/image266.jpeg"/><Relationship Id="rId274" Type="http://schemas.openxmlformats.org/officeDocument/2006/relationships/image" Target="media/image267.pn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pn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jpe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jpe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jpe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jpe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jpe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jpe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jpe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jpe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2019-12-08T22:30:10Z</dcterms:created>
  <dcterms:modified xsi:type="dcterms:W3CDTF">2019-12-08T22:30:10Z</dcterms:modified>
</cp:coreProperties>
</file>