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78"/>
        </w:trPr>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560" w:type="dxa"/>
            <w:vAlign w:val="bottom"/>
            <w:gridSpan w:val="4"/>
          </w:tcPr>
          <w:p>
            <w:pPr>
              <w:jc w:val="center"/>
              <w:ind w:right="3230"/>
              <w:spacing w:after="0"/>
              <w:rPr>
                <w:sz w:val="20"/>
                <w:szCs w:val="20"/>
                <w:color w:val="auto"/>
              </w:rPr>
            </w:pPr>
            <w:r>
              <w:rPr>
                <w:rFonts w:ascii="Arial" w:cs="Arial" w:eastAsia="Arial" w:hAnsi="Arial"/>
                <w:sz w:val="32"/>
                <w:szCs w:val="32"/>
                <w:b w:val="1"/>
                <w:bCs w:val="1"/>
                <w:color w:val="auto"/>
                <w:w w:val="99"/>
              </w:rPr>
              <w:t>UNITED STATES</w:t>
            </w:r>
          </w:p>
        </w:tc>
        <w:tc>
          <w:tcPr>
            <w:tcW w:w="0" w:type="dxa"/>
            <w:vAlign w:val="bottom"/>
          </w:tcPr>
          <w:p>
            <w:pPr>
              <w:spacing w:after="0"/>
              <w:rPr>
                <w:sz w:val="1"/>
                <w:szCs w:val="1"/>
                <w:color w:val="auto"/>
              </w:rPr>
            </w:pPr>
          </w:p>
        </w:tc>
      </w:tr>
      <w:tr>
        <w:trPr>
          <w:trHeight w:val="391"/>
        </w:trPr>
        <w:tc>
          <w:tcPr>
            <w:tcW w:w="1460" w:type="dxa"/>
            <w:vAlign w:val="bottom"/>
          </w:tcPr>
          <w:p>
            <w:pPr>
              <w:spacing w:after="0"/>
              <w:rPr>
                <w:sz w:val="24"/>
                <w:szCs w:val="24"/>
                <w:color w:val="auto"/>
              </w:rPr>
            </w:pPr>
          </w:p>
        </w:tc>
        <w:tc>
          <w:tcPr>
            <w:tcW w:w="9100" w:type="dxa"/>
            <w:vAlign w:val="bottom"/>
            <w:gridSpan w:val="6"/>
          </w:tcPr>
          <w:p>
            <w:pPr>
              <w:ind w:left="720"/>
              <w:spacing w:after="0"/>
              <w:rPr>
                <w:sz w:val="20"/>
                <w:szCs w:val="20"/>
                <w:color w:val="auto"/>
              </w:rPr>
            </w:pPr>
            <w:r>
              <w:rPr>
                <w:rFonts w:ascii="Arial" w:cs="Arial" w:eastAsia="Arial" w:hAnsi="Arial"/>
                <w:sz w:val="32"/>
                <w:szCs w:val="32"/>
                <w:b w:val="1"/>
                <w:bCs w:val="1"/>
                <w:color w:val="auto"/>
              </w:rPr>
              <w:t>SECURITIES AND EXCHANGE COMMISSION</w:t>
            </w: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80" w:type="dxa"/>
            <w:vAlign w:val="bottom"/>
            <w:gridSpan w:val="3"/>
          </w:tcPr>
          <w:p>
            <w:pPr>
              <w:jc w:val="center"/>
              <w:ind w:right="3690"/>
              <w:spacing w:after="0"/>
              <w:rPr>
                <w:sz w:val="20"/>
                <w:szCs w:val="20"/>
                <w:color w:val="auto"/>
              </w:rPr>
            </w:pPr>
            <w:r>
              <w:rPr>
                <w:rFonts w:ascii="Arial" w:cs="Arial" w:eastAsia="Arial" w:hAnsi="Arial"/>
                <w:sz w:val="18"/>
                <w:szCs w:val="18"/>
                <w:b w:val="1"/>
                <w:bCs w:val="1"/>
                <w:color w:val="auto"/>
                <w:w w:val="99"/>
              </w:rPr>
              <w:t>WASHINGTON, D. C. 20549</w:t>
            </w:r>
          </w:p>
        </w:tc>
        <w:tc>
          <w:tcPr>
            <w:tcW w:w="0" w:type="dxa"/>
            <w:vAlign w:val="bottom"/>
          </w:tcPr>
          <w:p>
            <w:pPr>
              <w:spacing w:after="0"/>
              <w:rPr>
                <w:sz w:val="1"/>
                <w:szCs w:val="1"/>
                <w:color w:val="auto"/>
              </w:rPr>
            </w:pPr>
          </w:p>
        </w:tc>
      </w:tr>
      <w:tr>
        <w:trPr>
          <w:trHeight w:val="433"/>
        </w:trPr>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20" w:type="dxa"/>
            <w:vAlign w:val="bottom"/>
            <w:gridSpan w:val="2"/>
          </w:tcPr>
          <w:p>
            <w:pPr>
              <w:jc w:val="center"/>
              <w:ind w:right="3950"/>
              <w:spacing w:after="0"/>
              <w:rPr>
                <w:sz w:val="20"/>
                <w:szCs w:val="20"/>
                <w:color w:val="auto"/>
              </w:rPr>
            </w:pPr>
            <w:r>
              <w:rPr>
                <w:rFonts w:ascii="Arial" w:cs="Arial" w:eastAsia="Arial" w:hAnsi="Arial"/>
                <w:sz w:val="32"/>
                <w:szCs w:val="32"/>
                <w:b w:val="1"/>
                <w:bCs w:val="1"/>
                <w:color w:val="auto"/>
              </w:rPr>
              <w:t>FORM 10-K</w:t>
            </w:r>
          </w:p>
        </w:tc>
        <w:tc>
          <w:tcPr>
            <w:tcW w:w="0" w:type="dxa"/>
            <w:vAlign w:val="bottom"/>
          </w:tcPr>
          <w:p>
            <w:pPr>
              <w:spacing w:after="0"/>
              <w:rPr>
                <w:sz w:val="1"/>
                <w:szCs w:val="1"/>
                <w:color w:val="auto"/>
              </w:rPr>
            </w:pPr>
          </w:p>
        </w:tc>
      </w:tr>
      <w:tr>
        <w:trPr>
          <w:trHeight w:val="242"/>
        </w:trPr>
        <w:tc>
          <w:tcPr>
            <w:tcW w:w="1460" w:type="dxa"/>
            <w:vAlign w:val="bottom"/>
          </w:tcPr>
          <w:p>
            <w:pPr>
              <w:ind w:left="280"/>
              <w:spacing w:after="0"/>
              <w:rPr>
                <w:sz w:val="20"/>
                <w:szCs w:val="20"/>
                <w:color w:val="auto"/>
              </w:rPr>
            </w:pPr>
            <w:r>
              <w:rPr>
                <w:rFonts w:ascii="Arial" w:cs="Arial" w:eastAsia="Arial" w:hAnsi="Arial"/>
                <w:sz w:val="18"/>
                <w:szCs w:val="18"/>
                <w:b w:val="1"/>
                <w:bCs w:val="1"/>
                <w:color w:val="auto"/>
              </w:rPr>
              <w:t>(MARK ONE)</w:t>
            </w:r>
          </w:p>
        </w:tc>
        <w:tc>
          <w:tcPr>
            <w:tcW w:w="9100" w:type="dxa"/>
            <w:vAlign w:val="bottom"/>
            <w:gridSpan w:val="6"/>
            <w:vMerge w:val="restart"/>
          </w:tcPr>
          <w:p>
            <w:pPr>
              <w:ind w:left="680"/>
              <w:spacing w:after="0"/>
              <w:rPr>
                <w:sz w:val="20"/>
                <w:szCs w:val="20"/>
                <w:color w:val="auto"/>
              </w:rPr>
            </w:pPr>
            <w:r>
              <w:rPr>
                <w:rFonts w:ascii="Arial" w:cs="Arial" w:eastAsia="Arial" w:hAnsi="Arial"/>
                <w:sz w:val="22"/>
                <w:szCs w:val="22"/>
                <w:b w:val="1"/>
                <w:bCs w:val="1"/>
                <w:color w:val="auto"/>
              </w:rPr>
              <w:t>ANNUAL REPORT PURSUANT TO SECTION 13 OR 15(d) OF THE SECURITIES</w:t>
            </w:r>
          </w:p>
        </w:tc>
        <w:tc>
          <w:tcPr>
            <w:tcW w:w="0" w:type="dxa"/>
            <w:vAlign w:val="bottom"/>
          </w:tcPr>
          <w:p>
            <w:pPr>
              <w:spacing w:after="0"/>
              <w:rPr>
                <w:sz w:val="1"/>
                <w:szCs w:val="1"/>
                <w:color w:val="auto"/>
              </w:rPr>
            </w:pPr>
          </w:p>
        </w:tc>
      </w:tr>
      <w:tr>
        <w:trPr>
          <w:trHeight w:val="203"/>
        </w:trPr>
        <w:tc>
          <w:tcPr>
            <w:tcW w:w="1460" w:type="dxa"/>
            <w:vAlign w:val="bottom"/>
            <w:vMerge w:val="restart"/>
          </w:tcPr>
          <w:p>
            <w:pPr>
              <w:ind w:left="380"/>
              <w:spacing w:after="0" w:line="251" w:lineRule="exact"/>
              <w:rPr>
                <w:sz w:val="20"/>
                <w:szCs w:val="20"/>
                <w:color w:val="auto"/>
              </w:rPr>
            </w:pPr>
            <w:r>
              <w:rPr>
                <w:rFonts w:ascii="MS PGothic" w:cs="MS PGothic" w:eastAsia="MS PGothic" w:hAnsi="MS PGothic"/>
                <w:sz w:val="25"/>
                <w:szCs w:val="25"/>
                <w:color w:val="auto"/>
              </w:rPr>
              <w:t>☒</w:t>
            </w:r>
          </w:p>
        </w:tc>
        <w:tc>
          <w:tcPr>
            <w:tcW w:w="910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1460" w:type="dxa"/>
            <w:vAlign w:val="bottom"/>
            <w:vMerge w:val="continue"/>
          </w:tcPr>
          <w:p>
            <w:pPr>
              <w:spacing w:after="0"/>
              <w:rPr>
                <w:sz w:val="24"/>
                <w:szCs w:val="24"/>
                <w:color w:val="auto"/>
              </w:rPr>
            </w:pPr>
          </w:p>
        </w:tc>
        <w:tc>
          <w:tcPr>
            <w:tcW w:w="9100" w:type="dxa"/>
            <w:vAlign w:val="bottom"/>
            <w:gridSpan w:val="6"/>
          </w:tcPr>
          <w:p>
            <w:pPr>
              <w:ind w:left="680"/>
              <w:spacing w:after="0"/>
              <w:rPr>
                <w:sz w:val="20"/>
                <w:szCs w:val="20"/>
                <w:color w:val="auto"/>
              </w:rPr>
            </w:pPr>
            <w:r>
              <w:rPr>
                <w:rFonts w:ascii="Arial" w:cs="Arial" w:eastAsia="Arial" w:hAnsi="Arial"/>
                <w:sz w:val="22"/>
                <w:szCs w:val="22"/>
                <w:b w:val="1"/>
                <w:bCs w:val="1"/>
                <w:color w:val="auto"/>
              </w:rPr>
              <w:t>EXCHANGE ACT OF 1934</w:t>
            </w:r>
          </w:p>
        </w:tc>
        <w:tc>
          <w:tcPr>
            <w:tcW w:w="0" w:type="dxa"/>
            <w:vAlign w:val="bottom"/>
          </w:tcPr>
          <w:p>
            <w:pPr>
              <w:spacing w:after="0"/>
              <w:rPr>
                <w:sz w:val="1"/>
                <w:szCs w:val="1"/>
                <w:color w:val="auto"/>
              </w:rPr>
            </w:pPr>
          </w:p>
        </w:tc>
      </w:tr>
      <w:tr>
        <w:trPr>
          <w:trHeight w:val="288"/>
        </w:trPr>
        <w:tc>
          <w:tcPr>
            <w:tcW w:w="4000" w:type="dxa"/>
            <w:vAlign w:val="bottom"/>
            <w:gridSpan w:val="3"/>
          </w:tcPr>
          <w:p>
            <w:pPr>
              <w:spacing w:after="0"/>
              <w:rPr>
                <w:sz w:val="20"/>
                <w:szCs w:val="20"/>
                <w:color w:val="auto"/>
              </w:rPr>
            </w:pPr>
            <w:r>
              <w:rPr>
                <w:rFonts w:ascii="Arial" w:cs="Arial" w:eastAsia="Arial" w:hAnsi="Arial"/>
                <w:sz w:val="18"/>
                <w:szCs w:val="18"/>
                <w:color w:val="auto"/>
              </w:rPr>
              <w:t>For the fiscal year ended December 31, 2020</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20" w:type="dxa"/>
            <w:vAlign w:val="bottom"/>
            <w:gridSpan w:val="2"/>
            <w:vMerge w:val="restart"/>
          </w:tcPr>
          <w:p>
            <w:pPr>
              <w:jc w:val="center"/>
              <w:ind w:right="3970"/>
              <w:spacing w:after="0"/>
              <w:rPr>
                <w:sz w:val="20"/>
                <w:szCs w:val="20"/>
                <w:color w:val="auto"/>
              </w:rPr>
            </w:pPr>
            <w:r>
              <w:rPr>
                <w:rFonts w:ascii="Arial" w:cs="Arial" w:eastAsia="Arial" w:hAnsi="Arial"/>
                <w:sz w:val="18"/>
                <w:szCs w:val="18"/>
                <w:b w:val="1"/>
                <w:bCs w:val="1"/>
                <w:color w:val="auto"/>
              </w:rPr>
              <w:t>OR</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460" w:type="dxa"/>
            <w:vAlign w:val="bottom"/>
            <w:vMerge w:val="restart"/>
          </w:tcPr>
          <w:p>
            <w:pPr>
              <w:ind w:left="420"/>
              <w:spacing w:after="0" w:line="251" w:lineRule="exact"/>
              <w:rPr>
                <w:sz w:val="20"/>
                <w:szCs w:val="20"/>
                <w:color w:val="auto"/>
              </w:rPr>
            </w:pPr>
            <w:r>
              <w:rPr>
                <w:rFonts w:ascii="MS PGothic" w:cs="MS PGothic" w:eastAsia="MS PGothic" w:hAnsi="MS PGothic"/>
                <w:sz w:val="25"/>
                <w:szCs w:val="25"/>
                <w:color w:val="auto"/>
              </w:rPr>
              <w:t>☐</w:t>
            </w:r>
          </w:p>
        </w:tc>
        <w:tc>
          <w:tcPr>
            <w:tcW w:w="9100" w:type="dxa"/>
            <w:vAlign w:val="bottom"/>
            <w:gridSpan w:val="6"/>
          </w:tcPr>
          <w:p>
            <w:pPr>
              <w:ind w:left="700"/>
              <w:spacing w:after="0" w:line="229" w:lineRule="exact"/>
              <w:rPr>
                <w:sz w:val="20"/>
                <w:szCs w:val="20"/>
                <w:color w:val="auto"/>
              </w:rPr>
            </w:pPr>
            <w:r>
              <w:rPr>
                <w:rFonts w:ascii="Arial" w:cs="Arial" w:eastAsia="Arial" w:hAnsi="Arial"/>
                <w:sz w:val="22"/>
                <w:szCs w:val="22"/>
                <w:b w:val="1"/>
                <w:bCs w:val="1"/>
                <w:color w:val="auto"/>
                <w:w w:val="98"/>
              </w:rPr>
              <w:t>TRANSITION REPORT PURSUANT TO SECTION 13 OR 15(d) OF THE SECURITIES</w:t>
            </w:r>
          </w:p>
        </w:tc>
        <w:tc>
          <w:tcPr>
            <w:tcW w:w="0" w:type="dxa"/>
            <w:vAlign w:val="bottom"/>
          </w:tcPr>
          <w:p>
            <w:pPr>
              <w:spacing w:after="0"/>
              <w:rPr>
                <w:sz w:val="1"/>
                <w:szCs w:val="1"/>
                <w:color w:val="auto"/>
              </w:rPr>
            </w:pPr>
          </w:p>
        </w:tc>
      </w:tr>
      <w:tr>
        <w:trPr>
          <w:trHeight w:val="320"/>
        </w:trPr>
        <w:tc>
          <w:tcPr>
            <w:tcW w:w="1460" w:type="dxa"/>
            <w:vAlign w:val="bottom"/>
            <w:vMerge w:val="continue"/>
          </w:tcPr>
          <w:p>
            <w:pPr>
              <w:spacing w:after="0"/>
              <w:rPr>
                <w:sz w:val="24"/>
                <w:szCs w:val="24"/>
                <w:color w:val="auto"/>
              </w:rPr>
            </w:pPr>
          </w:p>
        </w:tc>
        <w:tc>
          <w:tcPr>
            <w:tcW w:w="9100" w:type="dxa"/>
            <w:vAlign w:val="bottom"/>
            <w:gridSpan w:val="6"/>
          </w:tcPr>
          <w:p>
            <w:pPr>
              <w:ind w:left="700"/>
              <w:spacing w:after="0"/>
              <w:rPr>
                <w:sz w:val="20"/>
                <w:szCs w:val="20"/>
                <w:color w:val="auto"/>
              </w:rPr>
            </w:pPr>
            <w:r>
              <w:rPr>
                <w:rFonts w:ascii="Arial" w:cs="Arial" w:eastAsia="Arial" w:hAnsi="Arial"/>
                <w:sz w:val="22"/>
                <w:szCs w:val="22"/>
                <w:b w:val="1"/>
                <w:bCs w:val="1"/>
                <w:color w:val="auto"/>
              </w:rPr>
              <w:t>EXCHANGE ACT OF 1934</w:t>
            </w:r>
          </w:p>
        </w:tc>
        <w:tc>
          <w:tcPr>
            <w:tcW w:w="0" w:type="dxa"/>
            <w:vAlign w:val="bottom"/>
          </w:tcPr>
          <w:p>
            <w:pPr>
              <w:spacing w:after="0"/>
              <w:rPr>
                <w:sz w:val="1"/>
                <w:szCs w:val="1"/>
                <w:color w:val="auto"/>
              </w:rPr>
            </w:pPr>
          </w:p>
        </w:tc>
      </w:tr>
      <w:tr>
        <w:trPr>
          <w:trHeight w:val="260"/>
        </w:trPr>
        <w:tc>
          <w:tcPr>
            <w:tcW w:w="2600" w:type="dxa"/>
            <w:vAlign w:val="bottom"/>
            <w:gridSpan w:val="2"/>
          </w:tcPr>
          <w:p>
            <w:pPr>
              <w:spacing w:after="0"/>
              <w:rPr>
                <w:sz w:val="20"/>
                <w:szCs w:val="20"/>
                <w:color w:val="auto"/>
              </w:rPr>
            </w:pPr>
            <w:r>
              <w:rPr>
                <w:rFonts w:ascii="Arial" w:cs="Arial" w:eastAsia="Arial" w:hAnsi="Arial"/>
                <w:sz w:val="20"/>
                <w:szCs w:val="20"/>
                <w:color w:val="auto"/>
              </w:rPr>
              <w:t>For the transition period from</w:t>
            </w:r>
          </w:p>
        </w:tc>
        <w:tc>
          <w:tcPr>
            <w:tcW w:w="14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20"/>
                <w:szCs w:val="20"/>
                <w:color w:val="auto"/>
              </w:rPr>
              <w:t>to</w:t>
            </w:r>
          </w:p>
        </w:tc>
        <w:tc>
          <w:tcPr>
            <w:tcW w:w="1880" w:type="dxa"/>
            <w:vAlign w:val="bottom"/>
            <w:tcBorders>
              <w:bottom w:val="single" w:sz="8" w:color="auto"/>
            </w:tcBorders>
          </w:tcPr>
          <w:p>
            <w:pPr>
              <w:spacing w:after="0"/>
              <w:rPr>
                <w:sz w:val="22"/>
                <w:szCs w:val="22"/>
                <w:color w:val="auto"/>
              </w:rPr>
            </w:pP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5"/>
        </w:trPr>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560" w:type="dxa"/>
            <w:vAlign w:val="bottom"/>
            <w:gridSpan w:val="4"/>
          </w:tcPr>
          <w:p>
            <w:pPr>
              <w:jc w:val="center"/>
              <w:ind w:right="3230"/>
              <w:spacing w:after="0"/>
              <w:rPr>
                <w:sz w:val="20"/>
                <w:szCs w:val="20"/>
                <w:color w:val="auto"/>
              </w:rPr>
            </w:pPr>
            <w:r>
              <w:rPr>
                <w:rFonts w:ascii="Arial" w:cs="Arial" w:eastAsia="Arial" w:hAnsi="Arial"/>
                <w:sz w:val="18"/>
                <w:szCs w:val="18"/>
                <w:b w:val="1"/>
                <w:bCs w:val="1"/>
                <w:color w:val="auto"/>
                <w:w w:val="99"/>
              </w:rPr>
              <w:t>Commission file number 001-35565</w:t>
            </w:r>
          </w:p>
        </w:tc>
        <w:tc>
          <w:tcPr>
            <w:tcW w:w="0" w:type="dxa"/>
            <w:vAlign w:val="bottom"/>
          </w:tcPr>
          <w:p>
            <w:pPr>
              <w:spacing w:after="0"/>
              <w:rPr>
                <w:sz w:val="1"/>
                <w:szCs w:val="1"/>
                <w:color w:val="auto"/>
              </w:rPr>
            </w:pPr>
          </w:p>
        </w:tc>
      </w:tr>
      <w:tr>
        <w:trPr>
          <w:trHeight w:val="1108"/>
        </w:trPr>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80" w:type="dxa"/>
            <w:vAlign w:val="bottom"/>
            <w:gridSpan w:val="3"/>
          </w:tcPr>
          <w:p>
            <w:pPr>
              <w:jc w:val="center"/>
              <w:ind w:right="3710"/>
              <w:spacing w:after="0"/>
              <w:rPr>
                <w:sz w:val="20"/>
                <w:szCs w:val="20"/>
                <w:color w:val="auto"/>
              </w:rPr>
            </w:pPr>
            <w:r>
              <w:rPr>
                <w:rFonts w:ascii="Arial" w:cs="Arial" w:eastAsia="Arial" w:hAnsi="Arial"/>
                <w:sz w:val="32"/>
                <w:szCs w:val="32"/>
                <w:b w:val="1"/>
                <w:bCs w:val="1"/>
                <w:color w:val="auto"/>
              </w:rPr>
              <w:t>AbbVie Inc.</w:t>
            </w:r>
          </w:p>
        </w:tc>
        <w:tc>
          <w:tcPr>
            <w:tcW w:w="0" w:type="dxa"/>
            <w:vAlign w:val="bottom"/>
          </w:tcPr>
          <w:p>
            <w:pPr>
              <w:spacing w:after="0"/>
              <w:rPr>
                <w:sz w:val="1"/>
                <w:szCs w:val="1"/>
                <w:color w:val="auto"/>
              </w:rPr>
            </w:pPr>
          </w:p>
        </w:tc>
      </w:tr>
      <w:tr>
        <w:trPr>
          <w:trHeight w:val="350"/>
        </w:trPr>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960" w:type="dxa"/>
            <w:vAlign w:val="bottom"/>
            <w:gridSpan w:val="5"/>
          </w:tcPr>
          <w:p>
            <w:pPr>
              <w:jc w:val="center"/>
              <w:ind w:right="1810"/>
              <w:spacing w:after="0"/>
              <w:rPr>
                <w:sz w:val="20"/>
                <w:szCs w:val="20"/>
                <w:color w:val="auto"/>
              </w:rPr>
            </w:pPr>
            <w:r>
              <w:rPr>
                <w:rFonts w:ascii="Arial" w:cs="Arial" w:eastAsia="Arial" w:hAnsi="Arial"/>
                <w:sz w:val="18"/>
                <w:szCs w:val="18"/>
                <w:color w:val="auto"/>
                <w:w w:val="99"/>
              </w:rPr>
              <w:t>(Exact name of registrant as specified in its charter)</w:t>
            </w:r>
          </w:p>
        </w:tc>
        <w:tc>
          <w:tcPr>
            <w:tcW w:w="0" w:type="dxa"/>
            <w:vAlign w:val="bottom"/>
          </w:tcPr>
          <w:p>
            <w:pPr>
              <w:spacing w:after="0"/>
              <w:rPr>
                <w:sz w:val="1"/>
                <w:szCs w:val="1"/>
                <w:color w:val="auto"/>
              </w:rPr>
            </w:pPr>
          </w:p>
        </w:tc>
      </w:tr>
      <w:tr>
        <w:trPr>
          <w:trHeight w:val="365"/>
        </w:trPr>
        <w:tc>
          <w:tcPr>
            <w:tcW w:w="1460" w:type="dxa"/>
            <w:vAlign w:val="bottom"/>
          </w:tcPr>
          <w:p>
            <w:pPr>
              <w:spacing w:after="0"/>
              <w:rPr>
                <w:sz w:val="24"/>
                <w:szCs w:val="24"/>
                <w:color w:val="auto"/>
              </w:rPr>
            </w:pPr>
          </w:p>
        </w:tc>
        <w:tc>
          <w:tcPr>
            <w:tcW w:w="2540" w:type="dxa"/>
            <w:vAlign w:val="bottom"/>
            <w:gridSpan w:val="2"/>
          </w:tcPr>
          <w:p>
            <w:pPr>
              <w:jc w:val="center"/>
              <w:spacing w:after="0"/>
              <w:rPr>
                <w:sz w:val="20"/>
                <w:szCs w:val="20"/>
                <w:color w:val="auto"/>
              </w:rPr>
            </w:pPr>
            <w:r>
              <w:rPr>
                <w:rFonts w:ascii="Arial" w:cs="Arial" w:eastAsia="Arial" w:hAnsi="Arial"/>
                <w:sz w:val="18"/>
                <w:szCs w:val="18"/>
                <w:b w:val="1"/>
                <w:bCs w:val="1"/>
                <w:color w:val="auto"/>
              </w:rPr>
              <w:t>Delaware</w:t>
            </w:r>
          </w:p>
        </w:tc>
        <w:tc>
          <w:tcPr>
            <w:tcW w:w="6560" w:type="dxa"/>
            <w:vAlign w:val="bottom"/>
            <w:gridSpan w:val="4"/>
          </w:tcPr>
          <w:p>
            <w:pPr>
              <w:jc w:val="center"/>
              <w:ind w:left="2406"/>
              <w:spacing w:after="0"/>
              <w:rPr>
                <w:sz w:val="20"/>
                <w:szCs w:val="20"/>
                <w:color w:val="auto"/>
              </w:rPr>
            </w:pPr>
            <w:r>
              <w:rPr>
                <w:rFonts w:ascii="Arial" w:cs="Arial" w:eastAsia="Arial" w:hAnsi="Arial"/>
                <w:sz w:val="18"/>
                <w:szCs w:val="18"/>
                <w:b w:val="1"/>
                <w:bCs w:val="1"/>
                <w:color w:val="auto"/>
                <w:w w:val="99"/>
              </w:rPr>
              <w:t>32-0375147</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540" w:type="dxa"/>
            <w:vAlign w:val="bottom"/>
            <w:gridSpan w:val="2"/>
          </w:tcPr>
          <w:p>
            <w:pPr>
              <w:jc w:val="center"/>
              <w:spacing w:after="0" w:line="189" w:lineRule="exact"/>
              <w:rPr>
                <w:sz w:val="20"/>
                <w:szCs w:val="20"/>
                <w:color w:val="auto"/>
              </w:rPr>
            </w:pPr>
            <w:r>
              <w:rPr>
                <w:rFonts w:ascii="Arial" w:cs="Arial" w:eastAsia="Arial" w:hAnsi="Arial"/>
                <w:sz w:val="18"/>
                <w:szCs w:val="18"/>
                <w:color w:val="auto"/>
                <w:w w:val="99"/>
              </w:rPr>
              <w:t>(State or other jurisdiction of</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94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9"/>
              </w:rPr>
              <w:t>(I.R.S. employer</w:t>
            </w: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2540" w:type="dxa"/>
            <w:vAlign w:val="bottom"/>
            <w:gridSpan w:val="2"/>
          </w:tcPr>
          <w:p>
            <w:pPr>
              <w:jc w:val="center"/>
              <w:spacing w:after="0"/>
              <w:rPr>
                <w:sz w:val="20"/>
                <w:szCs w:val="20"/>
                <w:color w:val="auto"/>
              </w:rPr>
            </w:pPr>
            <w:r>
              <w:rPr>
                <w:rFonts w:ascii="Arial" w:cs="Arial" w:eastAsia="Arial" w:hAnsi="Arial"/>
                <w:sz w:val="18"/>
                <w:szCs w:val="18"/>
                <w:color w:val="auto"/>
                <w:w w:val="99"/>
              </w:rPr>
              <w:t>incorporation or organization)</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940" w:type="dxa"/>
            <w:vAlign w:val="bottom"/>
          </w:tcPr>
          <w:p>
            <w:pPr>
              <w:jc w:val="center"/>
              <w:ind w:right="10"/>
              <w:spacing w:after="0"/>
              <w:rPr>
                <w:sz w:val="20"/>
                <w:szCs w:val="20"/>
                <w:color w:val="auto"/>
              </w:rPr>
            </w:pPr>
            <w:r>
              <w:rPr>
                <w:rFonts w:ascii="Arial" w:cs="Arial" w:eastAsia="Arial" w:hAnsi="Arial"/>
                <w:sz w:val="18"/>
                <w:szCs w:val="18"/>
                <w:color w:val="auto"/>
                <w:w w:val="99"/>
              </w:rPr>
              <w:t>identification number)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-1319530</wp:posOffset>
            </wp:positionV>
            <wp:extent cx="1285875" cy="2146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5875" cy="214630"/>
                    </a:xfrm>
                    <a:prstGeom prst="rect">
                      <a:avLst/>
                    </a:prstGeom>
                    <a:noFill/>
                  </pic:spPr>
                </pic:pic>
              </a:graphicData>
            </a:graphic>
          </wp:anchor>
        </w:drawing>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North Waukegan Road</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Chicago, Illinois 60064-6400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(847) 932-7900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of principal executive offices)</w:t>
      </w:r>
    </w:p>
    <w:p>
      <w:pPr>
        <w:spacing w:after="0" w:line="158" w:lineRule="exact"/>
        <w:rPr>
          <w:sz w:val="24"/>
          <w:szCs w:val="24"/>
          <w:color w:val="auto"/>
        </w:rPr>
      </w:pPr>
    </w:p>
    <w:p>
      <w:pPr>
        <w:ind w:left="5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4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Symbol(s)</w:t>
            </w:r>
          </w:p>
        </w:tc>
        <w:tc>
          <w:tcPr>
            <w:tcW w:w="440" w:type="dxa"/>
            <w:vAlign w:val="bottom"/>
          </w:tcPr>
          <w:p>
            <w:pPr>
              <w:spacing w:after="0"/>
              <w:rPr>
                <w:sz w:val="20"/>
                <w:szCs w:val="20"/>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3"/>
        </w:trPr>
        <w:tc>
          <w:tcPr>
            <w:tcW w:w="444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Common Stock, par value $0.01 per share</w:t>
            </w:r>
          </w:p>
        </w:tc>
        <w:tc>
          <w:tcPr>
            <w:tcW w:w="246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ABBV</w:t>
            </w: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r>
        <w:trPr>
          <w:trHeight w:val="229"/>
        </w:trPr>
        <w:tc>
          <w:tcPr>
            <w:tcW w:w="4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rPr>
              <w:t>Chicago Stock Exchange</w:t>
            </w:r>
          </w:p>
        </w:tc>
      </w:tr>
      <w:tr>
        <w:trPr>
          <w:trHeight w:val="230"/>
        </w:trPr>
        <w:tc>
          <w:tcPr>
            <w:tcW w:w="444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0.500% Senior Notes due 2021</w:t>
            </w:r>
          </w:p>
        </w:tc>
        <w:tc>
          <w:tcPr>
            <w:tcW w:w="2460" w:type="dxa"/>
            <w:vAlign w:val="bottom"/>
            <w:gridSpan w:val="2"/>
          </w:tcPr>
          <w:p>
            <w:pPr>
              <w:jc w:val="center"/>
              <w:ind w:right="440"/>
              <w:spacing w:after="0"/>
              <w:rPr>
                <w:sz w:val="20"/>
                <w:szCs w:val="20"/>
                <w:color w:val="auto"/>
              </w:rPr>
            </w:pPr>
            <w:r>
              <w:rPr>
                <w:rFonts w:ascii="Arial" w:cs="Arial" w:eastAsia="Arial" w:hAnsi="Arial"/>
                <w:sz w:val="18"/>
                <w:szCs w:val="18"/>
                <w:color w:val="auto"/>
              </w:rPr>
              <w:t>ABBV21C</w:t>
            </w: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r>
        <w:trPr>
          <w:trHeight w:val="230"/>
        </w:trPr>
        <w:tc>
          <w:tcPr>
            <w:tcW w:w="444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1.500% Senior Notes due 2023</w:t>
            </w:r>
          </w:p>
        </w:tc>
        <w:tc>
          <w:tcPr>
            <w:tcW w:w="246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ABBV23B</w:t>
            </w: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r>
        <w:trPr>
          <w:trHeight w:val="230"/>
        </w:trPr>
        <w:tc>
          <w:tcPr>
            <w:tcW w:w="444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1.375% Senior Notes due 2024</w:t>
            </w:r>
          </w:p>
        </w:tc>
        <w:tc>
          <w:tcPr>
            <w:tcW w:w="246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ABBV24</w:t>
            </w: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r>
        <w:trPr>
          <w:trHeight w:val="229"/>
        </w:trPr>
        <w:tc>
          <w:tcPr>
            <w:tcW w:w="444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1.250% Senior Notes due 2024</w:t>
            </w:r>
          </w:p>
        </w:tc>
        <w:tc>
          <w:tcPr>
            <w:tcW w:w="246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ABBV24B</w:t>
            </w: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r>
        <w:trPr>
          <w:trHeight w:val="230"/>
        </w:trPr>
        <w:tc>
          <w:tcPr>
            <w:tcW w:w="444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0.750% Senior Notes due 2027</w:t>
            </w:r>
          </w:p>
        </w:tc>
        <w:tc>
          <w:tcPr>
            <w:tcW w:w="246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ABBV27</w:t>
            </w: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r>
        <w:trPr>
          <w:trHeight w:val="230"/>
        </w:trPr>
        <w:tc>
          <w:tcPr>
            <w:tcW w:w="444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2.125% Senior Notes due 2028</w:t>
            </w:r>
          </w:p>
        </w:tc>
        <w:tc>
          <w:tcPr>
            <w:tcW w:w="246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ABBV28</w:t>
            </w: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r>
        <w:trPr>
          <w:trHeight w:val="230"/>
        </w:trPr>
        <w:tc>
          <w:tcPr>
            <w:tcW w:w="444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2.625% Senior Notes due 2028</w:t>
            </w:r>
          </w:p>
        </w:tc>
        <w:tc>
          <w:tcPr>
            <w:tcW w:w="246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ABBV28B</w:t>
            </w: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r>
        <w:trPr>
          <w:trHeight w:val="229"/>
        </w:trPr>
        <w:tc>
          <w:tcPr>
            <w:tcW w:w="444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2.125% Senior Notes due 2029</w:t>
            </w:r>
          </w:p>
        </w:tc>
        <w:tc>
          <w:tcPr>
            <w:tcW w:w="246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ABBV29</w:t>
            </w: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r>
        <w:trPr>
          <w:trHeight w:val="230"/>
        </w:trPr>
        <w:tc>
          <w:tcPr>
            <w:tcW w:w="444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1.250% Senior Notes due 2031</w:t>
            </w:r>
          </w:p>
        </w:tc>
        <w:tc>
          <w:tcPr>
            <w:tcW w:w="246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ABBV31</w:t>
            </w: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107"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70" w:lineRule="exact"/>
        <w:rPr>
          <w:sz w:val="24"/>
          <w:szCs w:val="24"/>
          <w:color w:val="auto"/>
        </w:rPr>
      </w:pPr>
    </w:p>
    <w:p>
      <w:pPr>
        <w:ind w:left="5040"/>
        <w:spacing w:after="0" w:line="242" w:lineRule="exact"/>
        <w:tabs>
          <w:tab w:leader="none" w:pos="5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9"/>
          <w:szCs w:val="19"/>
          <w:color w:val="auto"/>
        </w:rPr>
        <w:t>☐</w:t>
      </w:r>
    </w:p>
    <w:p>
      <w:pPr>
        <w:spacing w:after="0" w:line="170"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w:t>
      </w:r>
    </w:p>
    <w:p>
      <w:pPr>
        <w:spacing w:after="0" w:line="70" w:lineRule="exact"/>
        <w:rPr>
          <w:sz w:val="24"/>
          <w:szCs w:val="24"/>
          <w:color w:val="auto"/>
        </w:rPr>
      </w:pPr>
    </w:p>
    <w:p>
      <w:pPr>
        <w:ind w:left="4920"/>
        <w:spacing w:after="0" w:line="242" w:lineRule="exact"/>
        <w:tabs>
          <w:tab w:leader="none" w:pos="5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9"/>
          <w:szCs w:val="19"/>
          <w:color w:val="auto"/>
        </w:rPr>
        <w:t>☒</w:t>
      </w:r>
    </w:p>
    <w:p>
      <w:pPr>
        <w:spacing w:after="0" w:line="170" w:lineRule="exact"/>
        <w:rPr>
          <w:sz w:val="24"/>
          <w:szCs w:val="24"/>
          <w:color w:val="auto"/>
        </w:rPr>
      </w:pPr>
    </w:p>
    <w:p>
      <w:pPr>
        <w:ind w:right="320" w:firstLine="486"/>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7" w:lineRule="exact"/>
        <w:rPr>
          <w:sz w:val="24"/>
          <w:szCs w:val="24"/>
          <w:color w:val="auto"/>
        </w:rPr>
      </w:pPr>
    </w:p>
    <w:p>
      <w:pPr>
        <w:ind w:left="4940"/>
        <w:spacing w:after="0" w:line="242" w:lineRule="exact"/>
        <w:tabs>
          <w:tab w:leader="none" w:pos="58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9"/>
          <w:szCs w:val="19"/>
          <w:color w:val="auto"/>
        </w:rPr>
        <w:t>☐</w:t>
      </w:r>
    </w:p>
    <w:p>
      <w:pPr>
        <w:spacing w:after="0" w:line="170" w:lineRule="exact"/>
        <w:rPr>
          <w:sz w:val="24"/>
          <w:szCs w:val="24"/>
          <w:color w:val="auto"/>
        </w:rPr>
      </w:pPr>
    </w:p>
    <w:p>
      <w:pPr>
        <w:ind w:right="100" w:firstLine="486"/>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47" w:lineRule="exact"/>
        <w:rPr>
          <w:sz w:val="24"/>
          <w:szCs w:val="24"/>
          <w:color w:val="auto"/>
        </w:rPr>
      </w:pPr>
    </w:p>
    <w:p>
      <w:pPr>
        <w:jc w:val="center"/>
        <w:spacing w:after="0" w:line="242" w:lineRule="exact"/>
        <w:tabs>
          <w:tab w:leader="none" w:pos="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9"/>
          <w:szCs w:val="19"/>
          <w:color w:val="auto"/>
        </w:rPr>
        <w:t>☐</w:t>
      </w:r>
    </w:p>
    <w:p>
      <w:pPr>
        <w:spacing w:after="0" w:line="211" w:lineRule="exact"/>
        <w:rPr>
          <w:sz w:val="24"/>
          <w:szCs w:val="24"/>
          <w:color w:val="auto"/>
        </w:rPr>
      </w:pPr>
    </w:p>
    <w:p>
      <w:pPr>
        <w:ind w:right="320" w:firstLine="486"/>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40"/>
          </w:cols>
          <w:pgMar w:left="320" w:top="1440" w:right="339" w:bottom="0" w:gutter="0" w:footer="0" w:header="0"/>
        </w:sectPr>
      </w:pPr>
    </w:p>
    <w:bookmarkStart w:id="1" w:name="page2"/>
    <w:bookmarkEnd w:id="1"/>
    <w:tbl>
      <w:tblPr>
        <w:tblLayout w:type="fixed"/>
        <w:tblInd w:w="1620" w:type="dxa"/>
        <w:tblCellMar>
          <w:top w:w="0" w:type="dxa"/>
          <w:left w:w="0" w:type="dxa"/>
          <w:bottom w:w="0" w:type="dxa"/>
          <w:right w:w="0" w:type="dxa"/>
        </w:tblCellMar>
      </w:tblPr>
      <w:tr>
        <w:trPr>
          <w:trHeight w:val="270"/>
        </w:trPr>
        <w:tc>
          <w:tcPr>
            <w:tcW w:w="4020" w:type="dxa"/>
            <w:vAlign w:val="bottom"/>
          </w:tcPr>
          <w:p>
            <w:pPr>
              <w:jc w:val="right"/>
              <w:ind w:right="1850"/>
              <w:spacing w:after="0" w:line="242" w:lineRule="exact"/>
              <w:rPr>
                <w:sz w:val="20"/>
                <w:szCs w:val="20"/>
                <w:color w:val="auto"/>
              </w:rPr>
            </w:pPr>
            <w:r>
              <w:rPr>
                <w:rFonts w:ascii="Arial" w:cs="Arial" w:eastAsia="Arial" w:hAnsi="Arial"/>
                <w:sz w:val="18"/>
                <w:szCs w:val="18"/>
                <w:color w:val="auto"/>
                <w:w w:val="97"/>
              </w:rPr>
              <w:t xml:space="preserve">Large Accelerated Filer </w:t>
            </w:r>
            <w:r>
              <w:rPr>
                <w:rFonts w:ascii="MS PGothic" w:cs="MS PGothic" w:eastAsia="MS PGothic" w:hAnsi="MS PGothic"/>
                <w:sz w:val="21"/>
                <w:szCs w:val="21"/>
                <w:color w:val="auto"/>
                <w:w w:val="97"/>
              </w:rPr>
              <w:t>☒</w:t>
            </w:r>
          </w:p>
        </w:tc>
        <w:tc>
          <w:tcPr>
            <w:tcW w:w="4300" w:type="dxa"/>
            <w:vAlign w:val="bottom"/>
          </w:tcPr>
          <w:p>
            <w:pPr>
              <w:jc w:val="right"/>
              <w:spacing w:after="0" w:line="242"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21"/>
                <w:szCs w:val="21"/>
                <w:color w:val="auto"/>
              </w:rPr>
              <w:t>☐</w:t>
            </w:r>
          </w:p>
        </w:tc>
      </w:tr>
      <w:tr>
        <w:trPr>
          <w:trHeight w:val="270"/>
        </w:trPr>
        <w:tc>
          <w:tcPr>
            <w:tcW w:w="4020" w:type="dxa"/>
            <w:vAlign w:val="bottom"/>
          </w:tcPr>
          <w:p>
            <w:pPr>
              <w:jc w:val="right"/>
              <w:ind w:right="1850"/>
              <w:spacing w:after="0" w:line="242"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21"/>
                <w:szCs w:val="21"/>
                <w:color w:val="auto"/>
              </w:rPr>
              <w:t>☐</w:t>
            </w:r>
          </w:p>
        </w:tc>
        <w:tc>
          <w:tcPr>
            <w:tcW w:w="4300" w:type="dxa"/>
            <w:vAlign w:val="bottom"/>
          </w:tcPr>
          <w:p>
            <w:pPr>
              <w:jc w:val="right"/>
              <w:spacing w:after="0" w:line="242"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21"/>
                <w:szCs w:val="21"/>
                <w:color w:val="auto"/>
              </w:rPr>
              <w:t>☐</w:t>
            </w:r>
          </w:p>
        </w:tc>
      </w:tr>
      <w:tr>
        <w:trPr>
          <w:trHeight w:val="338"/>
        </w:trPr>
        <w:tc>
          <w:tcPr>
            <w:tcW w:w="4020" w:type="dxa"/>
            <w:vAlign w:val="bottom"/>
          </w:tcPr>
          <w:p>
            <w:pPr>
              <w:spacing w:after="0"/>
              <w:rPr>
                <w:sz w:val="24"/>
                <w:szCs w:val="24"/>
                <w:color w:val="auto"/>
              </w:rPr>
            </w:pPr>
          </w:p>
        </w:tc>
        <w:tc>
          <w:tcPr>
            <w:tcW w:w="4300" w:type="dxa"/>
            <w:vAlign w:val="bottom"/>
          </w:tcPr>
          <w:p>
            <w:pPr>
              <w:jc w:val="right"/>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tc>
      </w:tr>
    </w:tbl>
    <w:p>
      <w:pPr>
        <w:spacing w:after="0" w:line="127" w:lineRule="exact"/>
        <w:rPr>
          <w:sz w:val="20"/>
          <w:szCs w:val="20"/>
          <w:color w:val="auto"/>
        </w:rPr>
      </w:pPr>
    </w:p>
    <w:p>
      <w:pPr>
        <w:ind w:right="520" w:firstLine="486"/>
        <w:spacing w:after="0" w:line="25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0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w:t>
      </w:r>
    </w:p>
    <w:p>
      <w:pPr>
        <w:spacing w:after="0" w:line="9" w:lineRule="exact"/>
        <w:rPr>
          <w:sz w:val="20"/>
          <w:szCs w:val="20"/>
          <w:color w:val="auto"/>
        </w:rPr>
      </w:pPr>
    </w:p>
    <w:p>
      <w:pPr>
        <w:ind w:right="560"/>
        <w:spacing w:after="0" w:line="254" w:lineRule="exact"/>
        <w:rPr>
          <w:sz w:val="20"/>
          <w:szCs w:val="20"/>
          <w:color w:val="auto"/>
        </w:rPr>
      </w:pPr>
      <w:r>
        <w:rPr>
          <w:rFonts w:ascii="Arial" w:cs="Arial" w:eastAsia="Arial" w:hAnsi="Arial"/>
          <w:sz w:val="18"/>
          <w:szCs w:val="18"/>
          <w:color w:val="auto"/>
        </w:rPr>
        <w:t xml:space="preserve">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1"/>
          <w:szCs w:val="21"/>
          <w:color w:val="auto"/>
        </w:rPr>
        <w:t>☒</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10" w:lineRule="exact"/>
        <w:rPr>
          <w:sz w:val="20"/>
          <w:szCs w:val="20"/>
          <w:color w:val="auto"/>
        </w:rPr>
      </w:pPr>
    </w:p>
    <w:p>
      <w:pPr>
        <w:ind w:left="4940"/>
        <w:spacing w:after="0" w:line="242" w:lineRule="exact"/>
        <w:tabs>
          <w:tab w:leader="none" w:pos="58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9"/>
          <w:szCs w:val="19"/>
          <w:color w:val="auto"/>
        </w:rPr>
        <w:t>☒</w:t>
      </w:r>
    </w:p>
    <w:p>
      <w:pPr>
        <w:spacing w:after="0" w:line="19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The aggregate market value of the 1,747,782,344 shares of voting stock held by non-affiliates of the registrant, computed by reference to the closing price as reported on the New York Stock Exchange, as of the last business day of AbbVie Inc.'s most recently completed second fiscal quarter (June 30, 2020), was $171,597,270,533. AbbVie has no non-voting common equity.</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Number of common shares outstanding as of January 31, 2021: 1,765,881,690</w:t>
      </w:r>
    </w:p>
    <w:p>
      <w:pPr>
        <w:spacing w:after="0" w:line="13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6" w:lineRule="exact"/>
        <w:rPr>
          <w:sz w:val="20"/>
          <w:szCs w:val="20"/>
          <w:color w:val="auto"/>
        </w:rPr>
      </w:pPr>
    </w:p>
    <w:p>
      <w:pPr>
        <w:ind w:right="260" w:firstLine="486"/>
        <w:spacing w:after="0" w:line="261" w:lineRule="auto"/>
        <w:rPr>
          <w:sz w:val="20"/>
          <w:szCs w:val="20"/>
          <w:color w:val="auto"/>
        </w:rPr>
      </w:pPr>
      <w:r>
        <w:rPr>
          <w:rFonts w:ascii="Arial" w:cs="Arial" w:eastAsia="Arial" w:hAnsi="Arial"/>
          <w:sz w:val="18"/>
          <w:szCs w:val="18"/>
          <w:color w:val="auto"/>
        </w:rPr>
        <w:t>Portions of the 2021 AbbVie Inc. Proxy Statement are incorporated by reference into Part III. The Definitive Proxy Statement will be filed on or about March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1086485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2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60" w:type="dxa"/>
            <w:vAlign w:val="bottom"/>
            <w:gridSpan w:val="7"/>
          </w:tcPr>
          <w:p>
            <w:pPr>
              <w:jc w:val="center"/>
              <w:ind w:right="2940"/>
              <w:spacing w:after="0"/>
              <w:rPr>
                <w:sz w:val="20"/>
                <w:szCs w:val="20"/>
                <w:color w:val="auto"/>
              </w:rPr>
            </w:pPr>
            <w:r>
              <w:rPr>
                <w:rFonts w:ascii="Arial" w:cs="Arial" w:eastAsia="Arial" w:hAnsi="Arial"/>
                <w:sz w:val="22"/>
                <w:szCs w:val="22"/>
                <w:b w:val="1"/>
                <w:bCs w:val="1"/>
                <w:color w:val="444867"/>
                <w:w w:val="99"/>
              </w:rPr>
              <w:t>ABBVIE INC.</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60" w:type="dxa"/>
            <w:vAlign w:val="bottom"/>
            <w:gridSpan w:val="7"/>
          </w:tcPr>
          <w:p>
            <w:pPr>
              <w:jc w:val="center"/>
              <w:ind w:right="2940"/>
              <w:spacing w:after="0"/>
              <w:rPr>
                <w:sz w:val="20"/>
                <w:szCs w:val="20"/>
                <w:color w:val="auto"/>
              </w:rPr>
            </w:pPr>
            <w:r>
              <w:rPr>
                <w:rFonts w:ascii="Arial" w:cs="Arial" w:eastAsia="Arial" w:hAnsi="Arial"/>
                <w:sz w:val="22"/>
                <w:szCs w:val="22"/>
                <w:b w:val="1"/>
                <w:bCs w:val="1"/>
                <w:color w:val="444867"/>
                <w:w w:val="97"/>
              </w:rPr>
              <w:t>FORM 10-K</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860" w:type="dxa"/>
            <w:vAlign w:val="bottom"/>
            <w:gridSpan w:val="8"/>
          </w:tcPr>
          <w:p>
            <w:pPr>
              <w:jc w:val="center"/>
              <w:ind w:right="1920"/>
              <w:spacing w:after="0"/>
              <w:rPr>
                <w:sz w:val="20"/>
                <w:szCs w:val="20"/>
                <w:color w:val="auto"/>
              </w:rPr>
            </w:pPr>
            <w:r>
              <w:rPr>
                <w:rFonts w:ascii="Arial" w:cs="Arial" w:eastAsia="Arial" w:hAnsi="Arial"/>
                <w:sz w:val="22"/>
                <w:szCs w:val="22"/>
                <w:b w:val="1"/>
                <w:bCs w:val="1"/>
                <w:color w:val="444867"/>
                <w:w w:val="98"/>
              </w:rPr>
              <w:t>FOR THE YEAR ENDED DECEMBER 31, 2020</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2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60" w:type="dxa"/>
            <w:vAlign w:val="bottom"/>
            <w:gridSpan w:val="7"/>
          </w:tcPr>
          <w:p>
            <w:pPr>
              <w:jc w:val="center"/>
              <w:ind w:right="2940"/>
              <w:spacing w:after="0"/>
              <w:rPr>
                <w:sz w:val="20"/>
                <w:szCs w:val="20"/>
                <w:color w:val="auto"/>
              </w:rPr>
            </w:pPr>
            <w:r>
              <w:rPr>
                <w:rFonts w:ascii="Arial" w:cs="Arial" w:eastAsia="Arial" w:hAnsi="Arial"/>
                <w:sz w:val="22"/>
                <w:szCs w:val="22"/>
                <w:b w:val="1"/>
                <w:bCs w:val="1"/>
                <w:color w:val="444867"/>
                <w:w w:val="97"/>
              </w:rPr>
              <w:t>TABLE OF CONTENTS</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ind w:left="60"/>
              <w:spacing w:after="0" w:line="205" w:lineRule="exact"/>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7"/>
        </w:trPr>
        <w:tc>
          <w:tcPr>
            <w:tcW w:w="2000" w:type="dxa"/>
            <w:vAlign w:val="bottom"/>
            <w:vMerge w:val="restart"/>
          </w:tcPr>
          <w:p>
            <w:pPr>
              <w:ind w:left="50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w:t>
              </w:r>
            </w:hyperlink>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ind w:left="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29"/>
        </w:trPr>
        <w:tc>
          <w:tcPr>
            <w:tcW w:w="200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500"/>
              <w:spacing w:after="0"/>
              <w:rPr>
                <w:sz w:val="20"/>
                <w:szCs w:val="20"/>
                <w:color w:val="auto"/>
              </w:rPr>
            </w:pPr>
            <w:r>
              <w:rPr>
                <w:rFonts w:ascii="Arial" w:cs="Arial" w:eastAsia="Arial" w:hAnsi="Arial"/>
                <w:sz w:val="18"/>
                <w:szCs w:val="18"/>
                <w:color w:val="auto"/>
              </w:rPr>
              <w:t>Item 1.</w:t>
            </w:r>
          </w:p>
        </w:tc>
        <w:tc>
          <w:tcPr>
            <w:tcW w:w="8020" w:type="dxa"/>
            <w:vAlign w:val="bottom"/>
            <w:gridSpan w:val="9"/>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BUSINESS</w:t>
              </w:r>
            </w:hyperlink>
          </w:p>
        </w:tc>
        <w:tc>
          <w:tcPr>
            <w:tcW w:w="1220" w:type="dxa"/>
            <w:vAlign w:val="bottom"/>
          </w:tcPr>
          <w:p>
            <w:pPr>
              <w:ind w:left="6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29"/>
        </w:trPr>
        <w:tc>
          <w:tcPr>
            <w:tcW w:w="2000" w:type="dxa"/>
            <w:vAlign w:val="bottom"/>
          </w:tcPr>
          <w:p>
            <w:pPr>
              <w:ind w:left="500"/>
              <w:spacing w:after="0"/>
              <w:rPr>
                <w:sz w:val="20"/>
                <w:szCs w:val="20"/>
                <w:color w:val="auto"/>
              </w:rPr>
            </w:pPr>
            <w:r>
              <w:rPr>
                <w:rFonts w:ascii="Arial" w:cs="Arial" w:eastAsia="Arial" w:hAnsi="Arial"/>
                <w:sz w:val="18"/>
                <w:szCs w:val="18"/>
                <w:color w:val="auto"/>
              </w:rPr>
              <w:t>Item 1A.</w:t>
            </w:r>
          </w:p>
        </w:tc>
        <w:tc>
          <w:tcPr>
            <w:tcW w:w="8020" w:type="dxa"/>
            <w:vAlign w:val="bottom"/>
            <w:gridSpan w:val="9"/>
          </w:tcPr>
          <w:p>
            <w:pPr>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RISK FACTORS</w:t>
              </w:r>
            </w:hyperlink>
          </w:p>
        </w:tc>
        <w:tc>
          <w:tcPr>
            <w:tcW w:w="1220" w:type="dxa"/>
            <w:vAlign w:val="bottom"/>
          </w:tcPr>
          <w:p>
            <w:pPr>
              <w:ind w:left="6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15</w:t>
              </w:r>
            </w:hyperlink>
          </w:p>
        </w:tc>
        <w:tc>
          <w:tcPr>
            <w:tcW w:w="0" w:type="dxa"/>
            <w:vAlign w:val="bottom"/>
          </w:tcPr>
          <w:p>
            <w:pPr>
              <w:spacing w:after="0"/>
              <w:rPr>
                <w:sz w:val="1"/>
                <w:szCs w:val="1"/>
                <w:color w:val="auto"/>
              </w:rPr>
            </w:pPr>
          </w:p>
        </w:tc>
      </w:tr>
      <w:tr>
        <w:trPr>
          <w:trHeight w:val="230"/>
        </w:trPr>
        <w:tc>
          <w:tcPr>
            <w:tcW w:w="2000" w:type="dxa"/>
            <w:vAlign w:val="bottom"/>
          </w:tcPr>
          <w:p>
            <w:pPr>
              <w:ind w:left="500"/>
              <w:spacing w:after="0"/>
              <w:rPr>
                <w:sz w:val="20"/>
                <w:szCs w:val="20"/>
                <w:color w:val="auto"/>
              </w:rPr>
            </w:pPr>
            <w:r>
              <w:rPr>
                <w:rFonts w:ascii="Arial" w:cs="Arial" w:eastAsia="Arial" w:hAnsi="Arial"/>
                <w:sz w:val="18"/>
                <w:szCs w:val="18"/>
                <w:color w:val="auto"/>
              </w:rPr>
              <w:t>Item 1B.</w:t>
            </w:r>
          </w:p>
        </w:tc>
        <w:tc>
          <w:tcPr>
            <w:tcW w:w="8020" w:type="dxa"/>
            <w:vAlign w:val="bottom"/>
            <w:gridSpan w:val="9"/>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UNRESOLVED STAFF COMMENTS</w:t>
              </w:r>
            </w:hyperlink>
          </w:p>
        </w:tc>
        <w:tc>
          <w:tcPr>
            <w:tcW w:w="1220" w:type="dxa"/>
            <w:vAlign w:val="bottom"/>
          </w:tcPr>
          <w:p>
            <w:pPr>
              <w:ind w:left="6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26</w:t>
              </w:r>
            </w:hyperlink>
          </w:p>
        </w:tc>
        <w:tc>
          <w:tcPr>
            <w:tcW w:w="0" w:type="dxa"/>
            <w:vAlign w:val="bottom"/>
          </w:tcPr>
          <w:p>
            <w:pPr>
              <w:spacing w:after="0"/>
              <w:rPr>
                <w:sz w:val="1"/>
                <w:szCs w:val="1"/>
                <w:color w:val="auto"/>
              </w:rPr>
            </w:pPr>
          </w:p>
        </w:tc>
      </w:tr>
      <w:tr>
        <w:trPr>
          <w:trHeight w:val="229"/>
        </w:trPr>
        <w:tc>
          <w:tcPr>
            <w:tcW w:w="2000" w:type="dxa"/>
            <w:vAlign w:val="bottom"/>
          </w:tcPr>
          <w:p>
            <w:pPr>
              <w:ind w:left="500"/>
              <w:spacing w:after="0"/>
              <w:rPr>
                <w:sz w:val="20"/>
                <w:szCs w:val="20"/>
                <w:color w:val="auto"/>
              </w:rPr>
            </w:pPr>
            <w:r>
              <w:rPr>
                <w:rFonts w:ascii="Arial" w:cs="Arial" w:eastAsia="Arial" w:hAnsi="Arial"/>
                <w:sz w:val="18"/>
                <w:szCs w:val="18"/>
                <w:color w:val="auto"/>
              </w:rPr>
              <w:t>Item 2.</w:t>
            </w:r>
          </w:p>
        </w:tc>
        <w:tc>
          <w:tcPr>
            <w:tcW w:w="8020" w:type="dxa"/>
            <w:vAlign w:val="bottom"/>
            <w:gridSpan w:val="9"/>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PROPERTIES</w:t>
              </w:r>
            </w:hyperlink>
          </w:p>
        </w:tc>
        <w:tc>
          <w:tcPr>
            <w:tcW w:w="1220" w:type="dxa"/>
            <w:vAlign w:val="bottom"/>
          </w:tcPr>
          <w:p>
            <w:pPr>
              <w:ind w:left="6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26</w:t>
              </w:r>
            </w:hyperlink>
          </w:p>
        </w:tc>
        <w:tc>
          <w:tcPr>
            <w:tcW w:w="0" w:type="dxa"/>
            <w:vAlign w:val="bottom"/>
          </w:tcPr>
          <w:p>
            <w:pPr>
              <w:spacing w:after="0"/>
              <w:rPr>
                <w:sz w:val="1"/>
                <w:szCs w:val="1"/>
                <w:color w:val="auto"/>
              </w:rPr>
            </w:pPr>
          </w:p>
        </w:tc>
      </w:tr>
      <w:tr>
        <w:trPr>
          <w:trHeight w:val="229"/>
        </w:trPr>
        <w:tc>
          <w:tcPr>
            <w:tcW w:w="2000" w:type="dxa"/>
            <w:vAlign w:val="bottom"/>
          </w:tcPr>
          <w:p>
            <w:pPr>
              <w:ind w:left="500"/>
              <w:spacing w:after="0"/>
              <w:rPr>
                <w:sz w:val="20"/>
                <w:szCs w:val="20"/>
                <w:color w:val="auto"/>
              </w:rPr>
            </w:pPr>
            <w:r>
              <w:rPr>
                <w:rFonts w:ascii="Arial" w:cs="Arial" w:eastAsia="Arial" w:hAnsi="Arial"/>
                <w:sz w:val="18"/>
                <w:szCs w:val="18"/>
                <w:color w:val="auto"/>
              </w:rPr>
              <w:t>Item 3.</w:t>
            </w:r>
          </w:p>
        </w:tc>
        <w:tc>
          <w:tcPr>
            <w:tcW w:w="8020" w:type="dxa"/>
            <w:vAlign w:val="bottom"/>
            <w:gridSpan w:val="9"/>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LEGAL PROCEEDINGS</w:t>
              </w:r>
            </w:hyperlink>
          </w:p>
        </w:tc>
        <w:tc>
          <w:tcPr>
            <w:tcW w:w="1220" w:type="dxa"/>
            <w:vAlign w:val="bottom"/>
          </w:tcPr>
          <w:p>
            <w:pPr>
              <w:ind w:left="6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27</w:t>
              </w:r>
            </w:hyperlink>
          </w:p>
        </w:tc>
        <w:tc>
          <w:tcPr>
            <w:tcW w:w="0" w:type="dxa"/>
            <w:vAlign w:val="bottom"/>
          </w:tcPr>
          <w:p>
            <w:pPr>
              <w:spacing w:after="0"/>
              <w:rPr>
                <w:sz w:val="1"/>
                <w:szCs w:val="1"/>
                <w:color w:val="auto"/>
              </w:rPr>
            </w:pPr>
          </w:p>
        </w:tc>
      </w:tr>
      <w:tr>
        <w:trPr>
          <w:trHeight w:val="230"/>
        </w:trPr>
        <w:tc>
          <w:tcPr>
            <w:tcW w:w="2000" w:type="dxa"/>
            <w:vAlign w:val="bottom"/>
          </w:tcPr>
          <w:p>
            <w:pPr>
              <w:ind w:left="500"/>
              <w:spacing w:after="0"/>
              <w:rPr>
                <w:sz w:val="20"/>
                <w:szCs w:val="20"/>
                <w:color w:val="auto"/>
              </w:rPr>
            </w:pPr>
            <w:r>
              <w:rPr>
                <w:rFonts w:ascii="Arial" w:cs="Arial" w:eastAsia="Arial" w:hAnsi="Arial"/>
                <w:sz w:val="18"/>
                <w:szCs w:val="18"/>
                <w:color w:val="auto"/>
              </w:rPr>
              <w:t>Item 4.</w:t>
            </w:r>
          </w:p>
        </w:tc>
        <w:tc>
          <w:tcPr>
            <w:tcW w:w="8020" w:type="dxa"/>
            <w:vAlign w:val="bottom"/>
            <w:gridSpan w:val="9"/>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MINE SAFETY DISCLOSURES</w:t>
              </w:r>
            </w:hyperlink>
          </w:p>
        </w:tc>
        <w:tc>
          <w:tcPr>
            <w:tcW w:w="1220" w:type="dxa"/>
            <w:vAlign w:val="bottom"/>
          </w:tcPr>
          <w:p>
            <w:pPr>
              <w:ind w:left="6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27</w:t>
              </w:r>
            </w:hyperlink>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8020" w:type="dxa"/>
            <w:vAlign w:val="bottom"/>
            <w:gridSpan w:val="9"/>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INFORMATION ABOUT OUR EXECUTIVE OFFICERS</w:t>
              </w:r>
            </w:hyperlink>
          </w:p>
        </w:tc>
        <w:tc>
          <w:tcPr>
            <w:tcW w:w="1220" w:type="dxa"/>
            <w:vAlign w:val="bottom"/>
          </w:tcPr>
          <w:p>
            <w:pPr>
              <w:ind w:left="6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28</w:t>
              </w:r>
            </w:hyperlink>
          </w:p>
        </w:tc>
        <w:tc>
          <w:tcPr>
            <w:tcW w:w="0" w:type="dxa"/>
            <w:vAlign w:val="bottom"/>
          </w:tcPr>
          <w:p>
            <w:pPr>
              <w:spacing w:after="0"/>
              <w:rPr>
                <w:sz w:val="1"/>
                <w:szCs w:val="1"/>
                <w:color w:val="auto"/>
              </w:rPr>
            </w:pPr>
          </w:p>
        </w:tc>
      </w:tr>
      <w:tr>
        <w:trPr>
          <w:trHeight w:val="486"/>
        </w:trPr>
        <w:tc>
          <w:tcPr>
            <w:tcW w:w="2000" w:type="dxa"/>
            <w:vAlign w:val="bottom"/>
          </w:tcPr>
          <w:p>
            <w:pPr>
              <w:ind w:left="500"/>
              <w:spacing w:after="0"/>
              <w:rPr>
                <w:rFonts w:ascii="Arial" w:cs="Arial" w:eastAsia="Arial" w:hAnsi="Arial"/>
                <w:sz w:val="18"/>
                <w:szCs w:val="18"/>
                <w:b w:val="1"/>
                <w:bCs w:val="1"/>
                <w:u w:val="single" w:color="auto"/>
                <w:color w:val="0000FF"/>
              </w:rPr>
            </w:pPr>
            <w:hyperlink w:anchor="page32">
              <w:r>
                <w:rPr>
                  <w:rFonts w:ascii="Arial" w:cs="Arial" w:eastAsia="Arial" w:hAnsi="Arial"/>
                  <w:sz w:val="18"/>
                  <w:szCs w:val="18"/>
                  <w:b w:val="1"/>
                  <w:bCs w:val="1"/>
                  <w:u w:val="single" w:color="auto"/>
                  <w:color w:val="0000FF"/>
                </w:rPr>
                <w:t>PART II</w:t>
              </w:r>
            </w:hyperlink>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500"/>
              <w:spacing w:after="0" w:line="189" w:lineRule="exact"/>
              <w:rPr>
                <w:sz w:val="20"/>
                <w:szCs w:val="20"/>
                <w:color w:val="auto"/>
              </w:rPr>
            </w:pPr>
            <w:r>
              <w:rPr>
                <w:rFonts w:ascii="Arial" w:cs="Arial" w:eastAsia="Arial" w:hAnsi="Arial"/>
                <w:sz w:val="18"/>
                <w:szCs w:val="18"/>
                <w:color w:val="auto"/>
              </w:rPr>
              <w:t>Item 5.</w:t>
            </w:r>
          </w:p>
        </w:tc>
        <w:tc>
          <w:tcPr>
            <w:tcW w:w="8020" w:type="dxa"/>
            <w:vAlign w:val="bottom"/>
            <w:gridSpan w:val="9"/>
          </w:tcPr>
          <w:p>
            <w:pPr>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MARKET FOR REGISTRANT’S COMMON EQUITY, RELATED STOCKHOLDER MATTERS AND</w:t>
              </w:r>
            </w:hyperlink>
          </w:p>
        </w:tc>
        <w:tc>
          <w:tcPr>
            <w:tcW w:w="1220" w:type="dxa"/>
            <w:vAlign w:val="bottom"/>
          </w:tcPr>
          <w:p>
            <w:pPr>
              <w:ind w:left="60"/>
              <w:spacing w:after="0" w:line="189" w:lineRule="exact"/>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30</w:t>
              </w:r>
            </w:hyperlink>
          </w:p>
        </w:tc>
        <w:tc>
          <w:tcPr>
            <w:tcW w:w="0" w:type="dxa"/>
            <w:vAlign w:val="bottom"/>
          </w:tcPr>
          <w:p>
            <w:pPr>
              <w:spacing w:after="0"/>
              <w:rPr>
                <w:sz w:val="1"/>
                <w:szCs w:val="1"/>
                <w:color w:val="auto"/>
              </w:rPr>
            </w:pPr>
          </w:p>
        </w:tc>
      </w:tr>
      <w:tr>
        <w:trPr>
          <w:trHeight w:val="156"/>
        </w:trPr>
        <w:tc>
          <w:tcPr>
            <w:tcW w:w="2000" w:type="dxa"/>
            <w:vAlign w:val="bottom"/>
          </w:tcPr>
          <w:p>
            <w:pPr>
              <w:spacing w:after="0"/>
              <w:rPr>
                <w:sz w:val="13"/>
                <w:szCs w:val="13"/>
                <w:color w:val="auto"/>
              </w:rPr>
            </w:pPr>
          </w:p>
        </w:tc>
        <w:tc>
          <w:tcPr>
            <w:tcW w:w="780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33">
              <w:r>
                <w:rPr>
                  <w:rFonts w:ascii="Arial" w:cs="Arial" w:eastAsia="Arial" w:hAnsi="Arial"/>
                  <w:sz w:val="18"/>
                  <w:szCs w:val="18"/>
                  <w:color w:val="0000FF"/>
                </w:rPr>
                <w:t>ISSUER PURCHASES OF EQUITY SECURITIES</w:t>
              </w:r>
            </w:hyperlink>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00" w:type="dxa"/>
            <w:vAlign w:val="bottom"/>
          </w:tcPr>
          <w:p>
            <w:pPr>
              <w:ind w:left="500"/>
              <w:spacing w:after="0"/>
              <w:rPr>
                <w:sz w:val="20"/>
                <w:szCs w:val="20"/>
                <w:color w:val="auto"/>
              </w:rPr>
            </w:pPr>
            <w:r>
              <w:rPr>
                <w:rFonts w:ascii="Arial" w:cs="Arial" w:eastAsia="Arial" w:hAnsi="Arial"/>
                <w:sz w:val="18"/>
                <w:szCs w:val="18"/>
                <w:color w:val="auto"/>
              </w:rPr>
              <w:t>Item 6.</w:t>
            </w:r>
          </w:p>
        </w:tc>
        <w:tc>
          <w:tcPr>
            <w:tcW w:w="3980" w:type="dxa"/>
            <w:vAlign w:val="bottom"/>
            <w:tcBorders>
              <w:top w:val="single" w:sz="8" w:color="0000FF"/>
            </w:tcBorders>
            <w:gridSpan w:val="4"/>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[RESERVED]</w:t>
              </w:r>
            </w:hyperlink>
          </w:p>
        </w:tc>
        <w:tc>
          <w:tcPr>
            <w:tcW w:w="4040" w:type="dxa"/>
            <w:vAlign w:val="bottom"/>
            <w:gridSpan w:val="5"/>
          </w:tcPr>
          <w:p>
            <w:pPr>
              <w:spacing w:after="0"/>
              <w:rPr>
                <w:sz w:val="21"/>
                <w:szCs w:val="21"/>
                <w:color w:val="auto"/>
              </w:rPr>
            </w:pPr>
          </w:p>
        </w:tc>
        <w:tc>
          <w:tcPr>
            <w:tcW w:w="1220" w:type="dxa"/>
            <w:vAlign w:val="bottom"/>
          </w:tcPr>
          <w:p>
            <w:pPr>
              <w:ind w:left="6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31</w:t>
              </w:r>
            </w:hyperlink>
          </w:p>
        </w:tc>
        <w:tc>
          <w:tcPr>
            <w:tcW w:w="0" w:type="dxa"/>
            <w:vAlign w:val="bottom"/>
          </w:tcPr>
          <w:p>
            <w:pPr>
              <w:spacing w:after="0"/>
              <w:rPr>
                <w:sz w:val="1"/>
                <w:szCs w:val="1"/>
                <w:color w:val="auto"/>
              </w:rPr>
            </w:pPr>
          </w:p>
        </w:tc>
      </w:tr>
      <w:tr>
        <w:trPr>
          <w:trHeight w:val="189"/>
        </w:trPr>
        <w:tc>
          <w:tcPr>
            <w:tcW w:w="2000" w:type="dxa"/>
            <w:vAlign w:val="bottom"/>
          </w:tcPr>
          <w:p>
            <w:pPr>
              <w:ind w:left="500"/>
              <w:spacing w:after="0" w:line="189" w:lineRule="exact"/>
              <w:rPr>
                <w:sz w:val="20"/>
                <w:szCs w:val="20"/>
                <w:color w:val="auto"/>
              </w:rPr>
            </w:pPr>
            <w:r>
              <w:rPr>
                <w:rFonts w:ascii="Arial" w:cs="Arial" w:eastAsia="Arial" w:hAnsi="Arial"/>
                <w:sz w:val="18"/>
                <w:szCs w:val="18"/>
                <w:color w:val="auto"/>
              </w:rPr>
              <w:t>Item 7.</w:t>
            </w:r>
          </w:p>
        </w:tc>
        <w:tc>
          <w:tcPr>
            <w:tcW w:w="8020" w:type="dxa"/>
            <w:vAlign w:val="bottom"/>
            <w:gridSpan w:val="9"/>
          </w:tcPr>
          <w:p>
            <w:pPr>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MANAGEMENT’S DISCUSSION AND ANALYSIS OF FINANCIAL CONDITION AND RESULTS OF</w:t>
              </w:r>
            </w:hyperlink>
          </w:p>
        </w:tc>
        <w:tc>
          <w:tcPr>
            <w:tcW w:w="1220" w:type="dxa"/>
            <w:vAlign w:val="bottom"/>
          </w:tcPr>
          <w:p>
            <w:pPr>
              <w:ind w:left="60"/>
              <w:spacing w:after="0" w:line="189" w:lineRule="exact"/>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32</w:t>
              </w:r>
            </w:hyperlink>
          </w:p>
        </w:tc>
        <w:tc>
          <w:tcPr>
            <w:tcW w:w="0" w:type="dxa"/>
            <w:vAlign w:val="bottom"/>
          </w:tcPr>
          <w:p>
            <w:pPr>
              <w:spacing w:after="0"/>
              <w:rPr>
                <w:sz w:val="1"/>
                <w:szCs w:val="1"/>
                <w:color w:val="auto"/>
              </w:rPr>
            </w:pPr>
          </w:p>
        </w:tc>
      </w:tr>
      <w:tr>
        <w:trPr>
          <w:trHeight w:val="156"/>
        </w:trPr>
        <w:tc>
          <w:tcPr>
            <w:tcW w:w="2000" w:type="dxa"/>
            <w:vAlign w:val="bottom"/>
          </w:tcPr>
          <w:p>
            <w:pPr>
              <w:spacing w:after="0"/>
              <w:rPr>
                <w:sz w:val="13"/>
                <w:szCs w:val="13"/>
                <w:color w:val="auto"/>
              </w:rPr>
            </w:pPr>
          </w:p>
        </w:tc>
        <w:tc>
          <w:tcPr>
            <w:tcW w:w="79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34">
              <w:r>
                <w:rPr>
                  <w:rFonts w:ascii="Arial" w:cs="Arial" w:eastAsia="Arial" w:hAnsi="Arial"/>
                  <w:sz w:val="18"/>
                  <w:szCs w:val="18"/>
                  <w:color w:val="0000FF"/>
                </w:rPr>
                <w:t>OPERATIONS</w:t>
              </w:r>
            </w:hyperlink>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0" w:type="dxa"/>
            <w:vAlign w:val="bottom"/>
          </w:tcPr>
          <w:p>
            <w:pPr>
              <w:ind w:left="500"/>
              <w:spacing w:after="0"/>
              <w:rPr>
                <w:sz w:val="20"/>
                <w:szCs w:val="20"/>
                <w:color w:val="auto"/>
              </w:rPr>
            </w:pPr>
            <w:r>
              <w:rPr>
                <w:rFonts w:ascii="Arial" w:cs="Arial" w:eastAsia="Arial" w:hAnsi="Arial"/>
                <w:sz w:val="18"/>
                <w:szCs w:val="18"/>
                <w:color w:val="auto"/>
              </w:rPr>
              <w:t>Item 7A.</w:t>
            </w:r>
          </w:p>
        </w:tc>
        <w:tc>
          <w:tcPr>
            <w:tcW w:w="8020" w:type="dxa"/>
            <w:vAlign w:val="bottom"/>
            <w:gridSpan w:val="9"/>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QUANTITATIVE AND QUALITATIVE DISCLOSURES ABOUT MARKET RISK</w:t>
              </w:r>
            </w:hyperlink>
          </w:p>
        </w:tc>
        <w:tc>
          <w:tcPr>
            <w:tcW w:w="1220" w:type="dxa"/>
            <w:vAlign w:val="bottom"/>
          </w:tcPr>
          <w:p>
            <w:pPr>
              <w:ind w:left="6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47</w:t>
              </w:r>
            </w:hyperlink>
          </w:p>
        </w:tc>
        <w:tc>
          <w:tcPr>
            <w:tcW w:w="0" w:type="dxa"/>
            <w:vAlign w:val="bottom"/>
          </w:tcPr>
          <w:p>
            <w:pPr>
              <w:spacing w:after="0"/>
              <w:rPr>
                <w:sz w:val="1"/>
                <w:szCs w:val="1"/>
                <w:color w:val="auto"/>
              </w:rPr>
            </w:pPr>
          </w:p>
        </w:tc>
      </w:tr>
      <w:tr>
        <w:trPr>
          <w:trHeight w:val="229"/>
        </w:trPr>
        <w:tc>
          <w:tcPr>
            <w:tcW w:w="2000" w:type="dxa"/>
            <w:vAlign w:val="bottom"/>
          </w:tcPr>
          <w:p>
            <w:pPr>
              <w:ind w:left="500"/>
              <w:spacing w:after="0"/>
              <w:rPr>
                <w:sz w:val="20"/>
                <w:szCs w:val="20"/>
                <w:color w:val="auto"/>
              </w:rPr>
            </w:pPr>
            <w:r>
              <w:rPr>
                <w:rFonts w:ascii="Arial" w:cs="Arial" w:eastAsia="Arial" w:hAnsi="Arial"/>
                <w:sz w:val="18"/>
                <w:szCs w:val="18"/>
                <w:color w:val="auto"/>
              </w:rPr>
              <w:t>Item 8.</w:t>
            </w:r>
          </w:p>
        </w:tc>
        <w:tc>
          <w:tcPr>
            <w:tcW w:w="8020" w:type="dxa"/>
            <w:vAlign w:val="bottom"/>
            <w:gridSpan w:val="9"/>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FINANCIAL STATEMENTS AND SUPPLEMENTARY DATA</w:t>
              </w:r>
            </w:hyperlink>
          </w:p>
        </w:tc>
        <w:tc>
          <w:tcPr>
            <w:tcW w:w="1220" w:type="dxa"/>
            <w:vAlign w:val="bottom"/>
          </w:tcPr>
          <w:p>
            <w:pPr>
              <w:ind w:left="6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48</w:t>
              </w:r>
            </w:hyperlink>
          </w:p>
        </w:tc>
        <w:tc>
          <w:tcPr>
            <w:tcW w:w="0" w:type="dxa"/>
            <w:vAlign w:val="bottom"/>
          </w:tcPr>
          <w:p>
            <w:pPr>
              <w:spacing w:after="0"/>
              <w:rPr>
                <w:sz w:val="1"/>
                <w:szCs w:val="1"/>
                <w:color w:val="auto"/>
              </w:rPr>
            </w:pPr>
          </w:p>
        </w:tc>
      </w:tr>
      <w:tr>
        <w:trPr>
          <w:trHeight w:val="189"/>
        </w:trPr>
        <w:tc>
          <w:tcPr>
            <w:tcW w:w="2000" w:type="dxa"/>
            <w:vAlign w:val="bottom"/>
          </w:tcPr>
          <w:p>
            <w:pPr>
              <w:ind w:left="500"/>
              <w:spacing w:after="0" w:line="189" w:lineRule="exact"/>
              <w:rPr>
                <w:sz w:val="20"/>
                <w:szCs w:val="20"/>
                <w:color w:val="auto"/>
              </w:rPr>
            </w:pPr>
            <w:r>
              <w:rPr>
                <w:rFonts w:ascii="Arial" w:cs="Arial" w:eastAsia="Arial" w:hAnsi="Arial"/>
                <w:sz w:val="18"/>
                <w:szCs w:val="18"/>
                <w:color w:val="auto"/>
              </w:rPr>
              <w:t>Item 9.</w:t>
            </w:r>
          </w:p>
        </w:tc>
        <w:tc>
          <w:tcPr>
            <w:tcW w:w="8020" w:type="dxa"/>
            <w:vAlign w:val="bottom"/>
            <w:gridSpan w:val="9"/>
          </w:tcPr>
          <w:p>
            <w:pPr>
              <w:spacing w:after="0" w:line="189" w:lineRule="exact"/>
              <w:rPr>
                <w:rFonts w:ascii="Arial" w:cs="Arial" w:eastAsia="Arial" w:hAnsi="Arial"/>
                <w:sz w:val="18"/>
                <w:szCs w:val="18"/>
                <w:color w:val="0000FF"/>
              </w:rPr>
            </w:pPr>
            <w:hyperlink w:anchor="page102">
              <w:r>
                <w:rPr>
                  <w:rFonts w:ascii="Arial" w:cs="Arial" w:eastAsia="Arial" w:hAnsi="Arial"/>
                  <w:sz w:val="18"/>
                  <w:szCs w:val="18"/>
                  <w:color w:val="0000FF"/>
                </w:rPr>
                <w:t>CHANGES IN AND DISAGREEMENTS WITH ACCOUNTANTS ON ACCOUNTING AND</w:t>
              </w:r>
            </w:hyperlink>
          </w:p>
        </w:tc>
        <w:tc>
          <w:tcPr>
            <w:tcW w:w="1220" w:type="dxa"/>
            <w:vAlign w:val="bottom"/>
          </w:tcPr>
          <w:p>
            <w:pPr>
              <w:ind w:left="60"/>
              <w:spacing w:after="0" w:line="189" w:lineRule="exact"/>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100</w:t>
              </w:r>
            </w:hyperlink>
          </w:p>
        </w:tc>
        <w:tc>
          <w:tcPr>
            <w:tcW w:w="0" w:type="dxa"/>
            <w:vAlign w:val="bottom"/>
          </w:tcPr>
          <w:p>
            <w:pPr>
              <w:spacing w:after="0"/>
              <w:rPr>
                <w:sz w:val="1"/>
                <w:szCs w:val="1"/>
                <w:color w:val="auto"/>
              </w:rPr>
            </w:pPr>
          </w:p>
        </w:tc>
      </w:tr>
      <w:tr>
        <w:trPr>
          <w:trHeight w:val="155"/>
        </w:trPr>
        <w:tc>
          <w:tcPr>
            <w:tcW w:w="2000" w:type="dxa"/>
            <w:vAlign w:val="bottom"/>
          </w:tcPr>
          <w:p>
            <w:pPr>
              <w:spacing w:after="0"/>
              <w:rPr>
                <w:sz w:val="13"/>
                <w:szCs w:val="13"/>
                <w:color w:val="auto"/>
              </w:rPr>
            </w:pPr>
          </w:p>
        </w:tc>
        <w:tc>
          <w:tcPr>
            <w:tcW w:w="21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w:anchor="page102">
              <w:r>
                <w:rPr>
                  <w:rFonts w:ascii="Arial" w:cs="Arial" w:eastAsia="Arial" w:hAnsi="Arial"/>
                  <w:sz w:val="18"/>
                  <w:szCs w:val="18"/>
                  <w:color w:val="0000FF"/>
                  <w:w w:val="99"/>
                </w:rPr>
                <w:t>FINANCIAL DISCLOSURE</w:t>
              </w:r>
            </w:hyperlink>
          </w:p>
        </w:tc>
        <w:tc>
          <w:tcPr>
            <w:tcW w:w="4920" w:type="dxa"/>
            <w:vAlign w:val="bottom"/>
            <w:tcBorders>
              <w:top w:val="single" w:sz="8" w:color="0000FF"/>
            </w:tcBorders>
            <w:gridSpan w:val="3"/>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3"/>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00" w:type="dxa"/>
            <w:vAlign w:val="bottom"/>
          </w:tcPr>
          <w:p>
            <w:pPr>
              <w:ind w:left="500"/>
              <w:spacing w:after="0"/>
              <w:rPr>
                <w:sz w:val="20"/>
                <w:szCs w:val="20"/>
                <w:color w:val="auto"/>
              </w:rPr>
            </w:pPr>
            <w:r>
              <w:rPr>
                <w:rFonts w:ascii="Arial" w:cs="Arial" w:eastAsia="Arial" w:hAnsi="Arial"/>
                <w:sz w:val="18"/>
                <w:szCs w:val="18"/>
                <w:color w:val="auto"/>
              </w:rPr>
              <w:t>Item 9A.</w:t>
            </w:r>
          </w:p>
        </w:tc>
        <w:tc>
          <w:tcPr>
            <w:tcW w:w="8020" w:type="dxa"/>
            <w:vAlign w:val="bottom"/>
            <w:gridSpan w:val="9"/>
          </w:tcPr>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CONTROLS AND PROCEDURES</w:t>
              </w:r>
            </w:hyperlink>
          </w:p>
        </w:tc>
        <w:tc>
          <w:tcPr>
            <w:tcW w:w="1220" w:type="dxa"/>
            <w:vAlign w:val="bottom"/>
          </w:tcPr>
          <w:p>
            <w:pPr>
              <w:ind w:left="60"/>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100</w:t>
              </w:r>
            </w:hyperlink>
          </w:p>
        </w:tc>
        <w:tc>
          <w:tcPr>
            <w:tcW w:w="0" w:type="dxa"/>
            <w:vAlign w:val="bottom"/>
          </w:tcPr>
          <w:p>
            <w:pPr>
              <w:spacing w:after="0"/>
              <w:rPr>
                <w:sz w:val="1"/>
                <w:szCs w:val="1"/>
                <w:color w:val="auto"/>
              </w:rPr>
            </w:pPr>
          </w:p>
        </w:tc>
      </w:tr>
      <w:tr>
        <w:trPr>
          <w:trHeight w:val="230"/>
        </w:trPr>
        <w:tc>
          <w:tcPr>
            <w:tcW w:w="2000" w:type="dxa"/>
            <w:vAlign w:val="bottom"/>
          </w:tcPr>
          <w:p>
            <w:pPr>
              <w:ind w:left="500"/>
              <w:spacing w:after="0"/>
              <w:rPr>
                <w:sz w:val="20"/>
                <w:szCs w:val="20"/>
                <w:color w:val="auto"/>
              </w:rPr>
            </w:pPr>
            <w:r>
              <w:rPr>
                <w:rFonts w:ascii="Arial" w:cs="Arial" w:eastAsia="Arial" w:hAnsi="Arial"/>
                <w:sz w:val="18"/>
                <w:szCs w:val="18"/>
                <w:color w:val="auto"/>
              </w:rPr>
              <w:t>Item 9B.</w:t>
            </w:r>
          </w:p>
        </w:tc>
        <w:tc>
          <w:tcPr>
            <w:tcW w:w="8020" w:type="dxa"/>
            <w:vAlign w:val="bottom"/>
            <w:gridSpan w:val="9"/>
          </w:tcPr>
          <w:p>
            <w:pPr>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OTHER INFORMATION</w:t>
              </w:r>
            </w:hyperlink>
          </w:p>
        </w:tc>
        <w:tc>
          <w:tcPr>
            <w:tcW w:w="1220" w:type="dxa"/>
            <w:vAlign w:val="bottom"/>
          </w:tcPr>
          <w:p>
            <w:pPr>
              <w:ind w:left="60"/>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102</w:t>
              </w:r>
            </w:hyperlink>
          </w:p>
        </w:tc>
        <w:tc>
          <w:tcPr>
            <w:tcW w:w="0" w:type="dxa"/>
            <w:vAlign w:val="bottom"/>
          </w:tcPr>
          <w:p>
            <w:pPr>
              <w:spacing w:after="0"/>
              <w:rPr>
                <w:sz w:val="1"/>
                <w:szCs w:val="1"/>
                <w:color w:val="auto"/>
              </w:rPr>
            </w:pPr>
          </w:p>
        </w:tc>
      </w:tr>
      <w:tr>
        <w:trPr>
          <w:trHeight w:val="486"/>
        </w:trPr>
        <w:tc>
          <w:tcPr>
            <w:tcW w:w="2000" w:type="dxa"/>
            <w:vAlign w:val="bottom"/>
          </w:tcPr>
          <w:p>
            <w:pPr>
              <w:ind w:left="500"/>
              <w:spacing w:after="0"/>
              <w:rPr>
                <w:rFonts w:ascii="Arial" w:cs="Arial" w:eastAsia="Arial" w:hAnsi="Arial"/>
                <w:sz w:val="18"/>
                <w:szCs w:val="18"/>
                <w:b w:val="1"/>
                <w:bCs w:val="1"/>
                <w:u w:val="single" w:color="auto"/>
                <w:color w:val="0000FF"/>
              </w:rPr>
            </w:pPr>
            <w:hyperlink w:anchor="page105">
              <w:r>
                <w:rPr>
                  <w:rFonts w:ascii="Arial" w:cs="Arial" w:eastAsia="Arial" w:hAnsi="Arial"/>
                  <w:sz w:val="18"/>
                  <w:szCs w:val="18"/>
                  <w:b w:val="1"/>
                  <w:bCs w:val="1"/>
                  <w:u w:val="single" w:color="auto"/>
                  <w:color w:val="0000FF"/>
                </w:rPr>
                <w:t>PART III</w:t>
              </w:r>
            </w:hyperlink>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500"/>
              <w:spacing w:after="0"/>
              <w:rPr>
                <w:sz w:val="20"/>
                <w:szCs w:val="20"/>
                <w:color w:val="auto"/>
              </w:rPr>
            </w:pPr>
            <w:r>
              <w:rPr>
                <w:rFonts w:ascii="Arial" w:cs="Arial" w:eastAsia="Arial" w:hAnsi="Arial"/>
                <w:sz w:val="18"/>
                <w:szCs w:val="18"/>
                <w:color w:val="auto"/>
              </w:rPr>
              <w:t>Item 10.</w:t>
            </w:r>
          </w:p>
        </w:tc>
        <w:tc>
          <w:tcPr>
            <w:tcW w:w="8020" w:type="dxa"/>
            <w:vAlign w:val="bottom"/>
            <w:gridSpan w:val="9"/>
          </w:tcPr>
          <w:p>
            <w:pPr>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DIRECTORS, EXECUTIVE OFFICERS AND CORPORATE GOVERNANCE</w:t>
              </w:r>
            </w:hyperlink>
          </w:p>
        </w:tc>
        <w:tc>
          <w:tcPr>
            <w:tcW w:w="1220" w:type="dxa"/>
            <w:vAlign w:val="bottom"/>
          </w:tcPr>
          <w:p>
            <w:pPr>
              <w:ind w:left="60"/>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103</w:t>
              </w:r>
            </w:hyperlink>
          </w:p>
        </w:tc>
        <w:tc>
          <w:tcPr>
            <w:tcW w:w="0" w:type="dxa"/>
            <w:vAlign w:val="bottom"/>
          </w:tcPr>
          <w:p>
            <w:pPr>
              <w:spacing w:after="0"/>
              <w:rPr>
                <w:sz w:val="1"/>
                <w:szCs w:val="1"/>
                <w:color w:val="auto"/>
              </w:rPr>
            </w:pPr>
          </w:p>
        </w:tc>
      </w:tr>
      <w:tr>
        <w:trPr>
          <w:trHeight w:val="230"/>
        </w:trPr>
        <w:tc>
          <w:tcPr>
            <w:tcW w:w="2000" w:type="dxa"/>
            <w:vAlign w:val="bottom"/>
          </w:tcPr>
          <w:p>
            <w:pPr>
              <w:ind w:left="500"/>
              <w:spacing w:after="0"/>
              <w:rPr>
                <w:sz w:val="20"/>
                <w:szCs w:val="20"/>
                <w:color w:val="auto"/>
              </w:rPr>
            </w:pPr>
            <w:r>
              <w:rPr>
                <w:rFonts w:ascii="Arial" w:cs="Arial" w:eastAsia="Arial" w:hAnsi="Arial"/>
                <w:sz w:val="18"/>
                <w:szCs w:val="18"/>
                <w:color w:val="auto"/>
              </w:rPr>
              <w:t>Item 11.</w:t>
            </w:r>
          </w:p>
        </w:tc>
        <w:tc>
          <w:tcPr>
            <w:tcW w:w="8020" w:type="dxa"/>
            <w:vAlign w:val="bottom"/>
            <w:gridSpan w:val="9"/>
          </w:tcPr>
          <w:p>
            <w:pPr>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EXECUTIVE COMPENSATION</w:t>
              </w:r>
            </w:hyperlink>
          </w:p>
        </w:tc>
        <w:tc>
          <w:tcPr>
            <w:tcW w:w="1220" w:type="dxa"/>
            <w:vAlign w:val="bottom"/>
          </w:tcPr>
          <w:p>
            <w:pPr>
              <w:ind w:left="60"/>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103</w:t>
              </w:r>
            </w:hyperlink>
          </w:p>
        </w:tc>
        <w:tc>
          <w:tcPr>
            <w:tcW w:w="0" w:type="dxa"/>
            <w:vAlign w:val="bottom"/>
          </w:tcPr>
          <w:p>
            <w:pPr>
              <w:spacing w:after="0"/>
              <w:rPr>
                <w:sz w:val="1"/>
                <w:szCs w:val="1"/>
                <w:color w:val="auto"/>
              </w:rPr>
            </w:pPr>
          </w:p>
        </w:tc>
      </w:tr>
      <w:tr>
        <w:trPr>
          <w:trHeight w:val="189"/>
        </w:trPr>
        <w:tc>
          <w:tcPr>
            <w:tcW w:w="2000" w:type="dxa"/>
            <w:vAlign w:val="bottom"/>
          </w:tcPr>
          <w:p>
            <w:pPr>
              <w:ind w:left="500"/>
              <w:spacing w:after="0" w:line="189" w:lineRule="exact"/>
              <w:rPr>
                <w:sz w:val="20"/>
                <w:szCs w:val="20"/>
                <w:color w:val="auto"/>
              </w:rPr>
            </w:pPr>
            <w:r>
              <w:rPr>
                <w:rFonts w:ascii="Arial" w:cs="Arial" w:eastAsia="Arial" w:hAnsi="Arial"/>
                <w:sz w:val="18"/>
                <w:szCs w:val="18"/>
                <w:color w:val="auto"/>
              </w:rPr>
              <w:t>Item 12.</w:t>
            </w:r>
          </w:p>
        </w:tc>
        <w:tc>
          <w:tcPr>
            <w:tcW w:w="8020" w:type="dxa"/>
            <w:vAlign w:val="bottom"/>
            <w:gridSpan w:val="9"/>
          </w:tcPr>
          <w:p>
            <w:pPr>
              <w:spacing w:after="0" w:line="189" w:lineRule="exact"/>
              <w:rPr>
                <w:rFonts w:ascii="Arial" w:cs="Arial" w:eastAsia="Arial" w:hAnsi="Arial"/>
                <w:sz w:val="18"/>
                <w:szCs w:val="18"/>
                <w:color w:val="0000FF"/>
              </w:rPr>
            </w:pPr>
            <w:hyperlink w:anchor="page106">
              <w:r>
                <w:rPr>
                  <w:rFonts w:ascii="Arial" w:cs="Arial" w:eastAsia="Arial" w:hAnsi="Arial"/>
                  <w:sz w:val="18"/>
                  <w:szCs w:val="18"/>
                  <w:color w:val="0000FF"/>
                </w:rPr>
                <w:t>SECURITY OWNERSHIP OF CERTAIN BENEFICIAL OWNERS AND MANAGEMENT AND</w:t>
              </w:r>
            </w:hyperlink>
          </w:p>
        </w:tc>
        <w:tc>
          <w:tcPr>
            <w:tcW w:w="1220" w:type="dxa"/>
            <w:vAlign w:val="bottom"/>
          </w:tcPr>
          <w:p>
            <w:pPr>
              <w:ind w:left="60"/>
              <w:spacing w:after="0" w:line="189" w:lineRule="exact"/>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104</w:t>
              </w:r>
            </w:hyperlink>
          </w:p>
        </w:tc>
        <w:tc>
          <w:tcPr>
            <w:tcW w:w="0" w:type="dxa"/>
            <w:vAlign w:val="bottom"/>
          </w:tcPr>
          <w:p>
            <w:pPr>
              <w:spacing w:after="0"/>
              <w:rPr>
                <w:sz w:val="1"/>
                <w:szCs w:val="1"/>
                <w:color w:val="auto"/>
              </w:rPr>
            </w:pPr>
          </w:p>
        </w:tc>
      </w:tr>
      <w:tr>
        <w:trPr>
          <w:trHeight w:val="155"/>
        </w:trPr>
        <w:tc>
          <w:tcPr>
            <w:tcW w:w="2000" w:type="dxa"/>
            <w:vAlign w:val="bottom"/>
          </w:tcPr>
          <w:p>
            <w:pPr>
              <w:spacing w:after="0"/>
              <w:rPr>
                <w:sz w:val="13"/>
                <w:szCs w:val="13"/>
                <w:color w:val="auto"/>
              </w:rPr>
            </w:pPr>
          </w:p>
        </w:tc>
        <w:tc>
          <w:tcPr>
            <w:tcW w:w="734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106">
              <w:r>
                <w:rPr>
                  <w:rFonts w:ascii="Arial" w:cs="Arial" w:eastAsia="Arial" w:hAnsi="Arial"/>
                  <w:sz w:val="18"/>
                  <w:szCs w:val="18"/>
                  <w:color w:val="0000FF"/>
                </w:rPr>
                <w:t>RELATED STOCKHOLDER MATTERS</w:t>
              </w:r>
            </w:hyperlink>
          </w:p>
        </w:tc>
        <w:tc>
          <w:tcPr>
            <w:tcW w:w="680" w:type="dxa"/>
            <w:vAlign w:val="bottom"/>
            <w:gridSpan w:val="3"/>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0" w:type="dxa"/>
            <w:vAlign w:val="bottom"/>
          </w:tcPr>
          <w:p>
            <w:pPr>
              <w:ind w:left="500"/>
              <w:spacing w:after="0"/>
              <w:rPr>
                <w:sz w:val="20"/>
                <w:szCs w:val="20"/>
                <w:color w:val="auto"/>
              </w:rPr>
            </w:pPr>
            <w:r>
              <w:rPr>
                <w:rFonts w:ascii="Arial" w:cs="Arial" w:eastAsia="Arial" w:hAnsi="Arial"/>
                <w:sz w:val="18"/>
                <w:szCs w:val="18"/>
                <w:color w:val="auto"/>
              </w:rPr>
              <w:t>Item 13.</w:t>
            </w:r>
          </w:p>
        </w:tc>
        <w:tc>
          <w:tcPr>
            <w:tcW w:w="8020" w:type="dxa"/>
            <w:vAlign w:val="bottom"/>
            <w:gridSpan w:val="9"/>
          </w:tcPr>
          <w:p>
            <w:pPr>
              <w:spacing w:after="0"/>
              <w:rPr>
                <w:rFonts w:ascii="Arial" w:cs="Arial" w:eastAsia="Arial" w:hAnsi="Arial"/>
                <w:sz w:val="18"/>
                <w:szCs w:val="18"/>
                <w:u w:val="single" w:color="auto"/>
                <w:color w:val="0000FF"/>
                <w:w w:val="99"/>
              </w:rPr>
            </w:pPr>
            <w:hyperlink w:anchor="page107">
              <w:r>
                <w:rPr>
                  <w:rFonts w:ascii="Arial" w:cs="Arial" w:eastAsia="Arial" w:hAnsi="Arial"/>
                  <w:sz w:val="18"/>
                  <w:szCs w:val="18"/>
                  <w:u w:val="single" w:color="auto"/>
                  <w:color w:val="0000FF"/>
                  <w:w w:val="99"/>
                </w:rPr>
                <w:t>CERTAIN RELATIONSHIPS AND RELATED TRANSACTIONS, AND DIRECTOR INDEPENDENCE</w:t>
              </w:r>
            </w:hyperlink>
          </w:p>
        </w:tc>
        <w:tc>
          <w:tcPr>
            <w:tcW w:w="1220" w:type="dxa"/>
            <w:vAlign w:val="bottom"/>
          </w:tcPr>
          <w:p>
            <w:pPr>
              <w:ind w:left="60"/>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104</w:t>
              </w:r>
            </w:hyperlink>
          </w:p>
        </w:tc>
        <w:tc>
          <w:tcPr>
            <w:tcW w:w="0" w:type="dxa"/>
            <w:vAlign w:val="bottom"/>
          </w:tcPr>
          <w:p>
            <w:pPr>
              <w:spacing w:after="0"/>
              <w:rPr>
                <w:sz w:val="1"/>
                <w:szCs w:val="1"/>
                <w:color w:val="auto"/>
              </w:rPr>
            </w:pPr>
          </w:p>
        </w:tc>
      </w:tr>
      <w:tr>
        <w:trPr>
          <w:trHeight w:val="230"/>
        </w:trPr>
        <w:tc>
          <w:tcPr>
            <w:tcW w:w="2000" w:type="dxa"/>
            <w:vAlign w:val="bottom"/>
          </w:tcPr>
          <w:p>
            <w:pPr>
              <w:ind w:left="500"/>
              <w:spacing w:after="0"/>
              <w:rPr>
                <w:sz w:val="20"/>
                <w:szCs w:val="20"/>
                <w:color w:val="auto"/>
              </w:rPr>
            </w:pPr>
            <w:r>
              <w:rPr>
                <w:rFonts w:ascii="Arial" w:cs="Arial" w:eastAsia="Arial" w:hAnsi="Arial"/>
                <w:sz w:val="18"/>
                <w:szCs w:val="18"/>
                <w:color w:val="auto"/>
              </w:rPr>
              <w:t>Item 14.</w:t>
            </w:r>
          </w:p>
        </w:tc>
        <w:tc>
          <w:tcPr>
            <w:tcW w:w="8020" w:type="dxa"/>
            <w:vAlign w:val="bottom"/>
            <w:gridSpan w:val="9"/>
          </w:tcPr>
          <w:p>
            <w:pPr>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PRINCIPAL ACCOUNTING FEES AND SERVICES</w:t>
              </w:r>
            </w:hyperlink>
          </w:p>
        </w:tc>
        <w:tc>
          <w:tcPr>
            <w:tcW w:w="1220" w:type="dxa"/>
            <w:vAlign w:val="bottom"/>
          </w:tcPr>
          <w:p>
            <w:pPr>
              <w:ind w:left="60"/>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104</w:t>
              </w:r>
            </w:hyperlink>
          </w:p>
        </w:tc>
        <w:tc>
          <w:tcPr>
            <w:tcW w:w="0" w:type="dxa"/>
            <w:vAlign w:val="bottom"/>
          </w:tcPr>
          <w:p>
            <w:pPr>
              <w:spacing w:after="0"/>
              <w:rPr>
                <w:sz w:val="1"/>
                <w:szCs w:val="1"/>
                <w:color w:val="auto"/>
              </w:rPr>
            </w:pPr>
          </w:p>
        </w:tc>
      </w:tr>
      <w:tr>
        <w:trPr>
          <w:trHeight w:val="486"/>
        </w:trPr>
        <w:tc>
          <w:tcPr>
            <w:tcW w:w="2000" w:type="dxa"/>
            <w:vAlign w:val="bottom"/>
          </w:tcPr>
          <w:p>
            <w:pPr>
              <w:ind w:left="500"/>
              <w:spacing w:after="0"/>
              <w:rPr>
                <w:rFonts w:ascii="Arial" w:cs="Arial" w:eastAsia="Arial" w:hAnsi="Arial"/>
                <w:sz w:val="18"/>
                <w:szCs w:val="18"/>
                <w:b w:val="1"/>
                <w:bCs w:val="1"/>
                <w:u w:val="single" w:color="auto"/>
                <w:color w:val="0000FF"/>
              </w:rPr>
            </w:pPr>
            <w:hyperlink w:anchor="page107">
              <w:r>
                <w:rPr>
                  <w:rFonts w:ascii="Arial" w:cs="Arial" w:eastAsia="Arial" w:hAnsi="Arial"/>
                  <w:sz w:val="18"/>
                  <w:szCs w:val="18"/>
                  <w:b w:val="1"/>
                  <w:bCs w:val="1"/>
                  <w:u w:val="single" w:color="auto"/>
                  <w:color w:val="0000FF"/>
                </w:rPr>
                <w:t>PART IV</w:t>
              </w:r>
            </w:hyperlink>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00" w:type="dxa"/>
            <w:vAlign w:val="bottom"/>
          </w:tcPr>
          <w:p>
            <w:pPr>
              <w:ind w:left="500"/>
              <w:spacing w:after="0"/>
              <w:rPr>
                <w:sz w:val="20"/>
                <w:szCs w:val="20"/>
                <w:color w:val="auto"/>
              </w:rPr>
            </w:pPr>
            <w:r>
              <w:rPr>
                <w:rFonts w:ascii="Arial" w:cs="Arial" w:eastAsia="Arial" w:hAnsi="Arial"/>
                <w:sz w:val="18"/>
                <w:szCs w:val="18"/>
                <w:color w:val="auto"/>
              </w:rPr>
              <w:t>Item 15.</w:t>
            </w:r>
          </w:p>
        </w:tc>
        <w:tc>
          <w:tcPr>
            <w:tcW w:w="8020" w:type="dxa"/>
            <w:vAlign w:val="bottom"/>
            <w:gridSpan w:val="9"/>
          </w:tcPr>
          <w:p>
            <w:pPr>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EXHIBITS, FINANCIAL STATEMENT SCHEDULES</w:t>
              </w:r>
            </w:hyperlink>
          </w:p>
        </w:tc>
        <w:tc>
          <w:tcPr>
            <w:tcW w:w="1220" w:type="dxa"/>
            <w:vAlign w:val="bottom"/>
          </w:tcPr>
          <w:p>
            <w:pPr>
              <w:ind w:left="60"/>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105</w:t>
              </w:r>
            </w:hyperlink>
          </w:p>
        </w:tc>
        <w:tc>
          <w:tcPr>
            <w:tcW w:w="0" w:type="dxa"/>
            <w:vAlign w:val="bottom"/>
          </w:tcPr>
          <w:p>
            <w:pPr>
              <w:spacing w:after="0"/>
              <w:rPr>
                <w:sz w:val="1"/>
                <w:szCs w:val="1"/>
                <w:color w:val="auto"/>
              </w:rPr>
            </w:pPr>
          </w:p>
        </w:tc>
      </w:tr>
      <w:tr>
        <w:trPr>
          <w:trHeight w:val="230"/>
        </w:trPr>
        <w:tc>
          <w:tcPr>
            <w:tcW w:w="2000" w:type="dxa"/>
            <w:vAlign w:val="bottom"/>
          </w:tcPr>
          <w:p>
            <w:pPr>
              <w:ind w:left="500"/>
              <w:spacing w:after="0"/>
              <w:rPr>
                <w:sz w:val="20"/>
                <w:szCs w:val="20"/>
                <w:color w:val="auto"/>
              </w:rPr>
            </w:pPr>
            <w:r>
              <w:rPr>
                <w:rFonts w:ascii="Arial" w:cs="Arial" w:eastAsia="Arial" w:hAnsi="Arial"/>
                <w:sz w:val="18"/>
                <w:szCs w:val="18"/>
                <w:color w:val="auto"/>
              </w:rPr>
              <w:t>Item 16.</w:t>
            </w:r>
          </w:p>
        </w:tc>
        <w:tc>
          <w:tcPr>
            <w:tcW w:w="8020" w:type="dxa"/>
            <w:vAlign w:val="bottom"/>
            <w:gridSpan w:val="9"/>
          </w:tcPr>
          <w:p>
            <w:pPr>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FORM 10-K SUMMARY</w:t>
              </w:r>
            </w:hyperlink>
          </w:p>
        </w:tc>
        <w:tc>
          <w:tcPr>
            <w:tcW w:w="1220" w:type="dxa"/>
            <w:vAlign w:val="bottom"/>
          </w:tcPr>
          <w:p>
            <w:pPr>
              <w:ind w:left="60"/>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109</w:t>
              </w:r>
            </w:hyperlink>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8020" w:type="dxa"/>
            <w:vAlign w:val="bottom"/>
            <w:gridSpan w:val="9"/>
          </w:tcPr>
          <w:p>
            <w:pPr>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SIGNATURES</w:t>
              </w:r>
            </w:hyperlink>
          </w:p>
        </w:tc>
        <w:tc>
          <w:tcPr>
            <w:tcW w:w="1220" w:type="dxa"/>
            <w:vAlign w:val="bottom"/>
          </w:tcPr>
          <w:p>
            <w:pPr>
              <w:ind w:left="60"/>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110</w:t>
              </w:r>
            </w:hyperlink>
          </w:p>
        </w:tc>
        <w:tc>
          <w:tcPr>
            <w:tcW w:w="0" w:type="dxa"/>
            <w:vAlign w:val="bottom"/>
          </w:tcPr>
          <w:p>
            <w:pPr>
              <w:spacing w:after="0"/>
              <w:rPr>
                <w:sz w:val="1"/>
                <w:szCs w:val="1"/>
                <w:color w:val="auto"/>
              </w:rPr>
            </w:pPr>
          </w:p>
        </w:tc>
      </w:tr>
      <w:tr>
        <w:trPr>
          <w:trHeight w:val="1613"/>
        </w:trPr>
        <w:tc>
          <w:tcPr>
            <w:tcW w:w="20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2"/>
          <w:szCs w:val="22"/>
          <w:b w:val="1"/>
          <w:bCs w:val="1"/>
          <w:color w:val="444867"/>
        </w:rPr>
        <w:t>PART I</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ITEM 1.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Overview</w:t>
      </w:r>
    </w:p>
    <w:p>
      <w:pPr>
        <w:spacing w:after="0" w:line="166" w:lineRule="exact"/>
        <w:rPr>
          <w:sz w:val="20"/>
          <w:szCs w:val="20"/>
          <w:color w:val="auto"/>
        </w:rPr>
      </w:pPr>
    </w:p>
    <w:p>
      <w:pPr>
        <w:ind w:right="20" w:firstLine="445"/>
        <w:spacing w:after="0" w:line="220" w:lineRule="auto"/>
        <w:rPr>
          <w:sz w:val="20"/>
          <w:szCs w:val="20"/>
          <w:color w:val="auto"/>
        </w:rPr>
      </w:pPr>
      <w:r>
        <w:rPr>
          <w:rFonts w:ascii="Arial" w:cs="Arial" w:eastAsia="Arial" w:hAnsi="Arial"/>
          <w:sz w:val="18"/>
          <w:szCs w:val="18"/>
          <w:color w:val="auto"/>
        </w:rPr>
        <w:t>AbbVie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is a global, research-based biopharmaceutical company. AbbVie uses its expertise, dedicated people and unique approach to innovation to develop and market advanced therapies that address some of the world’s most complex and serious diseases.</w:t>
      </w:r>
    </w:p>
    <w:p>
      <w:pPr>
        <w:spacing w:after="0" w:line="148"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On May 8, 2020, AbbVie completed the acquisition of Allergan plc (Allergan). The acquisition of Allergan creates a diversified biopharmaceutical company positioned for success with a comprehensive product portfolio that has leadership positions in key therapeutic areas of immunology, hematologic oncology, aesthetics, neuroscience, eye care and women's health. AbbVie's existing product portfolio and pipeline is enhanced with numerous Allergan assets and Allergan's product portfolio benefits from AbbVie's commercial strength, expertise and international infrastructure. See Note 5, "Licensing, Acquisitions and Other Arrangements—Acquisition of Allergan," to the Consolidated Financial Statements included under Item 8, "Financial Statements and Supplementary Data." Subsequent to the acquisition date, AbbVie's consolidated financial statements include the assets, liabilities, operating results and cash flows of Allergan.</w:t>
      </w:r>
    </w:p>
    <w:p>
      <w:pPr>
        <w:spacing w:after="0" w:line="139" w:lineRule="exact"/>
        <w:rPr>
          <w:sz w:val="20"/>
          <w:szCs w:val="20"/>
          <w:color w:val="auto"/>
        </w:rPr>
      </w:pPr>
    </w:p>
    <w:p>
      <w:pPr>
        <w:ind w:firstLine="405"/>
        <w:spacing w:after="0" w:line="291" w:lineRule="auto"/>
        <w:rPr>
          <w:sz w:val="20"/>
          <w:szCs w:val="20"/>
          <w:color w:val="auto"/>
        </w:rPr>
      </w:pPr>
      <w:r>
        <w:rPr>
          <w:rFonts w:ascii="Arial" w:cs="Arial" w:eastAsia="Arial" w:hAnsi="Arial"/>
          <w:sz w:val="17"/>
          <w:szCs w:val="17"/>
          <w:color w:val="auto"/>
        </w:rPr>
        <w:t>AbbVie was incorporated in Delaware on April 10, 2012. On January 1, 2013, AbbVie became an independent, publicly-traded company as a result of the distribution by Abbott Laboratories (Abbott) of 100% of the outstanding common stock of AbbVie to Abbott's shareholders.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Impact of the Coronavirus Disease 2019 (COVID-19)</w:t>
      </w:r>
    </w:p>
    <w:p>
      <w:pPr>
        <w:spacing w:after="0" w:line="180" w:lineRule="exact"/>
        <w:rPr>
          <w:sz w:val="20"/>
          <w:szCs w:val="20"/>
          <w:color w:val="auto"/>
        </w:rPr>
      </w:pPr>
    </w:p>
    <w:p>
      <w:pPr>
        <w:ind w:right="200" w:firstLine="445"/>
        <w:spacing w:after="0" w:line="252" w:lineRule="auto"/>
        <w:rPr>
          <w:sz w:val="20"/>
          <w:szCs w:val="20"/>
          <w:color w:val="auto"/>
        </w:rPr>
      </w:pPr>
      <w:r>
        <w:rPr>
          <w:rFonts w:ascii="Arial" w:cs="Arial" w:eastAsia="Arial" w:hAnsi="Arial"/>
          <w:sz w:val="18"/>
          <w:szCs w:val="18"/>
          <w:color w:val="auto"/>
        </w:rPr>
        <w:t>The novel coronavirus (COVID-19) pandemic continues to spread throughout the United States and around the world. In response to the growing public health crisis, AbbVie has partnered with global authorities to support the experimental use of multiple AbbVie assets to determine their efficacy in the treatment of COVID-19. AbbVie continues to closely manage manufacturing and supply chain resources around the world to help ensure that patients continue to receive an uninterrupted supply of their medicines. Clinical trial sites are being monitored locally to protect the safety of study participants, staff and employees. While the impact of COVID-19 on AbbVie's operations to date has not been material, AbbVie has experienced lower new patient starts across the therapeutic portfolio. AbbVie expects this matter could continue to negatively impact its results of operations throughout the duration of the outbreak. The extent to which COVID-19 may impact AbbVie's financial condition and results of operations remains uncertain.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Segments</w:t>
      </w:r>
    </w:p>
    <w:p>
      <w:pPr>
        <w:spacing w:after="0" w:line="166"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AbbVie operates as a single global business segment dedicated to the research and development, manufacturing, commercialization and sale of innovative medicines and therapies. This operating structure enables the Chief Executive Officer, as chief operating decision maker (CODM), to allocate resources and assess business performance on a global basis in order to achieve established long-term strategic goals. Consistent with this structure, a global research and development and supply chain organization is responsible for the discovery, development, manufacturing and supply of products. Commercial efforts that coordinate the marketing, sales and distribution of these products are organized by geographic region or therapeutic area. All of these activities are supported by a global corporate administrative staff. The determination of a single business segment is consistent with the consolidated financial information regularly reviewed by the CODM for purposes of assessing performance, allocating resources and planning and forecasting future periods. See Note 16, "Segment and Geographic Area Information" to the Consolidated Financial Statements included under Item 8, "Financial Statements and Supplementary Data" and the sales information related to AbbVie's key products and geographies included under 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0" w:lineRule="exact"/>
        <w:rPr>
          <w:sz w:val="20"/>
          <w:szCs w:val="20"/>
          <w:color w:val="auto"/>
        </w:rPr>
      </w:pPr>
    </w:p>
    <w:p>
      <w:pPr>
        <w:ind w:left="660" w:right="500" w:hanging="652"/>
        <w:spacing w:after="0" w:line="261" w:lineRule="auto"/>
        <w:tabs>
          <w:tab w:leader="none" w:pos="677"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used throughout the text of this report on Form 10-K, the terms "AbbVie" or "the company" refer to AbbVie Inc., a Delaware corporation, or AbbVie Inc. and its consolidated subsidiaries, as the context requires.</w:t>
      </w:r>
    </w:p>
    <w:p>
      <w:pPr>
        <w:spacing w:after="0" w:line="371"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1</w:t>
      </w:r>
      <w:r>
        <w:rPr>
          <w:sz w:val="20"/>
          <w:szCs w:val="20"/>
          <w:color w:val="auto"/>
        </w:rPr>
        <w:tab/>
      </w:r>
      <w:r>
        <w:rPr>
          <w:sz w:val="1"/>
          <w:szCs w:val="1"/>
          <w:color w:val="auto"/>
        </w:rPr>
        <w:drawing>
          <wp:inline distT="0" distB="0" distL="0" distR="0">
            <wp:extent cx="60007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444867"/>
        </w:rPr>
        <w:t>Products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AbbVie's portfolio of products includes a broad line of therapies that address some of the world's most complex and serious diseases.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444867"/>
        </w:rPr>
        <w:t xml:space="preserve">Immunology products. </w:t>
      </w:r>
      <w:r>
        <w:rPr>
          <w:rFonts w:ascii="Arial" w:cs="Arial" w:eastAsia="Arial" w:hAnsi="Arial"/>
          <w:sz w:val="18"/>
          <w:szCs w:val="18"/>
          <w:color w:val="000000"/>
        </w:rPr>
        <w:t>AbbVie maintains an extensive immunology portfolio across rheumatology, dermatology and gastroenterology.</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AbbVie's immunology products address unmet needs for patients with autoimmune diseases. These products are:</w:t>
      </w:r>
    </w:p>
    <w:p>
      <w:pPr>
        <w:spacing w:after="0" w:line="140" w:lineRule="exact"/>
        <w:rPr>
          <w:sz w:val="20"/>
          <w:szCs w:val="20"/>
          <w:color w:val="auto"/>
        </w:rPr>
      </w:pPr>
    </w:p>
    <w:p>
      <w:pPr>
        <w:ind w:left="260" w:right="160" w:firstLine="445"/>
        <w:spacing w:after="0" w:line="282" w:lineRule="auto"/>
        <w:rPr>
          <w:sz w:val="20"/>
          <w:szCs w:val="20"/>
          <w:color w:val="auto"/>
        </w:rPr>
      </w:pPr>
      <w:r>
        <w:rPr>
          <w:rFonts w:ascii="Arial" w:cs="Arial" w:eastAsia="Arial" w:hAnsi="Arial"/>
          <w:sz w:val="18"/>
          <w:szCs w:val="18"/>
          <w:i w:val="1"/>
          <w:iCs w:val="1"/>
          <w:color w:val="auto"/>
        </w:rPr>
        <w:t xml:space="preserve">Humira. </w:t>
      </w:r>
      <w:r>
        <w:rPr>
          <w:rFonts w:ascii="Arial" w:cs="Arial" w:eastAsia="Arial" w:hAnsi="Arial"/>
          <w:sz w:val="18"/>
          <w:szCs w:val="18"/>
          <w:color w:val="auto"/>
        </w:rPr>
        <w:t>Humira (adalimumab) is a biologic therapy administered as a subcutaneous injection. It is approved to treat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autoimmune diseases in the United States, Canada and Mexico (collectively, North America) and in the European Union:</w:t>
      </w:r>
    </w:p>
    <w:p>
      <w:pPr>
        <w:spacing w:after="0" w:line="127" w:lineRule="exact"/>
        <w:rPr>
          <w:sz w:val="20"/>
          <w:szCs w:val="20"/>
          <w:color w:val="auto"/>
        </w:rPr>
      </w:pPr>
    </w:p>
    <w:tbl>
      <w:tblPr>
        <w:tblLayout w:type="fixed"/>
        <w:tblInd w:w="260" w:type="dxa"/>
        <w:tblCellMar>
          <w:top w:w="0" w:type="dxa"/>
          <w:left w:w="0" w:type="dxa"/>
          <w:bottom w:w="0" w:type="dxa"/>
          <w:right w:w="0" w:type="dxa"/>
        </w:tblCellMar>
      </w:tblPr>
      <w:tr>
        <w:trPr>
          <w:trHeight w:val="189"/>
        </w:trPr>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Condition</w:t>
            </w:r>
          </w:p>
        </w:tc>
        <w:tc>
          <w:tcPr>
            <w:tcW w:w="53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Principal Markets</w:t>
            </w: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Rheumatoid arthritis (moderate to severe)</w:t>
            </w:r>
          </w:p>
        </w:tc>
        <w:tc>
          <w:tcPr>
            <w:tcW w:w="5360" w:type="dxa"/>
            <w:vAlign w:val="bottom"/>
          </w:tcPr>
          <w:p>
            <w:pPr>
              <w:ind w:left="560"/>
              <w:spacing w:after="0"/>
              <w:rPr>
                <w:sz w:val="20"/>
                <w:szCs w:val="20"/>
                <w:color w:val="auto"/>
              </w:rPr>
            </w:pPr>
            <w:r>
              <w:rPr>
                <w:rFonts w:ascii="Arial" w:cs="Arial" w:eastAsia="Arial" w:hAnsi="Arial"/>
                <w:sz w:val="18"/>
                <w:szCs w:val="18"/>
                <w:color w:val="auto"/>
              </w:rPr>
              <w:t>North America, European Union</w:t>
            </w: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Psoriatic arthritis</w:t>
            </w:r>
          </w:p>
        </w:tc>
        <w:tc>
          <w:tcPr>
            <w:tcW w:w="5360" w:type="dxa"/>
            <w:vAlign w:val="bottom"/>
          </w:tcPr>
          <w:p>
            <w:pPr>
              <w:ind w:left="560"/>
              <w:spacing w:after="0"/>
              <w:rPr>
                <w:sz w:val="20"/>
                <w:szCs w:val="20"/>
                <w:color w:val="auto"/>
              </w:rPr>
            </w:pPr>
            <w:r>
              <w:rPr>
                <w:rFonts w:ascii="Arial" w:cs="Arial" w:eastAsia="Arial" w:hAnsi="Arial"/>
                <w:sz w:val="18"/>
                <w:szCs w:val="18"/>
                <w:color w:val="auto"/>
              </w:rPr>
              <w:t>North America, European Union</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Ankylosing spondylitis</w:t>
            </w:r>
          </w:p>
        </w:tc>
        <w:tc>
          <w:tcPr>
            <w:tcW w:w="5360" w:type="dxa"/>
            <w:vAlign w:val="bottom"/>
          </w:tcPr>
          <w:p>
            <w:pPr>
              <w:ind w:left="560"/>
              <w:spacing w:after="0"/>
              <w:rPr>
                <w:sz w:val="20"/>
                <w:szCs w:val="20"/>
                <w:color w:val="auto"/>
              </w:rPr>
            </w:pPr>
            <w:r>
              <w:rPr>
                <w:rFonts w:ascii="Arial" w:cs="Arial" w:eastAsia="Arial" w:hAnsi="Arial"/>
                <w:sz w:val="18"/>
                <w:szCs w:val="18"/>
                <w:color w:val="auto"/>
              </w:rPr>
              <w:t>North America, European Union</w:t>
            </w: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Adult Crohn's disease (moderate to severe)</w:t>
            </w:r>
          </w:p>
        </w:tc>
        <w:tc>
          <w:tcPr>
            <w:tcW w:w="5360" w:type="dxa"/>
            <w:vAlign w:val="bottom"/>
          </w:tcPr>
          <w:p>
            <w:pPr>
              <w:ind w:left="560"/>
              <w:spacing w:after="0"/>
              <w:rPr>
                <w:sz w:val="20"/>
                <w:szCs w:val="20"/>
                <w:color w:val="auto"/>
              </w:rPr>
            </w:pPr>
            <w:r>
              <w:rPr>
                <w:rFonts w:ascii="Arial" w:cs="Arial" w:eastAsia="Arial" w:hAnsi="Arial"/>
                <w:sz w:val="18"/>
                <w:szCs w:val="18"/>
                <w:color w:val="auto"/>
              </w:rPr>
              <w:t>North America, European Union</w:t>
            </w: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Plaque psoriasis (moderate to severe chronic)</w:t>
            </w:r>
          </w:p>
        </w:tc>
        <w:tc>
          <w:tcPr>
            <w:tcW w:w="5360" w:type="dxa"/>
            <w:vAlign w:val="bottom"/>
          </w:tcPr>
          <w:p>
            <w:pPr>
              <w:ind w:left="560"/>
              <w:spacing w:after="0"/>
              <w:rPr>
                <w:sz w:val="20"/>
                <w:szCs w:val="20"/>
                <w:color w:val="auto"/>
              </w:rPr>
            </w:pPr>
            <w:r>
              <w:rPr>
                <w:rFonts w:ascii="Arial" w:cs="Arial" w:eastAsia="Arial" w:hAnsi="Arial"/>
                <w:sz w:val="18"/>
                <w:szCs w:val="18"/>
                <w:color w:val="auto"/>
              </w:rPr>
              <w:t>North America, European Union</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Juvenile idiopathic arthritis (moderate to severe polyarticular)</w:t>
            </w:r>
          </w:p>
        </w:tc>
        <w:tc>
          <w:tcPr>
            <w:tcW w:w="5360" w:type="dxa"/>
            <w:vAlign w:val="bottom"/>
          </w:tcPr>
          <w:p>
            <w:pPr>
              <w:ind w:left="560"/>
              <w:spacing w:after="0"/>
              <w:rPr>
                <w:sz w:val="20"/>
                <w:szCs w:val="20"/>
                <w:color w:val="auto"/>
              </w:rPr>
            </w:pPr>
            <w:r>
              <w:rPr>
                <w:rFonts w:ascii="Arial" w:cs="Arial" w:eastAsia="Arial" w:hAnsi="Arial"/>
                <w:sz w:val="18"/>
                <w:szCs w:val="18"/>
                <w:color w:val="auto"/>
              </w:rPr>
              <w:t>North America, European Union</w:t>
            </w: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Ulcerative colitis (moderate to severe)</w:t>
            </w:r>
          </w:p>
        </w:tc>
        <w:tc>
          <w:tcPr>
            <w:tcW w:w="5360" w:type="dxa"/>
            <w:vAlign w:val="bottom"/>
          </w:tcPr>
          <w:p>
            <w:pPr>
              <w:ind w:left="560"/>
              <w:spacing w:after="0"/>
              <w:rPr>
                <w:sz w:val="20"/>
                <w:szCs w:val="20"/>
                <w:color w:val="auto"/>
              </w:rPr>
            </w:pPr>
            <w:r>
              <w:rPr>
                <w:rFonts w:ascii="Arial" w:cs="Arial" w:eastAsia="Arial" w:hAnsi="Arial"/>
                <w:sz w:val="18"/>
                <w:szCs w:val="18"/>
                <w:color w:val="auto"/>
              </w:rPr>
              <w:t>North America, European Union</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Axial spondyloarthropathy</w:t>
            </w:r>
          </w:p>
        </w:tc>
        <w:tc>
          <w:tcPr>
            <w:tcW w:w="5360" w:type="dxa"/>
            <w:vAlign w:val="bottom"/>
          </w:tcPr>
          <w:p>
            <w:pPr>
              <w:ind w:left="560"/>
              <w:spacing w:after="0"/>
              <w:rPr>
                <w:sz w:val="20"/>
                <w:szCs w:val="20"/>
                <w:color w:val="auto"/>
              </w:rPr>
            </w:pPr>
            <w:r>
              <w:rPr>
                <w:rFonts w:ascii="Arial" w:cs="Arial" w:eastAsia="Arial" w:hAnsi="Arial"/>
                <w:sz w:val="18"/>
                <w:szCs w:val="18"/>
                <w:color w:val="auto"/>
              </w:rPr>
              <w:t>European Union</w:t>
            </w: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Pediatric Crohn's disease (moderate to severe)</w:t>
            </w:r>
          </w:p>
        </w:tc>
        <w:tc>
          <w:tcPr>
            <w:tcW w:w="5360" w:type="dxa"/>
            <w:vAlign w:val="bottom"/>
          </w:tcPr>
          <w:p>
            <w:pPr>
              <w:ind w:left="560"/>
              <w:spacing w:after="0"/>
              <w:rPr>
                <w:sz w:val="20"/>
                <w:szCs w:val="20"/>
                <w:color w:val="auto"/>
              </w:rPr>
            </w:pPr>
            <w:r>
              <w:rPr>
                <w:rFonts w:ascii="Arial" w:cs="Arial" w:eastAsia="Arial" w:hAnsi="Arial"/>
                <w:sz w:val="18"/>
                <w:szCs w:val="18"/>
                <w:color w:val="auto"/>
              </w:rPr>
              <w:t>North America, European Union</w:t>
            </w: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Hidradenitis suppurativa (moderate to severe)</w:t>
            </w:r>
          </w:p>
        </w:tc>
        <w:tc>
          <w:tcPr>
            <w:tcW w:w="5360" w:type="dxa"/>
            <w:vAlign w:val="bottom"/>
          </w:tcPr>
          <w:p>
            <w:pPr>
              <w:ind w:left="560"/>
              <w:spacing w:after="0"/>
              <w:rPr>
                <w:sz w:val="20"/>
                <w:szCs w:val="20"/>
                <w:color w:val="auto"/>
              </w:rPr>
            </w:pPr>
            <w:r>
              <w:rPr>
                <w:rFonts w:ascii="Arial" w:cs="Arial" w:eastAsia="Arial" w:hAnsi="Arial"/>
                <w:sz w:val="18"/>
                <w:szCs w:val="18"/>
                <w:color w:val="auto"/>
              </w:rPr>
              <w:t>North America, European Union</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Pediatric enthesitis-related arthritis</w:t>
            </w:r>
          </w:p>
        </w:tc>
        <w:tc>
          <w:tcPr>
            <w:tcW w:w="5360" w:type="dxa"/>
            <w:vAlign w:val="bottom"/>
          </w:tcPr>
          <w:p>
            <w:pPr>
              <w:ind w:left="560"/>
              <w:spacing w:after="0"/>
              <w:rPr>
                <w:sz w:val="20"/>
                <w:szCs w:val="20"/>
                <w:color w:val="auto"/>
              </w:rPr>
            </w:pPr>
            <w:r>
              <w:rPr>
                <w:rFonts w:ascii="Arial" w:cs="Arial" w:eastAsia="Arial" w:hAnsi="Arial"/>
                <w:sz w:val="18"/>
                <w:szCs w:val="18"/>
                <w:color w:val="auto"/>
              </w:rPr>
              <w:t>European Union</w:t>
            </w: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Non-infectious intermediate, posterior and panuveitis</w:t>
            </w:r>
          </w:p>
        </w:tc>
        <w:tc>
          <w:tcPr>
            <w:tcW w:w="5360" w:type="dxa"/>
            <w:vAlign w:val="bottom"/>
          </w:tcPr>
          <w:p>
            <w:pPr>
              <w:ind w:left="560"/>
              <w:spacing w:after="0"/>
              <w:rPr>
                <w:sz w:val="20"/>
                <w:szCs w:val="20"/>
                <w:color w:val="auto"/>
              </w:rPr>
            </w:pPr>
            <w:r>
              <w:rPr>
                <w:rFonts w:ascii="Arial" w:cs="Arial" w:eastAsia="Arial" w:hAnsi="Arial"/>
                <w:sz w:val="18"/>
                <w:szCs w:val="18"/>
                <w:color w:val="auto"/>
              </w:rPr>
              <w:t>North America, European Union</w:t>
            </w: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Pediatric ulcerative colitis (moderate to severe)</w:t>
            </w:r>
          </w:p>
        </w:tc>
        <w:tc>
          <w:tcPr>
            <w:tcW w:w="5360" w:type="dxa"/>
            <w:vAlign w:val="bottom"/>
          </w:tcPr>
          <w:p>
            <w:pPr>
              <w:ind w:left="560"/>
              <w:spacing w:after="0"/>
              <w:rPr>
                <w:sz w:val="20"/>
                <w:szCs w:val="20"/>
                <w:color w:val="auto"/>
              </w:rPr>
            </w:pPr>
            <w:r>
              <w:rPr>
                <w:rFonts w:ascii="Arial" w:cs="Arial" w:eastAsia="Arial" w:hAnsi="Arial"/>
                <w:sz w:val="18"/>
                <w:szCs w:val="18"/>
                <w:color w:val="auto"/>
              </w:rPr>
              <w:t>European Union</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Pediatric uveitis</w:t>
            </w:r>
          </w:p>
        </w:tc>
        <w:tc>
          <w:tcPr>
            <w:tcW w:w="5360" w:type="dxa"/>
            <w:vAlign w:val="bottom"/>
          </w:tcPr>
          <w:p>
            <w:pPr>
              <w:ind w:left="560"/>
              <w:spacing w:after="0"/>
              <w:rPr>
                <w:sz w:val="20"/>
                <w:szCs w:val="20"/>
                <w:color w:val="auto"/>
              </w:rPr>
            </w:pPr>
            <w:r>
              <w:rPr>
                <w:rFonts w:ascii="Arial" w:cs="Arial" w:eastAsia="Arial" w:hAnsi="Arial"/>
                <w:sz w:val="18"/>
                <w:szCs w:val="18"/>
                <w:color w:val="auto"/>
              </w:rPr>
              <w:t>European Union</w:t>
            </w:r>
          </w:p>
        </w:tc>
      </w:tr>
    </w:tbl>
    <w:p>
      <w:pPr>
        <w:spacing w:after="0" w:line="14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Humira is also approved in Japan for the treatment of intestinal Behçet's disease and pyoderma gangrenosum.</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Humira is sold in numerous other markets worldwide, including Japan, China, Brazil and Australia, and accounted for approximately</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43% of AbbVie's total net revenues in 2020.</w:t>
      </w:r>
    </w:p>
    <w:p>
      <w:pPr>
        <w:spacing w:after="0" w:line="126" w:lineRule="exact"/>
        <w:rPr>
          <w:sz w:val="20"/>
          <w:szCs w:val="20"/>
          <w:color w:val="auto"/>
        </w:rPr>
      </w:pPr>
    </w:p>
    <w:p>
      <w:pPr>
        <w:ind w:left="260" w:right="120" w:firstLine="445"/>
        <w:spacing w:after="0" w:line="258" w:lineRule="auto"/>
        <w:rPr>
          <w:sz w:val="20"/>
          <w:szCs w:val="20"/>
          <w:color w:val="auto"/>
        </w:rPr>
      </w:pPr>
      <w:r>
        <w:rPr>
          <w:rFonts w:ascii="Arial" w:cs="Arial" w:eastAsia="Arial" w:hAnsi="Arial"/>
          <w:sz w:val="18"/>
          <w:szCs w:val="18"/>
          <w:i w:val="1"/>
          <w:iCs w:val="1"/>
          <w:color w:val="auto"/>
        </w:rPr>
        <w:t xml:space="preserve">Skyrizi. </w:t>
      </w:r>
      <w:r>
        <w:rPr>
          <w:rFonts w:ascii="Arial" w:cs="Arial" w:eastAsia="Arial" w:hAnsi="Arial"/>
          <w:sz w:val="18"/>
          <w:szCs w:val="18"/>
          <w:color w:val="auto"/>
        </w:rPr>
        <w:t>Skyrizi (risankizumab) is an interleukin-23 (IL-23) inhibitor that selectively blocks IL-23 by binding to its p19 subunit. It is a</w:t>
      </w:r>
      <w:r>
        <w:rPr>
          <w:rFonts w:ascii="Arial" w:cs="Arial" w:eastAsia="Arial" w:hAnsi="Arial"/>
          <w:sz w:val="18"/>
          <w:szCs w:val="18"/>
          <w:i w:val="1"/>
          <w:iCs w:val="1"/>
          <w:color w:val="auto"/>
        </w:rPr>
        <w:t xml:space="preserve"> </w:t>
      </w:r>
      <w:r>
        <w:rPr>
          <w:rFonts w:ascii="Arial" w:cs="Arial" w:eastAsia="Arial" w:hAnsi="Arial"/>
          <w:sz w:val="18"/>
          <w:szCs w:val="18"/>
          <w:color w:val="auto"/>
        </w:rPr>
        <w:t>biologic therapy administered as a quarterly subcutaneous injection following an induction dose. Skyrizi is approved in the United States, Canada and the European Union and is indicated for the treatment of moderate to severe plaque psoriasis in adults who are candidates for systemic therapy or phototherapy. In Japan, Skyrizi is approved for the treatment of plaque psoriasis, generalized pustular psoriasis, erythrodermic psoriasis and psoriatic arthritis in adult patients who have an inadequate response to conventional therapies.</w:t>
      </w:r>
    </w:p>
    <w:p>
      <w:pPr>
        <w:spacing w:after="0" w:line="116" w:lineRule="exact"/>
        <w:rPr>
          <w:sz w:val="20"/>
          <w:szCs w:val="20"/>
          <w:color w:val="auto"/>
        </w:rPr>
      </w:pPr>
    </w:p>
    <w:p>
      <w:pPr>
        <w:ind w:left="260" w:right="40" w:firstLine="445"/>
        <w:spacing w:after="0" w:line="255" w:lineRule="auto"/>
        <w:rPr>
          <w:sz w:val="20"/>
          <w:szCs w:val="20"/>
          <w:color w:val="auto"/>
        </w:rPr>
      </w:pPr>
      <w:r>
        <w:rPr>
          <w:rFonts w:ascii="Arial" w:cs="Arial" w:eastAsia="Arial" w:hAnsi="Arial"/>
          <w:sz w:val="18"/>
          <w:szCs w:val="18"/>
          <w:i w:val="1"/>
          <w:iCs w:val="1"/>
          <w:color w:val="auto"/>
        </w:rPr>
        <w:t>Rinvoq</w:t>
      </w:r>
      <w:r>
        <w:rPr>
          <w:rFonts w:ascii="Arial" w:cs="Arial" w:eastAsia="Arial" w:hAnsi="Arial"/>
          <w:sz w:val="18"/>
          <w:szCs w:val="18"/>
          <w:color w:val="auto"/>
        </w:rPr>
        <w:t>. Rinvoq (upadacitinib) is an oral, once-daily selective and reversible JAK inhibitor and is approved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Canada, Japan and the European Union. Rinvoq is indicated for the treatment of moderate to severe active rheumatoid arthritis in adult patients who have responded inadequately to, or who are intolerant to one or more disease-modifying anti-rheumatic drugs (DMARDs). Rinvoq is also approved in the European Union for the treatment of adult patients with active psoriatic arthritis and adult patients with active ankylosing spondylitis. Rinvoq may be used as monotherapy or in combination with methotrexate. Rinvoq is also indicated in Japan in patients with rheumatoid arthritis with inadequate response to conventional therapy (including inhibition of the progression of structural damage).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1042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w:t>
            </w:r>
          </w:p>
        </w:tc>
      </w:tr>
      <w:tr>
        <w:trPr>
          <w:trHeight w:val="196"/>
        </w:trPr>
        <w:tc>
          <w:tcPr>
            <w:tcW w:w="1042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-325120</wp:posOffset>
            </wp:positionV>
            <wp:extent cx="600075" cy="1111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075" cy="11112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i w:val="1"/>
          <w:iCs w:val="1"/>
          <w:color w:val="444867"/>
        </w:rPr>
        <w:t xml:space="preserve">Oncology products. </w:t>
      </w:r>
      <w:r>
        <w:rPr>
          <w:rFonts w:ascii="Arial" w:cs="Arial" w:eastAsia="Arial" w:hAnsi="Arial"/>
          <w:sz w:val="18"/>
          <w:szCs w:val="18"/>
          <w:color w:val="000000"/>
        </w:rPr>
        <w:t>AbbVie’s oncology products target some of the most complex and difficult-to-treat cancers. These products are:</w:t>
      </w:r>
    </w:p>
    <w:p>
      <w:pPr>
        <w:spacing w:after="0" w:line="148" w:lineRule="exact"/>
        <w:rPr>
          <w:sz w:val="20"/>
          <w:szCs w:val="20"/>
          <w:color w:val="auto"/>
        </w:rPr>
      </w:pPr>
    </w:p>
    <w:p>
      <w:pPr>
        <w:ind w:left="240" w:right="60" w:firstLine="445"/>
        <w:spacing w:after="0" w:line="261" w:lineRule="auto"/>
        <w:rPr>
          <w:sz w:val="20"/>
          <w:szCs w:val="20"/>
          <w:color w:val="auto"/>
        </w:rPr>
      </w:pPr>
      <w:r>
        <w:rPr>
          <w:rFonts w:ascii="Arial" w:cs="Arial" w:eastAsia="Arial" w:hAnsi="Arial"/>
          <w:sz w:val="18"/>
          <w:szCs w:val="18"/>
          <w:i w:val="1"/>
          <w:iCs w:val="1"/>
          <w:color w:val="auto"/>
        </w:rPr>
        <w:t xml:space="preserve">Imbruvica. </w:t>
      </w:r>
      <w:r>
        <w:rPr>
          <w:rFonts w:ascii="Arial" w:cs="Arial" w:eastAsia="Arial" w:hAnsi="Arial"/>
          <w:sz w:val="18"/>
          <w:szCs w:val="18"/>
          <w:color w:val="auto"/>
        </w:rPr>
        <w:t>Imbruvica (ibrutinib) is an oral, once-daily therapy that inhibits a protein called Bruton's tyrosine kinase (BTK). Imbruvica</w:t>
      </w:r>
      <w:r>
        <w:rPr>
          <w:rFonts w:ascii="Arial" w:cs="Arial" w:eastAsia="Arial" w:hAnsi="Arial"/>
          <w:sz w:val="18"/>
          <w:szCs w:val="18"/>
          <w:i w:val="1"/>
          <w:iCs w:val="1"/>
          <w:color w:val="auto"/>
        </w:rPr>
        <w:t xml:space="preserve"> </w:t>
      </w:r>
      <w:r>
        <w:rPr>
          <w:rFonts w:ascii="Arial" w:cs="Arial" w:eastAsia="Arial" w:hAnsi="Arial"/>
          <w:sz w:val="18"/>
          <w:szCs w:val="18"/>
          <w:color w:val="auto"/>
        </w:rPr>
        <w:t>was one of the first medicines to receive a United States Food and Drug Administration (FDA) approval after being granted a Breakthrough Therapy Designation and is one of the few therapies to receive four separate designations. Imbruvica currently is approved for the treatment of adult patients with:</w:t>
      </w:r>
    </w:p>
    <w:p>
      <w:pPr>
        <w:spacing w:after="0" w:line="130" w:lineRule="exact"/>
        <w:rPr>
          <w:sz w:val="20"/>
          <w:szCs w:val="20"/>
          <w:color w:val="auto"/>
        </w:rPr>
      </w:pPr>
    </w:p>
    <w:p>
      <w:pPr>
        <w:ind w:left="920" w:hanging="28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Chronic lymphocytic leukemia (CLL)/Small lymphocytic lymphoma (SLL) and CLL/SLL with 17p deletion;</w:t>
      </w:r>
    </w:p>
    <w:p>
      <w:pPr>
        <w:spacing w:after="0" w:line="157" w:lineRule="exact"/>
        <w:rPr>
          <w:rFonts w:ascii="Arial" w:cs="Arial" w:eastAsia="Arial" w:hAnsi="Arial"/>
          <w:sz w:val="18"/>
          <w:szCs w:val="18"/>
          <w:color w:val="auto"/>
        </w:rPr>
      </w:pPr>
    </w:p>
    <w:p>
      <w:pPr>
        <w:ind w:left="920" w:hanging="28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Mantle cell lymphoma (MCL) who have received at least one prior therapy*;</w:t>
      </w:r>
    </w:p>
    <w:p>
      <w:pPr>
        <w:spacing w:after="0" w:line="144" w:lineRule="exact"/>
        <w:rPr>
          <w:rFonts w:ascii="Arial" w:cs="Arial" w:eastAsia="Arial" w:hAnsi="Arial"/>
          <w:sz w:val="18"/>
          <w:szCs w:val="18"/>
          <w:color w:val="auto"/>
        </w:rPr>
      </w:pPr>
    </w:p>
    <w:p>
      <w:pPr>
        <w:ind w:left="920" w:hanging="28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Waldenström’s macroglobulinemia (WM);</w:t>
      </w:r>
    </w:p>
    <w:p>
      <w:pPr>
        <w:spacing w:after="0" w:line="157" w:lineRule="exact"/>
        <w:rPr>
          <w:rFonts w:ascii="Arial" w:cs="Arial" w:eastAsia="Arial" w:hAnsi="Arial"/>
          <w:sz w:val="18"/>
          <w:szCs w:val="18"/>
          <w:color w:val="auto"/>
        </w:rPr>
      </w:pPr>
    </w:p>
    <w:p>
      <w:pPr>
        <w:ind w:left="960" w:right="240" w:hanging="324"/>
        <w:spacing w:after="0" w:line="261" w:lineRule="auto"/>
        <w:tabs>
          <w:tab w:leader="none" w:pos="928"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Marginal zone lymphoma (MZL) who require systemic therapy and have received at least one prior anti-CD20-based therapy*; and</w:t>
      </w:r>
    </w:p>
    <w:p>
      <w:pPr>
        <w:spacing w:after="0" w:line="130" w:lineRule="exact"/>
        <w:rPr>
          <w:rFonts w:ascii="Arial" w:cs="Arial" w:eastAsia="Arial" w:hAnsi="Arial"/>
          <w:sz w:val="18"/>
          <w:szCs w:val="18"/>
          <w:color w:val="auto"/>
        </w:rPr>
      </w:pPr>
    </w:p>
    <w:p>
      <w:pPr>
        <w:ind w:left="920" w:hanging="28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Chronic graft versus host disease (cGVHD) after failure of one or more lines of systemic therapy.</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4" w:lineRule="exact"/>
        <w:rPr>
          <w:sz w:val="20"/>
          <w:szCs w:val="20"/>
          <w:color w:val="auto"/>
        </w:rPr>
      </w:pPr>
    </w:p>
    <w:p>
      <w:pPr>
        <w:ind w:left="640" w:right="200" w:hanging="128"/>
        <w:spacing w:after="0" w:line="261"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Accelerated approval was granted for this indication based on overall response rate. Continued approval for this indication may be contingent upon verification of clinical benefit in confirmatory trials.</w:t>
      </w:r>
    </w:p>
    <w:p>
      <w:pPr>
        <w:spacing w:after="0" w:line="112" w:lineRule="exact"/>
        <w:rPr>
          <w:sz w:val="20"/>
          <w:szCs w:val="20"/>
          <w:color w:val="auto"/>
        </w:rPr>
      </w:pPr>
    </w:p>
    <w:p>
      <w:pPr>
        <w:ind w:left="240" w:firstLine="445"/>
        <w:spacing w:after="0" w:line="242" w:lineRule="auto"/>
        <w:rPr>
          <w:sz w:val="20"/>
          <w:szCs w:val="20"/>
          <w:color w:val="auto"/>
        </w:rPr>
      </w:pPr>
      <w:r>
        <w:rPr>
          <w:rFonts w:ascii="Arial" w:cs="Arial" w:eastAsia="Arial" w:hAnsi="Arial"/>
          <w:sz w:val="18"/>
          <w:szCs w:val="18"/>
          <w:i w:val="1"/>
          <w:iCs w:val="1"/>
          <w:color w:val="auto"/>
        </w:rPr>
        <w:t xml:space="preserve">Venclexta/Venclyxto. </w:t>
      </w:r>
      <w:r>
        <w:rPr>
          <w:rFonts w:ascii="Arial" w:cs="Arial" w:eastAsia="Arial" w:hAnsi="Arial"/>
          <w:sz w:val="18"/>
          <w:szCs w:val="18"/>
          <w:color w:val="auto"/>
        </w:rPr>
        <w:t>Venclexta (venetoclax) is a BCL-2 inhibitor used to treat hematological malignancies. Venclexta is approved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FDA for adults with CLL or SLL. In addition, Venclexta is approved in combination with azacitidine, or decitabine, or low-dose cytarabine to treat adults with newly-diagnosed acute myeloid leukemia (AML) who are 75 years of age or older or have other medical conditions that prevent the use of standard chemotherapy. Venclyxto is approved in Europe for CLL in combination with obinutuzumab for patients with previously untreated CLL and in combination with rituximab in patients who have received at least one previous treatment.</w:t>
      </w:r>
    </w:p>
    <w:p>
      <w:pPr>
        <w:spacing w:after="0" w:line="100" w:lineRule="exact"/>
        <w:rPr>
          <w:sz w:val="20"/>
          <w:szCs w:val="20"/>
          <w:color w:val="auto"/>
        </w:rPr>
      </w:pPr>
    </w:p>
    <w:p>
      <w:pPr>
        <w:ind w:left="320" w:right="180"/>
        <w:spacing w:after="0" w:line="268" w:lineRule="auto"/>
        <w:rPr>
          <w:sz w:val="20"/>
          <w:szCs w:val="20"/>
          <w:color w:val="auto"/>
        </w:rPr>
      </w:pPr>
      <w:r>
        <w:rPr>
          <w:rFonts w:ascii="Arial" w:cs="Arial" w:eastAsia="Arial" w:hAnsi="Arial"/>
          <w:sz w:val="18"/>
          <w:szCs w:val="18"/>
          <w:b w:val="1"/>
          <w:bCs w:val="1"/>
          <w:i w:val="1"/>
          <w:iCs w:val="1"/>
          <w:color w:val="444867"/>
        </w:rPr>
        <w:t xml:space="preserve">Aesthetics products. </w:t>
      </w:r>
      <w:r>
        <w:rPr>
          <w:rFonts w:ascii="Arial" w:cs="Arial" w:eastAsia="Arial" w:hAnsi="Arial"/>
          <w:sz w:val="18"/>
          <w:szCs w:val="18"/>
          <w:color w:val="000000"/>
        </w:rPr>
        <w:t>AbbVie’s Allergan Aesthetics portfolio consists of toxins and dermal fillers, plastics and regenerative medicine,</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body contouring, and skincare products, which hold market-leading positions in the U.S. and in key markets around the world. In 2020, U.S. sales comprised approximately two-thirds of total global sales. These products are:</w:t>
      </w:r>
    </w:p>
    <w:p>
      <w:pPr>
        <w:spacing w:after="0" w:line="107" w:lineRule="exact"/>
        <w:rPr>
          <w:sz w:val="20"/>
          <w:szCs w:val="20"/>
          <w:color w:val="auto"/>
        </w:rPr>
      </w:pPr>
    </w:p>
    <w:p>
      <w:pPr>
        <w:ind w:left="240" w:firstLine="445"/>
        <w:spacing w:after="0" w:line="261" w:lineRule="auto"/>
        <w:rPr>
          <w:sz w:val="20"/>
          <w:szCs w:val="20"/>
          <w:color w:val="auto"/>
        </w:rPr>
      </w:pPr>
      <w:r>
        <w:rPr>
          <w:rFonts w:ascii="Arial" w:cs="Arial" w:eastAsia="Arial" w:hAnsi="Arial"/>
          <w:sz w:val="18"/>
          <w:szCs w:val="18"/>
          <w:i w:val="1"/>
          <w:iCs w:val="1"/>
          <w:color w:val="auto"/>
        </w:rPr>
        <w:t xml:space="preserve">Botox Cosmetic. </w:t>
      </w:r>
      <w:r>
        <w:rPr>
          <w:rFonts w:ascii="Arial" w:cs="Arial" w:eastAsia="Arial" w:hAnsi="Arial"/>
          <w:sz w:val="18"/>
          <w:szCs w:val="18"/>
          <w:color w:val="auto"/>
        </w:rPr>
        <w:t>Botox Cosmetic is an acetylcholine release inhibitor and a neuromuscular blocking agent indicated for temporary</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in the appearance of moderate to severe glabellar lines (frown lines between the eyebrows), moderate to severe crow's feet and forehead lines in adults. Having received its initial U.S. Food and Drug Administration (FDA) approval in 2002, Botox Cosmetic is now approved for use in all major markets around the world and has become one of the world’s most recognized and iconic brands.</w:t>
      </w:r>
    </w:p>
    <w:p>
      <w:pPr>
        <w:spacing w:after="0" w:line="126" w:lineRule="exact"/>
        <w:rPr>
          <w:sz w:val="20"/>
          <w:szCs w:val="20"/>
          <w:color w:val="auto"/>
        </w:rPr>
      </w:pPr>
    </w:p>
    <w:p>
      <w:pPr>
        <w:jc w:val="both"/>
        <w:ind w:left="240" w:right="580" w:firstLine="445"/>
        <w:spacing w:after="0" w:line="299" w:lineRule="auto"/>
        <w:rPr>
          <w:sz w:val="20"/>
          <w:szCs w:val="20"/>
          <w:color w:val="auto"/>
        </w:rPr>
      </w:pPr>
      <w:r>
        <w:rPr>
          <w:rFonts w:ascii="Arial" w:cs="Arial" w:eastAsia="Arial" w:hAnsi="Arial"/>
          <w:sz w:val="17"/>
          <w:szCs w:val="17"/>
          <w:i w:val="1"/>
          <w:iCs w:val="1"/>
          <w:color w:val="auto"/>
        </w:rPr>
        <w:t xml:space="preserve">Juvederm Collection. </w:t>
      </w:r>
      <w:r>
        <w:rPr>
          <w:rFonts w:ascii="Arial" w:cs="Arial" w:eastAsia="Arial" w:hAnsi="Arial"/>
          <w:sz w:val="18"/>
          <w:szCs w:val="18"/>
          <w:color w:val="auto"/>
        </w:rPr>
        <w:t>T</w:t>
      </w:r>
      <w:r>
        <w:rPr>
          <w:rFonts w:ascii="Arial" w:cs="Arial" w:eastAsia="Arial" w:hAnsi="Arial"/>
          <w:sz w:val="17"/>
          <w:szCs w:val="17"/>
          <w:color w:val="auto"/>
        </w:rPr>
        <w:t>he Juvederm Collection is a portfolio of hyaluronic acid-based dermal fillers with a variety of approved</w:t>
      </w:r>
      <w:r>
        <w:rPr>
          <w:rFonts w:ascii="Arial" w:cs="Arial" w:eastAsia="Arial" w:hAnsi="Arial"/>
          <w:sz w:val="17"/>
          <w:szCs w:val="17"/>
          <w:i w:val="1"/>
          <w:iCs w:val="1"/>
          <w:color w:val="auto"/>
        </w:rPr>
        <w:t xml:space="preserve"> </w:t>
      </w:r>
      <w:r>
        <w:rPr>
          <w:rFonts w:ascii="Arial" w:cs="Arial" w:eastAsia="Arial" w:hAnsi="Arial"/>
          <w:sz w:val="17"/>
          <w:szCs w:val="17"/>
          <w:color w:val="auto"/>
        </w:rPr>
        <w:t>indications in the U.S. and in all other major markets around the world to treat volume loss in the cheeks, chin, lips and lower face.</w:t>
      </w:r>
    </w:p>
    <w:p>
      <w:pPr>
        <w:spacing w:after="0" w:line="66" w:lineRule="exact"/>
        <w:rPr>
          <w:sz w:val="20"/>
          <w:szCs w:val="20"/>
          <w:color w:val="auto"/>
        </w:rPr>
      </w:pPr>
    </w:p>
    <w:p>
      <w:pPr>
        <w:ind w:left="240" w:right="460" w:firstLine="445"/>
        <w:spacing w:after="0" w:line="282" w:lineRule="auto"/>
        <w:rPr>
          <w:sz w:val="20"/>
          <w:szCs w:val="20"/>
          <w:color w:val="auto"/>
        </w:rPr>
      </w:pPr>
      <w:r>
        <w:rPr>
          <w:rFonts w:ascii="Arial" w:cs="Arial" w:eastAsia="Arial" w:hAnsi="Arial"/>
          <w:sz w:val="18"/>
          <w:szCs w:val="18"/>
          <w:i w:val="1"/>
          <w:iCs w:val="1"/>
          <w:color w:val="auto"/>
        </w:rPr>
        <w:t xml:space="preserve">Other aesthetics. </w:t>
      </w:r>
      <w:r>
        <w:rPr>
          <w:rFonts w:ascii="Arial" w:cs="Arial" w:eastAsia="Arial" w:hAnsi="Arial"/>
          <w:sz w:val="18"/>
          <w:szCs w:val="18"/>
          <w:color w:val="auto"/>
        </w:rPr>
        <w:t>Other aesthetics products include, but are not limited to, Coolsculpting body contouring technology, Alloderm</w:t>
      </w:r>
      <w:r>
        <w:rPr>
          <w:rFonts w:ascii="Arial" w:cs="Arial" w:eastAsia="Arial" w:hAnsi="Arial"/>
          <w:sz w:val="18"/>
          <w:szCs w:val="18"/>
          <w:i w:val="1"/>
          <w:iCs w:val="1"/>
          <w:color w:val="auto"/>
        </w:rPr>
        <w:t xml:space="preserve"> </w:t>
      </w:r>
      <w:r>
        <w:rPr>
          <w:rFonts w:ascii="Arial" w:cs="Arial" w:eastAsia="Arial" w:hAnsi="Arial"/>
          <w:sz w:val="18"/>
          <w:szCs w:val="18"/>
          <w:color w:val="auto"/>
        </w:rPr>
        <w:t>regenerative dermal tissue, Natrelle breast implants, the SkinMedica skincare line, and DiamondGlow.</w:t>
      </w:r>
    </w:p>
    <w:p>
      <w:pPr>
        <w:spacing w:after="0" w:line="90" w:lineRule="exact"/>
        <w:rPr>
          <w:sz w:val="20"/>
          <w:szCs w:val="20"/>
          <w:color w:val="auto"/>
        </w:rPr>
      </w:pPr>
    </w:p>
    <w:p>
      <w:pPr>
        <w:ind w:left="320" w:right="600"/>
        <w:spacing w:after="0" w:line="287" w:lineRule="auto"/>
        <w:rPr>
          <w:sz w:val="20"/>
          <w:szCs w:val="20"/>
          <w:color w:val="auto"/>
        </w:rPr>
      </w:pPr>
      <w:r>
        <w:rPr>
          <w:rFonts w:ascii="Arial" w:cs="Arial" w:eastAsia="Arial" w:hAnsi="Arial"/>
          <w:sz w:val="18"/>
          <w:szCs w:val="18"/>
          <w:b w:val="1"/>
          <w:bCs w:val="1"/>
          <w:i w:val="1"/>
          <w:iCs w:val="1"/>
          <w:color w:val="444867"/>
        </w:rPr>
        <w:t xml:space="preserve">Neuroscience products. </w:t>
      </w:r>
      <w:r>
        <w:rPr>
          <w:rFonts w:ascii="Arial" w:cs="Arial" w:eastAsia="Arial" w:hAnsi="Arial"/>
          <w:sz w:val="18"/>
          <w:szCs w:val="18"/>
          <w:color w:val="000000"/>
        </w:rPr>
        <w:t>AbbVie’s neuroscience products address some of the most difficult-to-treat neurologic diseases. These</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products are:</w:t>
      </w:r>
    </w:p>
    <w:p>
      <w:pPr>
        <w:spacing w:after="0" w:line="89" w:lineRule="exact"/>
        <w:rPr>
          <w:sz w:val="20"/>
          <w:szCs w:val="20"/>
          <w:color w:val="auto"/>
        </w:rPr>
      </w:pPr>
    </w:p>
    <w:p>
      <w:pPr>
        <w:ind w:left="240" w:right="80" w:firstLine="445"/>
        <w:spacing w:after="0" w:line="282" w:lineRule="auto"/>
        <w:rPr>
          <w:sz w:val="20"/>
          <w:szCs w:val="20"/>
          <w:color w:val="auto"/>
        </w:rPr>
      </w:pPr>
      <w:r>
        <w:rPr>
          <w:rFonts w:ascii="Arial" w:cs="Arial" w:eastAsia="Arial" w:hAnsi="Arial"/>
          <w:sz w:val="18"/>
          <w:szCs w:val="18"/>
          <w:i w:val="1"/>
          <w:iCs w:val="1"/>
          <w:color w:val="auto"/>
        </w:rPr>
        <w:t xml:space="preserve">Botox Therapeutic. </w:t>
      </w:r>
      <w:r>
        <w:rPr>
          <w:rFonts w:ascii="Arial" w:cs="Arial" w:eastAsia="Arial" w:hAnsi="Arial"/>
          <w:sz w:val="18"/>
          <w:szCs w:val="18"/>
          <w:color w:val="auto"/>
        </w:rPr>
        <w:t>Botox Therapeutic (onabotulinumtoxinA injection) is a neuromuscular blocking agent that is injected into muscle</w:t>
      </w:r>
      <w:r>
        <w:rPr>
          <w:rFonts w:ascii="Arial" w:cs="Arial" w:eastAsia="Arial" w:hAnsi="Arial"/>
          <w:sz w:val="18"/>
          <w:szCs w:val="18"/>
          <w:i w:val="1"/>
          <w:iCs w:val="1"/>
          <w:color w:val="auto"/>
        </w:rPr>
        <w:t xml:space="preserve"> </w:t>
      </w:r>
      <w:r>
        <w:rPr>
          <w:rFonts w:ascii="Arial" w:cs="Arial" w:eastAsia="Arial" w:hAnsi="Arial"/>
          <w:sz w:val="18"/>
          <w:szCs w:val="18"/>
          <w:color w:val="auto"/>
        </w:rPr>
        <w:t>tissue in treatment for the following indications in the United States:</w:t>
      </w:r>
    </w:p>
    <w:p>
      <w:pPr>
        <w:spacing w:after="0" w:line="99" w:lineRule="exact"/>
        <w:rPr>
          <w:sz w:val="20"/>
          <w:szCs w:val="20"/>
          <w:color w:val="auto"/>
        </w:rPr>
      </w:pPr>
    </w:p>
    <w:p>
      <w:pPr>
        <w:ind w:left="960" w:right="100" w:hanging="324"/>
        <w:spacing w:after="0" w:line="261" w:lineRule="auto"/>
        <w:tabs>
          <w:tab w:leader="none" w:pos="928"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treatment of overactive bladder with symptoms of urge urinary incontinence, urgency, and frequency, in adults who have an inadequate response to or are intolerant of an anticholinergic medication.</w:t>
      </w:r>
    </w:p>
    <w:p>
      <w:pPr>
        <w:spacing w:after="0" w:line="130" w:lineRule="exact"/>
        <w:rPr>
          <w:rFonts w:ascii="Arial" w:cs="Arial" w:eastAsia="Arial" w:hAnsi="Arial"/>
          <w:sz w:val="18"/>
          <w:szCs w:val="18"/>
          <w:color w:val="auto"/>
        </w:rPr>
      </w:pPr>
    </w:p>
    <w:p>
      <w:pPr>
        <w:ind w:left="960" w:right="340" w:hanging="324"/>
        <w:spacing w:after="0" w:line="291" w:lineRule="auto"/>
        <w:tabs>
          <w:tab w:leader="none" w:pos="928"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the treatment of urinary incontinence due to detrusor overactivity associated with a neurologic condition (e.g., spinal cord injury, multiple sclerosis) in adults who have an inadequate response to or are intolerant of an anticholinergic medication.</w:t>
      </w:r>
    </w:p>
    <w:p>
      <w:pPr>
        <w:spacing w:after="0" w:line="92" w:lineRule="exact"/>
        <w:rPr>
          <w:rFonts w:ascii="Arial" w:cs="Arial" w:eastAsia="Arial" w:hAnsi="Arial"/>
          <w:sz w:val="17"/>
          <w:szCs w:val="17"/>
          <w:color w:val="auto"/>
        </w:rPr>
      </w:pPr>
    </w:p>
    <w:p>
      <w:pPr>
        <w:ind w:left="960" w:right="220" w:hanging="324"/>
        <w:spacing w:after="0" w:line="261" w:lineRule="auto"/>
        <w:tabs>
          <w:tab w:leader="none" w:pos="928"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prophylaxis of headaches in adult patients with chronic migraine (≥ 15 days per month with headache lasting 4 hours a day or longer).</w:t>
      </w:r>
    </w:p>
    <w:p>
      <w:pPr>
        <w:spacing w:after="0" w:line="200" w:lineRule="exact"/>
        <w:rPr>
          <w:sz w:val="20"/>
          <w:szCs w:val="20"/>
          <w:color w:val="auto"/>
        </w:rPr>
      </w:pPr>
    </w:p>
    <w:p>
      <w:pPr>
        <w:spacing w:after="0" w:line="3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i w:val="1"/>
          <w:iCs w:val="1"/>
          <w:color w:val="auto"/>
        </w:rPr>
        <w:t>3</w:t>
      </w:r>
      <w:r>
        <w:rPr>
          <w:sz w:val="20"/>
          <w:szCs w:val="20"/>
          <w:color w:val="auto"/>
        </w:rPr>
        <w:tab/>
      </w:r>
      <w:r>
        <w:rPr>
          <w:sz w:val="1"/>
          <w:szCs w:val="1"/>
          <w:color w:val="auto"/>
        </w:rPr>
        <w:drawing>
          <wp:inline distT="0" distB="0" distL="0" distR="0">
            <wp:extent cx="600075" cy="1111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40" w:top="1075" w:right="379" w:bottom="1440" w:gutter="0" w:footer="0" w:header="0"/>
        </w:sectPr>
      </w:pPr>
    </w:p>
    <w:bookmarkStart w:id="6" w:name="page7"/>
    <w:bookmarkEnd w:id="6"/>
    <w:p>
      <w:pPr>
        <w:ind w:left="680" w:hanging="28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treatment of spasticity in patients 2 years of age and older.</w:t>
      </w:r>
    </w:p>
    <w:p>
      <w:pPr>
        <w:spacing w:after="0" w:line="144" w:lineRule="exact"/>
        <w:rPr>
          <w:rFonts w:ascii="Arial" w:cs="Arial" w:eastAsia="Arial" w:hAnsi="Arial"/>
          <w:sz w:val="18"/>
          <w:szCs w:val="18"/>
          <w:color w:val="auto"/>
        </w:rPr>
      </w:pPr>
    </w:p>
    <w:p>
      <w:pPr>
        <w:ind w:left="720" w:right="60" w:hanging="324"/>
        <w:spacing w:after="0" w:line="261" w:lineRule="auto"/>
        <w:tabs>
          <w:tab w:leader="none" w:pos="688"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treatment of adults with cervical dystonia to reduce the severity of abnormal head position and neck pain associated with cervical dystonia.</w:t>
      </w:r>
    </w:p>
    <w:p>
      <w:pPr>
        <w:spacing w:after="0" w:line="130" w:lineRule="exact"/>
        <w:rPr>
          <w:rFonts w:ascii="Arial" w:cs="Arial" w:eastAsia="Arial" w:hAnsi="Arial"/>
          <w:sz w:val="18"/>
          <w:szCs w:val="18"/>
          <w:color w:val="auto"/>
        </w:rPr>
      </w:pPr>
    </w:p>
    <w:p>
      <w:pPr>
        <w:ind w:left="720" w:right="220" w:hanging="324"/>
        <w:spacing w:after="0" w:line="261" w:lineRule="auto"/>
        <w:tabs>
          <w:tab w:leader="none" w:pos="688"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treatment of strabismus and blepharospasm associated with dystonia, including benign essential blepharospasm or VII nerve disorders in patients 12 years of age and older.</w:t>
      </w:r>
    </w:p>
    <w:p>
      <w:pPr>
        <w:spacing w:after="0" w:line="130" w:lineRule="exact"/>
        <w:rPr>
          <w:rFonts w:ascii="Arial" w:cs="Arial" w:eastAsia="Arial" w:hAnsi="Arial"/>
          <w:sz w:val="18"/>
          <w:szCs w:val="18"/>
          <w:color w:val="auto"/>
        </w:rPr>
      </w:pPr>
    </w:p>
    <w:p>
      <w:pPr>
        <w:ind w:left="720" w:right="80" w:hanging="324"/>
        <w:spacing w:after="0" w:line="261" w:lineRule="auto"/>
        <w:tabs>
          <w:tab w:leader="none" w:pos="688"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treatment of severe primary axillary hyperhidrosis that is inadequately managed with topical agents. Licenses around the world vary.</w:t>
      </w:r>
    </w:p>
    <w:p>
      <w:pPr>
        <w:spacing w:after="0" w:line="116" w:lineRule="exact"/>
        <w:rPr>
          <w:rFonts w:ascii="Arial" w:cs="Arial" w:eastAsia="Arial" w:hAnsi="Arial"/>
          <w:sz w:val="18"/>
          <w:szCs w:val="18"/>
          <w:color w:val="auto"/>
        </w:rPr>
      </w:pPr>
    </w:p>
    <w:p>
      <w:pPr>
        <w:ind w:left="720" w:right="280" w:hanging="324"/>
        <w:spacing w:after="0" w:line="261" w:lineRule="auto"/>
        <w:tabs>
          <w:tab w:leader="none" w:pos="688" w:val="left"/>
        </w:tabs>
        <w:numPr>
          <w:ilvl w:val="0"/>
          <w:numId w:val="5"/>
        </w:numPr>
        <w:rPr>
          <w:rFonts w:ascii="Arial" w:cs="Arial" w:eastAsia="Arial" w:hAnsi="Arial"/>
          <w:sz w:val="18"/>
          <w:szCs w:val="18"/>
          <w:color w:val="auto"/>
        </w:rPr>
      </w:pPr>
      <w:r>
        <w:rPr>
          <w:rFonts w:ascii="Arial" w:cs="Arial" w:eastAsia="Arial" w:hAnsi="Arial"/>
          <w:sz w:val="18"/>
          <w:szCs w:val="18"/>
          <w:color w:val="auto"/>
        </w:rPr>
        <w:t>Focal spasticity associated with dynamic equinus foot deformity due to spasticity in ambulant pediatric cerebral palsy patients, two years of age or older.</w:t>
      </w:r>
    </w:p>
    <w:p>
      <w:pPr>
        <w:spacing w:after="0" w:line="130" w:lineRule="exact"/>
        <w:rPr>
          <w:rFonts w:ascii="Arial" w:cs="Arial" w:eastAsia="Arial" w:hAnsi="Arial"/>
          <w:sz w:val="18"/>
          <w:szCs w:val="18"/>
          <w:color w:val="auto"/>
        </w:rPr>
      </w:pPr>
    </w:p>
    <w:p>
      <w:pPr>
        <w:ind w:left="680" w:hanging="28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Focal spasticity of the wrist and hand in adult post stroke patients.</w:t>
      </w:r>
    </w:p>
    <w:p>
      <w:pPr>
        <w:spacing w:after="0" w:line="157" w:lineRule="exact"/>
        <w:rPr>
          <w:rFonts w:ascii="Arial" w:cs="Arial" w:eastAsia="Arial" w:hAnsi="Arial"/>
          <w:sz w:val="18"/>
          <w:szCs w:val="18"/>
          <w:color w:val="auto"/>
        </w:rPr>
      </w:pPr>
    </w:p>
    <w:p>
      <w:pPr>
        <w:ind w:left="680" w:hanging="28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Focal spasticity of the ankle and foot in adult post stroke patients.</w:t>
      </w:r>
    </w:p>
    <w:p>
      <w:pPr>
        <w:spacing w:after="0" w:line="126" w:lineRule="exact"/>
        <w:rPr>
          <w:sz w:val="20"/>
          <w:szCs w:val="20"/>
          <w:color w:val="auto"/>
        </w:rPr>
      </w:pPr>
    </w:p>
    <w:p>
      <w:pPr>
        <w:ind w:right="100" w:firstLine="405"/>
        <w:spacing w:after="0" w:line="258" w:lineRule="auto"/>
        <w:rPr>
          <w:sz w:val="20"/>
          <w:szCs w:val="20"/>
          <w:color w:val="auto"/>
        </w:rPr>
      </w:pPr>
      <w:r>
        <w:rPr>
          <w:rFonts w:ascii="Arial" w:cs="Arial" w:eastAsia="Arial" w:hAnsi="Arial"/>
          <w:sz w:val="18"/>
          <w:szCs w:val="18"/>
          <w:i w:val="1"/>
          <w:iCs w:val="1"/>
          <w:color w:val="auto"/>
        </w:rPr>
        <w:t xml:space="preserve">Vraylar. </w:t>
      </w:r>
      <w:r>
        <w:rPr>
          <w:rFonts w:ascii="Arial" w:cs="Arial" w:eastAsia="Arial" w:hAnsi="Arial"/>
          <w:sz w:val="18"/>
          <w:szCs w:val="18"/>
          <w:color w:val="auto"/>
        </w:rPr>
        <w:t>Vraylar (cariprazine) is a dopamine D3-preferring D3/D2 receptor partial agonist and a 5-HT1A receptor partial agonist. Its</w:t>
      </w:r>
      <w:r>
        <w:rPr>
          <w:rFonts w:ascii="Arial" w:cs="Arial" w:eastAsia="Arial" w:hAnsi="Arial"/>
          <w:sz w:val="18"/>
          <w:szCs w:val="18"/>
          <w:i w:val="1"/>
          <w:iCs w:val="1"/>
          <w:color w:val="auto"/>
        </w:rPr>
        <w:t xml:space="preserve"> </w:t>
      </w:r>
      <w:r>
        <w:rPr>
          <w:rFonts w:ascii="Arial" w:cs="Arial" w:eastAsia="Arial" w:hAnsi="Arial"/>
          <w:sz w:val="18"/>
          <w:szCs w:val="18"/>
          <w:color w:val="auto"/>
        </w:rPr>
        <w:t>D3 binding profile may be linked to observed improvements in the negative symptoms of schizophrenia and to antidepressant effects in Bipolar I disorder. Vraylar is indicated for acute and maintenance treatment of schizophrenia in adults, acute treatment of manic or mixed episodes associated with bipolar disorder in adults and acute treatment of depressive episodes associated with bipolar I disorder (bipolar depression) in adults.</w:t>
      </w:r>
    </w:p>
    <w:p>
      <w:pPr>
        <w:spacing w:after="0" w:line="116" w:lineRule="exact"/>
        <w:rPr>
          <w:sz w:val="20"/>
          <w:szCs w:val="20"/>
          <w:color w:val="auto"/>
        </w:rPr>
      </w:pPr>
    </w:p>
    <w:p>
      <w:pPr>
        <w:ind w:right="780" w:firstLine="405"/>
        <w:spacing w:after="0" w:line="282" w:lineRule="auto"/>
        <w:rPr>
          <w:sz w:val="20"/>
          <w:szCs w:val="20"/>
          <w:color w:val="auto"/>
        </w:rPr>
      </w:pPr>
      <w:r>
        <w:rPr>
          <w:rFonts w:ascii="Arial" w:cs="Arial" w:eastAsia="Arial" w:hAnsi="Arial"/>
          <w:sz w:val="18"/>
          <w:szCs w:val="18"/>
          <w:i w:val="1"/>
          <w:iCs w:val="1"/>
          <w:color w:val="auto"/>
        </w:rPr>
        <w:t xml:space="preserve">Duopa and Duodopa </w:t>
      </w:r>
      <w:r>
        <w:rPr>
          <w:rFonts w:ascii="Arial" w:cs="Arial" w:eastAsia="Arial" w:hAnsi="Arial"/>
          <w:sz w:val="18"/>
          <w:szCs w:val="18"/>
          <w:color w:val="auto"/>
        </w:rPr>
        <w:t>(carbidopa and levodopa). AbbVie's levodopa-carbidopa intestinal gel for the treatment of advanced</w:t>
      </w:r>
      <w:r>
        <w:rPr>
          <w:rFonts w:ascii="Arial" w:cs="Arial" w:eastAsia="Arial" w:hAnsi="Arial"/>
          <w:sz w:val="18"/>
          <w:szCs w:val="18"/>
          <w:i w:val="1"/>
          <w:iCs w:val="1"/>
          <w:color w:val="auto"/>
        </w:rPr>
        <w:t xml:space="preserve"> </w:t>
      </w:r>
      <w:r>
        <w:rPr>
          <w:rFonts w:ascii="Arial" w:cs="Arial" w:eastAsia="Arial" w:hAnsi="Arial"/>
          <w:sz w:val="18"/>
          <w:szCs w:val="18"/>
          <w:color w:val="auto"/>
        </w:rPr>
        <w:t>Parkinson's disease is marketed as Duopa in the United States and as Duodopa outside of the United States.</w:t>
      </w:r>
    </w:p>
    <w:p>
      <w:pPr>
        <w:spacing w:after="0" w:line="94" w:lineRule="exact"/>
        <w:rPr>
          <w:sz w:val="20"/>
          <w:szCs w:val="20"/>
          <w:color w:val="auto"/>
        </w:rPr>
      </w:pPr>
    </w:p>
    <w:p>
      <w:pPr>
        <w:ind w:right="1140" w:firstLine="445"/>
        <w:spacing w:after="0" w:line="282" w:lineRule="auto"/>
        <w:rPr>
          <w:sz w:val="20"/>
          <w:szCs w:val="20"/>
          <w:color w:val="auto"/>
        </w:rPr>
      </w:pPr>
      <w:r>
        <w:rPr>
          <w:rFonts w:ascii="Arial" w:cs="Arial" w:eastAsia="Arial" w:hAnsi="Arial"/>
          <w:sz w:val="18"/>
          <w:szCs w:val="18"/>
          <w:i w:val="1"/>
          <w:iCs w:val="1"/>
          <w:color w:val="auto"/>
        </w:rPr>
        <w:t xml:space="preserve">Ubrelvy. </w:t>
      </w:r>
      <w:r>
        <w:rPr>
          <w:rFonts w:ascii="Arial" w:cs="Arial" w:eastAsia="Arial" w:hAnsi="Arial"/>
          <w:sz w:val="18"/>
          <w:szCs w:val="18"/>
          <w:color w:val="auto"/>
        </w:rPr>
        <w:t>Ubrelvy (ubrogepant) is indicated for the acute treatment of migraine with or without aura in adults and is only</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commercialized in the United States.</w:t>
      </w:r>
    </w:p>
    <w:p>
      <w:pPr>
        <w:spacing w:after="0" w:line="77" w:lineRule="exact"/>
        <w:rPr>
          <w:sz w:val="20"/>
          <w:szCs w:val="20"/>
          <w:color w:val="auto"/>
        </w:rPr>
      </w:pPr>
    </w:p>
    <w:p>
      <w:pPr>
        <w:ind w:left="80" w:right="540"/>
        <w:spacing w:after="0" w:line="287" w:lineRule="auto"/>
        <w:rPr>
          <w:sz w:val="20"/>
          <w:szCs w:val="20"/>
          <w:color w:val="auto"/>
        </w:rPr>
      </w:pPr>
      <w:r>
        <w:rPr>
          <w:rFonts w:ascii="Arial" w:cs="Arial" w:eastAsia="Arial" w:hAnsi="Arial"/>
          <w:sz w:val="18"/>
          <w:szCs w:val="18"/>
          <w:b w:val="1"/>
          <w:bCs w:val="1"/>
          <w:i w:val="1"/>
          <w:iCs w:val="1"/>
          <w:color w:val="444867"/>
        </w:rPr>
        <w:t xml:space="preserve">Eye care products. </w:t>
      </w:r>
      <w:r>
        <w:rPr>
          <w:rFonts w:ascii="Arial" w:cs="Arial" w:eastAsia="Arial" w:hAnsi="Arial"/>
          <w:sz w:val="18"/>
          <w:szCs w:val="18"/>
          <w:color w:val="000000"/>
        </w:rPr>
        <w:t>AbbVie’s eye care products address unmet needs and new approaches to help preserve and protect patients’</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vision. These products are:</w:t>
      </w:r>
    </w:p>
    <w:p>
      <w:pPr>
        <w:spacing w:after="0" w:line="89" w:lineRule="exact"/>
        <w:rPr>
          <w:sz w:val="20"/>
          <w:szCs w:val="20"/>
          <w:color w:val="auto"/>
        </w:rPr>
      </w:pPr>
    </w:p>
    <w:p>
      <w:pPr>
        <w:ind w:right="160" w:firstLine="445"/>
        <w:spacing w:after="0" w:line="258" w:lineRule="auto"/>
        <w:rPr>
          <w:sz w:val="20"/>
          <w:szCs w:val="20"/>
          <w:color w:val="auto"/>
        </w:rPr>
      </w:pPr>
      <w:r>
        <w:rPr>
          <w:rFonts w:ascii="Arial" w:cs="Arial" w:eastAsia="Arial" w:hAnsi="Arial"/>
          <w:sz w:val="18"/>
          <w:szCs w:val="18"/>
          <w:i w:val="1"/>
          <w:iCs w:val="1"/>
          <w:color w:val="auto"/>
        </w:rPr>
        <w:t xml:space="preserve">Lumigan/Ganfort. </w:t>
      </w:r>
      <w:r>
        <w:rPr>
          <w:rFonts w:ascii="Arial" w:cs="Arial" w:eastAsia="Arial" w:hAnsi="Arial"/>
          <w:sz w:val="18"/>
          <w:szCs w:val="18"/>
          <w:color w:val="auto"/>
        </w:rPr>
        <w:t>Lumigan (bimatoprost ophthalmic solution) 0.01% is a once daily, topical prostaglandin analog indicated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of elevated intraocular pressure (IOP) in patients with open angle glaucoma (OAG) or ocular hypertension (OHT). Ganfort is a once daily topical fixed combination of bimatoprost 0.03% and timolol 0.5% for the reduction of IOP in adult patients with OAG or OHT. Lumigan is sold in the United States and numerous markets around the world, while Ganfort is approved in the EU and some markets in South America, the Middle East, and Asia.</w:t>
      </w:r>
    </w:p>
    <w:p>
      <w:pPr>
        <w:spacing w:after="0" w:line="116" w:lineRule="exact"/>
        <w:rPr>
          <w:sz w:val="20"/>
          <w:szCs w:val="20"/>
          <w:color w:val="auto"/>
        </w:rPr>
      </w:pPr>
    </w:p>
    <w:p>
      <w:pPr>
        <w:ind w:right="200" w:firstLine="445"/>
        <w:spacing w:after="0" w:line="258" w:lineRule="auto"/>
        <w:rPr>
          <w:sz w:val="20"/>
          <w:szCs w:val="20"/>
          <w:color w:val="auto"/>
        </w:rPr>
      </w:pPr>
      <w:r>
        <w:rPr>
          <w:rFonts w:ascii="Arial" w:cs="Arial" w:eastAsia="Arial" w:hAnsi="Arial"/>
          <w:sz w:val="18"/>
          <w:szCs w:val="18"/>
          <w:i w:val="1"/>
          <w:iCs w:val="1"/>
          <w:color w:val="auto"/>
        </w:rPr>
        <w:t xml:space="preserve">Alphagan/Combigan. </w:t>
      </w:r>
      <w:r>
        <w:rPr>
          <w:rFonts w:ascii="Arial" w:cs="Arial" w:eastAsia="Arial" w:hAnsi="Arial"/>
          <w:sz w:val="18"/>
          <w:szCs w:val="18"/>
          <w:color w:val="auto"/>
        </w:rPr>
        <w:t>Alphagan (brimonidine tartrate ophthalmic solution) is an alpha-adrenergic receptor agonist indicated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of elevated intraocular pressure (IOP) in patients with open-angle glaucoma or ocular hypertension. Combigan (brimonidine tartrate/timolol maleate ophthalmic solution) is approved for reducing elevated intraocular pressure (IOP) in patients with glaucoma who require additional or adjunctive IOP-lowering therapy. Both Alphagan and Combigan are available for sale in the United States and numerous markets around the world.</w:t>
      </w:r>
    </w:p>
    <w:p>
      <w:pPr>
        <w:spacing w:after="0" w:line="102" w:lineRule="exact"/>
        <w:rPr>
          <w:sz w:val="20"/>
          <w:szCs w:val="20"/>
          <w:color w:val="auto"/>
        </w:rPr>
      </w:pPr>
    </w:p>
    <w:p>
      <w:pPr>
        <w:ind w:right="240" w:firstLine="445"/>
        <w:spacing w:after="0" w:line="266" w:lineRule="auto"/>
        <w:rPr>
          <w:sz w:val="20"/>
          <w:szCs w:val="20"/>
          <w:color w:val="auto"/>
        </w:rPr>
      </w:pPr>
      <w:r>
        <w:rPr>
          <w:rFonts w:ascii="Arial" w:cs="Arial" w:eastAsia="Arial" w:hAnsi="Arial"/>
          <w:sz w:val="18"/>
          <w:szCs w:val="18"/>
          <w:i w:val="1"/>
          <w:iCs w:val="1"/>
          <w:color w:val="auto"/>
        </w:rPr>
        <w:t xml:space="preserve">Restasis. </w:t>
      </w:r>
      <w:r>
        <w:rPr>
          <w:rFonts w:ascii="Arial" w:cs="Arial" w:eastAsia="Arial" w:hAnsi="Arial"/>
          <w:sz w:val="18"/>
          <w:szCs w:val="18"/>
          <w:color w:val="auto"/>
        </w:rPr>
        <w:t>Restasis is a calcineurin inhibitor immunosuppressant indicated to increase tear production in patients whose tear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is presumed to be suppressed due to ocular inflammation associated with keratoconjunctivitis sicca. Restasis is approved in the United States and a number of other markets in South America, the Middle East, and Asia.</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Other eye care. </w:t>
      </w:r>
      <w:r>
        <w:rPr>
          <w:rFonts w:ascii="Arial" w:cs="Arial" w:eastAsia="Arial" w:hAnsi="Arial"/>
          <w:sz w:val="18"/>
          <w:szCs w:val="18"/>
          <w:color w:val="auto"/>
        </w:rPr>
        <w:t>Other eye care products include Xen, Durysta, Ozurdex and Refresh/Optive.</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444867"/>
        </w:rPr>
        <w:t xml:space="preserve">Women's health products. </w:t>
      </w:r>
      <w:r>
        <w:rPr>
          <w:rFonts w:ascii="Arial" w:cs="Arial" w:eastAsia="Arial" w:hAnsi="Arial"/>
          <w:sz w:val="18"/>
          <w:szCs w:val="18"/>
          <w:color w:val="000000"/>
        </w:rPr>
        <w:t>AbbVie’s women's health products are:</w:t>
      </w:r>
    </w:p>
    <w:p>
      <w:pPr>
        <w:spacing w:after="0" w:line="148"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i w:val="1"/>
          <w:iCs w:val="1"/>
          <w:color w:val="auto"/>
        </w:rPr>
        <w:t>Lo Loestrin</w:t>
      </w:r>
      <w:r>
        <w:rPr>
          <w:rFonts w:ascii="Arial" w:cs="Arial" w:eastAsia="Arial" w:hAnsi="Arial"/>
          <w:sz w:val="18"/>
          <w:szCs w:val="18"/>
          <w:color w:val="auto"/>
        </w:rPr>
        <w:t>. Lo Loestrin Fe is an oral contraceptive. It is indicated for prevention of pregnancy with the lowest dose of estrogen with</w:t>
      </w:r>
      <w:r>
        <w:rPr>
          <w:rFonts w:ascii="Arial" w:cs="Arial" w:eastAsia="Arial" w:hAnsi="Arial"/>
          <w:sz w:val="18"/>
          <w:szCs w:val="18"/>
          <w:i w:val="1"/>
          <w:iCs w:val="1"/>
          <w:color w:val="auto"/>
        </w:rPr>
        <w:t xml:space="preserve"> </w:t>
      </w:r>
      <w:r>
        <w:rPr>
          <w:rFonts w:ascii="Arial" w:cs="Arial" w:eastAsia="Arial" w:hAnsi="Arial"/>
          <w:sz w:val="18"/>
          <w:szCs w:val="18"/>
          <w:color w:val="auto"/>
        </w:rPr>
        <w:t>only 10mcg and is dispensed in a unique 24/2/2 regimen with a two-day hormone-free interval. It is marketed in the U.S. as Lo Loestrin Fe (norethindrone acetate and ethinyl estradiol tablets, ethinyl estradiol tablets and ferrous fumarate tablets) and in select markets outside the U.S. as Lolo.</w:t>
      </w:r>
    </w:p>
    <w:p>
      <w:pPr>
        <w:spacing w:after="0" w:line="112" w:lineRule="exact"/>
        <w:rPr>
          <w:sz w:val="20"/>
          <w:szCs w:val="20"/>
          <w:color w:val="auto"/>
        </w:rPr>
      </w:pPr>
    </w:p>
    <w:p>
      <w:pPr>
        <w:ind w:right="100" w:firstLine="445"/>
        <w:spacing w:after="0" w:line="258" w:lineRule="auto"/>
        <w:rPr>
          <w:sz w:val="20"/>
          <w:szCs w:val="20"/>
          <w:color w:val="auto"/>
        </w:rPr>
      </w:pPr>
      <w:r>
        <w:rPr>
          <w:rFonts w:ascii="Arial" w:cs="Arial" w:eastAsia="Arial" w:hAnsi="Arial"/>
          <w:sz w:val="18"/>
          <w:szCs w:val="18"/>
          <w:i w:val="1"/>
          <w:iCs w:val="1"/>
          <w:color w:val="auto"/>
        </w:rPr>
        <w:t xml:space="preserve">Orilissa/Oriahnn. </w:t>
      </w:r>
      <w:r>
        <w:rPr>
          <w:rFonts w:ascii="Arial" w:cs="Arial" w:eastAsia="Arial" w:hAnsi="Arial"/>
          <w:sz w:val="18"/>
          <w:szCs w:val="18"/>
          <w:color w:val="auto"/>
        </w:rPr>
        <w:t>Orilissa (elagolix) is the first and only orally-administered, nonpeptide small molecule gonadotropin-releasing</w:t>
      </w:r>
      <w:r>
        <w:rPr>
          <w:rFonts w:ascii="Arial" w:cs="Arial" w:eastAsia="Arial" w:hAnsi="Arial"/>
          <w:sz w:val="18"/>
          <w:szCs w:val="18"/>
          <w:i w:val="1"/>
          <w:iCs w:val="1"/>
          <w:color w:val="auto"/>
        </w:rPr>
        <w:t xml:space="preserve"> </w:t>
      </w:r>
      <w:r>
        <w:rPr>
          <w:rFonts w:ascii="Arial" w:cs="Arial" w:eastAsia="Arial" w:hAnsi="Arial"/>
          <w:sz w:val="18"/>
          <w:szCs w:val="18"/>
          <w:color w:val="auto"/>
        </w:rPr>
        <w:t>hormone (GnRH) antagonist specifically developed for women with moderate to severe endometriosis pain. The FDA approved Orilissa under priority review. It represents the first FDA-approved oral treatment for the management of moderate to severe pain associated with endometriosis in over a decade. Orilissa inhibits endogenous GnRH signaling by binding competitively to GnRH receptors in the pituitary gland. Administration results in</w:t>
      </w:r>
    </w:p>
    <w:p>
      <w:pPr>
        <w:sectPr>
          <w:pgSz w:w="11900" w:h="16838" w:orient="portrait"/>
          <w:cols w:equalWidth="0" w:num="1">
            <w:col w:w="10960"/>
          </w:cols>
          <w:pgMar w:left="580" w:top="1097" w:right="35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7920"/>
        <w:spacing w:after="0"/>
        <w:tabs>
          <w:tab w:leader="none" w:pos="9360" w:val="left"/>
        </w:tabs>
        <w:rPr>
          <w:sz w:val="20"/>
          <w:szCs w:val="20"/>
          <w:color w:val="auto"/>
        </w:rPr>
      </w:pPr>
      <w:r>
        <w:rPr>
          <w:rFonts w:ascii="Arial" w:cs="Arial" w:eastAsia="Arial" w:hAnsi="Arial"/>
          <w:sz w:val="18"/>
          <w:szCs w:val="18"/>
          <w:i w:val="1"/>
          <w:iCs w:val="1"/>
          <w:color w:val="auto"/>
        </w:rPr>
        <w:t>2020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600075" cy="1111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154305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580" w:top="1097" w:right="359" w:bottom="1440" w:gutter="0" w:footer="0" w:header="0"/>
          <w:type w:val="continuous"/>
        </w:sectPr>
      </w:pPr>
    </w:p>
    <w:bookmarkStart w:id="7" w:name="page8"/>
    <w:bookmarkEnd w:id="7"/>
    <w:p>
      <w:pPr>
        <w:ind w:left="260" w:right="20"/>
        <w:spacing w:after="0" w:line="254" w:lineRule="auto"/>
        <w:rPr>
          <w:sz w:val="20"/>
          <w:szCs w:val="20"/>
          <w:color w:val="auto"/>
        </w:rPr>
      </w:pPr>
      <w:r>
        <w:rPr>
          <w:rFonts w:ascii="Arial" w:cs="Arial" w:eastAsia="Arial" w:hAnsi="Arial"/>
          <w:sz w:val="18"/>
          <w:szCs w:val="18"/>
          <w:color w:val="auto"/>
        </w:rPr>
        <w:t>dose-dependent suppression of luteinizing hormone and follicle-stimulating hormone, leading to decreased blood concentrations of ovarian sex hormones, estradiol and progesterone. Outside the United States, Orilissa is also launched in Canada and Puerto Rico. Oriahnn (elagolix, estradiol, and norethindrone acetate capsules; elagolix capsules) is a combination prescription medicine used to control heavy menstrual bleeding related to uterine fibroids in women before menopause.</w:t>
      </w:r>
    </w:p>
    <w:p>
      <w:pPr>
        <w:spacing w:after="0" w:line="105" w:lineRule="exact"/>
        <w:rPr>
          <w:sz w:val="20"/>
          <w:szCs w:val="20"/>
          <w:color w:val="auto"/>
        </w:rPr>
      </w:pPr>
    </w:p>
    <w:p>
      <w:pPr>
        <w:jc w:val="both"/>
        <w:ind w:left="260" w:right="280" w:firstLine="445"/>
        <w:spacing w:after="0" w:line="266" w:lineRule="auto"/>
        <w:rPr>
          <w:sz w:val="20"/>
          <w:szCs w:val="20"/>
          <w:color w:val="auto"/>
        </w:rPr>
      </w:pPr>
      <w:r>
        <w:rPr>
          <w:rFonts w:ascii="Arial" w:cs="Arial" w:eastAsia="Arial" w:hAnsi="Arial"/>
          <w:sz w:val="18"/>
          <w:szCs w:val="18"/>
          <w:i w:val="1"/>
          <w:iCs w:val="1"/>
          <w:color w:val="auto"/>
        </w:rPr>
        <w:t xml:space="preserve">Other women's health. </w:t>
      </w:r>
      <w:r>
        <w:rPr>
          <w:rFonts w:ascii="Arial" w:cs="Arial" w:eastAsia="Arial" w:hAnsi="Arial"/>
          <w:sz w:val="18"/>
          <w:szCs w:val="18"/>
          <w:color w:val="auto"/>
        </w:rPr>
        <w:t>Other women's health includes Liletta, a sterile, levonorgestrel-releasing intrauterine system indicated for</w:t>
      </w:r>
      <w:r>
        <w:rPr>
          <w:rFonts w:ascii="Arial" w:cs="Arial" w:eastAsia="Arial" w:hAnsi="Arial"/>
          <w:sz w:val="18"/>
          <w:szCs w:val="18"/>
          <w:i w:val="1"/>
          <w:iCs w:val="1"/>
          <w:color w:val="auto"/>
        </w:rPr>
        <w:t xml:space="preserve"> </w:t>
      </w:r>
      <w:r>
        <w:rPr>
          <w:rFonts w:ascii="Arial" w:cs="Arial" w:eastAsia="Arial" w:hAnsi="Arial"/>
          <w:sz w:val="18"/>
          <w:szCs w:val="18"/>
          <w:color w:val="auto"/>
        </w:rPr>
        <w:t>prevention of pregnancy for up to six years. It is the only hormonal IUS (Intrauterine System) approved in the U.S. for up to six years of pregnancy prevention.</w:t>
      </w:r>
    </w:p>
    <w:p>
      <w:pPr>
        <w:spacing w:after="0" w:line="104" w:lineRule="exact"/>
        <w:rPr>
          <w:sz w:val="20"/>
          <w:szCs w:val="20"/>
          <w:color w:val="auto"/>
        </w:rPr>
      </w:pPr>
    </w:p>
    <w:p>
      <w:pPr>
        <w:ind w:left="340" w:right="200"/>
        <w:spacing w:after="0" w:line="262" w:lineRule="auto"/>
        <w:rPr>
          <w:sz w:val="20"/>
          <w:szCs w:val="20"/>
          <w:color w:val="auto"/>
        </w:rPr>
      </w:pPr>
      <w:r>
        <w:rPr>
          <w:rFonts w:ascii="Arial" w:cs="Arial" w:eastAsia="Arial" w:hAnsi="Arial"/>
          <w:sz w:val="18"/>
          <w:szCs w:val="18"/>
          <w:b w:val="1"/>
          <w:bCs w:val="1"/>
          <w:i w:val="1"/>
          <w:iCs w:val="1"/>
          <w:color w:val="444867"/>
        </w:rPr>
        <w:t xml:space="preserve">Other key products. </w:t>
      </w:r>
      <w:r>
        <w:rPr>
          <w:rFonts w:ascii="Arial" w:cs="Arial" w:eastAsia="Arial" w:hAnsi="Arial"/>
          <w:sz w:val="18"/>
          <w:szCs w:val="18"/>
          <w:color w:val="000000"/>
        </w:rPr>
        <w:t>AbbVie’s other key products include, among other things, treatments for patients with hepatitis C virus (HCV),</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metabolic and hormone products that target a number of conditions, including exocrine pancreatic insufficiency and hypothyroidism, as well as endocrinology products for the palliative treatment of advanced prostate cancer, treatment of endometriosis and central precocious puberty and for the preoperative treatment of patients with anemia caused by uterine fibroids. These products are:</w:t>
      </w:r>
    </w:p>
    <w:p>
      <w:pPr>
        <w:spacing w:after="0" w:line="113" w:lineRule="exact"/>
        <w:rPr>
          <w:sz w:val="20"/>
          <w:szCs w:val="20"/>
          <w:color w:val="auto"/>
        </w:rPr>
      </w:pPr>
    </w:p>
    <w:p>
      <w:pPr>
        <w:ind w:left="260" w:right="60" w:firstLine="445"/>
        <w:spacing w:after="0" w:line="256" w:lineRule="auto"/>
        <w:rPr>
          <w:sz w:val="20"/>
          <w:szCs w:val="20"/>
          <w:color w:val="auto"/>
        </w:rPr>
      </w:pPr>
      <w:r>
        <w:rPr>
          <w:rFonts w:ascii="Arial" w:cs="Arial" w:eastAsia="Arial" w:hAnsi="Arial"/>
          <w:sz w:val="18"/>
          <w:szCs w:val="18"/>
          <w:i w:val="1"/>
          <w:iCs w:val="1"/>
          <w:color w:val="auto"/>
        </w:rPr>
        <w:t xml:space="preserve">Mavyret/Maviret. </w:t>
      </w:r>
      <w:r>
        <w:rPr>
          <w:rFonts w:ascii="Arial" w:cs="Arial" w:eastAsia="Arial" w:hAnsi="Arial"/>
          <w:sz w:val="18"/>
          <w:szCs w:val="18"/>
          <w:color w:val="auto"/>
        </w:rPr>
        <w:t>Mavyret (glecaprevir/pibrentasvir) is approved in the United States and European Union (Maviret) for the 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of adult and pediatric patients (12 years and older or weighing at least 45 kilograms) with chronic HCV genotype 1-6 infection without cirrhosis and with compensated cirrhosis (Child-Pugh A). It is also indicated for the treatment of adult and pediatric patients (12 years and older or weighing at least 45 kilograms) with HCV genotype 1 infection, who previously have been treated with a regimen containing an HCV NS5A inhibitor or an NS3/4A protease inhibitor, but not both. It is an 8-week, pan-genotypic treatment for patients without cirrhosis and following the EXPEDITION-8 study, also in patients with compensated cirrhosis who are new to treatment.</w:t>
      </w:r>
    </w:p>
    <w:p>
      <w:pPr>
        <w:spacing w:after="0" w:line="106" w:lineRule="exact"/>
        <w:rPr>
          <w:sz w:val="20"/>
          <w:szCs w:val="20"/>
          <w:color w:val="auto"/>
        </w:rPr>
      </w:pPr>
    </w:p>
    <w:p>
      <w:pPr>
        <w:ind w:left="260" w:right="600" w:firstLine="445"/>
        <w:spacing w:after="0" w:line="282" w:lineRule="auto"/>
        <w:rPr>
          <w:sz w:val="20"/>
          <w:szCs w:val="20"/>
          <w:color w:val="auto"/>
        </w:rPr>
      </w:pPr>
      <w:r>
        <w:rPr>
          <w:rFonts w:ascii="Arial" w:cs="Arial" w:eastAsia="Arial" w:hAnsi="Arial"/>
          <w:sz w:val="18"/>
          <w:szCs w:val="18"/>
          <w:i w:val="1"/>
          <w:iCs w:val="1"/>
          <w:color w:val="auto"/>
        </w:rPr>
        <w:t xml:space="preserve">Creon. </w:t>
      </w:r>
      <w:r>
        <w:rPr>
          <w:rFonts w:ascii="Arial" w:cs="Arial" w:eastAsia="Arial" w:hAnsi="Arial"/>
          <w:sz w:val="18"/>
          <w:szCs w:val="18"/>
          <w:color w:val="auto"/>
        </w:rPr>
        <w:t>Creon (pancrelipase) is a pancreatic enzyme therapy for exocrine pancreatic insufficiency, a condition that occurs in</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with cystic fibrosis, chronic pancreatitis and several other conditions.</w:t>
      </w:r>
    </w:p>
    <w:p>
      <w:pPr>
        <w:spacing w:after="0" w:line="94" w:lineRule="exact"/>
        <w:rPr>
          <w:sz w:val="20"/>
          <w:szCs w:val="20"/>
          <w:color w:val="auto"/>
        </w:rPr>
      </w:pPr>
    </w:p>
    <w:p>
      <w:pPr>
        <w:jc w:val="both"/>
        <w:ind w:left="260" w:right="120" w:firstLine="445"/>
        <w:spacing w:after="0" w:line="261" w:lineRule="auto"/>
        <w:rPr>
          <w:sz w:val="20"/>
          <w:szCs w:val="20"/>
          <w:color w:val="auto"/>
        </w:rPr>
      </w:pPr>
      <w:r>
        <w:rPr>
          <w:rFonts w:ascii="Arial" w:cs="Arial" w:eastAsia="Arial" w:hAnsi="Arial"/>
          <w:sz w:val="18"/>
          <w:szCs w:val="18"/>
          <w:i w:val="1"/>
          <w:iCs w:val="1"/>
          <w:color w:val="auto"/>
        </w:rPr>
        <w:t xml:space="preserve">Lupron. </w:t>
      </w:r>
      <w:r>
        <w:rPr>
          <w:rFonts w:ascii="Arial" w:cs="Arial" w:eastAsia="Arial" w:hAnsi="Arial"/>
          <w:sz w:val="18"/>
          <w:szCs w:val="18"/>
          <w:color w:val="auto"/>
        </w:rPr>
        <w:t>Lupron (leuprolide acetate), which is also marketed as Lucrin and Lupron Depot, is a product for the palliative treatment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advanced prostate cancer, treatment of endometriosis and central precocious puberty and for the preoperative treatment of patients with anemia caused by uterine fibroids. Lupron is approved for daily subcutaneous injection and one-month, three-month, four-month and six-month intramuscular injection.</w:t>
      </w:r>
    </w:p>
    <w:p>
      <w:pPr>
        <w:spacing w:after="0" w:line="112" w:lineRule="exact"/>
        <w:rPr>
          <w:sz w:val="20"/>
          <w:szCs w:val="20"/>
          <w:color w:val="auto"/>
        </w:rPr>
      </w:pPr>
    </w:p>
    <w:p>
      <w:pPr>
        <w:ind w:left="260" w:right="180" w:firstLine="445"/>
        <w:spacing w:after="0" w:line="222" w:lineRule="exact"/>
        <w:rPr>
          <w:sz w:val="20"/>
          <w:szCs w:val="20"/>
          <w:color w:val="auto"/>
        </w:rPr>
      </w:pPr>
      <w:r>
        <w:rPr>
          <w:rFonts w:ascii="Arial" w:cs="Arial" w:eastAsia="Arial" w:hAnsi="Arial"/>
          <w:sz w:val="18"/>
          <w:szCs w:val="18"/>
          <w:i w:val="1"/>
          <w:iCs w:val="1"/>
          <w:color w:val="auto"/>
        </w:rPr>
        <w:t xml:space="preserve">Linzess/Constella. </w:t>
      </w:r>
      <w:r>
        <w:rPr>
          <w:rFonts w:ascii="Arial" w:cs="Arial" w:eastAsia="Arial" w:hAnsi="Arial"/>
          <w:sz w:val="18"/>
          <w:szCs w:val="18"/>
          <w:color w:val="auto"/>
        </w:rPr>
        <w:t>Linzess (linaclotide) is a once-daily guanylate cyclase-C agonist used in adults to treat irritable bowel syndrome</w:t>
      </w:r>
      <w:r>
        <w:rPr>
          <w:rFonts w:ascii="Arial" w:cs="Arial" w:eastAsia="Arial" w:hAnsi="Arial"/>
          <w:sz w:val="18"/>
          <w:szCs w:val="18"/>
          <w:i w:val="1"/>
          <w:iCs w:val="1"/>
          <w:color w:val="auto"/>
        </w:rPr>
        <w:t xml:space="preserve"> </w:t>
      </w:r>
      <w:r>
        <w:rPr>
          <w:rFonts w:ascii="Arial" w:cs="Arial" w:eastAsia="Arial" w:hAnsi="Arial"/>
          <w:sz w:val="18"/>
          <w:szCs w:val="18"/>
          <w:color w:val="auto"/>
        </w:rPr>
        <w:t>with constipation (IBS</w:t>
      </w:r>
      <w:r>
        <w:rPr>
          <w:rFonts w:ascii="MS PGothic" w:cs="MS PGothic" w:eastAsia="MS PGothic" w:hAnsi="MS PGothic"/>
          <w:sz w:val="18"/>
          <w:szCs w:val="18"/>
          <w:color w:val="auto"/>
        </w:rPr>
        <w:t>‑</w:t>
      </w:r>
      <w:r>
        <w:rPr>
          <w:rFonts w:ascii="Arial" w:cs="Arial" w:eastAsia="Arial" w:hAnsi="Arial"/>
          <w:sz w:val="18"/>
          <w:szCs w:val="18"/>
          <w:color w:val="auto"/>
        </w:rPr>
        <w:t>C) and chronic idiopathic constipation (CIC). The product is marketed as Linzess in the United States and as Constella outside of the United States.</w:t>
      </w:r>
    </w:p>
    <w:p>
      <w:pPr>
        <w:spacing w:after="0" w:line="118" w:lineRule="exact"/>
        <w:rPr>
          <w:sz w:val="20"/>
          <w:szCs w:val="20"/>
          <w:color w:val="auto"/>
        </w:rPr>
      </w:pPr>
    </w:p>
    <w:p>
      <w:pPr>
        <w:ind w:left="700"/>
        <w:spacing w:after="0"/>
        <w:tabs>
          <w:tab w:leader="none" w:pos="1680" w:val="left"/>
        </w:tabs>
        <w:rPr>
          <w:sz w:val="20"/>
          <w:szCs w:val="20"/>
          <w:color w:val="auto"/>
        </w:rPr>
      </w:pPr>
      <w:r>
        <w:rPr>
          <w:rFonts w:ascii="Arial" w:cs="Arial" w:eastAsia="Arial" w:hAnsi="Arial"/>
          <w:sz w:val="18"/>
          <w:szCs w:val="18"/>
          <w:i w:val="1"/>
          <w:iCs w:val="1"/>
          <w:color w:val="auto"/>
        </w:rPr>
        <w:t>Synthroid.</w:t>
      </w:r>
      <w:r>
        <w:rPr>
          <w:sz w:val="20"/>
          <w:szCs w:val="20"/>
          <w:color w:val="auto"/>
        </w:rPr>
        <w:tab/>
      </w:r>
      <w:r>
        <w:rPr>
          <w:rFonts w:ascii="Arial" w:cs="Arial" w:eastAsia="Arial" w:hAnsi="Arial"/>
          <w:sz w:val="18"/>
          <w:szCs w:val="18"/>
          <w:color w:val="auto"/>
        </w:rPr>
        <w:t>Synthroid (levothyroxine sodium tablets, USP) is used in the treatment of hypothyroidism.</w:t>
      </w:r>
    </w:p>
    <w:p>
      <w:pPr>
        <w:spacing w:after="0" w:line="176" w:lineRule="exact"/>
        <w:rPr>
          <w:sz w:val="20"/>
          <w:szCs w:val="20"/>
          <w:color w:val="auto"/>
        </w:rPr>
      </w:pPr>
    </w:p>
    <w:p>
      <w:pPr>
        <w:ind w:left="260" w:firstLine="445"/>
        <w:spacing w:after="0" w:line="261" w:lineRule="auto"/>
        <w:rPr>
          <w:sz w:val="20"/>
          <w:szCs w:val="20"/>
          <w:color w:val="auto"/>
        </w:rPr>
      </w:pPr>
      <w:r>
        <w:rPr>
          <w:rFonts w:ascii="Arial" w:cs="Arial" w:eastAsia="Arial" w:hAnsi="Arial"/>
          <w:sz w:val="18"/>
          <w:szCs w:val="18"/>
          <w:color w:val="auto"/>
        </w:rPr>
        <w:t>AbbVie has the rights to sell Creon and Synthroid only in the United States. AbbVie's commercial rights to the sale and distribution of Synagis outside of the United States will revert to AstraZeneca upon the expiry of the current agreement in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Marketing, Sales and Distribution Capabilities</w:t>
      </w:r>
    </w:p>
    <w:p>
      <w:pPr>
        <w:spacing w:after="0" w:line="166" w:lineRule="exact"/>
        <w:rPr>
          <w:sz w:val="20"/>
          <w:szCs w:val="20"/>
          <w:color w:val="auto"/>
        </w:rPr>
      </w:pPr>
    </w:p>
    <w:p>
      <w:pPr>
        <w:ind w:right="80" w:firstLine="445"/>
        <w:spacing w:after="0" w:line="236" w:lineRule="auto"/>
        <w:rPr>
          <w:sz w:val="20"/>
          <w:szCs w:val="20"/>
          <w:color w:val="auto"/>
        </w:rPr>
      </w:pPr>
      <w:r>
        <w:rPr>
          <w:rFonts w:ascii="Arial" w:cs="Arial" w:eastAsia="Arial" w:hAnsi="Arial"/>
          <w:sz w:val="18"/>
          <w:szCs w:val="18"/>
          <w:color w:val="auto"/>
        </w:rPr>
        <w:t>AbbVie utilizes a combination of dedicated commercial resources, regional commercial resources and distributorships to market, sell and distribute its products worldwide. AbbVie directs its primary marketing efforts toward securing the prescription, or recommendation, of its brand of products by physicians, key opinion leaders and other health care providers. Managed care providers (for example, health maintenance organizations and pharmacy benefit managers), hospitals and state and federal government agencies (for example, the United States Department of Veterans Affairs and the United States Department of Defense) are also important customers. AbbVie also markets directly to consumers themselves, although in the United States many of the company's products must be sold pursuant to a prescription. Outside of the United States, AbbVie focuses its promotional and market access efforts on key opinion leaders, payers, physicians and health systems. AbbVie also provides patient support programs closely related to its products. Throughout the COVID-19 pandemic AbbVie has maintained its promotional activities with key stakeholders by leveraging digital engagement where permitted and in compliance with the locally applicable government guidance.</w:t>
      </w:r>
    </w:p>
    <w:p>
      <w:pPr>
        <w:spacing w:after="0" w:line="138"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AbbVie's products are generally sold worldwide directly to wholesalers, distributors, government agencies, health care facilities, specialty pharmacies and independent retailers from AbbVie-owned distribution centers and public warehouses. Certain products (including aesthetic products and devices) are also sold directly to physicians and other licensed healthcare providers. Although AbbVie's business does not have significant seasonality, AbbVie's product revenues may be affected by end customer and retail buying patterns, fluctuations in wholesaler inventory levels and other factors.</w:t>
      </w: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5</w:t>
      </w:r>
      <w:r>
        <w:rPr>
          <w:sz w:val="20"/>
          <w:szCs w:val="20"/>
          <w:color w:val="auto"/>
        </w:rPr>
        <w:tab/>
      </w:r>
      <w:r>
        <w:rPr>
          <w:sz w:val="1"/>
          <w:szCs w:val="1"/>
          <w:color w:val="auto"/>
        </w:rPr>
        <w:drawing>
          <wp:inline distT="0" distB="0" distL="0" distR="0">
            <wp:extent cx="600075" cy="1111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 w:name="page9"/>
    <w:bookmarkEnd w:id="8"/>
    <w:p>
      <w:pPr>
        <w:ind w:right="220" w:firstLine="445"/>
        <w:spacing w:after="0" w:line="253" w:lineRule="auto"/>
        <w:rPr>
          <w:sz w:val="20"/>
          <w:szCs w:val="20"/>
          <w:color w:val="auto"/>
        </w:rPr>
      </w:pPr>
      <w:r>
        <w:rPr>
          <w:rFonts w:ascii="Arial" w:cs="Arial" w:eastAsia="Arial" w:hAnsi="Arial"/>
          <w:sz w:val="18"/>
          <w:szCs w:val="18"/>
          <w:color w:val="auto"/>
        </w:rPr>
        <w:t>In the United States, AbbVie distributes pharmaceutical products principally through independent wholesale distributors, with some sales directly to retailers, pharmacies and patients. In 2020, three wholesale distributors (McKesson Corporation, Cardinal Health, Inc. and AmerisourceBergen Corporation) accounted for substantially all of AbbVie's sales in the United States. No individual wholesaler accounted for greater than 38% of AbbVie's 2020 gross revenues in the United States. Outside the United States, AbbVie sells products primarily to customers or through distributors, depending on the market served.</w:t>
      </w:r>
    </w:p>
    <w:p>
      <w:pPr>
        <w:spacing w:after="0" w:line="124"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Certain products are co-marketed or co-promoted with other companies. AbbVie has no single customer that, if the customer were lost, would have a material adverse effect on the company's business. No material portion of AbbVie's business is subject to renegotiation of profits or termination of contracts at the election of the government. Orders are generally filled on a current basis and order backlog is not material to AbbVie's business.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Competition</w:t>
      </w:r>
    </w:p>
    <w:p>
      <w:pPr>
        <w:spacing w:after="0" w:line="180"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The markets for AbbVie's products are highly competitive. AbbVie competes with other research-based pharmaceuticals and biotechnology companies that discover, manufacture, market and sell proprietary pharmaceutical products, therapies and biologics. For example, Humira competes with anti-TNF products and other competitive products intended to treat a number of disease states and Mavyret/Maviret competes with other available HCV treatment options. In addition, in the past few years, a number of other companies have started to develop, have successfully developed and/or are currently marketing products that are being positioned as competitors to Botox. The search for technological innovations in pharmaceutical products is a significant aspect of competition. The introduction of new products by competitors and changes in medical practices and procedures can result in product obsolescence. Price is also a competitive factor. In addition, the substitution of generic pharmaceutical products for branded pharmaceutical products creates competitive pressures on AbbVie's products that do not have patent protection. New products or treatments brought to market by AbbVie’s competitors could cause revenues for AbbVie’s products to decrease due to price reductions and sales volume decreases.</w:t>
      </w:r>
    </w:p>
    <w:p>
      <w:pPr>
        <w:spacing w:after="0" w:line="108"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b w:val="1"/>
          <w:bCs w:val="1"/>
          <w:i w:val="1"/>
          <w:iCs w:val="1"/>
          <w:color w:val="444867"/>
        </w:rPr>
        <w:t xml:space="preserve">Biosimilars. </w:t>
      </w:r>
      <w:r>
        <w:rPr>
          <w:rFonts w:ascii="Arial" w:cs="Arial" w:eastAsia="Arial" w:hAnsi="Arial"/>
          <w:sz w:val="18"/>
          <w:szCs w:val="18"/>
          <w:color w:val="000000"/>
        </w:rPr>
        <w:t>Competition for AbbVie’s biologic products is affected by the approval of follow-on biologics, also known as “biosimilars.”</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Biologics have added major therapeutic options for the treatment of many diseases, including some for which therapies were unavailable or inadequate. The cost of developing and producing biologic therapies is typically dramatically higher than for conventional (small molecule) medications, and many biologic medications are used for ongoing treatment of chronic diseases, such as rheumatoid arthritis or inflammatory bowel disease, or for the treatment of previously untreatable cancer. Significant investments in biologics infrastructure and manufacturing are necessary to produce biologic products.</w:t>
      </w:r>
    </w:p>
    <w:p>
      <w:pPr>
        <w:spacing w:after="0" w:line="137" w:lineRule="exact"/>
        <w:rPr>
          <w:sz w:val="20"/>
          <w:szCs w:val="20"/>
          <w:color w:val="auto"/>
        </w:rPr>
      </w:pPr>
    </w:p>
    <w:p>
      <w:pPr>
        <w:ind w:right="80" w:firstLine="445"/>
        <w:spacing w:after="0" w:line="261" w:lineRule="auto"/>
        <w:rPr>
          <w:sz w:val="20"/>
          <w:szCs w:val="20"/>
          <w:color w:val="auto"/>
        </w:rPr>
      </w:pPr>
      <w:r>
        <w:rPr>
          <w:rFonts w:ascii="Arial" w:cs="Arial" w:eastAsia="Arial" w:hAnsi="Arial"/>
          <w:sz w:val="18"/>
          <w:szCs w:val="18"/>
          <w:color w:val="auto"/>
        </w:rPr>
        <w:t>Humira is now facing direct biosimilar competition in Europe and other countries, and AbbVie will continue to face competitive pressure from these biologics and from orally administered products.</w:t>
      </w:r>
    </w:p>
    <w:p>
      <w:pPr>
        <w:spacing w:after="0" w:line="130"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In the United States, the FDA regulates biologics under the Federal Food, Drug, and Cosmetic Act (the FFDCA), the Public Health Service Act (PHSA) and the regulations implementing such acts. The enactment of federal health care reform legislation in March 2010 provided a pathway for approval of biosimilars under the PHSA, but the approval process for, and science behind, biosimilars is complex. Approval by the FDA is dependent upon many factors, including a showing that the biosimilar is "highly similar" to the original product and has no clinically meaningful differences from the original product in terms of safety, purity and potency. The types of data that could ordinarily be required in an application to show similarity may include analytical data, bioequivalence studies and studies to demonstrate chemical similarity, animal studies (including toxicity studies) and clinical studies.</w:t>
      </w:r>
    </w:p>
    <w:p>
      <w:pPr>
        <w:spacing w:after="0" w:line="126"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Furthermore, the law provides that only a biosimilar product that is determined to be "interchangeable" will be considered by the FDA as substitutable for the original biologic product without the intervention of the health care provider who prescribed the original biologic product. To prove that a biosimilar product is interchangeable, the applicant must demonstrate that the product can be expected to produce the same clinical results as the original biologic product in any given patient, and if the product is administered more than once in a patient, that safety risks and potential for diminished efficacy of alternating or switching between the use of the interchangeable biosimilar biologic product and the original biologic product is no greater than the risk of using the original biologic product without switching. The law continues to be interpreted and implemented by the FDA. As a result, its ultimate impact, implementation and meaning remains subject to uncertainty.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Intellectual Property Protection and Regulatory Exclusivity</w:t>
      </w:r>
    </w:p>
    <w:p>
      <w:pPr>
        <w:spacing w:after="0" w:line="180" w:lineRule="exact"/>
        <w:rPr>
          <w:sz w:val="20"/>
          <w:szCs w:val="20"/>
          <w:color w:val="auto"/>
        </w:rPr>
      </w:pPr>
    </w:p>
    <w:p>
      <w:pPr>
        <w:ind w:right="220" w:firstLine="445"/>
        <w:spacing w:after="0" w:line="256" w:lineRule="auto"/>
        <w:rPr>
          <w:sz w:val="20"/>
          <w:szCs w:val="20"/>
          <w:color w:val="auto"/>
        </w:rPr>
      </w:pPr>
      <w:r>
        <w:rPr>
          <w:rFonts w:ascii="Arial" w:cs="Arial" w:eastAsia="Arial" w:hAnsi="Arial"/>
          <w:sz w:val="18"/>
          <w:szCs w:val="18"/>
          <w:color w:val="auto"/>
        </w:rPr>
        <w:t>Generally, upon approval, products may be entitled to certain kinds of exclusivity under applicable intellectual property and regulatory regimes. AbbVie’s intellectual property is materially valuable to the company, and AbbVie seeks patent protection, where available, in all significant markets and/or countries for each product in development. In the United States,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1042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6</w:t>
            </w:r>
          </w:p>
        </w:tc>
      </w:tr>
      <w:tr>
        <w:trPr>
          <w:trHeight w:val="196"/>
        </w:trPr>
        <w:tc>
          <w:tcPr>
            <w:tcW w:w="1042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-325120</wp:posOffset>
            </wp:positionV>
            <wp:extent cx="600075" cy="1111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0075" cy="11112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 w:name="page10"/>
    <w:bookmarkEnd w:id="9"/>
    <w:p>
      <w:pPr>
        <w:spacing w:after="0" w:line="251" w:lineRule="auto"/>
        <w:rPr>
          <w:sz w:val="20"/>
          <w:szCs w:val="20"/>
          <w:color w:val="auto"/>
        </w:rPr>
      </w:pPr>
      <w:r>
        <w:rPr>
          <w:rFonts w:ascii="Arial" w:cs="Arial" w:eastAsia="Arial" w:hAnsi="Arial"/>
          <w:sz w:val="18"/>
          <w:szCs w:val="18"/>
          <w:color w:val="auto"/>
        </w:rPr>
        <w:t>the expiration date for patents is 20 years after the filing date. Given that patents relating to pharmaceutical products are often obtained early in the development process and given the amount of time needed to complete clinical trials and other development activities required for regulatory approval, the length of time between product launch and patent expiration is significantly less than 20 years. The Drug Price Competition and Patent Term Restoration Act of 1984 (commonly known as the Hatch-Waxman Act) permits a patent holder to seek a patent extension, commonly called a “patent term restoration,” for patents on products (or processes for making the product) regulated by the FFDCA. The length of the patent extension is roughly based on 50 percent of the period of time from the filing of an Investigational New Drug Application (NDA) for a compound to the submission of the NDA for such compound, plus 100 percent of the time period from NDA submission to regulatory approval. The extension, however, cannot exceed five years and the patent term remaining after regulatory approval cannot exceed 14 years. Biological products licensed under the PHSA are similarly eligible for terms of patent restoration.</w:t>
      </w:r>
    </w:p>
    <w:p>
      <w:pPr>
        <w:spacing w:after="0" w:line="131" w:lineRule="exact"/>
        <w:rPr>
          <w:sz w:val="20"/>
          <w:szCs w:val="20"/>
          <w:color w:val="auto"/>
        </w:rPr>
      </w:pPr>
    </w:p>
    <w:p>
      <w:pPr>
        <w:ind w:firstLine="445"/>
        <w:spacing w:after="0" w:line="236" w:lineRule="auto"/>
        <w:rPr>
          <w:sz w:val="20"/>
          <w:szCs w:val="20"/>
          <w:color w:val="auto"/>
        </w:rPr>
      </w:pPr>
      <w:r>
        <w:rPr>
          <w:rFonts w:ascii="Arial" w:cs="Arial" w:eastAsia="Arial" w:hAnsi="Arial"/>
          <w:sz w:val="18"/>
          <w:szCs w:val="18"/>
          <w:color w:val="auto"/>
        </w:rPr>
        <w:t>Pharmaceutical products may be entitled to other forms of legal or regulatory exclusivity upon approval. The scope, length, and requirements for each of these exclusivities vary both in the United States and in other jurisdictions. In the United States, if the FDA approves a drug product that contains an active ingredient not previously approved, the product is typically entitled to five years of non-patent regulatory exclusivity. Other products may be entitled to three years of exclusivity if approval was based on the FDA’s reliance on new clinical studies essential to approval submitted by the NDA applicant. If the NDA applicant studies the product for use by children, the FDA may grant pediatric exclusivity, which extends by 180 days all existing exclusivities (patent and regulatory) related to the product. For products that are either used to treat conditions that afflict a relatively small population or for which there is not a reasonable expectation that the research and development costs will be recovered, the FDA may designate the pharmaceutical as an orphan drug and grant it seven years of market exclusivity. Other types of regulatory exclusivity may also be available, such as Generating New Antibiotic Incentives Now (GAIN) exclusivity, which can provide new antibiotic or new antifungal drugs an additional 5 years of marketing exclusivity to be added to certain exclusivities already provided for by law.</w:t>
      </w:r>
    </w:p>
    <w:p>
      <w:pPr>
        <w:spacing w:after="0" w:line="137"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Applicable laws and regulations dictate the scope of any exclusivity to which a product or particular characteristics of a product is entitled upon approval in any particular country. In certain instances, regulatory exclusivity may offer protection where patent protection is no longer available or for a period of time in excess of patent protection. It is not possible to estimate for each product in development the total period and scope of exclusivity to which it may become entitled until regulatory approval is obtained or sometimes even later. However, given the length of time required to complete clinical development of a pharmaceutical product, the periods of exclusivity that might be achieved in any individual case would not be expected to exceed a minimum of three years and a maximum of 14 years. These estimates do not consider other factors, such as the difficulty of recreating the manufacturing process for a particular product or other proprietary knowledge that may delay the introduction of a generic or other follow-on product after the expiration of applicable patent and other regulatory exclusivity periods.</w:t>
      </w:r>
    </w:p>
    <w:p>
      <w:pPr>
        <w:spacing w:after="0" w:line="144"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Biologics may be entitled to exclusivity under the Biologics Price Competition and Innovation Act, which was passed on March 23, 2010 as Title VII to the Patient Protection and Affordable Care Act. The law provides a pathway for approval of biosimilars following the expiration of 12 years of regulatory exclusivity for the innovator biologic and a potential additional 180 day-extension term for conducting pediatric studies. Biologics are also eligible for orphan drug exclusivity, as discussed above. The law also includes an extensive process for the innovator biologic and biosimilar manufacturer to litigate patent infringement, validity, and enforceability. The European Union has also created a pathway for approval of biosimilars and has published guidelines for approval of certain biosimilar products. The more complex nature of biologics and biosimilar products has led to close regulatory scrutiny over follow-on biosimilar products, which can reduce the effect of biosimilars on sales of the innovator biologic as compared to the sales erosion caused by generic versions of small molecule pharmaceutical products.</w:t>
      </w:r>
    </w:p>
    <w:p>
      <w:pPr>
        <w:spacing w:after="0" w:line="131" w:lineRule="exact"/>
        <w:rPr>
          <w:sz w:val="20"/>
          <w:szCs w:val="20"/>
          <w:color w:val="auto"/>
        </w:rPr>
      </w:pPr>
    </w:p>
    <w:p>
      <w:pPr>
        <w:jc w:val="both"/>
        <w:ind w:right="580" w:firstLine="445"/>
        <w:spacing w:after="0" w:line="256" w:lineRule="auto"/>
        <w:rPr>
          <w:sz w:val="20"/>
          <w:szCs w:val="20"/>
          <w:color w:val="auto"/>
        </w:rPr>
      </w:pPr>
      <w:r>
        <w:rPr>
          <w:rFonts w:ascii="Arial" w:cs="Arial" w:eastAsia="Arial" w:hAnsi="Arial"/>
          <w:sz w:val="18"/>
          <w:szCs w:val="18"/>
          <w:color w:val="auto"/>
        </w:rPr>
        <w:t>AbbVie owns or has licensed rights to a substantial number of patents and patent applications. AbbVie licenses or owns a patent portfolio of thousands of patent families, each of which includes United States patent applications and/or issued patents and may also contain the non-United States counterparts to these patents and applications.</w:t>
      </w:r>
    </w:p>
    <w:p>
      <w:pPr>
        <w:spacing w:after="0" w:line="134"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These patents and applications, including various patents that expire during the period 2021 to the late 2030s, in aggregate are believed to be of material importance in the operation of AbbVie’s business. However, AbbVie believes that no single patent, license, trademark (or related group of patents, licenses, or trademarks), except for those related to adalimumab (which is sold under the trademark Humira), are material in relation to the company’s business as a whole. The United States composition of matter (that is, compound) patent covering adalimumab expired in December 2016, and the equivalent European Union patent expired in October 2018 in the majority of European Union countries. In the United States, non-composition of matter patents covering adalimumab expire no earlier than 2022. AbbVie has entered into settlement and license agreements with several adalimumab biosimilar manufactures. Under the agreements, the license in the United States will begin in 2023 and the license in Europe began in 2018.</w:t>
      </w:r>
    </w:p>
    <w:p>
      <w:pPr>
        <w:spacing w:after="0" w:line="200" w:lineRule="exact"/>
        <w:rPr>
          <w:sz w:val="20"/>
          <w:szCs w:val="20"/>
          <w:color w:val="auto"/>
        </w:rPr>
      </w:pPr>
    </w:p>
    <w:p>
      <w:pPr>
        <w:spacing w:after="0" w:line="327"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7</w:t>
      </w:r>
      <w:r>
        <w:rPr>
          <w:sz w:val="20"/>
          <w:szCs w:val="20"/>
          <w:color w:val="auto"/>
        </w:rPr>
        <w:tab/>
      </w:r>
      <w:r>
        <w:rPr>
          <w:sz w:val="1"/>
          <w:szCs w:val="1"/>
          <w:color w:val="auto"/>
        </w:rPr>
        <w:drawing>
          <wp:inline distT="0" distB="0" distL="0" distR="0">
            <wp:extent cx="600075" cy="1117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0075" cy="11176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 w:name="page11"/>
    <w:bookmarkEnd w:id="10"/>
    <w:p>
      <w:pPr>
        <w:ind w:right="140" w:firstLine="445"/>
        <w:spacing w:after="0" w:line="254" w:lineRule="auto"/>
        <w:rPr>
          <w:sz w:val="20"/>
          <w:szCs w:val="20"/>
          <w:color w:val="auto"/>
        </w:rPr>
      </w:pPr>
      <w:r>
        <w:rPr>
          <w:rFonts w:ascii="Arial" w:cs="Arial" w:eastAsia="Arial" w:hAnsi="Arial"/>
          <w:sz w:val="18"/>
          <w:szCs w:val="18"/>
          <w:color w:val="auto"/>
        </w:rPr>
        <w:t>In addition, the following patents, licenses, and trademarks are significant: those related to ibrutinib (which is sold under the trademark Imbruvica) and those related to risankizumab (which is sold under the trademark Skyrizi). The United States composition of matter patent covering ibrutinib is expected to expire in 2027. The United States composition of matter patent covering risankizumab is expected to expire in 2033.</w:t>
      </w:r>
    </w:p>
    <w:p>
      <w:pPr>
        <w:spacing w:after="0" w:line="123"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AbbVie may rely, in some circumstances, on trade secrets to protect its technology. AbbVie seeks to protect its technology and product candidates, in part, by confidentiality agreements with its employees, consultants, advisors, contractors, and collaborators. These agreements may be breached and AbbVie may not have adequate remedies for any breach. In addition, AbbVie’s trade secrets may otherwise become known or be independently discovered by competitors. To the extent that AbbVie’s employees, consultants, advisors, contractors, and collaborators use intellectual property owned by others in their work for the company, disputes may arise as to the rights in related or resulting know-how and inventions.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Licensing, Acquisitions and Other Arrangements</w:t>
      </w:r>
    </w:p>
    <w:p>
      <w:pPr>
        <w:spacing w:after="0" w:line="180"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In addition to its independent efforts to develop and market products, AbbVie enters into arrangements such as acquisitions, option-to-acquire agreements, licensing arrangements, option-to-license arrangements, strategic alliances, co-promotion arrangements, co-development and co-marketing agreements, and joint ventures. The acquisitions and option-to-acquire agreements typically include, among other terms and conditions, non-refundable purchase price payments or option fees, option exercise payments, milestones or earn-outs, and other customary terms and obligations. The licensing and other arrangements typically include, among other terms and conditions, non-refundable upfront license fees, option fees and option exercise payments, milestone payments and royalty and/or profit sharing obligations. See Note 5, "Licensing, Acquisitions and Other Arrangements—Other Licensing &amp; Acquisitions Activity," to the Consolidated Financial Statements included under Item 8, "Financial Statements and Supplementary Data."</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Third Party Agreements</w:t>
      </w:r>
    </w:p>
    <w:p>
      <w:pPr>
        <w:spacing w:after="0" w:line="180"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AbbVie has agreements with third parties for process development, product distribution, analytical services and manufacturing of certain products. AbbVie procures certain products and services from a limited number of suppliers and, in some cases, a single supply source. In addition, AbbVie has agreements with third parties for active pharmaceutical ingredient and product manufacturing, formulation and development services, fill, finish and packaging services, transportation and distribution and logistics services for certain products. AbbVie does not believe that these manufacturing related agreements are material because AbbVie's business is not substantially dependent on any individual agreement. In most cases, AbbVie maintains alternate supply relationships that it can utilize without undue disruption of its manufacturing processes if a third party fails to perform its contractual obligations. AbbVie also maintains sufficient inventory of product to minimize the impact of any supply disruption.</w:t>
      </w:r>
    </w:p>
    <w:p>
      <w:pPr>
        <w:spacing w:after="0" w:line="138" w:lineRule="exact"/>
        <w:rPr>
          <w:sz w:val="20"/>
          <w:szCs w:val="20"/>
          <w:color w:val="auto"/>
        </w:rPr>
      </w:pPr>
    </w:p>
    <w:p>
      <w:pPr>
        <w:ind w:right="540" w:firstLine="445"/>
        <w:spacing w:after="0" w:line="256" w:lineRule="auto"/>
        <w:rPr>
          <w:sz w:val="20"/>
          <w:szCs w:val="20"/>
          <w:color w:val="auto"/>
        </w:rPr>
      </w:pPr>
      <w:r>
        <w:rPr>
          <w:rFonts w:ascii="Arial" w:cs="Arial" w:eastAsia="Arial" w:hAnsi="Arial"/>
          <w:sz w:val="18"/>
          <w:szCs w:val="18"/>
          <w:color w:val="auto"/>
        </w:rPr>
        <w:t>AbbVie is also party to certain collaborations and other arrangements, as discussed in Note 5, "Licensing, Acquisitions and Other Arrangements—Other Licensing &amp; Acquisitions Activity," to the Consolidated Financial Statements included under Item 8, "Financial Statements and Supplementary Data."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Sources and Availability of Raw Materials</w:t>
      </w:r>
    </w:p>
    <w:p>
      <w:pPr>
        <w:spacing w:after="0" w:line="180"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AbbVie purchases, in the ordinary course of business, raw materials and supplies essential to its operations from numerous suppliers around the world. In addition, certain medical devices and components necessary for the manufacture of AbbVie products are provided by unaffiliated third party suppliers. Other than the Lupron near-term supply issue which has impacted availability of certain formulations, AbbVie has not experienced any recent significant availability problems or supply shortages that impacted fulfillment of product demand.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Research and Development Activities</w:t>
      </w:r>
    </w:p>
    <w:p>
      <w:pPr>
        <w:spacing w:after="0" w:line="166" w:lineRule="exact"/>
        <w:rPr>
          <w:sz w:val="20"/>
          <w:szCs w:val="20"/>
          <w:color w:val="auto"/>
        </w:rPr>
      </w:pPr>
    </w:p>
    <w:p>
      <w:pPr>
        <w:ind w:right="140" w:firstLine="445"/>
        <w:spacing w:after="0" w:line="252" w:lineRule="auto"/>
        <w:rPr>
          <w:sz w:val="20"/>
          <w:szCs w:val="20"/>
          <w:color w:val="auto"/>
        </w:rPr>
      </w:pPr>
      <w:r>
        <w:rPr>
          <w:rFonts w:ascii="Arial" w:cs="Arial" w:eastAsia="Arial" w:hAnsi="Arial"/>
          <w:sz w:val="18"/>
          <w:szCs w:val="18"/>
          <w:color w:val="auto"/>
        </w:rPr>
        <w:t>AbbVie makes a significant investment in research and development and has numerous compounds in clinical development, including potential treatments for complex, life-threatening diseases. AbbVie's ability to discover and develop new compounds is enhanced by the company's use of integrated discovery and development project teams, which include chemists, biologists, physicians and pharmacologists who work on the same compounds as a team. AbbVie also partners with third parties, such as biotechnology companies, other pharmaceutical companies and academic institutions to identify and prioritize promising new treatments that complement and enhance AbbVie’s existing portfolio. AbbVie also supplements its research and development efforts with acquisitions.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042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8</w:t>
            </w:r>
          </w:p>
        </w:tc>
      </w:tr>
      <w:tr>
        <w:trPr>
          <w:trHeight w:val="201"/>
        </w:trPr>
        <w:tc>
          <w:tcPr>
            <w:tcW w:w="1042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-334010</wp:posOffset>
            </wp:positionV>
            <wp:extent cx="600075" cy="1111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0075" cy="11112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1" w:name="page12"/>
    <w:bookmarkEnd w:id="11"/>
    <w:p>
      <w:pPr>
        <w:ind w:right="20" w:firstLine="445"/>
        <w:spacing w:after="0" w:line="256" w:lineRule="auto"/>
        <w:rPr>
          <w:sz w:val="20"/>
          <w:szCs w:val="20"/>
          <w:color w:val="auto"/>
        </w:rPr>
      </w:pPr>
      <w:r>
        <w:rPr>
          <w:rFonts w:ascii="Arial" w:cs="Arial" w:eastAsia="Arial" w:hAnsi="Arial"/>
          <w:sz w:val="18"/>
          <w:szCs w:val="18"/>
          <w:color w:val="auto"/>
        </w:rPr>
        <w:t>The research and development process generally begins with discovery research which focuses on the identification of a molecule that has a desired effect against a given disease. If preclinical testing of an identified compound proves successful, the compound moves into clinical development which generally includes the following phases:</w:t>
      </w:r>
    </w:p>
    <w:p>
      <w:pPr>
        <w:spacing w:after="0" w:line="121" w:lineRule="exact"/>
        <w:rPr>
          <w:sz w:val="20"/>
          <w:szCs w:val="20"/>
          <w:color w:val="auto"/>
        </w:rPr>
      </w:pPr>
    </w:p>
    <w:p>
      <w:pPr>
        <w:ind w:left="980" w:right="420" w:hanging="486"/>
        <w:spacing w:after="0" w:line="261" w:lineRule="auto"/>
        <w:tabs>
          <w:tab w:leader="none" w:pos="948"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Phase 1—involves the first human tests in a small number of healthy volunteers or patients to assess safety, tolerability and potential dosing.</w:t>
      </w:r>
    </w:p>
    <w:p>
      <w:pPr>
        <w:spacing w:after="0" w:line="130" w:lineRule="exact"/>
        <w:rPr>
          <w:rFonts w:ascii="Arial" w:cs="Arial" w:eastAsia="Arial" w:hAnsi="Arial"/>
          <w:sz w:val="18"/>
          <w:szCs w:val="18"/>
          <w:color w:val="auto"/>
        </w:rPr>
      </w:pPr>
    </w:p>
    <w:p>
      <w:pPr>
        <w:ind w:left="940" w:hanging="446"/>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Phase 2—tests the drug's efficacy against the disease in a relatively small group of patients.</w:t>
      </w:r>
    </w:p>
    <w:p>
      <w:pPr>
        <w:spacing w:after="0" w:line="157" w:lineRule="exact"/>
        <w:rPr>
          <w:rFonts w:ascii="Arial" w:cs="Arial" w:eastAsia="Arial" w:hAnsi="Arial"/>
          <w:sz w:val="18"/>
          <w:szCs w:val="18"/>
          <w:color w:val="auto"/>
        </w:rPr>
      </w:pPr>
    </w:p>
    <w:p>
      <w:pPr>
        <w:ind w:left="980" w:right="420" w:hanging="486"/>
        <w:spacing w:after="0" w:line="261" w:lineRule="auto"/>
        <w:tabs>
          <w:tab w:leader="none" w:pos="948"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Phase 3—tests a drug that demonstrates favorable results in the earlier phases in a significantly larger patient population to further demonstrate efficacy and safety based on regulatory criteria.</w:t>
      </w:r>
    </w:p>
    <w:p>
      <w:pPr>
        <w:spacing w:after="0" w:line="117"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The clinical trials from all of the development phases provide the data required to prepare and submit an NDA, a Biological License Application (BLA) or other submission for regulatory approval to the FDA or similar government agencies outside the United States. The specific requirements (e.g., scope of clinical trials) for obtaining regulatory approval vary across different countries and geographic regions.</w:t>
      </w:r>
    </w:p>
    <w:p>
      <w:pPr>
        <w:spacing w:after="0" w:line="134" w:lineRule="exact"/>
        <w:rPr>
          <w:sz w:val="20"/>
          <w:szCs w:val="20"/>
          <w:color w:val="auto"/>
        </w:rPr>
      </w:pPr>
    </w:p>
    <w:p>
      <w:pPr>
        <w:ind w:right="520" w:firstLine="445"/>
        <w:spacing w:after="0" w:line="256" w:lineRule="auto"/>
        <w:rPr>
          <w:sz w:val="20"/>
          <w:szCs w:val="20"/>
          <w:color w:val="auto"/>
        </w:rPr>
      </w:pPr>
      <w:r>
        <w:rPr>
          <w:rFonts w:ascii="Arial" w:cs="Arial" w:eastAsia="Arial" w:hAnsi="Arial"/>
          <w:sz w:val="18"/>
          <w:szCs w:val="18"/>
          <w:color w:val="auto"/>
        </w:rPr>
        <w:t>The research and development process from discovery through a new drug launch typically takes 8 to 12 years and can be even longer. The research and development of new pharmaceutical products has a significant amount of inherent uncertainty. There is no guarantee when, or if, a molecule will receive the regulatory approval required to launch a new drug or indication.</w:t>
      </w:r>
    </w:p>
    <w:p>
      <w:pPr>
        <w:spacing w:after="0" w:line="134" w:lineRule="exact"/>
        <w:rPr>
          <w:sz w:val="20"/>
          <w:szCs w:val="20"/>
          <w:color w:val="auto"/>
        </w:rPr>
      </w:pPr>
    </w:p>
    <w:p>
      <w:pPr>
        <w:ind w:right="220" w:firstLine="445"/>
        <w:spacing w:after="0" w:line="256" w:lineRule="auto"/>
        <w:rPr>
          <w:sz w:val="20"/>
          <w:szCs w:val="20"/>
          <w:color w:val="auto"/>
        </w:rPr>
      </w:pPr>
      <w:r>
        <w:rPr>
          <w:rFonts w:ascii="Arial" w:cs="Arial" w:eastAsia="Arial" w:hAnsi="Arial"/>
          <w:sz w:val="18"/>
          <w:szCs w:val="18"/>
          <w:color w:val="auto"/>
        </w:rPr>
        <w:t>In addition to the development of new products and new formulations, research and development projects also may include Phase 4 trials, sometimes called post-marketing studies. For such projects, clinical trials are designed and conducted to collect additional data regarding, among other parameters, the benefits and risks of an approved drug.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Regulation—Discovery and Clinical Development</w:t>
      </w:r>
    </w:p>
    <w:p>
      <w:pPr>
        <w:spacing w:after="0" w:line="158"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b w:val="1"/>
          <w:bCs w:val="1"/>
          <w:i w:val="1"/>
          <w:iCs w:val="1"/>
          <w:color w:val="444867"/>
        </w:rPr>
        <w:t xml:space="preserve">United States. </w:t>
      </w:r>
      <w:r>
        <w:rPr>
          <w:rFonts w:ascii="Arial" w:cs="Arial" w:eastAsia="Arial" w:hAnsi="Arial"/>
          <w:sz w:val="18"/>
          <w:szCs w:val="18"/>
          <w:color w:val="000000"/>
        </w:rPr>
        <w:t>Securing approval to market a new pharmaceutical product in the United States requires substantial effort and</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financial resources and takes several years to complete. The applicant must complete preclinical tests and submit protocols to the FDA before commencing clinical trials. Clinical trials are intended to establish the safety and efficacy of the pharmaceutical product and typically are conducted in sequential phases, although the phases may overlap or be combined. If the required clinical testing is successful, the results are submitted to the FDA in the form of an NDA or BLA requesting approval to market the product for one or more indications. The FDA reviews an NDA or BLA to determine whether a product is safe and effective for its intended use and whether its manufacturing is compliant with current Good Manufacturing Practices (cGMP).</w:t>
      </w:r>
    </w:p>
    <w:p>
      <w:pPr>
        <w:spacing w:after="0" w:line="137" w:lineRule="exact"/>
        <w:rPr>
          <w:sz w:val="20"/>
          <w:szCs w:val="20"/>
          <w:color w:val="auto"/>
        </w:rPr>
      </w:pPr>
    </w:p>
    <w:p>
      <w:pPr>
        <w:ind w:firstLine="445"/>
        <w:spacing w:after="0" w:line="236" w:lineRule="auto"/>
        <w:rPr>
          <w:sz w:val="20"/>
          <w:szCs w:val="20"/>
          <w:color w:val="auto"/>
        </w:rPr>
      </w:pPr>
      <w:r>
        <w:rPr>
          <w:rFonts w:ascii="Arial" w:cs="Arial" w:eastAsia="Arial" w:hAnsi="Arial"/>
          <w:sz w:val="18"/>
          <w:szCs w:val="18"/>
          <w:color w:val="auto"/>
        </w:rPr>
        <w:t>Even if an NDA or a BLA receives approval, the applicant must comply with post-approval requirements. For example, holders of an approval must report adverse reactions, provide updated safety and efficacy information and comply with requirements concerning advertising and promotional materials and activities. Also, quality control and manufacturing procedures must continue to conform to cGMP after approval, and certain changes to the manufacturing procedures and finished product must be submitted and approved by the FDA prior to implementation. The FDA periodically inspects manufacturing facilities to assess compliance with cGMP, which imposes extensive procedural and record keeping requirements. In addition, as a condition of approval, the FDA may require post-marketing testing and surveillance to further assess and monitor the product's safety or efficacy after commercialization, which may require additional clinical trials, patient registries, observational data or additional work on chemistry, manufacturing and controls. Any post-approval regulatory obligations, and the cost of complying with such obligations, could expand in the future. Further, the FDA continues to regulate product labeling, and prohibits the promotion of products for unapproved or “off-label” uses along with other labeling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9</w:t>
      </w:r>
      <w:r>
        <w:rPr>
          <w:sz w:val="20"/>
          <w:szCs w:val="20"/>
          <w:color w:val="auto"/>
        </w:rPr>
        <w:tab/>
      </w:r>
      <w:r>
        <w:rPr>
          <w:sz w:val="1"/>
          <w:szCs w:val="1"/>
          <w:color w:val="auto"/>
        </w:rPr>
        <w:drawing>
          <wp:inline distT="0" distB="0" distL="0" distR="0">
            <wp:extent cx="600075" cy="1111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97" w:right="399" w:bottom="1440" w:gutter="0" w:footer="0" w:header="0"/>
        </w:sectPr>
      </w:pPr>
    </w:p>
    <w:bookmarkStart w:id="12" w:name="page13"/>
    <w:bookmarkEnd w:id="12"/>
    <w:p>
      <w:pPr>
        <w:ind w:firstLine="445"/>
        <w:spacing w:after="0" w:line="238" w:lineRule="auto"/>
        <w:rPr>
          <w:sz w:val="20"/>
          <w:szCs w:val="20"/>
          <w:color w:val="auto"/>
        </w:rPr>
      </w:pPr>
      <w:r>
        <w:rPr>
          <w:rFonts w:ascii="Arial" w:cs="Arial" w:eastAsia="Arial" w:hAnsi="Arial"/>
          <w:sz w:val="18"/>
          <w:szCs w:val="18"/>
          <w:b w:val="1"/>
          <w:bCs w:val="1"/>
          <w:i w:val="1"/>
          <w:iCs w:val="1"/>
          <w:color w:val="444867"/>
        </w:rPr>
        <w:t xml:space="preserve">Outside the United States. </w:t>
      </w:r>
      <w:r>
        <w:rPr>
          <w:rFonts w:ascii="Arial" w:cs="Arial" w:eastAsia="Arial" w:hAnsi="Arial"/>
          <w:sz w:val="18"/>
          <w:szCs w:val="18"/>
          <w:color w:val="000000"/>
        </w:rPr>
        <w:t>AbbVie is subject to similar regulatory requirements outside the United States for approval and marketing</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of pharmaceutical products. AbbVie must obtain approval of a clinical trial application or product from applicable supervising regulatory authorities before it can commence clinical trials or marketing of the product in target markets. The approval requirements and process for each country can vary, and the time required to obtain approval may be longer or shorter than that required for FDA approval in the United States. For example, AbbVie may submit marketing authorizations in the European Union under either a centralized or decentralized procedure. The centralized procedure is mandatory for the approval of biotechnology products and many pharmaceutical products and provides for a single marketing authorization that is valid for all European Union member states. Under the centralized procedure, a single marketing authorization application is submitted to the European Medicines Agency (EMA). After the agency evaluates the application, it makes a recommendation to the European Commission, which then makes the final determination on whether to approve the application. The decentralized procedure provides for mutual recognition of individual national approval decisions and is available for products that are not subject to the centralized procedure.</w:t>
      </w:r>
    </w:p>
    <w:p>
      <w:pPr>
        <w:spacing w:after="0" w:line="127"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In Japan, applications for approval of a new product are made through the Pharmaceutical and Medical Devices Agency (PMDA). Japan-specific trials and/or bridging studies to demonstrate that the non-Japanese clinical data applies to Japanese patients may be required. After completing a comprehensive review, the PMDA reports to the Ministry of Health, Labour and Welfare, which then approves or denies the application.</w:t>
      </w:r>
    </w:p>
    <w:p>
      <w:pPr>
        <w:spacing w:after="0" w:line="136" w:lineRule="exact"/>
        <w:rPr>
          <w:sz w:val="20"/>
          <w:szCs w:val="20"/>
          <w:color w:val="auto"/>
        </w:rPr>
      </w:pPr>
    </w:p>
    <w:p>
      <w:pPr>
        <w:ind w:right="160" w:firstLine="445"/>
        <w:spacing w:after="0"/>
        <w:rPr>
          <w:sz w:val="20"/>
          <w:szCs w:val="20"/>
          <w:color w:val="auto"/>
        </w:rPr>
      </w:pPr>
      <w:r>
        <w:rPr>
          <w:rFonts w:ascii="Arial" w:cs="Arial" w:eastAsia="Arial" w:hAnsi="Arial"/>
          <w:sz w:val="18"/>
          <w:szCs w:val="18"/>
          <w:color w:val="auto"/>
        </w:rPr>
        <w:t>Similarly, applications for a new product in China are submitted to the Center for Drug Evaluation (CDE) of the National Medical Products Administration (NMPA) for technical review and approval of a product for marketing in China. Clinical data in Chinese subjects are required to support approval in China, requiring the inclusion of China in global pivotal studies, or a separate China/Asian clinical trial.</w:t>
      </w:r>
    </w:p>
    <w:p>
      <w:pPr>
        <w:spacing w:after="0" w:line="135" w:lineRule="exact"/>
        <w:rPr>
          <w:sz w:val="20"/>
          <w:szCs w:val="20"/>
          <w:color w:val="auto"/>
        </w:rPr>
      </w:pPr>
    </w:p>
    <w:p>
      <w:pPr>
        <w:ind w:right="120" w:firstLine="445"/>
        <w:spacing w:after="0" w:line="238" w:lineRule="auto"/>
        <w:rPr>
          <w:sz w:val="20"/>
          <w:szCs w:val="20"/>
          <w:color w:val="auto"/>
        </w:rPr>
      </w:pPr>
      <w:r>
        <w:rPr>
          <w:rFonts w:ascii="Arial" w:cs="Arial" w:eastAsia="Arial" w:hAnsi="Arial"/>
          <w:sz w:val="18"/>
          <w:szCs w:val="18"/>
          <w:color w:val="auto"/>
        </w:rPr>
        <w:t>The regulatory process in many emerging markets continues to evolve. Many emerging markets, including those in Asia, generally require regulatory approval to have been obtained in a large developed market (such as the United States or Europe) before the country will begin or complete its regulatory review process. Similar to the requirements in Japan and China, certain countries (notably South Korea, Taiwan and Russia) also require that local clinical studies be conducted in order to support regulatory approval in the country.</w:t>
      </w:r>
    </w:p>
    <w:p>
      <w:pPr>
        <w:spacing w:after="0" w:line="124"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The requirements governing the conduct of clinical trials and product licensing also vary. In addition, post-approval regulatory obligations such as adverse event reporting and cGMP compliance generally apply and may vary by country. For example, after a marketing authorization has been granted in the European Union, periodic safety reports must be submitted and other pharmacovigilance measures may be required (such as Risk Management Plans).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Regulation—Commercialization, Distribution and Manufacturing</w:t>
      </w:r>
    </w:p>
    <w:p>
      <w:pPr>
        <w:spacing w:after="0" w:line="180" w:lineRule="exact"/>
        <w:rPr>
          <w:sz w:val="20"/>
          <w:szCs w:val="20"/>
          <w:color w:val="auto"/>
        </w:rPr>
      </w:pPr>
    </w:p>
    <w:p>
      <w:pPr>
        <w:ind w:right="240" w:firstLine="445"/>
        <w:spacing w:after="0" w:line="251" w:lineRule="auto"/>
        <w:rPr>
          <w:sz w:val="20"/>
          <w:szCs w:val="20"/>
          <w:color w:val="auto"/>
        </w:rPr>
      </w:pPr>
      <w:r>
        <w:rPr>
          <w:rFonts w:ascii="Arial" w:cs="Arial" w:eastAsia="Arial" w:hAnsi="Arial"/>
          <w:sz w:val="18"/>
          <w:szCs w:val="18"/>
          <w:color w:val="auto"/>
        </w:rPr>
        <w:t>The manufacture, marketing, sale, promotion and distribution of AbbVie's products are subject to comprehensive government regulation. Government regulation by various national, regional, federal, state and local agencies, both in the United States and other countries, addresses (among other matters) inspection of, and controls over, research and laboratory procedures, clinical investigations, product approvals and manufacturing, labeling, packaging, marketing and promotion, pricing and reimbursement, sampling, distribution, quality control, post-marketing surveillance, record keeping, storage and disposal practices. AbbVie's operations are also affected by trade regulations in many countries that limit the import of raw materials and finished products and by laws and regulations that seek to prevent corruption and bribery in the marketplace (including the United States Foreign Corrupt Practices Act and the United Kingdom Bribery Act, which provide guidance on corporate interactions with government officials) and require safeguards for the protection of personal data. In addition, AbbVie is subject to laws and regulations pertaining to health care fraud and abuse, including state and federal anti-kickback and false claims laws in the United States. Prescription drug manufacturers such as AbbVie are also subject to taxes, as well as application, product, user and other fees.</w:t>
      </w:r>
    </w:p>
    <w:p>
      <w:pPr>
        <w:spacing w:after="0" w:line="130"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Compliance with these laws and regulations is costly and materially affects AbbVie's business. Among other effects, health care regulations substantially increase the time, difficulty and costs incurred in obtaining and maintaining approval to market newly developed and existing products. AbbVie expects compliance with these regulations to continue to require significant technical expertise and capital investment to ensure compliance. Failure to comply can delay the release of a new product or result in regulatory and enforcement actions, the seizure or recall of a product, the suspension or revocation of the authority necessary for a product's production and sale and other civil or criminal sanctions, including fines and penalties.</w:t>
      </w:r>
    </w:p>
    <w:p>
      <w:pPr>
        <w:spacing w:after="0" w:line="141"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In addition to regulatory initiatives, AbbVie's business can be affected by ongoing studies of the utilization, safety, efficacy and outcomes of health care products and their components that are regularly conducted by industry participants, government agencies and others. These studies can lead to updates to the data regarding utilization, safety and efficacy of previously marketed products. In some cases, these studies have resulted, and may in the future result, in the discontinuance of, or limitations on, marketing of such products domestically or worldwide, and may give rise to claims for damages from persons who believe they have been injured as a result of their use.</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10</w:t>
            </w:r>
          </w:p>
        </w:tc>
      </w:tr>
      <w:tr>
        <w:trPr>
          <w:trHeight w:val="201"/>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-334010</wp:posOffset>
            </wp:positionV>
            <wp:extent cx="600075" cy="1111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0075" cy="11112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13" w:name="page14"/>
    <w:bookmarkEnd w:id="13"/>
    <w:p>
      <w:pPr>
        <w:ind w:firstLine="445"/>
        <w:spacing w:after="0" w:line="252" w:lineRule="auto"/>
        <w:rPr>
          <w:sz w:val="20"/>
          <w:szCs w:val="20"/>
          <w:color w:val="auto"/>
        </w:rPr>
      </w:pPr>
      <w:r>
        <w:rPr>
          <w:rFonts w:ascii="Arial" w:cs="Arial" w:eastAsia="Arial" w:hAnsi="Arial"/>
          <w:sz w:val="18"/>
          <w:szCs w:val="18"/>
          <w:color w:val="auto"/>
        </w:rPr>
        <w:t>Access to human health care products continues to be a subject of oversight, investigation and action by governmental agencies, legislative bodies and private organizations in the United States and other countries. A major focus is cost containment. Efforts to reduce health care costs are also being made in the private sector, notably by health care payers and providers, which have instituted various cost reduction and containment measures. AbbVie expects insurers and providers to continue attempts to reduce the cost of health care products. Outside the United States, many countries control the price of health care products directly or indirectly, through reimbursement, payment, pricing, coverage limitations, or compulsory licensing. Political and budgetary pressures in the United States and in other countries may also heighten the scope and severity of pricing pressures on AbbVie's products for the foreseeable future.</w:t>
      </w:r>
    </w:p>
    <w:p>
      <w:pPr>
        <w:spacing w:after="0" w:line="104" w:lineRule="exact"/>
        <w:rPr>
          <w:sz w:val="20"/>
          <w:szCs w:val="20"/>
          <w:color w:val="auto"/>
        </w:rPr>
      </w:pPr>
    </w:p>
    <w:p>
      <w:pPr>
        <w:ind w:right="20" w:firstLine="495"/>
        <w:spacing w:after="0" w:line="255" w:lineRule="auto"/>
        <w:rPr>
          <w:sz w:val="20"/>
          <w:szCs w:val="20"/>
          <w:color w:val="auto"/>
        </w:rPr>
      </w:pPr>
      <w:r>
        <w:rPr>
          <w:rFonts w:ascii="Arial" w:cs="Arial" w:eastAsia="Arial" w:hAnsi="Arial"/>
          <w:sz w:val="18"/>
          <w:szCs w:val="18"/>
          <w:b w:val="1"/>
          <w:bCs w:val="1"/>
          <w:i w:val="1"/>
          <w:iCs w:val="1"/>
          <w:color w:val="444867"/>
        </w:rPr>
        <w:t xml:space="preserve">United States. </w:t>
      </w:r>
      <w:r>
        <w:rPr>
          <w:rFonts w:ascii="Arial" w:cs="Arial" w:eastAsia="Arial" w:hAnsi="Arial"/>
          <w:sz w:val="18"/>
          <w:szCs w:val="18"/>
          <w:color w:val="000000"/>
        </w:rPr>
        <w:t>Specifically, U.S. federal laws require pharmaceutical manufacturers to pay certain statutorily-prescribed rebates to</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state Medicaid programs on prescription drugs reimbursed under state Medicaid plans, and the efforts by states to seek additional rebates affect AbbVie's business. Similarly, the Veterans Health Care Act of 1992, as a prerequisite to participation in Medicaid and other federal health care programs, requires that manufacturers extend additional discounts on pharmaceutical products to various federal agencies, including the United States Department of Veterans Affairs, Department of Defense and Public Health Service entities and institutions. In addition, recent legislative changes would require similarly discounted prices to be offered to TRICARE program beneficiaries. The Veterans Health Care Act of 1992 also established the 340B drug discount program, which requires pharmaceutical manufacturers to provide products at reduced prices to various designated health care entities and facilities.</w:t>
      </w:r>
    </w:p>
    <w:p>
      <w:pPr>
        <w:spacing w:after="0" w:line="139"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In the United States, most states also have generic substitution legislation requiring or permitting a dispensing pharmacist to substitute a different manufacturer's generic version of a pharmaceutical product for the one prescribed. In addition, the federal government follows a diagnosis-related group (DRG) payment system for certain institutional services provided under Medicare or Medicaid and has implemented a prospective payment system (PPS) for services delivered in hospital outpatient, nursing home and home health settings. DRG and PPS entitle a health care facility to a fixed reimbursement based on the diagnosis and/or procedure rather than actual costs incurred in patient treatment, thereby increasing the incentive for the facility to limit or control expenditures for many health care products. Medicare reimburses Part B drugs based on average sales price plus a certain percentage to account for physician administration costs, which have been reduced in the hospital outpatient setting. Medicare enters into contracts with private plans to negotiate prices for most patient-administered medicine delivered under Part D.</w:t>
      </w:r>
    </w:p>
    <w:p>
      <w:pPr>
        <w:spacing w:after="0" w:line="144" w:lineRule="exact"/>
        <w:rPr>
          <w:sz w:val="20"/>
          <w:szCs w:val="20"/>
          <w:color w:val="auto"/>
        </w:rPr>
      </w:pPr>
    </w:p>
    <w:p>
      <w:pPr>
        <w:jc w:val="both"/>
        <w:ind w:right="200" w:firstLine="445"/>
        <w:spacing w:after="0" w:line="256" w:lineRule="auto"/>
        <w:rPr>
          <w:sz w:val="20"/>
          <w:szCs w:val="20"/>
          <w:color w:val="auto"/>
        </w:rPr>
      </w:pPr>
      <w:r>
        <w:rPr>
          <w:rFonts w:ascii="Arial" w:cs="Arial" w:eastAsia="Arial" w:hAnsi="Arial"/>
          <w:sz w:val="18"/>
          <w:szCs w:val="18"/>
          <w:color w:val="auto"/>
        </w:rPr>
        <w:t>Under the Patient Protection and Affordable Care Act and the Health Care and Education Reconciliation Act (together, the Affordable Care Act), AbbVie pays a fee related to its pharmaceuticals sales to government programs. In addition, AbbVie provides a discount of 50% for branded prescription drugs sold to patients who fall into the Medicare Part D coverage gap, or "donut hole."</w:t>
      </w:r>
    </w:p>
    <w:p>
      <w:pPr>
        <w:spacing w:after="0" w:line="121"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The Affordable Care Act also includes provisions known as the Physician Payments Sunshine Act, which require manufacturers of drugs and biologics covered under Medicare and Medicaid to record any transfers of value to physicians and teaching hospitals and to report this data to the Centers for Medicare and Medicaid Services for subsequent public disclosure. Similar reporting requirements have also been enacted on the state level in the United States, and an increasing number of countries worldwide either have adopted or are considering similar laws requiring disclosure of interactions with health care professionals. Failure to report appropriate data may result in civil or criminal fines and/or penalties.</w:t>
      </w:r>
    </w:p>
    <w:p>
      <w:pPr>
        <w:spacing w:after="0" w:line="140"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AbbVie expects debate to continue during 2021 at all government levels worldwide over the marketing, availability, method of delivery and payment for health care products and services. AbbVie believes that future legislation and regulation in the markets it serves could affect access to health care products and services, increase rebates, reduce prices or the rate of price increases for health care products and services, change health care delivery systems, create new fees and obligations for the pharmaceuticals industry, or require additional reporting and disclosure. It is not possible to predict the extent to which AbbVie or the health care industry in general might be affected by the matters discussed above.</w:t>
      </w:r>
    </w:p>
    <w:p>
      <w:pPr>
        <w:spacing w:after="0" w:line="118"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b w:val="1"/>
          <w:bCs w:val="1"/>
          <w:i w:val="1"/>
          <w:iCs w:val="1"/>
          <w:color w:val="444867"/>
        </w:rPr>
        <w:t xml:space="preserve">European Union. </w:t>
      </w:r>
      <w:r>
        <w:rPr>
          <w:rFonts w:ascii="Arial" w:cs="Arial" w:eastAsia="Arial" w:hAnsi="Arial"/>
          <w:sz w:val="18"/>
          <w:szCs w:val="18"/>
          <w:color w:val="000000"/>
        </w:rPr>
        <w:t>The European Union has adopted directives and other legislation governing labeling, advertising, distribution,</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supply, pharmacovigilance and marketing of pharmaceutical products. Such legislation provides mandatory standards throughout the European Union and permits member states to supplement these standards with additional regulations. European governments also regulate pharmaceutical product prices through their control of national health care systems that fund a large part of the cost of such products to consumers. As a result, patients are unlikely to use a pharmaceutical product that is not reimbursed by the government. In many European countries, the government either regulates the pricing of a new product at launch or subsequent to launch through direct price controls or reference pricing. In recent years, many countries have also imposed new or additional cost containment measures on pharmaceutical products. Differences between national pricing regimes create price differentials within the European Union that can lead to significant parallel trade in pharmaceutical products.</w:t>
      </w: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11</w:t>
      </w:r>
      <w:r>
        <w:rPr>
          <w:sz w:val="20"/>
          <w:szCs w:val="20"/>
          <w:color w:val="auto"/>
        </w:rPr>
        <w:tab/>
      </w:r>
      <w:r>
        <w:rPr>
          <w:sz w:val="1"/>
          <w:szCs w:val="1"/>
          <w:color w:val="auto"/>
        </w:rPr>
        <w:drawing>
          <wp:inline distT="0" distB="0" distL="0" distR="0">
            <wp:extent cx="600075" cy="11176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0075" cy="11176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14" w:name="page15"/>
    <w:bookmarkEnd w:id="14"/>
    <w:p>
      <w:pPr>
        <w:ind w:right="220" w:firstLine="445"/>
        <w:spacing w:after="0" w:line="253" w:lineRule="auto"/>
        <w:rPr>
          <w:sz w:val="20"/>
          <w:szCs w:val="20"/>
          <w:color w:val="auto"/>
        </w:rPr>
      </w:pPr>
      <w:r>
        <w:rPr>
          <w:rFonts w:ascii="Arial" w:cs="Arial" w:eastAsia="Arial" w:hAnsi="Arial"/>
          <w:sz w:val="18"/>
          <w:szCs w:val="18"/>
          <w:color w:val="auto"/>
        </w:rPr>
        <w:t>Most governments also promote generic substitution by mandating or permitting a pharmacist to substitute a different manufacturer's generic version of a pharmaceutical product for the one prescribed and by permitting or mandating that health care professionals prescribe generic versions in certain circumstances. Many governments are also following a similar path for biosimilar therapies. In addition, governments use reimbursement lists to limit the pharmaceutical products that are eligible for reimbursement by national health care systems.</w:t>
      </w:r>
    </w:p>
    <w:p>
      <w:pPr>
        <w:spacing w:after="0" w:line="102" w:lineRule="exact"/>
        <w:rPr>
          <w:sz w:val="20"/>
          <w:szCs w:val="20"/>
          <w:color w:val="auto"/>
        </w:rPr>
      </w:pPr>
    </w:p>
    <w:p>
      <w:pPr>
        <w:ind w:right="300" w:firstLine="495"/>
        <w:spacing w:after="0" w:line="259" w:lineRule="auto"/>
        <w:rPr>
          <w:sz w:val="20"/>
          <w:szCs w:val="20"/>
          <w:color w:val="auto"/>
        </w:rPr>
      </w:pPr>
      <w:r>
        <w:rPr>
          <w:rFonts w:ascii="Arial" w:cs="Arial" w:eastAsia="Arial" w:hAnsi="Arial"/>
          <w:sz w:val="18"/>
          <w:szCs w:val="18"/>
          <w:b w:val="1"/>
          <w:bCs w:val="1"/>
          <w:i w:val="1"/>
          <w:iCs w:val="1"/>
          <w:color w:val="444867"/>
        </w:rPr>
        <w:t xml:space="preserve">Japan. </w:t>
      </w:r>
      <w:r>
        <w:rPr>
          <w:rFonts w:ascii="Arial" w:cs="Arial" w:eastAsia="Arial" w:hAnsi="Arial"/>
          <w:sz w:val="18"/>
          <w:szCs w:val="18"/>
          <w:color w:val="000000"/>
        </w:rPr>
        <w:t>In Japan, the National Health Insurance system maintains a Drug Price List specifying which pharmaceutical products are</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eligible for reimbursement, and the Ministry of Health, Labour and Welfare sets the prices of the products on this list. The government generally introduces price cut rounds every other year and also mandates price decreases for specific products. New products judged innovative or useful, that are indicated for pediatric use, or that target orphan or small population diseases, however, may be eligible for a pricing premium. The government has also promoted the use of generics, where available.</w:t>
      </w:r>
    </w:p>
    <w:p>
      <w:pPr>
        <w:spacing w:after="0" w:line="112" w:lineRule="exact"/>
        <w:rPr>
          <w:sz w:val="20"/>
          <w:szCs w:val="20"/>
          <w:color w:val="auto"/>
        </w:rPr>
      </w:pPr>
    </w:p>
    <w:p>
      <w:pPr>
        <w:ind w:right="40" w:firstLine="495"/>
        <w:spacing w:after="0" w:line="287" w:lineRule="auto"/>
        <w:rPr>
          <w:sz w:val="20"/>
          <w:szCs w:val="20"/>
          <w:color w:val="auto"/>
        </w:rPr>
      </w:pPr>
      <w:r>
        <w:rPr>
          <w:rFonts w:ascii="Arial" w:cs="Arial" w:eastAsia="Arial" w:hAnsi="Arial"/>
          <w:sz w:val="18"/>
          <w:szCs w:val="18"/>
          <w:b w:val="1"/>
          <w:bCs w:val="1"/>
          <w:i w:val="1"/>
          <w:iCs w:val="1"/>
          <w:color w:val="444867"/>
        </w:rPr>
        <w:t xml:space="preserve">Emerging Markets. </w:t>
      </w:r>
      <w:r>
        <w:rPr>
          <w:rFonts w:ascii="Arial" w:cs="Arial" w:eastAsia="Arial" w:hAnsi="Arial"/>
          <w:sz w:val="18"/>
          <w:szCs w:val="18"/>
          <w:color w:val="000000"/>
        </w:rPr>
        <w:t>Many emerging markets take steps to reduce pharmaceutical product prices, in some cases through direct price</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controls and in others through the promotion of generic/biosimilar alternatives to branded pharmaceuticals.</w:t>
      </w:r>
    </w:p>
    <w:p>
      <w:pPr>
        <w:spacing w:after="0" w:line="107" w:lineRule="exact"/>
        <w:rPr>
          <w:sz w:val="20"/>
          <w:szCs w:val="20"/>
          <w:color w:val="auto"/>
        </w:rPr>
      </w:pPr>
    </w:p>
    <w:p>
      <w:pPr>
        <w:ind w:right="320" w:firstLine="445"/>
        <w:spacing w:after="0" w:line="254" w:lineRule="auto"/>
        <w:rPr>
          <w:sz w:val="20"/>
          <w:szCs w:val="20"/>
          <w:color w:val="auto"/>
        </w:rPr>
      </w:pPr>
      <w:r>
        <w:rPr>
          <w:rFonts w:ascii="Arial" w:cs="Arial" w:eastAsia="Arial" w:hAnsi="Arial"/>
          <w:sz w:val="18"/>
          <w:szCs w:val="18"/>
          <w:color w:val="auto"/>
        </w:rPr>
        <w:t>Since AbbVie markets its products worldwide, certain products of a local nature and variations of product lines must also meet other local regulatory requirements. Certain additional risks are inherent in conducting business outside the United States, including price and currency exchange controls, changes in currency exchange rates, limitations on participation in local enterprises, expropriation, nationalization and other governmental action.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Regulation – Medical Devices</w:t>
      </w:r>
    </w:p>
    <w:p>
      <w:pPr>
        <w:spacing w:after="0" w:line="180"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Medical devices are subject to regulation by the FDA, state agencies and foreign government health authorities. FDA regulations, as well as various U.S. federal and state laws, govern the development, clinical testing, manufacturing, labeling, record keeping and marketing of medical device products agencies in the United States. AbbVie’s medical device product candidates, including AbbVie’s breast implants, must undergo rigorous clinical testing and an extensive government regulatory clearance or approval process prior to sale in the United States and other countries. The lengthy process of clinical development and submissions for clearance or approval, and the continuing need for compliance with applicable laws and regulations, require the expenditure of substantial resources. Regulatory clearance or approval, when and if obtained, may be limited in scope, and may significantly limit the indicated uses for which a product may be marketed. Cleared or approved products and their manufacturers are subject to ongoing review, and discovery of previously unknown problems with products may result in restrictions on their manufacture, sale, and/or use or require their withdrawal from the market.</w:t>
      </w:r>
    </w:p>
    <w:p>
      <w:pPr>
        <w:spacing w:after="0" w:line="122"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b w:val="1"/>
          <w:bCs w:val="1"/>
          <w:i w:val="1"/>
          <w:iCs w:val="1"/>
          <w:color w:val="444867"/>
        </w:rPr>
        <w:t>United States</w:t>
      </w:r>
      <w:r>
        <w:rPr>
          <w:rFonts w:ascii="Arial" w:cs="Arial" w:eastAsia="Arial" w:hAnsi="Arial"/>
          <w:sz w:val="18"/>
          <w:szCs w:val="18"/>
          <w:color w:val="000000"/>
        </w:rPr>
        <w:t>. AbbVie’s medical device products are subject to extensive regulation by the FDA in the United States. Unless an</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exemption applies, each medical device AbbVie markets in the United States must have a 510(k) clearance or a Premarket Approval Application (PMA) in accordance with the FFDCA and its implementing regulations. The FDA classifies medical devices into one of three classes, depending on the degree of risk associated with each medical device and the extent of controls that are needed to ensure safety and effectiveness. Devices deemed to pose a lower risk are placed in either Class I or Class II, and devices deemed by the FDA to pose the greatest risk, such as life-sustaining, life-supporting or implantable devices, or a device deemed to be not substantially equivalent to a previously cleared 510(k) device, are placed in Class III. In general, a Class III device cannot be marketed in the United States unless the FDA approves the device after submission of a PMA, and any changes to the device subsequent to initial FDA approval must also be reviewed and approved by the FDA. The majority of AbbVie’s medical device products, including AbbVie’s breast implants, are regulated as Class III medical devices. A Class III device may have significant additional obligations imposed in its conditions of approval, and the time in which it takes to obtain approval can be long. Compliance with regulatory requirements is assured through periodic, unannounced facility inspections by the FDA and other regulatory authorities, and these inspections may include the manufacturing facilities of AbbVie’s subcontractors or other third-party manufacturers. Failure to comply with applicable regulatory requirements can result in enforcement action by the FDA, which may include any of the following sanctions: warning letters or untitled letters; fines, injunctions and civil penalties; recall or seizure of AbbVie’ products; operating restrictions, partial suspension or total shutdown of production; refusing AbbVie’ request for 510(k) clearance or PMA approval of new products; withdrawing 510(k) clearance or PMA approvals that are already granted; and criminal prosecution.</w:t>
      </w:r>
    </w:p>
    <w:p>
      <w:pPr>
        <w:spacing w:after="0" w:line="134" w:lineRule="exact"/>
        <w:rPr>
          <w:sz w:val="20"/>
          <w:szCs w:val="20"/>
          <w:color w:val="auto"/>
        </w:rPr>
      </w:pPr>
    </w:p>
    <w:p>
      <w:pPr>
        <w:ind w:right="240" w:firstLine="445"/>
        <w:spacing w:after="0" w:line="252" w:lineRule="auto"/>
        <w:rPr>
          <w:sz w:val="20"/>
          <w:szCs w:val="20"/>
          <w:color w:val="auto"/>
        </w:rPr>
      </w:pPr>
      <w:r>
        <w:rPr>
          <w:rFonts w:ascii="Arial" w:cs="Arial" w:eastAsia="Arial" w:hAnsi="Arial"/>
          <w:sz w:val="18"/>
          <w:szCs w:val="18"/>
          <w:color w:val="auto"/>
        </w:rPr>
        <w:t>A clinical trial is almost always required to support a PMA application and is sometimes required for a 510(k) premarket notification. Clinical trials generally require submission of an application for an investigational device exemption (IDE), which must be supported by appropriate data, such as animal and laboratory testing results, showing that it is safe to test the device in humans and that the testing protocol is scientifically sound. A study sponsor must obtain approval for its IDE from the FDA, and it must also obtain approval of its study from the Institutional Review Board (IRB) overseeing the trial. The results of clinical testing may not be sufficient to obtain approval of the investigational device.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8180"/>
        <w:spacing w:after="0"/>
        <w:tabs>
          <w:tab w:leader="none" w:pos="9620" w:val="left"/>
        </w:tabs>
        <w:rPr>
          <w:sz w:val="20"/>
          <w:szCs w:val="20"/>
          <w:color w:val="auto"/>
        </w:rPr>
      </w:pPr>
      <w:r>
        <w:rPr>
          <w:rFonts w:ascii="Arial" w:cs="Arial" w:eastAsia="Arial" w:hAnsi="Arial"/>
          <w:sz w:val="18"/>
          <w:szCs w:val="18"/>
          <w:i w:val="1"/>
          <w:iCs w:val="1"/>
          <w:color w:val="auto"/>
        </w:rPr>
        <w:t>2020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600075" cy="11176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0075" cy="11176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5" w:name="page16"/>
    <w:bookmarkEnd w:id="15"/>
    <w:p>
      <w:pPr>
        <w:ind w:right="120" w:firstLine="445"/>
        <w:spacing w:after="0" w:line="251" w:lineRule="auto"/>
        <w:rPr>
          <w:sz w:val="20"/>
          <w:szCs w:val="20"/>
          <w:color w:val="auto"/>
        </w:rPr>
      </w:pPr>
      <w:r>
        <w:rPr>
          <w:rFonts w:ascii="Arial" w:cs="Arial" w:eastAsia="Arial" w:hAnsi="Arial"/>
          <w:sz w:val="18"/>
          <w:szCs w:val="18"/>
          <w:color w:val="auto"/>
        </w:rPr>
        <w:t>Once a device is approved, the manufacture and distribution of the device remains subject to continuing regulation by the FDA, including Quality System Regulation requirements, which involve design, testing, control, documentation and other quality assurance procedures during the manufacturing process. Medical device manufacturers and their subcontractors are required to register their establishments and list their manufactured devices with the FDA and are subject to periodic unannounced inspections by the FDA and certain state agencies for compliance with regulatory requirements. Manufacturers must also report to the FDA if their devices may have caused or contributed to a death or serious injury or malfunctioned in a way that could likely cause or contribute to a death or serious injury, or if the manufacturer conducts a field correction or product recall or removal to reduce a risk to health posed by a device or to remedy a violation of the FFDCA that may present a health risk. Further, the FDA continues to regulate device labeling, and prohibits the promotion of products for unapproved or “off-label” uses along with other labeling restrictions.</w:t>
      </w:r>
    </w:p>
    <w:p>
      <w:pPr>
        <w:spacing w:after="0" w:line="109"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b w:val="1"/>
          <w:bCs w:val="1"/>
          <w:i w:val="1"/>
          <w:iCs w:val="1"/>
          <w:color w:val="444867"/>
        </w:rPr>
        <w:t xml:space="preserve">European Union. </w:t>
      </w:r>
      <w:r>
        <w:rPr>
          <w:rFonts w:ascii="Arial" w:cs="Arial" w:eastAsia="Arial" w:hAnsi="Arial"/>
          <w:sz w:val="18"/>
          <w:szCs w:val="18"/>
          <w:color w:val="000000"/>
        </w:rPr>
        <w:t>Medical device products that are marketed in the European Union must comply with the requirements of the Medical</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Device Regulation (the MDR), which will come into effect in May 2021. The MDR provides for regulatory oversight with respect to the design, manufacture, clinical trials, labeling and adverse event reporting for medical devices to ensure that medical devices marketed in the European Union are safe and effective for their intended uses. Medical devices that comply with the MDR are entitled to bear a Conformité Européenne marking evidencing such compliance and may be marketed in the European Union. Failure to comply with these domestic and international regulatory requirements could affect AbbVie’s ability to market and sell AbbVie’s products in these countries.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Environmental Matters</w:t>
      </w:r>
    </w:p>
    <w:p>
      <w:pPr>
        <w:spacing w:after="0" w:line="180"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AbbVie believes that its operations comply in all material respects with applicable laws and regulations concerning environmental protection. Regulations under federal and state environmental laws impose stringent limitations on emissions and discharges to the environment from various manufacturing operations. AbbVie's capital expenditures for pollution control in 2020 were approximately $6 million and operating expenditures were approximately $34 million. In 2021, capital expenditures for pollution control are estimated to be approximately $9 million and operating expenditures are estimated to be approximately $36 million.</w:t>
      </w:r>
    </w:p>
    <w:p>
      <w:pPr>
        <w:spacing w:after="0" w:line="124"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Abbott was identified as one of many potentially responsible parties in investigations and/or remediations at several locations in the United States, including Puerto Rico, under the Comprehensive Environmental Response, Compensation and Liability Act, commonly known as Superfund. Some of these locations were transferred to AbbVie in connection with the separation and distribution, and AbbVie has become a party to these investigations and remediations. Abbott was also engaged in remediation at several other sites, some of which have been transferred to AbbVie in connection with the separation and distribution, in cooperation with the Environmental Protection Agency or similar agencies. While it is not feasible to predict with certainty the final costs related to those investigations and remediation activities, AbbVie believes that such costs, together with other expenditures to maintain compliance with applicable laws and regulations concerning environmental protection, should not have a material adverse effect on the company's financial position, cash flows, or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Employees</w:t>
      </w:r>
    </w:p>
    <w:p>
      <w:pPr>
        <w:spacing w:after="0" w:line="180" w:lineRule="exact"/>
        <w:rPr>
          <w:sz w:val="20"/>
          <w:szCs w:val="20"/>
          <w:color w:val="auto"/>
        </w:rPr>
      </w:pPr>
    </w:p>
    <w:p>
      <w:pPr>
        <w:ind w:right="280" w:firstLine="445"/>
        <w:spacing w:after="0" w:line="261" w:lineRule="auto"/>
        <w:rPr>
          <w:sz w:val="20"/>
          <w:szCs w:val="20"/>
          <w:color w:val="auto"/>
        </w:rPr>
      </w:pPr>
      <w:r>
        <w:rPr>
          <w:rFonts w:ascii="Arial" w:cs="Arial" w:eastAsia="Arial" w:hAnsi="Arial"/>
          <w:sz w:val="18"/>
          <w:szCs w:val="18"/>
          <w:color w:val="auto"/>
        </w:rPr>
        <w:t>AbbVie employed approximately 47,000 employees in over 70 countries as of January 31, 2021. Outside the United States, some of AbbVie's employees are represented by unions or works councils. AbbVie believes that it has good relations with its employees.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Human Capital Management</w:t>
      </w:r>
    </w:p>
    <w:p>
      <w:pPr>
        <w:spacing w:after="0" w:line="180"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Attracting, retaining and providing meaningful growth and development opportunities to AbbVie's employees is critical to the company's success in making a remarkable impact on people’s lives around the world. AbbVie leverages numerous resources to identify and enhance strategic and leadership capability, foster employee engagement and create a culture where diverse talent is productive and engaged. AbbVie invests in its employees through competitive compensation, benefits and employee support programs and offers best-in-class development and leadership opportunities. AbbVie has developed a deep talent base through ongoing investment in functional and leadership training and by sourcing world-class external talent, ensuring a sustainable talent pipeline. AbbVie continuously cultivates and enhances its working culture and embraces equality, diversity and inclusion as fundamental to the company's mission.</w:t>
      </w:r>
    </w:p>
    <w:p>
      <w:pPr>
        <w:spacing w:after="0" w:line="200" w:lineRule="exact"/>
        <w:rPr>
          <w:sz w:val="20"/>
          <w:szCs w:val="20"/>
          <w:color w:val="auto"/>
        </w:rPr>
      </w:pPr>
    </w:p>
    <w:p>
      <w:pPr>
        <w:spacing w:after="0" w:line="328"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13</w:t>
      </w:r>
      <w:r>
        <w:rPr>
          <w:sz w:val="20"/>
          <w:szCs w:val="20"/>
          <w:color w:val="auto"/>
        </w:rPr>
        <w:tab/>
      </w:r>
      <w:r>
        <w:rPr>
          <w:sz w:val="1"/>
          <w:szCs w:val="1"/>
          <w:color w:val="auto"/>
        </w:rPr>
        <w:drawing>
          <wp:inline distT="0" distB="0" distL="0" distR="0">
            <wp:extent cx="600075" cy="11112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16" w:name="page17"/>
    <w:bookmarkEnd w:id="16"/>
    <w:p>
      <w:pPr>
        <w:ind w:right="20" w:firstLine="445"/>
        <w:spacing w:after="0" w:line="253" w:lineRule="auto"/>
        <w:rPr>
          <w:sz w:val="20"/>
          <w:szCs w:val="20"/>
          <w:color w:val="auto"/>
        </w:rPr>
      </w:pPr>
      <w:r>
        <w:rPr>
          <w:rFonts w:ascii="Arial" w:cs="Arial" w:eastAsia="Arial" w:hAnsi="Arial"/>
          <w:sz w:val="18"/>
          <w:szCs w:val="18"/>
          <w:b w:val="1"/>
          <w:bCs w:val="1"/>
          <w:i w:val="1"/>
          <w:iCs w:val="1"/>
          <w:color w:val="444867"/>
        </w:rPr>
        <w:t xml:space="preserve">Attracting and Developing Talent. </w:t>
      </w:r>
      <w:r>
        <w:rPr>
          <w:rFonts w:ascii="Arial" w:cs="Arial" w:eastAsia="Arial" w:hAnsi="Arial"/>
          <w:sz w:val="18"/>
          <w:szCs w:val="18"/>
          <w:color w:val="000000"/>
        </w:rPr>
        <w:t>Attracting and developing high-performing talent is essential to AbbVie’s continued success.</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AbbVie implements detailed talent attraction strategies, with an emphasis on STEM skill sets, a diverse talent base and other critical skillsets, including drug discovery, clinical development, market access, and business development. AbbVie also invests in competitive compensation and benefits programs. In addition to offering a comprehensive suite of benefits ranging from medical and dental coverage to retirement, disability and life insurance programs, AbbVie also provides health promotion programs, mental health awareness campaigns and employee assistance programs in several countries, financial wellness support, on-site health screenings and immunizations in several countries and on-site fitness and rehabilitation centers. In addition, the AbbVie Employee Assistance Fund (a part of the AbbVie Foundation) supports two programs for global employees: the AbbVie Possibilities Scholarship for children of employees, which is an annual merit-based scholarship for use at accredited colleges, universities or vocational-technical schools; and the Employee Relief Program, which is financial assistance to support short term needs of employees when faced with large-scale disasters (e.g. a hurricane), individual disasters (e.g. a home fire) or financial hardship (e.g. the death of a spouse). Finally, AbbVie empowers managers and their teams with tools, tips and guidelines on effectively managing workloads, managing teams from a distance and supporting flexible work practices.</w:t>
      </w:r>
    </w:p>
    <w:p>
      <w:pPr>
        <w:spacing w:after="0" w:line="131" w:lineRule="exact"/>
        <w:rPr>
          <w:sz w:val="20"/>
          <w:szCs w:val="20"/>
          <w:color w:val="auto"/>
        </w:rPr>
      </w:pPr>
    </w:p>
    <w:p>
      <w:pPr>
        <w:ind w:right="700" w:firstLine="445"/>
        <w:spacing w:after="0" w:line="256" w:lineRule="auto"/>
        <w:rPr>
          <w:sz w:val="20"/>
          <w:szCs w:val="20"/>
          <w:color w:val="auto"/>
        </w:rPr>
      </w:pPr>
      <w:r>
        <w:rPr>
          <w:rFonts w:ascii="Arial" w:cs="Arial" w:eastAsia="Arial" w:hAnsi="Arial"/>
          <w:sz w:val="18"/>
          <w:szCs w:val="18"/>
          <w:color w:val="auto"/>
        </w:rPr>
        <w:t>New AbbVie employees are given a tailored onboarding experience for faster integration and to support performance. AbbVie's mentorship program allows employees to self-nominate as mentors or mentees and facilitates meaningful relationships supporting employees’ career and development goals.</w:t>
      </w:r>
    </w:p>
    <w:p>
      <w:pPr>
        <w:spacing w:after="0" w:line="134"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AbbVie also provides structured, broad-based development opportunities, focusing on high-performance skills and leadership training. AbbVie's talent philosophy holds leaders accountable for building a high-performing organization, and the company provides development opportunities to all levels of leadership. AbbVie's Learn, Develop, Perform program offers year-long, self-directed leadership education, supplemented with tools and resources, and leverages leaders as role models and teachers. In addition, the foundation to AbbVie's leadership pipeline is the company's Professional Development Programs, which attract graduates, postgraduates and post-doctoral talent to participate in formal development programs lasting up to three years, with the objective of strengthening functional and leadership capabilities. AbbVie also recently introduced additional development support to senior leaders who are managing increased integration and operational complexity following the transformational acquisition of Allergan.</w:t>
      </w:r>
    </w:p>
    <w:p>
      <w:pPr>
        <w:spacing w:after="0" w:line="116"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b w:val="1"/>
          <w:bCs w:val="1"/>
          <w:i w:val="1"/>
          <w:iCs w:val="1"/>
          <w:color w:val="444867"/>
        </w:rPr>
        <w:t xml:space="preserve">Culture. </w:t>
      </w:r>
      <w:r>
        <w:rPr>
          <w:rFonts w:ascii="Arial" w:cs="Arial" w:eastAsia="Arial" w:hAnsi="Arial"/>
          <w:sz w:val="18"/>
          <w:szCs w:val="18"/>
          <w:color w:val="000000"/>
        </w:rPr>
        <w:t>AbbVie’s shared values of transforming lives, acting with integrity, driving innovation, embracing diversity and inclusion, and</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serving the community form the core of the company's culture. AbbVie articulates the behaviors associated with these values in the Ways We Work, a core set of working behaviors that emphasize how the company achieves results is equally as important as achieving them. The Ways We Work are designed to ensure that every AbbVie employee is aware of the company's cultural expectations. AbbVie integrates the Ways We Work into all talent processes, forming the basis for assessing performance, prioritizing development, and ultimately rewarding employees. AbbVie believes it culture creates strong engagement, which is measured regularly through a confidential, third party all-employee survey, and this engagement supports AbbVie’s mission of making a remarkable impact on people’s lives.</w:t>
      </w:r>
    </w:p>
    <w:p>
      <w:pPr>
        <w:spacing w:after="0" w:line="102"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b w:val="1"/>
          <w:bCs w:val="1"/>
          <w:i w:val="1"/>
          <w:iCs w:val="1"/>
          <w:color w:val="444867"/>
        </w:rPr>
        <w:t xml:space="preserve">Equity, Equality, Diversity &amp; Inclusion (EED&amp;I). </w:t>
      </w:r>
      <w:r>
        <w:rPr>
          <w:rFonts w:ascii="Arial" w:cs="Arial" w:eastAsia="Arial" w:hAnsi="Arial"/>
          <w:sz w:val="18"/>
          <w:szCs w:val="18"/>
          <w:color w:val="000000"/>
        </w:rPr>
        <w:t>A cornerstone of AbbVie’s human capital management approach is to prioritize</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fostering an inclusive and diverse workforce. In 2019, AbbVie adopted a five-year Equality, Diversity &amp; Inclusion roadmap that defines key global focus areas, objectives and associated initiatives, and includes implementation plans organized by business function and geography. AbbVie’s senior leaders have adopted formal goals aligned with executing this strategy. Over the past year, AbbVie's board of directors has prioritized oversight of AbbVie's response to the U.S. racial justice movement, including overseeing internal programs designed to ensure that AbbVie is attracting, retaining and developing diverse talent. Through June 2020, women represented 49 percent of management positions globally and in the United States, 33 percent of AbbVie's workforce was comprised of members of historically underrepresented populations, an increase from 2019. Further, AbbVie is committed to pay equity and conducts pay equity analyses annually. A critical component of AbbVie's strategy is to instill an inclusive mindset in all AbbVie leaders and employees, so the company can realize the full value of a diverse workforce from recruitment through retirement. AbbVie recently launched a new toolkit for people who manage others to reinforce the importance of EED&amp;I to the business, educate leaders on inclusive recruiting practices and modeling inclusive behavior, and encourage participation in the company's inclusive culture learning opportunities. AbbVie's Employee Resource Groups also help the company nurture an inclusive culture by building community, hosting awareness events and providing leadership and career opportunities. In 2020, AbbVie reiterated its commitment to racial equality and social justice by appointing two additional senior level positions to drive change and awareness company-wide and taking deliberate steps to ensure AbbVie leads by example in promoting racial equity, as further described on the company's website at: https://www.abbvie.com/our-company/our-principles/our-commitment-to-racial-justice.html.</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14</w:t>
            </w:r>
          </w:p>
        </w:tc>
      </w:tr>
      <w:tr>
        <w:trPr>
          <w:trHeight w:val="201"/>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-333375</wp:posOffset>
            </wp:positionV>
            <wp:extent cx="600075" cy="1117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0075" cy="11176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17" w:name="page18"/>
    <w:bookmarkEnd w:id="17"/>
    <w:p>
      <w:pPr>
        <w:ind w:right="20" w:firstLine="445"/>
        <w:spacing w:after="0" w:line="253" w:lineRule="auto"/>
        <w:rPr>
          <w:sz w:val="20"/>
          <w:szCs w:val="20"/>
          <w:color w:val="auto"/>
        </w:rPr>
      </w:pPr>
      <w:r>
        <w:rPr>
          <w:rFonts w:ascii="Arial" w:cs="Arial" w:eastAsia="Arial" w:hAnsi="Arial"/>
          <w:sz w:val="18"/>
          <w:szCs w:val="18"/>
          <w:b w:val="1"/>
          <w:bCs w:val="1"/>
          <w:i w:val="1"/>
          <w:iCs w:val="1"/>
          <w:color w:val="444867"/>
        </w:rPr>
        <w:t xml:space="preserve">COVID-19 Health and Safety. </w:t>
      </w:r>
      <w:r>
        <w:rPr>
          <w:rFonts w:ascii="Arial" w:cs="Arial" w:eastAsia="Arial" w:hAnsi="Arial"/>
          <w:sz w:val="18"/>
          <w:szCs w:val="18"/>
          <w:color w:val="000000"/>
        </w:rPr>
        <w:t>AbbVie has effectively prioritized the health and safety of its employees during the COVID-19 pandemic,</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 xml:space="preserve">while continuing to drive strong business performance. AbbVie also implemented, among other things, temporary office and facility closures and establishment of new safety and cleaning protocols and procedures; regular communication regarding the effect of the pandemic on AbbVie's business and employees; establishment of physical distancing procedures, modification of workspaces, and provision of personal protective equipment and cleaning supplies for employees; temperature screening at all company locations; a variety of testing resources including on-site and at-home testing and COVID case management programs; and remote working accommodations and related services to support employees’ needs for flexibility. In addition, </w:t>
      </w:r>
      <w:r>
        <w:rPr>
          <w:rFonts w:ascii="Arial" w:cs="Arial" w:eastAsia="Arial" w:hAnsi="Arial"/>
          <w:sz w:val="18"/>
          <w:szCs w:val="18"/>
          <w:color w:val="2D2926"/>
        </w:rPr>
        <w:t>COVID-19 is a covered event under the AbbVie Employee Assistance Fund's Employee</w:t>
      </w:r>
      <w:r>
        <w:rPr>
          <w:rFonts w:ascii="Arial" w:cs="Arial" w:eastAsia="Arial" w:hAnsi="Arial"/>
          <w:sz w:val="18"/>
          <w:szCs w:val="18"/>
          <w:color w:val="000000"/>
        </w:rPr>
        <w:t xml:space="preserve"> </w:t>
      </w:r>
      <w:r>
        <w:rPr>
          <w:rFonts w:ascii="Arial" w:cs="Arial" w:eastAsia="Arial" w:hAnsi="Arial"/>
          <w:sz w:val="18"/>
          <w:szCs w:val="18"/>
          <w:color w:val="2D2926"/>
        </w:rPr>
        <w:t xml:space="preserve">Relief Program, entitling eligible AbbVie employees and their families to financial assistance to pay for mortgage/rent, utilities, food, childcare and medical expenses not covered by insurance. AbbVie also provided paid leave and other support and accommodations to the company's employees with relevant medical, pharmaceutical, R&amp;D, science, public health and public safety skills, knowledge, training and experience who desired or were requested or mandated to serve as volunteers during the pandemic. Lastly, AbbVie’s commitment to employees was evidenced by no </w:t>
      </w:r>
      <w:r>
        <w:rPr>
          <w:rFonts w:ascii="Arial" w:cs="Arial" w:eastAsia="Arial" w:hAnsi="Arial"/>
          <w:sz w:val="18"/>
          <w:szCs w:val="18"/>
          <w:color w:val="000000"/>
        </w:rPr>
        <w:t>workforce reductions and no salary reductions associated with COVID-19</w:t>
      </w:r>
      <w:r>
        <w:rPr>
          <w:rFonts w:ascii="Arial" w:cs="Arial" w:eastAsia="Arial" w:hAnsi="Arial"/>
          <w:sz w:val="18"/>
          <w:szCs w:val="18"/>
          <w:color w:val="2D2926"/>
        </w:rPr>
        <w: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Internet Information</w:t>
      </w:r>
    </w:p>
    <w:p>
      <w:pPr>
        <w:spacing w:after="0" w:line="180"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Copies of AbbVie's Annual Reports on Form 10-K, Quarterly Reports on Form 10-Q, Current Reports on Form 8-K and amendments to those reports filed or furnished pursuant to Section 13(a) or 15(d) of the Securities Exchange Act of 1934 are available free of charge through AbbVie's investor relations website (</w:t>
      </w:r>
      <w:r>
        <w:rPr>
          <w:rFonts w:ascii="Arial" w:cs="Arial" w:eastAsia="Arial" w:hAnsi="Arial"/>
          <w:sz w:val="18"/>
          <w:szCs w:val="18"/>
          <w:i w:val="1"/>
          <w:iCs w:val="1"/>
          <w:color w:val="auto"/>
        </w:rPr>
        <w:t>www.abbvieinvestor.com</w:t>
      </w:r>
      <w:r>
        <w:rPr>
          <w:rFonts w:ascii="Arial" w:cs="Arial" w:eastAsia="Arial" w:hAnsi="Arial"/>
          <w:sz w:val="18"/>
          <w:szCs w:val="18"/>
          <w:color w:val="auto"/>
        </w:rPr>
        <w:t>) as soon as reasonably practicable after AbbVie electronically files the material with, or furnishes it to, the Securities and Exchange Commission (SEC).</w:t>
      </w:r>
    </w:p>
    <w:p>
      <w:pPr>
        <w:spacing w:after="0" w:line="136"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AbbVie's corporate governance guidelines, outline of directorship qualifications, code of business conduct and the charters of AbbVie's audit committee, compensation committee, nominations and governance committee and public policy committee are all available on AbbVie's investor relations website (</w:t>
      </w:r>
      <w:r>
        <w:rPr>
          <w:rFonts w:ascii="Arial" w:cs="Arial" w:eastAsia="Arial" w:hAnsi="Arial"/>
          <w:sz w:val="18"/>
          <w:szCs w:val="18"/>
          <w:i w:val="1"/>
          <w:iCs w:val="1"/>
          <w:color w:val="auto"/>
        </w:rPr>
        <w:t>www.abbvieinvestor.com</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4"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i w:val="1"/>
          <w:iCs w:val="1"/>
          <w:color w:val="auto"/>
        </w:rPr>
        <w:t>You should carefully consider the following risks and other information in this Form 10-K in evaluating AbbVie and AbbVie's common stock. Any of the following risks could materially and adversely affect AbbVie's results of operations, financial condition or cash flows. The risk factors generally have been separated into two groups: risks related to AbbVie's business and risks related to AbbVie's common stock. Based on the information currently known to it, AbbVie believes that the following information identifies the most significant risk factors affecting it in each of these categories of risks. However, the risks and uncertainties AbbVie faces are not limited to those set forth in the risk factors described below and may not be in order of importance or probability of occurrence. Additional risks and uncertainties not presently known to AbbVie or that AbbVie currently believes to be immaterial may also adversely affect its business. In addition, past financial performance may not be a reliable indicator of future performance and historical trends should not be used to anticipate results or trends in future periods.</w:t>
      </w:r>
    </w:p>
    <w:p>
      <w:pPr>
        <w:spacing w:after="0" w:line="121" w:lineRule="exact"/>
        <w:rPr>
          <w:sz w:val="20"/>
          <w:szCs w:val="20"/>
          <w:color w:val="auto"/>
        </w:rPr>
      </w:pPr>
    </w:p>
    <w:p>
      <w:pPr>
        <w:ind w:right="280" w:firstLine="445"/>
        <w:spacing w:after="0" w:line="266" w:lineRule="auto"/>
        <w:rPr>
          <w:sz w:val="20"/>
          <w:szCs w:val="20"/>
          <w:color w:val="auto"/>
        </w:rPr>
      </w:pPr>
      <w:r>
        <w:rPr>
          <w:rFonts w:ascii="Arial" w:cs="Arial" w:eastAsia="Arial" w:hAnsi="Arial"/>
          <w:sz w:val="18"/>
          <w:szCs w:val="18"/>
          <w:i w:val="1"/>
          <w:iCs w:val="1"/>
          <w:color w:val="auto"/>
        </w:rPr>
        <w:t>If any of the following risks and uncertainties develops into actual events, these events could have a material adverse effect on AbbVie's business, results of operations, financial condition or cash flows. In such case, the trading price of AbbVie's common stock could decline.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Risks Related to AbbVie's Business</w:t>
      </w:r>
    </w:p>
    <w:p>
      <w:pPr>
        <w:spacing w:after="0" w:line="144" w:lineRule="exact"/>
        <w:rPr>
          <w:sz w:val="20"/>
          <w:szCs w:val="20"/>
          <w:color w:val="auto"/>
        </w:rPr>
      </w:pPr>
    </w:p>
    <w:p>
      <w:pPr>
        <w:ind w:left="420" w:right="500"/>
        <w:spacing w:after="0" w:line="287" w:lineRule="auto"/>
        <w:rPr>
          <w:sz w:val="20"/>
          <w:szCs w:val="20"/>
          <w:color w:val="auto"/>
        </w:rPr>
      </w:pPr>
      <w:r>
        <w:rPr>
          <w:rFonts w:ascii="Arial" w:cs="Arial" w:eastAsia="Arial" w:hAnsi="Arial"/>
          <w:sz w:val="18"/>
          <w:szCs w:val="18"/>
          <w:b w:val="1"/>
          <w:bCs w:val="1"/>
          <w:i w:val="1"/>
          <w:iCs w:val="1"/>
          <w:color w:val="auto"/>
        </w:rPr>
        <w:t>Public health outbreaks, epidemics or pandemics, such as the coronavirus (COVID-19), have had, and could in the future have, an adverse impact on AbbVie’s operations and financial condition.</w:t>
      </w:r>
    </w:p>
    <w:p>
      <w:pPr>
        <w:spacing w:after="0" w:line="107"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Public health outbreaks, epidemics or pandemics have had, and could in the future have, an adverse impact on AbbVie’s operations and financial condition. The continuing pandemic caused by the novel strain of coronavirus (COVID-19) has caused many countries, including the United States, to declare national emergencies and implement preventive measures such as travel bans and shelter in place or total lock-down orders, some of which have eased. The continuation or re-implementation of these bans and orders remains uncertain. The COVID-19 pandemic has caused AbbVie to modify its business practices (including instituting remote work for many of AbbVie’s employees), and AbbVie may take further actions as may be required by government authorities or as AbbVie determines are in the best interests of AbbVie’s employees, patients, customers and business partners.</w:t>
      </w:r>
    </w:p>
    <w:p>
      <w:pPr>
        <w:spacing w:after="0" w:line="139" w:lineRule="exact"/>
        <w:rPr>
          <w:sz w:val="20"/>
          <w:szCs w:val="20"/>
          <w:color w:val="auto"/>
        </w:rPr>
      </w:pPr>
    </w:p>
    <w:p>
      <w:pPr>
        <w:ind w:right="740" w:firstLine="445"/>
        <w:spacing w:after="0" w:line="261" w:lineRule="auto"/>
        <w:rPr>
          <w:sz w:val="20"/>
          <w:szCs w:val="20"/>
          <w:color w:val="auto"/>
        </w:rPr>
      </w:pPr>
      <w:r>
        <w:rPr>
          <w:rFonts w:ascii="Arial" w:cs="Arial" w:eastAsia="Arial" w:hAnsi="Arial"/>
          <w:sz w:val="18"/>
          <w:szCs w:val="18"/>
          <w:color w:val="auto"/>
        </w:rPr>
        <w:t>While the impact of COVID-19 on AbbVie’s operations, including, among others, its manufacturing and supply chain, sales and marketing, commercial and clinical trial operations, to-date has not been material, AbbVie has experienced lower</w:t>
      </w:r>
    </w:p>
    <w:p>
      <w:pPr>
        <w:spacing w:after="0" w:line="200" w:lineRule="exact"/>
        <w:rPr>
          <w:sz w:val="20"/>
          <w:szCs w:val="20"/>
          <w:color w:val="auto"/>
        </w:rPr>
      </w:pPr>
    </w:p>
    <w:p>
      <w:pPr>
        <w:spacing w:after="0" w:line="306"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15</w:t>
      </w:r>
      <w:r>
        <w:rPr>
          <w:sz w:val="20"/>
          <w:szCs w:val="20"/>
          <w:color w:val="auto"/>
        </w:rPr>
        <w:tab/>
      </w:r>
      <w:r>
        <w:rPr>
          <w:sz w:val="1"/>
          <w:szCs w:val="1"/>
          <w:color w:val="auto"/>
        </w:rPr>
        <w:drawing>
          <wp:inline distT="0" distB="0" distL="0" distR="0">
            <wp:extent cx="600075" cy="11112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18" w:name="page19"/>
    <w:bookmarkEnd w:id="18"/>
    <w:p>
      <w:pPr>
        <w:ind w:right="240"/>
        <w:spacing w:after="0" w:line="254" w:lineRule="auto"/>
        <w:rPr>
          <w:sz w:val="20"/>
          <w:szCs w:val="20"/>
          <w:color w:val="auto"/>
        </w:rPr>
      </w:pPr>
      <w:r>
        <w:rPr>
          <w:rFonts w:ascii="Arial" w:cs="Arial" w:eastAsia="Arial" w:hAnsi="Arial"/>
          <w:sz w:val="18"/>
          <w:szCs w:val="18"/>
          <w:color w:val="auto"/>
        </w:rPr>
        <w:t>new patient starts across the therapeutic portfolio. The impact of COVID-19 on AbbVie over the long-term is uncertain and cannot be predicted with confidence. The extent of the adverse impact of COVID-19 on AbbVie’s operations will depend on the extent and severity of the continued spread of COVID-19 globally, the timing and nature of actions taken to respond to COVID-19 and the resulting economic consequences. Ultimately, the outbreak could have a material adverse impact on AbbVie’s operations and financial condition.</w:t>
      </w:r>
    </w:p>
    <w:p>
      <w:pPr>
        <w:spacing w:after="0" w:line="101" w:lineRule="exact"/>
        <w:rPr>
          <w:sz w:val="20"/>
          <w:szCs w:val="20"/>
          <w:color w:val="auto"/>
        </w:rPr>
      </w:pPr>
    </w:p>
    <w:p>
      <w:pPr>
        <w:ind w:left="420" w:right="820"/>
        <w:spacing w:after="0" w:line="287" w:lineRule="auto"/>
        <w:rPr>
          <w:sz w:val="20"/>
          <w:szCs w:val="20"/>
          <w:color w:val="auto"/>
        </w:rPr>
      </w:pPr>
      <w:r>
        <w:rPr>
          <w:rFonts w:ascii="Arial" w:cs="Arial" w:eastAsia="Arial" w:hAnsi="Arial"/>
          <w:sz w:val="18"/>
          <w:szCs w:val="18"/>
          <w:b w:val="1"/>
          <w:bCs w:val="1"/>
          <w:i w:val="1"/>
          <w:iCs w:val="1"/>
          <w:color w:val="auto"/>
        </w:rPr>
        <w:t>The expiration or loss of patent protection and licenses may adversely affect AbbVie's future revenues and operating earnings.</w:t>
      </w:r>
    </w:p>
    <w:p>
      <w:pPr>
        <w:spacing w:after="0" w:line="107"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AbbVie relies on patent, trademark and other intellectual property protection in the discovery, development, manufacturing and sale of its products. In particular, patent protection is, in the aggregate, important in AbbVie's marketing of pharmaceutical products in the United States and most major markets outside of the United States. Patents covering AbbVie products normally provide market exclusivity, which is important for the profitability of many of AbbVie's products.</w:t>
      </w:r>
    </w:p>
    <w:p>
      <w:pPr>
        <w:spacing w:after="0" w:line="136"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As patents for certain of its products expire, AbbVie will or could face competition from lower priced generic or biosimilar products. The expiration or loss of patent protection for a product typically is followed promptly by substitutes that may significantly reduce sales for that product in a short amount of time. If AbbVie's competitive position is compromised because of generics, biosimilars or otherwise, it could have a material adverse effect on AbbVie's business and results of operations. In addition, proposals emerge from time to time for legislation to further encourage the early and rapid approval of generic drugs or biosimilars. Any such proposals that are enacted into law could increase the impact of generic competition.</w:t>
      </w:r>
    </w:p>
    <w:p>
      <w:pPr>
        <w:spacing w:after="0" w:line="127" w:lineRule="exact"/>
        <w:rPr>
          <w:sz w:val="20"/>
          <w:szCs w:val="20"/>
          <w:color w:val="auto"/>
        </w:rPr>
      </w:pPr>
    </w:p>
    <w:p>
      <w:pPr>
        <w:ind w:right="280" w:firstLine="445"/>
        <w:spacing w:after="0" w:line="253" w:lineRule="auto"/>
        <w:rPr>
          <w:sz w:val="20"/>
          <w:szCs w:val="20"/>
          <w:color w:val="auto"/>
        </w:rPr>
      </w:pPr>
      <w:r>
        <w:rPr>
          <w:rFonts w:ascii="Arial" w:cs="Arial" w:eastAsia="Arial" w:hAnsi="Arial"/>
          <w:sz w:val="18"/>
          <w:szCs w:val="18"/>
          <w:color w:val="auto"/>
        </w:rPr>
        <w:t>AbbVie's principal patents and trademarks are described in greater detail in Item 1, "Business—Intellectual Property Protection and Regulatory Exclusivity" and Item 7, "Management's Discussion and Analysis of Financial Condition and Results of Operations—Results of Operations," and litigation regarding these patents is described in Item 3, "Legal Proceedings." The United States composition of matter patent for Humira, which is AbbVie's largest product and had worldwide net revenues of approximately $19.8 billion in 2020, expired in December 2016, and the equivalent European Union patent expired in the majority of European Union countries in October 2018.</w:t>
      </w:r>
    </w:p>
    <w:p>
      <w:pPr>
        <w:spacing w:after="0" w:line="116" w:lineRule="exact"/>
        <w:rPr>
          <w:sz w:val="20"/>
          <w:szCs w:val="20"/>
          <w:color w:val="auto"/>
        </w:rPr>
      </w:pPr>
    </w:p>
    <w:p>
      <w:pPr>
        <w:ind w:left="420" w:right="480"/>
        <w:spacing w:after="0" w:line="287" w:lineRule="auto"/>
        <w:rPr>
          <w:sz w:val="20"/>
          <w:szCs w:val="20"/>
          <w:color w:val="auto"/>
        </w:rPr>
      </w:pPr>
      <w:r>
        <w:rPr>
          <w:rFonts w:ascii="Arial" w:cs="Arial" w:eastAsia="Arial" w:hAnsi="Arial"/>
          <w:sz w:val="18"/>
          <w:szCs w:val="18"/>
          <w:b w:val="1"/>
          <w:bCs w:val="1"/>
          <w:i w:val="1"/>
          <w:iCs w:val="1"/>
          <w:color w:val="auto"/>
        </w:rPr>
        <w:t>AbbVie's major products could lose patent protection earlier than expected, which could adversely affect AbbVie's future revenues and operating earnings.</w:t>
      </w:r>
    </w:p>
    <w:p>
      <w:pPr>
        <w:spacing w:after="0" w:line="107"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 xml:space="preserve">Third parties or government authorities may challenge or seek to invalidate or circumvent AbbVie's patents and patent applications. For example, manufacturers of generic pharmaceutical products file, and may continue to file, Abbreviated New Drug Applications with the FDA seeking to market generic forms of AbbVie's products prior to the expiration of relevant patents owned or licensed by AbbVie by asserting that the patents are invalid, unenforceable and/or not infringed. In addition, petitioners have filed, and may continue to file, challenges to the validity of AbbVie patents under the 2011 Leahy-Smith America Invents Act, which created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post grant review procedures for challenging patent validity in administrative proceedings at the United States Patent and Trademark Office.</w:t>
      </w:r>
    </w:p>
    <w:p>
      <w:pPr>
        <w:spacing w:after="0" w:line="127"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Although most of the challenges to AbbVie's intellectual property have come from other businesses, governments may also challenge intellectual property rights. For example, court decisions and potential legislation relating to patents, such as legislation regarding biosimilars, and other regulatory initiatives may result in further erosion of intellectual property protection. In addition, certain governments outside the United States have indicated that compulsory licenses to patents may be sought to further their domestic policies or on the basis of national emergencies, such as HIV/AIDS. If triggered, compulsory licenses could diminish or eliminate sales and profits from those jurisdictions and negatively affect AbbVie's results of operations.</w:t>
      </w:r>
    </w:p>
    <w:p>
      <w:pPr>
        <w:spacing w:after="0" w:line="140"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AbbVie normally responds to challenges by vigorously defending its patents, including by filing patent infringement lawsuits. Patent litigation, administrative proceedings and other challenges to AbbVie's patents are costly and unpredictable and may deprive AbbVie of market exclusivity for a patented product. To the extent AbbVie's intellectual property is successfully challenged, circumvented or weakened, or to the extent such intellectual property does not allow AbbVie to compete effectively, AbbVie's business will suffer. To the extent that countries do not enforce AbbVie's intellectual property rights or require compulsory licensing of AbbVie's intellectual property, AbbVie's future revenues and operating earnings will be reduced.</w:t>
      </w:r>
    </w:p>
    <w:p>
      <w:pPr>
        <w:spacing w:after="0" w:line="118" w:lineRule="exact"/>
        <w:rPr>
          <w:sz w:val="20"/>
          <w:szCs w:val="20"/>
          <w:color w:val="auto"/>
        </w:rPr>
      </w:pPr>
    </w:p>
    <w:p>
      <w:pPr>
        <w:ind w:left="420"/>
        <w:spacing w:after="0" w:line="287" w:lineRule="auto"/>
        <w:rPr>
          <w:sz w:val="20"/>
          <w:szCs w:val="20"/>
          <w:color w:val="auto"/>
        </w:rPr>
      </w:pPr>
      <w:r>
        <w:rPr>
          <w:rFonts w:ascii="Arial" w:cs="Arial" w:eastAsia="Arial" w:hAnsi="Arial"/>
          <w:sz w:val="18"/>
          <w:szCs w:val="18"/>
          <w:b w:val="1"/>
          <w:bCs w:val="1"/>
          <w:i w:val="1"/>
          <w:iCs w:val="1"/>
          <w:color w:val="auto"/>
        </w:rPr>
        <w:t>A third party's intellectual property may prevent AbbVie from selling its products or have a material adverse effect on AbbVie's future profitability and financial condition.</w:t>
      </w:r>
    </w:p>
    <w:p>
      <w:pPr>
        <w:spacing w:after="0" w:line="94" w:lineRule="exact"/>
        <w:rPr>
          <w:sz w:val="20"/>
          <w:szCs w:val="20"/>
          <w:color w:val="auto"/>
        </w:rPr>
      </w:pPr>
    </w:p>
    <w:p>
      <w:pPr>
        <w:jc w:val="both"/>
        <w:ind w:right="80" w:firstLine="445"/>
        <w:spacing w:after="0" w:line="256" w:lineRule="auto"/>
        <w:rPr>
          <w:sz w:val="20"/>
          <w:szCs w:val="20"/>
          <w:color w:val="auto"/>
        </w:rPr>
      </w:pPr>
      <w:r>
        <w:rPr>
          <w:rFonts w:ascii="Arial" w:cs="Arial" w:eastAsia="Arial" w:hAnsi="Arial"/>
          <w:sz w:val="18"/>
          <w:szCs w:val="18"/>
          <w:color w:val="auto"/>
        </w:rPr>
        <w:t>Third parties may claim that an AbbVie product infringes upon their intellectual property. Resolving an intellectual property infringement claim can be costly and time consuming and may require AbbVie to enter into license agreements. AbbVie cannot guarantee that it would be able to obtain license agreements on commercially reasonable terms. A successful</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16</w:t>
            </w:r>
          </w:p>
        </w:tc>
      </w:tr>
      <w:tr>
        <w:trPr>
          <w:trHeight w:val="201"/>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-333375</wp:posOffset>
            </wp:positionV>
            <wp:extent cx="600075" cy="1117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0075" cy="11176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9" w:name="page20"/>
    <w:bookmarkEnd w:id="19"/>
    <w:p>
      <w:pPr>
        <w:ind w:right="140"/>
        <w:spacing w:after="0" w:line="256" w:lineRule="auto"/>
        <w:rPr>
          <w:sz w:val="20"/>
          <w:szCs w:val="20"/>
          <w:color w:val="auto"/>
        </w:rPr>
      </w:pPr>
      <w:r>
        <w:rPr>
          <w:rFonts w:ascii="Arial" w:cs="Arial" w:eastAsia="Arial" w:hAnsi="Arial"/>
          <w:sz w:val="18"/>
          <w:szCs w:val="18"/>
          <w:color w:val="auto"/>
        </w:rPr>
        <w:t>claim of patent or other intellectual property infringement could subject AbbVie to significant damages or an injunction preventing the manufacture, sale, or use of the affected AbbVie product or products. Any of these events could have a material adverse effect on AbbVie's profitability and financial condition.</w:t>
      </w:r>
    </w:p>
    <w:p>
      <w:pPr>
        <w:spacing w:after="0" w:line="99" w:lineRule="exact"/>
        <w:rPr>
          <w:sz w:val="20"/>
          <w:szCs w:val="20"/>
          <w:color w:val="auto"/>
        </w:rPr>
      </w:pPr>
    </w:p>
    <w:p>
      <w:pPr>
        <w:ind w:left="420"/>
        <w:spacing w:after="0" w:line="287" w:lineRule="auto"/>
        <w:rPr>
          <w:sz w:val="20"/>
          <w:szCs w:val="20"/>
          <w:color w:val="auto"/>
        </w:rPr>
      </w:pPr>
      <w:r>
        <w:rPr>
          <w:rFonts w:ascii="Arial" w:cs="Arial" w:eastAsia="Arial" w:hAnsi="Arial"/>
          <w:sz w:val="18"/>
          <w:szCs w:val="18"/>
          <w:b w:val="1"/>
          <w:bCs w:val="1"/>
          <w:i w:val="1"/>
          <w:iCs w:val="1"/>
          <w:color w:val="auto"/>
        </w:rPr>
        <w:t>Any significant event that adversely affects Humira revenues could have a material and negative impact on AbbVie's results of operations and cash flows.</w:t>
      </w:r>
    </w:p>
    <w:p>
      <w:pPr>
        <w:spacing w:after="0" w:line="107"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Humira accounted for approximately 43% of AbbVie's total net revenues in 2020. Any significant event that adversely affects Humira's revenues could have a material adverse impact on AbbVie's results of operations and cash flows. These events could include loss of patent protection for Humira (as described further in “—</w:t>
      </w:r>
      <w:r>
        <w:rPr>
          <w:rFonts w:ascii="Arial" w:cs="Arial" w:eastAsia="Arial" w:hAnsi="Arial"/>
          <w:sz w:val="18"/>
          <w:szCs w:val="18"/>
          <w:i w:val="1"/>
          <w:iCs w:val="1"/>
          <w:color w:val="auto"/>
        </w:rPr>
        <w:t>The expiration or loss of patent protection and licenses may adversely affect AbbVie’s future</w:t>
      </w:r>
      <w:r>
        <w:rPr>
          <w:rFonts w:ascii="Arial" w:cs="Arial" w:eastAsia="Arial" w:hAnsi="Arial"/>
          <w:sz w:val="18"/>
          <w:szCs w:val="18"/>
          <w:color w:val="auto"/>
        </w:rPr>
        <w:t xml:space="preserve"> </w:t>
      </w:r>
      <w:r>
        <w:rPr>
          <w:rFonts w:ascii="Arial" w:cs="Arial" w:eastAsia="Arial" w:hAnsi="Arial"/>
          <w:sz w:val="18"/>
          <w:szCs w:val="18"/>
          <w:i w:val="1"/>
          <w:iCs w:val="1"/>
          <w:color w:val="auto"/>
        </w:rPr>
        <w:t>revenues and operating earnings</w:t>
      </w:r>
      <w:r>
        <w:rPr>
          <w:rFonts w:ascii="Arial" w:cs="Arial" w:eastAsia="Arial" w:hAnsi="Arial"/>
          <w:sz w:val="18"/>
          <w:szCs w:val="18"/>
          <w:color w:val="auto"/>
        </w:rPr>
        <w:t>” above), the commercialization of biosimilars of Humira, the discovery of previously unknown side effects or</w:t>
      </w:r>
      <w:r>
        <w:rPr>
          <w:rFonts w:ascii="Arial" w:cs="Arial" w:eastAsia="Arial" w:hAnsi="Arial"/>
          <w:sz w:val="18"/>
          <w:szCs w:val="18"/>
          <w:i w:val="1"/>
          <w:iCs w:val="1"/>
          <w:color w:val="auto"/>
        </w:rPr>
        <w:t xml:space="preserve"> </w:t>
      </w:r>
      <w:r>
        <w:rPr>
          <w:rFonts w:ascii="Arial" w:cs="Arial" w:eastAsia="Arial" w:hAnsi="Arial"/>
          <w:sz w:val="18"/>
          <w:szCs w:val="18"/>
          <w:color w:val="auto"/>
        </w:rPr>
        <w:t>impaired efficacy, increased competition from the introduction of new, more effective or less expensive treatments and discontinuation or removal from the market of Humira for any reason.</w:t>
      </w:r>
    </w:p>
    <w:p>
      <w:pPr>
        <w:spacing w:after="0" w:line="118" w:lineRule="exact"/>
        <w:rPr>
          <w:sz w:val="20"/>
          <w:szCs w:val="20"/>
          <w:color w:val="auto"/>
        </w:rPr>
      </w:pPr>
    </w:p>
    <w:p>
      <w:pPr>
        <w:ind w:left="420" w:right="120"/>
        <w:spacing w:after="0" w:line="287" w:lineRule="auto"/>
        <w:rPr>
          <w:sz w:val="20"/>
          <w:szCs w:val="20"/>
          <w:color w:val="auto"/>
        </w:rPr>
      </w:pPr>
      <w:r>
        <w:rPr>
          <w:rFonts w:ascii="Arial" w:cs="Arial" w:eastAsia="Arial" w:hAnsi="Arial"/>
          <w:sz w:val="18"/>
          <w:szCs w:val="18"/>
          <w:b w:val="1"/>
          <w:bCs w:val="1"/>
          <w:i w:val="1"/>
          <w:iCs w:val="1"/>
          <w:color w:val="auto"/>
        </w:rPr>
        <w:t>AbbVie's research and development efforts may not succeed in developing and marketing commercially successful products and technologies, which may cause its revenues and profitability to decline.</w:t>
      </w:r>
    </w:p>
    <w:p>
      <w:pPr>
        <w:spacing w:after="0" w:line="94" w:lineRule="exact"/>
        <w:rPr>
          <w:sz w:val="20"/>
          <w:szCs w:val="20"/>
          <w:color w:val="auto"/>
        </w:rPr>
      </w:pPr>
    </w:p>
    <w:p>
      <w:pPr>
        <w:ind w:right="140" w:firstLine="445"/>
        <w:spacing w:after="0" w:line="251" w:lineRule="auto"/>
        <w:rPr>
          <w:sz w:val="20"/>
          <w:szCs w:val="20"/>
          <w:color w:val="auto"/>
        </w:rPr>
      </w:pPr>
      <w:r>
        <w:rPr>
          <w:rFonts w:ascii="Arial" w:cs="Arial" w:eastAsia="Arial" w:hAnsi="Arial"/>
          <w:sz w:val="18"/>
          <w:szCs w:val="18"/>
          <w:color w:val="auto"/>
        </w:rPr>
        <w:t>To remain competitive, AbbVie must continue to launch new products and new indications and/or brand extensions for existing products, and such launches must generate revenue sufficient both to cover its substantial research and development costs and to replace revenues of profitable products that are lost to or displaced by competing products or therapies. Failure to do so would have a material adverse effect on AbbVie's revenue and profitability. Accordingly, AbbVie commits substantial effort, funds, and other resources to research and development and must make ongoing substantial expenditures without any assurance that its efforts will be commercially successful. A high rate of failure in the biopharmaceutical industry is inherent in the research and development of new products, and failure can occur at any point in the research and development process, including after significant funds have been invested. Products that appear promising in development may fail to reach the market for numerous reasons, including failure to demonstrate effectiveness, safety concerns, superior safety or efficacy of competing therapies, failure to achieve positive clinical or pre-clinical outcomes beyond the current standards of care, inability to obtain necessary regulatory approvals or delays in the approval of new products and new indications, limited scope of approved uses, excessive costs to manufacture, the failure to obtain or maintain intellectual property rights, or infringement of the intellectual property rights of others.</w:t>
      </w:r>
    </w:p>
    <w:p>
      <w:pPr>
        <w:spacing w:after="0" w:line="143" w:lineRule="exact"/>
        <w:rPr>
          <w:sz w:val="20"/>
          <w:szCs w:val="20"/>
          <w:color w:val="auto"/>
        </w:rPr>
      </w:pPr>
    </w:p>
    <w:p>
      <w:pPr>
        <w:ind w:right="120" w:firstLine="445"/>
        <w:spacing w:after="0" w:line="253" w:lineRule="auto"/>
        <w:rPr>
          <w:sz w:val="20"/>
          <w:szCs w:val="20"/>
          <w:color w:val="auto"/>
        </w:rPr>
      </w:pPr>
      <w:r>
        <w:rPr>
          <w:rFonts w:ascii="Arial" w:cs="Arial" w:eastAsia="Arial" w:hAnsi="Arial"/>
          <w:sz w:val="18"/>
          <w:szCs w:val="18"/>
          <w:color w:val="auto"/>
        </w:rPr>
        <w:t>Decisions about research studies made early in the development process of a pharmaceutical product candidate can affect the marketing strategy once such candidate receives approval. More detailed studies may demonstrate additional benefits that can help in the marketing, but they also consume time and resources and may delay submitting the pharmaceutical product candidate for approval. AbbVie cannot guarantee that a proper balance of speed and testing will be made with respect to each pharmaceutical product candidate or that decisions in this area would not adversely affect AbbVie's future results of operations.</w:t>
      </w:r>
    </w:p>
    <w:p>
      <w:pPr>
        <w:spacing w:after="0" w:line="138" w:lineRule="exact"/>
        <w:rPr>
          <w:sz w:val="20"/>
          <w:szCs w:val="20"/>
          <w:color w:val="auto"/>
        </w:rPr>
      </w:pPr>
    </w:p>
    <w:p>
      <w:pPr>
        <w:ind w:right="120" w:firstLine="445"/>
        <w:spacing w:after="0" w:line="252" w:lineRule="auto"/>
        <w:rPr>
          <w:sz w:val="20"/>
          <w:szCs w:val="20"/>
          <w:color w:val="auto"/>
        </w:rPr>
      </w:pPr>
      <w:r>
        <w:rPr>
          <w:rFonts w:ascii="Arial" w:cs="Arial" w:eastAsia="Arial" w:hAnsi="Arial"/>
          <w:sz w:val="18"/>
          <w:szCs w:val="18"/>
          <w:color w:val="auto"/>
        </w:rPr>
        <w:t>Even if AbbVie successfully develops and markets new products or enhancements to its existing products, they may be quickly rendered obsolete by changing clinical preferences, changing industry standards, or competitors' innovations. AbbVie's innovations may not be accepted quickly in the marketplace because of existing clinical practices or uncertainty over third-party reimbursement. AbbVie cannot state with certainty when or whether any of its products under development will be launched, whether it will be able to develop, license, or otherwise acquire compounds or products, or whether any products will be commercially successful. Failure to launch successful new products or new indications for existing products may cause AbbVie's products to become obsolete, causing AbbVie's revenues and operating results to suffer.</w:t>
      </w:r>
    </w:p>
    <w:p>
      <w:pPr>
        <w:spacing w:after="0" w:line="104" w:lineRule="exact"/>
        <w:rPr>
          <w:sz w:val="20"/>
          <w:szCs w:val="20"/>
          <w:color w:val="auto"/>
        </w:rPr>
      </w:pPr>
    </w:p>
    <w:p>
      <w:pPr>
        <w:ind w:left="420"/>
        <w:spacing w:after="0" w:line="287" w:lineRule="auto"/>
        <w:rPr>
          <w:sz w:val="20"/>
          <w:szCs w:val="20"/>
          <w:color w:val="auto"/>
        </w:rPr>
      </w:pPr>
      <w:r>
        <w:rPr>
          <w:rFonts w:ascii="Arial" w:cs="Arial" w:eastAsia="Arial" w:hAnsi="Arial"/>
          <w:sz w:val="18"/>
          <w:szCs w:val="18"/>
          <w:b w:val="1"/>
          <w:bCs w:val="1"/>
          <w:i w:val="1"/>
          <w:iCs w:val="1"/>
          <w:color w:val="auto"/>
        </w:rPr>
        <w:t>A portion of AbbVie's near-term pharmaceutical pipeline relies on collaborations with third parties, which may adversely affect the development and sale of its products.</w:t>
      </w:r>
    </w:p>
    <w:p>
      <w:pPr>
        <w:spacing w:after="0" w:line="107"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AbbVie depends on alliances and joint ventures with pharmaceutical and biotechnology companies for a portion of the products in its near-term pharmaceutical pipeline. Failures by these parties to meet their contractual, regulatory, or other obligations to AbbVie, or any disruption in the relationships between AbbVie and these third parties, could have an adverse effect on AbbVie's pharmaceutical pipeline and business. In addition, AbbVie's collaborative relationships for research and development extend for many years and may give rise to disputes regarding the relative rights, obligations and revenues of AbbVie and its collaboration partners, including the ownership of intellectual property and associated rights and obligations. This could result in the loss of intellectual property rights or protection, delay the development and sale of potential pharmaceutical products and lead to lengthy and expensive litigation, administrative proceedings or arbitration.</w:t>
      </w:r>
    </w:p>
    <w:p>
      <w:pPr>
        <w:spacing w:after="0" w:line="200" w:lineRule="exact"/>
        <w:rPr>
          <w:sz w:val="20"/>
          <w:szCs w:val="20"/>
          <w:color w:val="auto"/>
        </w:rPr>
      </w:pPr>
    </w:p>
    <w:p>
      <w:pPr>
        <w:spacing w:after="0" w:line="316"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17</w:t>
      </w:r>
      <w:r>
        <w:rPr>
          <w:sz w:val="20"/>
          <w:szCs w:val="20"/>
          <w:color w:val="auto"/>
        </w:rPr>
        <w:tab/>
      </w:r>
      <w:r>
        <w:rPr>
          <w:sz w:val="1"/>
          <w:szCs w:val="1"/>
          <w:color w:val="auto"/>
        </w:rPr>
        <w:drawing>
          <wp:inline distT="0" distB="0" distL="0" distR="0">
            <wp:extent cx="600075" cy="11176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0075" cy="11176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0" w:name="page21"/>
    <w:bookmarkEnd w:id="20"/>
    <w:p>
      <w:pPr>
        <w:ind w:left="420"/>
        <w:spacing w:after="0"/>
        <w:rPr>
          <w:sz w:val="20"/>
          <w:szCs w:val="20"/>
          <w:color w:val="auto"/>
        </w:rPr>
      </w:pPr>
      <w:r>
        <w:rPr>
          <w:rFonts w:ascii="Arial" w:cs="Arial" w:eastAsia="Arial" w:hAnsi="Arial"/>
          <w:sz w:val="18"/>
          <w:szCs w:val="18"/>
          <w:b w:val="1"/>
          <w:bCs w:val="1"/>
          <w:i w:val="1"/>
          <w:iCs w:val="1"/>
          <w:color w:val="auto"/>
        </w:rPr>
        <w:t>Biologics carry unique risks and uncertainties, which could have a negative impact on future results of operations.</w:t>
      </w:r>
    </w:p>
    <w:p>
      <w:pPr>
        <w:spacing w:after="0" w:line="180"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The successful discovery, development, manufacturing and sale of biologics is a long, expensive and uncertain process. There are unique risks and uncertainties with biologics. For example, access to and supply of necessary biological materials, such as cell lines, may be limited and governmental regulations restrict access to and regulate the transport and use of such materials. In addition, the development, manufacturing and sale of biologics is subject to regulations that are often more complex and extensive than the regulations applicable to other pharmaceutical products. Manufacturing biologics, especially in large quantities, is often complex and may require the use of innovative technologies. Such manufacturing also requires facilities specifically designed and validated for this purpose and sophisticated quality assurance and quality control procedures. Biologics are also frequently costly to manufacture because production inputs are derived from living animal or plant material, and some biologics cannot be made synthetically. Failure to successfully discover, develop, manufacture and sell biologics—including Humira—could adversely impact AbbVie's business and results of operations.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AbbVie's biologic products are subject to competition from biosimilars.</w:t>
      </w:r>
    </w:p>
    <w:p>
      <w:pPr>
        <w:spacing w:after="0" w:line="180"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The Biologics Price Competition and Innovation Act creates a framework for the approval of biosimilars in the United States and could allow competitors to reference data from biologic products already approved. In Europe, the European Commission has granted marketing authorizations for several biosimilars pursuant to a set of general and product class-specific guidelines for biosimilar approvals issued over the past few years. In addition, companies are developing biosimilars in other countries that could and do compete with AbbVie’s biologic products, including Humira. As competitors obtain marketing approval for biosimilars referencing AbbVie’s biologic products, AbbVie’s products may become subject to competition from such biosimilars, with the attendant competitive pressure and consequences. Expiration or successful challenge of AbbVie’s applicable patent rights could also trigger competition from other products, assuming any relevant exclusivity period has expired. As a result, AbbVie could face more litigation and administrative proceedings with respect to the validity and/or scope of patents relating to its biologic products.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New products and technological advances by AbbVie's competitors may negatively affect AbbVie's results of operations.</w:t>
      </w:r>
    </w:p>
    <w:p>
      <w:pPr>
        <w:spacing w:after="0" w:line="166" w:lineRule="exact"/>
        <w:rPr>
          <w:sz w:val="20"/>
          <w:szCs w:val="20"/>
          <w:color w:val="auto"/>
        </w:rPr>
      </w:pPr>
    </w:p>
    <w:p>
      <w:pPr>
        <w:ind w:right="60" w:firstLine="445"/>
        <w:spacing w:after="0" w:line="268" w:lineRule="auto"/>
        <w:rPr>
          <w:sz w:val="20"/>
          <w:szCs w:val="20"/>
          <w:color w:val="auto"/>
        </w:rPr>
      </w:pPr>
      <w:r>
        <w:rPr>
          <w:rFonts w:ascii="Arial" w:cs="Arial" w:eastAsia="Arial" w:hAnsi="Arial"/>
          <w:sz w:val="17"/>
          <w:szCs w:val="17"/>
          <w:color w:val="auto"/>
        </w:rPr>
        <w:t>AbbVie competes with other research-based pharmaceutical and biotechnology companies that discover, manufacture, market and sell proprietary pharmaceutical products and biologics. For example, Humira competes with anti-TNF products and other competitive products intended to treat a number of disease states and Mavyret/Maviret competes with other available hepatitis C treatment options. In addition, in the past few years, a number of other companies have started to develop, have successfully developed and/or are currently marketing products that are being positioned as competitors to Botox. All of these competitors may introduce new products or develop technological advances that compete with AbbVie’s products in therapeutic areas such as immunology, hematologic oncology, aesthetics, neuroscience, eye care and women's health. AbbVie cannot predict with certainty the timing or impact of the introduction by competitors of new products or technological advances. Such competing products may be safer, more effective, more effectively marketed or sold, or have lower prices or superior performance features than AbbVie’s products, and this could negatively impact AbbVie’s business and results of operations.</w:t>
      </w:r>
    </w:p>
    <w:p>
      <w:pPr>
        <w:spacing w:after="0" w:line="106" w:lineRule="exact"/>
        <w:rPr>
          <w:sz w:val="20"/>
          <w:szCs w:val="20"/>
          <w:color w:val="auto"/>
        </w:rPr>
      </w:pPr>
    </w:p>
    <w:p>
      <w:pPr>
        <w:ind w:left="420" w:right="20"/>
        <w:spacing w:after="0" w:line="287" w:lineRule="auto"/>
        <w:rPr>
          <w:sz w:val="20"/>
          <w:szCs w:val="20"/>
          <w:color w:val="auto"/>
        </w:rPr>
      </w:pPr>
      <w:r>
        <w:rPr>
          <w:rFonts w:ascii="Arial" w:cs="Arial" w:eastAsia="Arial" w:hAnsi="Arial"/>
          <w:sz w:val="18"/>
          <w:szCs w:val="18"/>
          <w:b w:val="1"/>
          <w:bCs w:val="1"/>
          <w:i w:val="1"/>
          <w:iCs w:val="1"/>
          <w:color w:val="auto"/>
        </w:rPr>
        <w:t>The manufacture of many of AbbVie's products is a highly exacting and complex process, and if AbbVie or one of its suppliers encounters problems manufacturing AbbVie's products, AbbVie's business could suffer.</w:t>
      </w:r>
    </w:p>
    <w:p>
      <w:pPr>
        <w:spacing w:after="0" w:line="107" w:lineRule="exact"/>
        <w:rPr>
          <w:sz w:val="20"/>
          <w:szCs w:val="20"/>
          <w:color w:val="auto"/>
        </w:rPr>
      </w:pPr>
    </w:p>
    <w:p>
      <w:pPr>
        <w:ind w:right="80" w:firstLine="445"/>
        <w:spacing w:after="0" w:line="251" w:lineRule="auto"/>
        <w:rPr>
          <w:sz w:val="20"/>
          <w:szCs w:val="20"/>
          <w:color w:val="auto"/>
        </w:rPr>
      </w:pPr>
      <w:r>
        <w:rPr>
          <w:rFonts w:ascii="Arial" w:cs="Arial" w:eastAsia="Arial" w:hAnsi="Arial"/>
          <w:sz w:val="18"/>
          <w:szCs w:val="18"/>
          <w:color w:val="auto"/>
        </w:rPr>
        <w:t>The manufacture of many of AbbVie's products is a highly exacting and complex process, due in part to strict regulatory requirements. Problems may arise during manufacturing for a variety of reasons, including equipment malfunction, failure to follow specific protocols and procedures, problems with raw materials, delays related to the construction of new facilities or the expansion of existing facilities, including those intended to support future demand for AbbVie's products, changes in manufacturing production sites and limits to manufacturing capacity due to regulatory requirements, changes in the types of products produced, physical limitations that could inhibit continuous supply, man-made or natural disasters and environmental factors. If problems arise during the production of a batch of product, that batch of product may have to be discarded and AbbVie may experience product shortages or incur added expenses. This could, among other things, lead to increased costs, lost revenue, damage to customer relations, time and expense spent investigating the cause and, depending on the cause, similar losses with respect to other batches or products. If problems are not discovered before the product is released to the market, recall and product liability costs may also be incurred.</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18</w:t>
            </w:r>
          </w:p>
        </w:tc>
      </w:tr>
      <w:tr>
        <w:trPr>
          <w:trHeight w:val="196"/>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-325120</wp:posOffset>
            </wp:positionV>
            <wp:extent cx="600075" cy="1111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0075" cy="11112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1" w:name="page22"/>
    <w:bookmarkEnd w:id="21"/>
    <w:p>
      <w:pPr>
        <w:ind w:left="420" w:right="200"/>
        <w:spacing w:after="0" w:line="268" w:lineRule="auto"/>
        <w:rPr>
          <w:sz w:val="20"/>
          <w:szCs w:val="20"/>
          <w:color w:val="auto"/>
        </w:rPr>
      </w:pPr>
      <w:r>
        <w:rPr>
          <w:rFonts w:ascii="Arial" w:cs="Arial" w:eastAsia="Arial" w:hAnsi="Arial"/>
          <w:sz w:val="18"/>
          <w:szCs w:val="18"/>
          <w:b w:val="1"/>
          <w:bCs w:val="1"/>
          <w:i w:val="1"/>
          <w:iCs w:val="1"/>
          <w:color w:val="auto"/>
        </w:rPr>
        <w:t>AbbVie uses a number of products in its pharmaceutical and biologic manufacturing processes that are sourced from single suppliers, and an interruption in the supply of those products could adversely affect AbbVie's business and results of operations.</w:t>
      </w:r>
    </w:p>
    <w:p>
      <w:pPr>
        <w:spacing w:after="0" w:line="125"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AbbVie uses a number of products in its pharmaceutical and biologic manufacturing processes that are sourced from single suppliers. The failure of these single-source suppliers to fulfill their contractual obligations in a timely manner or as a result of regulatory noncompliance or physical disruption at a manufacturing site may impair AbbVie's ability to deliver its products to customers on a timely and competitive basis, which could adversely affect AbbVie's business and results of operations. Finding an alternative supplier could take a significant amount of time and involve significant expense due to the nature of the products and the need to obtain regulatory approvals. AbbVie cannot guarantee that it will be able to reach agreement with alternative providers or that regulatory authorities would approve AbbVie's use of such alternatives. AbbVie does, however, carry business interruption insurance, which provides a degree of protection in the case of a failure by a single-source supplier.</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aspects of AbbVie’s operations are highly dependent upon third party service providers.</w:t>
      </w:r>
    </w:p>
    <w:p>
      <w:pPr>
        <w:spacing w:after="0" w:line="180"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AbbVie relies on suppliers, vendors and other third party service providers to research, develop, manufacture, commercialize, promote and sell its products. Reliance on third party manufacturers reduces AbbVie’s oversight and control of the manufacturing process. Some of these third party providers are subject to legal and regulatory requirements, privacy and security risks and market risks of their own. The failure of a critical third party service provider to meet its obligations could have a material adverse impact on AbbVie’s operations and results. If any third party service providers have violated or are alleged to have violated any laws or regulations during the performance of their obligations to AbbVie, it is possible that AbbVie could suffer financial and reputational harm or other negative outcomes, including possible legal consequences.</w:t>
      </w:r>
    </w:p>
    <w:p>
      <w:pPr>
        <w:spacing w:after="0" w:line="117" w:lineRule="exact"/>
        <w:rPr>
          <w:sz w:val="20"/>
          <w:szCs w:val="20"/>
          <w:color w:val="auto"/>
        </w:rPr>
      </w:pPr>
    </w:p>
    <w:p>
      <w:pPr>
        <w:ind w:left="420" w:right="40"/>
        <w:spacing w:after="0" w:line="287" w:lineRule="auto"/>
        <w:rPr>
          <w:sz w:val="20"/>
          <w:szCs w:val="20"/>
          <w:color w:val="auto"/>
        </w:rPr>
      </w:pPr>
      <w:r>
        <w:rPr>
          <w:rFonts w:ascii="Arial" w:cs="Arial" w:eastAsia="Arial" w:hAnsi="Arial"/>
          <w:sz w:val="18"/>
          <w:szCs w:val="18"/>
          <w:b w:val="1"/>
          <w:bCs w:val="1"/>
          <w:i w:val="1"/>
          <w:iCs w:val="1"/>
          <w:color w:val="auto"/>
        </w:rPr>
        <w:t>Significant safety or efficacy issues could arise for AbbVie's products, which could have a material adverse effect on AbbVie's revenues and financial condition.</w:t>
      </w:r>
    </w:p>
    <w:p>
      <w:pPr>
        <w:spacing w:after="0" w:line="94"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Pharmaceutical products receive regulatory approval based on data obtained in controlled clinical trials of limited duration. Following regulatory approval, these products will be used over longer periods of time in many patients. Investigators may also conduct additional, and perhaps more extensive, studies. If new safety or efficacy issues are reported or if new scientific information becomes available (including results of post-marketing Phase 4 trials), or if governments change standards regarding safety, efficacy or labeling, AbbVie may be required to amend the conditions of use for a product. For example, AbbVie may voluntarily provide or be required to provide updated information on a product's label or narrow its approved indication, either of which could reduce the product's market acceptance. If safety or efficacy issues with an AbbVie product arise, sales of the product could be halted by AbbVie or by regulatory authorities and regulatory action could be taken by such regulatory authorities. Safety or efficacy issues affecting suppliers' or competitors' products also may reduce the market acceptance of AbbVie's products.</w:t>
      </w:r>
    </w:p>
    <w:p>
      <w:pPr>
        <w:spacing w:after="0" w:line="144"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New data about AbbVie's products, or products similar to its products, could negatively impact demand for AbbVie's products due to real or perceived safety issues or uncertainty regarding efficacy and, in some cases, could result in product withdrawal. Furthermore, new data and information, including information about product misuse, may lead government agencies, professional societies, practice management groups or organizations involved with various diseases to publish guidelines or recommendations related to the use of AbbVie's products or the use of related therapies or place restrictions on sales. Such guidelines or recommendations may lead to lower sales of AbbVie's products.</w:t>
      </w:r>
    </w:p>
    <w:p>
      <w:pPr>
        <w:spacing w:after="0" w:line="118" w:lineRule="exact"/>
        <w:rPr>
          <w:sz w:val="20"/>
          <w:szCs w:val="20"/>
          <w:color w:val="auto"/>
        </w:rPr>
      </w:pPr>
    </w:p>
    <w:p>
      <w:pPr>
        <w:ind w:left="420" w:right="960"/>
        <w:spacing w:after="0" w:line="287" w:lineRule="auto"/>
        <w:rPr>
          <w:sz w:val="20"/>
          <w:szCs w:val="20"/>
          <w:color w:val="auto"/>
        </w:rPr>
      </w:pPr>
      <w:r>
        <w:rPr>
          <w:rFonts w:ascii="Arial" w:cs="Arial" w:eastAsia="Arial" w:hAnsi="Arial"/>
          <w:sz w:val="18"/>
          <w:szCs w:val="18"/>
          <w:b w:val="1"/>
          <w:bCs w:val="1"/>
          <w:i w:val="1"/>
          <w:iCs w:val="1"/>
          <w:color w:val="auto"/>
        </w:rPr>
        <w:t>AbbVie is subject to product liability claims and other lawsuits that may adversely affect its business and results of operations.</w:t>
      </w:r>
    </w:p>
    <w:p>
      <w:pPr>
        <w:spacing w:after="0" w:line="94"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In the ordinary course of business, AbbVie is the subject of product liability claims and lawsuits alleging that AbbVie's products or the products of other companies that it promotes have resulted or could result in an unsafe condition for or injury to patients. For example, lawsuits are pending against Allergan, AbbVie’s newly acquired subsidiary, and certain of its current and former officers alleging they made misrepresentations and omissions regarding Allergan’s textured breast implants. Product liability claims and lawsuits and safety alerts or product recalls, regardless of their ultimate outcome, may have a material adverse effect on AbbVie's business, results of operations and reputation and on its ability to attract and retain customers. Consequences may also include additional costs, a decrease in market share for the product in question, lower income and exposure to other claims. Product liability losses are self-insured.</w:t>
      </w:r>
    </w:p>
    <w:p>
      <w:pPr>
        <w:spacing w:after="0" w:line="139" w:lineRule="exact"/>
        <w:rPr>
          <w:sz w:val="20"/>
          <w:szCs w:val="20"/>
          <w:color w:val="auto"/>
        </w:rPr>
      </w:pPr>
    </w:p>
    <w:p>
      <w:pPr>
        <w:ind w:right="180" w:firstLine="445"/>
        <w:spacing w:after="0" w:line="254" w:lineRule="auto"/>
        <w:rPr>
          <w:sz w:val="20"/>
          <w:szCs w:val="20"/>
          <w:color w:val="auto"/>
        </w:rPr>
      </w:pPr>
      <w:r>
        <w:rPr>
          <w:rFonts w:ascii="Arial" w:cs="Arial" w:eastAsia="Arial" w:hAnsi="Arial"/>
          <w:sz w:val="18"/>
          <w:szCs w:val="18"/>
          <w:color w:val="auto"/>
        </w:rPr>
        <w:t>AbbVie is also the subject of other claims, legal proceedings and investigations in the ordinary course of business, which relate to the intellectual property, commercial, securities and other matters. Adverse outcomes in such claims, legal proceedings and investigations may also adversely affect AbbVie’s business and results of operations. Additionally, Allergan has been named as a defendant in approximately 3,100 matters relating to the promotion and sale of prescription opioid pain</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19</w:t>
      </w:r>
      <w:r>
        <w:rPr>
          <w:sz w:val="20"/>
          <w:szCs w:val="20"/>
          <w:color w:val="auto"/>
        </w:rPr>
        <w:tab/>
      </w:r>
      <w:r>
        <w:rPr>
          <w:sz w:val="1"/>
          <w:szCs w:val="1"/>
          <w:color w:val="auto"/>
        </w:rPr>
        <w:drawing>
          <wp:inline distT="0" distB="0" distL="0" distR="0">
            <wp:extent cx="600075" cy="11112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22" w:name="page23"/>
    <w:bookmarkEnd w:id="22"/>
    <w:p>
      <w:pPr>
        <w:ind w:right="260"/>
        <w:spacing w:after="0" w:line="291" w:lineRule="auto"/>
        <w:rPr>
          <w:sz w:val="20"/>
          <w:szCs w:val="20"/>
          <w:color w:val="auto"/>
        </w:rPr>
      </w:pPr>
      <w:r>
        <w:rPr>
          <w:rFonts w:ascii="Arial" w:cs="Arial" w:eastAsia="Arial" w:hAnsi="Arial"/>
          <w:sz w:val="17"/>
          <w:szCs w:val="17"/>
          <w:color w:val="auto"/>
        </w:rPr>
        <w:t>relievers and additional suits may be filed. See Note 15, "Legal Proceedings and Contingencies" to the Consolidated Financial Statements included under Item 8, "Financial Statements and Supplementary Data." AbbVie cannot predict the outcome of these proceedings.</w:t>
      </w:r>
    </w:p>
    <w:p>
      <w:pPr>
        <w:spacing w:after="0" w:line="71" w:lineRule="exact"/>
        <w:rPr>
          <w:sz w:val="20"/>
          <w:szCs w:val="20"/>
          <w:color w:val="auto"/>
        </w:rPr>
      </w:pPr>
    </w:p>
    <w:p>
      <w:pPr>
        <w:ind w:left="420" w:right="100"/>
        <w:spacing w:after="0" w:line="268" w:lineRule="auto"/>
        <w:rPr>
          <w:sz w:val="20"/>
          <w:szCs w:val="20"/>
          <w:color w:val="auto"/>
        </w:rPr>
      </w:pPr>
      <w:r>
        <w:rPr>
          <w:rFonts w:ascii="Arial" w:cs="Arial" w:eastAsia="Arial" w:hAnsi="Arial"/>
          <w:sz w:val="18"/>
          <w:szCs w:val="18"/>
          <w:b w:val="1"/>
          <w:bCs w:val="1"/>
          <w:i w:val="1"/>
          <w:iCs w:val="1"/>
          <w:color w:val="auto"/>
        </w:rPr>
        <w:t>AbbVie is subject to cost-containment efforts and pricing pressures that could cause a reduction in future revenues and operating earnings, and changes in the terms of rebate and chargeback programs, which are common in the pharmaceuticals industry, could have a material adverse effect on AbbVie's operations.</w:t>
      </w:r>
    </w:p>
    <w:p>
      <w:pPr>
        <w:spacing w:after="0" w:line="125"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Cost-containment efforts by governments and private organizations are described in greater detail in Item 1, "Business—Regulation— Commercialization, Distribution and Manufacturing." To the extent these cost containment efforts are not offset by greater demand, increased patient access to health care, or other factors, AbbVie's future revenues and operating earnings will be reduced. In the United States, the European Union and other countries, AbbVie's business has experienced downward pressure on product pricing, and this pressure could increase in the future.</w:t>
      </w:r>
    </w:p>
    <w:p>
      <w:pPr>
        <w:spacing w:after="0" w:line="138" w:lineRule="exact"/>
        <w:rPr>
          <w:sz w:val="20"/>
          <w:szCs w:val="20"/>
          <w:color w:val="auto"/>
        </w:rPr>
      </w:pPr>
    </w:p>
    <w:p>
      <w:pPr>
        <w:ind w:right="120" w:firstLine="445"/>
        <w:spacing w:after="0" w:line="252" w:lineRule="auto"/>
        <w:rPr>
          <w:sz w:val="20"/>
          <w:szCs w:val="20"/>
          <w:color w:val="auto"/>
        </w:rPr>
      </w:pPr>
      <w:r>
        <w:rPr>
          <w:rFonts w:ascii="Arial" w:cs="Arial" w:eastAsia="Arial" w:hAnsi="Arial"/>
          <w:sz w:val="18"/>
          <w:szCs w:val="18"/>
          <w:color w:val="auto"/>
        </w:rPr>
        <w:t>AbbVie is subject to increasing public and legislative pressure with respect to pharmaceutical pricing. In the United States, practices of managed care groups, and institutional and governmental purchasers, and United States federal laws and regulations related to Medicare and Medicaid, including the Medicare Prescription Drug Improvement and Modernization Act of 2003 and the Patient Protection and Affordable Care Act, contribute to pricing pressures. The potential for continuing changes to the health care system in the United States and the increased purchasing power of entities that negotiate on behalf of Medicare, Medicaid and private sector beneficiaries could result in additional pricing pressures.</w:t>
      </w:r>
    </w:p>
    <w:p>
      <w:pPr>
        <w:spacing w:after="0" w:line="127"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In numerous major markets worldwide, the government plays a significant role in funding health care services and determining the pricing and reimbursement of pharmaceutical products. Consequently, in those markets, AbbVie is subject to government decision-making and budgetary actions with respect to its products. In particular, many European countries have ongoing government-mandated price reductions for many pharmaceutical products, and AbbVie anticipates continuing pricing pressures in Europe. Differences between countries in pricing regulations could lead to third-party cross-border trading in AbbVie's products that results in a reduction in future revenues and operating earnings.</w:t>
      </w:r>
    </w:p>
    <w:p>
      <w:pPr>
        <w:spacing w:after="0" w:line="140" w:lineRule="exact"/>
        <w:rPr>
          <w:sz w:val="20"/>
          <w:szCs w:val="20"/>
          <w:color w:val="auto"/>
        </w:rPr>
      </w:pPr>
    </w:p>
    <w:p>
      <w:pPr>
        <w:ind w:right="160" w:firstLine="445"/>
        <w:spacing w:after="0" w:line="252" w:lineRule="auto"/>
        <w:rPr>
          <w:sz w:val="20"/>
          <w:szCs w:val="20"/>
          <w:color w:val="auto"/>
        </w:rPr>
      </w:pPr>
      <w:r>
        <w:rPr>
          <w:rFonts w:ascii="Arial" w:cs="Arial" w:eastAsia="Arial" w:hAnsi="Arial"/>
          <w:sz w:val="18"/>
          <w:szCs w:val="18"/>
          <w:color w:val="auto"/>
        </w:rPr>
        <w:t>Rebates related to government programs, such as fee-for-service Medicaid or Medicaid managed care programs, arise from laws and regulations. AbbVie cannot predict if additional government initiatives to contain health care costs or other factors could lead to new or modified regulatory requirements that include higher or incremental rebates or discounts. Other rebate and discount programs arise from contractual agreements with private payers. Various factors, including market factors and the ability of private payers to control patient access to products, may provide payers the leverage to negotiate higher or additional rebates or discounts that could have a material adverse effect on AbbVie's operations.</w:t>
      </w:r>
    </w:p>
    <w:p>
      <w:pPr>
        <w:spacing w:after="0" w:line="118" w:lineRule="exact"/>
        <w:rPr>
          <w:sz w:val="20"/>
          <w:szCs w:val="20"/>
          <w:color w:val="auto"/>
        </w:rPr>
      </w:pPr>
    </w:p>
    <w:p>
      <w:pPr>
        <w:ind w:left="420"/>
        <w:spacing w:after="0" w:line="287" w:lineRule="auto"/>
        <w:rPr>
          <w:sz w:val="20"/>
          <w:szCs w:val="20"/>
          <w:color w:val="auto"/>
        </w:rPr>
      </w:pPr>
      <w:r>
        <w:rPr>
          <w:rFonts w:ascii="Arial" w:cs="Arial" w:eastAsia="Arial" w:hAnsi="Arial"/>
          <w:sz w:val="18"/>
          <w:szCs w:val="18"/>
          <w:b w:val="1"/>
          <w:bCs w:val="1"/>
          <w:i w:val="1"/>
          <w:iCs w:val="1"/>
          <w:color w:val="auto"/>
        </w:rPr>
        <w:t>AbbVie is subject to numerous governmental regulations, and it can be costly to comply with these regulations and to develop compliant products and processes.</w:t>
      </w:r>
    </w:p>
    <w:p>
      <w:pPr>
        <w:spacing w:after="0" w:line="94" w:lineRule="exact"/>
        <w:rPr>
          <w:sz w:val="20"/>
          <w:szCs w:val="20"/>
          <w:color w:val="auto"/>
        </w:rPr>
      </w:pPr>
    </w:p>
    <w:p>
      <w:pPr>
        <w:ind w:right="60" w:firstLine="445"/>
        <w:spacing w:after="0" w:line="237" w:lineRule="auto"/>
        <w:rPr>
          <w:sz w:val="20"/>
          <w:szCs w:val="20"/>
          <w:color w:val="auto"/>
        </w:rPr>
      </w:pPr>
      <w:r>
        <w:rPr>
          <w:rFonts w:ascii="Arial" w:cs="Arial" w:eastAsia="Arial" w:hAnsi="Arial"/>
          <w:sz w:val="18"/>
          <w:szCs w:val="18"/>
          <w:color w:val="auto"/>
        </w:rPr>
        <w:t>AbbVie's products are subject to rigorous regulation by numerous international, supranational, federal and state authorities, as described in Item 1, "Business—Regulation—Discovery and Clinical Development,” “Business—Regulation—Commercialization, Distribution and Manufacturing,” and “Business—Regulation—Medical Devices.” The process of obtaining regulatory approvals to market a pharmaceutical product can be costly and time consuming, and approvals might not be granted for future products, or additional indications or uses of existing products, on a timely basis, if at all. Delays in the receipt of, or failure to obtain approvals for, future products, or new indications and uses, could result in delayed realization of product revenues, reduction in revenues and substantial additional costs.</w:t>
      </w:r>
    </w:p>
    <w:p>
      <w:pPr>
        <w:spacing w:after="0" w:line="137"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In addition, AbbVie cannot guarantee that it will remain compliant with applicable regulatory requirements once approval has been obtained for a product. These requirements include, among other things, regulations regarding manufacturing practices, product labeling and advertising and post-marketing reporting, including adverse event reports and field alerts due to manufacturing quality concerns. AbbVie must incur expense and spend time and effort to ensure compliance with these complex regulations.</w:t>
      </w:r>
    </w:p>
    <w:p>
      <w:pPr>
        <w:spacing w:after="0" w:line="136"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Possible regulatory actions could result in substantial modifications to AbbVie's business practices and operations; refunds, recalls or seizures of AbbVie's products; a total or partial shutdown of production in one or more of AbbVie's or its suppliers' facilities while AbbVie or its supplier remedies the alleged violation; the inability to obtain future approvals; and withdrawals or suspensions of current products from the market. Any of these events could disrupt AbbVie's business and have a material adverse effect on its business and results of operations.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20</w:t>
            </w:r>
          </w:p>
        </w:tc>
      </w:tr>
      <w:tr>
        <w:trPr>
          <w:trHeight w:val="196"/>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-325120</wp:posOffset>
            </wp:positionV>
            <wp:extent cx="600075" cy="1111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0075" cy="11112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3" w:name="page24"/>
    <w:bookmarkEnd w:id="23"/>
    <w:p>
      <w:pPr>
        <w:ind w:left="420"/>
        <w:spacing w:after="0" w:line="287" w:lineRule="auto"/>
        <w:rPr>
          <w:sz w:val="20"/>
          <w:szCs w:val="20"/>
          <w:color w:val="auto"/>
        </w:rPr>
      </w:pPr>
      <w:r>
        <w:rPr>
          <w:rFonts w:ascii="Arial" w:cs="Arial" w:eastAsia="Arial" w:hAnsi="Arial"/>
          <w:sz w:val="18"/>
          <w:szCs w:val="18"/>
          <w:b w:val="1"/>
          <w:bCs w:val="1"/>
          <w:i w:val="1"/>
          <w:iCs w:val="1"/>
          <w:color w:val="auto"/>
        </w:rPr>
        <w:t>Laws and regulations affecting government benefit programs could impose new obligations on AbbVie, require it to change its business practices, and restrict its operations in the future.</w:t>
      </w:r>
    </w:p>
    <w:p>
      <w:pPr>
        <w:spacing w:after="0" w:line="94"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The health care industry is subject to various federal, state and international laws and regulations pertaining to government benefit programs reimbursement, rebates, price reporting and regulation and health care fraud and abuse. In the United States, these laws include anti -kickback and false claims laws, the Medicaid Rebate Statute, the Veterans Health Care Act, the U.S. Physician Payments Sunshine Act, the TRICARE program, the government pricing rules applicable to the Medicaid, Medicare Part B, 340B Drug Pricing Program and individual state laws relating to pricing and sales and marketing practices. Violations of these laws may be punishable by criminal and/or civil sanctions, including, in some instances, substantial fines, imprisonment and exclusion from participation in federal and state health care programs, including Medicare, Medicaid and Veterans Administration health programs. These laws and regulations are broad in scope and they are subject to change and evolving interpretations, which could require AbbVie to incur substantial costs associated with compliance or to alter one or more of its sales or marketing practices. In addition, violations of these laws, or allegations of such violations, could disrupt AbbVie's business and result in a material adverse effect on its business and results of operations.</w:t>
      </w:r>
    </w:p>
    <w:p>
      <w:pPr>
        <w:spacing w:after="0" w:line="122" w:lineRule="exact"/>
        <w:rPr>
          <w:sz w:val="20"/>
          <w:szCs w:val="20"/>
          <w:color w:val="auto"/>
        </w:rPr>
      </w:pPr>
    </w:p>
    <w:p>
      <w:pPr>
        <w:ind w:left="420" w:right="840"/>
        <w:spacing w:after="0" w:line="287" w:lineRule="auto"/>
        <w:rPr>
          <w:sz w:val="20"/>
          <w:szCs w:val="20"/>
          <w:color w:val="auto"/>
        </w:rPr>
      </w:pPr>
      <w:r>
        <w:rPr>
          <w:rFonts w:ascii="Arial" w:cs="Arial" w:eastAsia="Arial" w:hAnsi="Arial"/>
          <w:sz w:val="18"/>
          <w:szCs w:val="18"/>
          <w:b w:val="1"/>
          <w:bCs w:val="1"/>
          <w:i w:val="1"/>
          <w:iCs w:val="1"/>
          <w:color w:val="auto"/>
        </w:rPr>
        <w:t>The international nature of AbbVie's business subjects it to additional business risks that may cause its revenue and profitability to decline.</w:t>
      </w:r>
    </w:p>
    <w:p>
      <w:pPr>
        <w:spacing w:after="0" w:line="107" w:lineRule="exact"/>
        <w:rPr>
          <w:sz w:val="20"/>
          <w:szCs w:val="20"/>
          <w:color w:val="auto"/>
        </w:rPr>
      </w:pPr>
    </w:p>
    <w:p>
      <w:pPr>
        <w:ind w:right="560" w:firstLine="445"/>
        <w:spacing w:after="0" w:line="256" w:lineRule="auto"/>
        <w:rPr>
          <w:sz w:val="20"/>
          <w:szCs w:val="20"/>
          <w:color w:val="auto"/>
        </w:rPr>
      </w:pPr>
      <w:r>
        <w:rPr>
          <w:rFonts w:ascii="Arial" w:cs="Arial" w:eastAsia="Arial" w:hAnsi="Arial"/>
          <w:sz w:val="18"/>
          <w:szCs w:val="18"/>
          <w:color w:val="auto"/>
        </w:rPr>
        <w:t>AbbVie's business is subject to risks associated with doing business internationally, including in emerging markets. Net revenues outside of the United States made up approximately 24% of AbbVie's total net revenues in 2020. The risks associated with AbbVie's operations outside the United States include:</w:t>
      </w:r>
    </w:p>
    <w:p>
      <w:pPr>
        <w:spacing w:after="0" w:line="121"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medical reimbursement policies and programs;</w:t>
      </w:r>
    </w:p>
    <w:p>
      <w:pPr>
        <w:spacing w:after="0" w:line="117" w:lineRule="exact"/>
        <w:rPr>
          <w:rFonts w:ascii="Arial" w:cs="Arial" w:eastAsia="Arial" w:hAnsi="Arial"/>
          <w:sz w:val="18"/>
          <w:szCs w:val="18"/>
          <w:color w:val="auto"/>
        </w:rPr>
      </w:pPr>
    </w:p>
    <w:p>
      <w:pPr>
        <w:ind w:left="980" w:right="480" w:hanging="324"/>
        <w:spacing w:after="0" w:line="261" w:lineRule="auto"/>
        <w:tabs>
          <w:tab w:leader="none" w:pos="948" w:val="left"/>
        </w:tabs>
        <w:numPr>
          <w:ilvl w:val="0"/>
          <w:numId w:val="7"/>
        </w:numPr>
        <w:rPr>
          <w:rFonts w:ascii="Arial" w:cs="Arial" w:eastAsia="Arial" w:hAnsi="Arial"/>
          <w:sz w:val="18"/>
          <w:szCs w:val="18"/>
          <w:color w:val="auto"/>
        </w:rPr>
      </w:pPr>
      <w:r>
        <w:rPr>
          <w:rFonts w:ascii="Arial" w:cs="Arial" w:eastAsia="Arial" w:hAnsi="Arial"/>
          <w:sz w:val="18"/>
          <w:szCs w:val="18"/>
          <w:color w:val="auto"/>
        </w:rPr>
        <w:t>multiple legal and regulatory requirements that are subject to change and that could restrict AbbVie's ability to manufacture, market and sell its products;</w:t>
      </w:r>
    </w:p>
    <w:p>
      <w:pPr>
        <w:spacing w:after="0" w:line="89"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117"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w:t>
      </w:r>
    </w:p>
    <w:p>
      <w:pPr>
        <w:spacing w:after="0" w:line="117"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international trade disruptions or disputes;</w:t>
      </w:r>
    </w:p>
    <w:p>
      <w:pPr>
        <w:spacing w:after="0" w:line="117"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difficulty in establishing, staffing and managing operations;</w:t>
      </w:r>
    </w:p>
    <w:p>
      <w:pPr>
        <w:spacing w:after="0" w:line="117"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differing labor regulations;</w:t>
      </w:r>
    </w:p>
    <w:p>
      <w:pPr>
        <w:spacing w:after="0" w:line="117"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or interpretations of tax laws;</w:t>
      </w:r>
    </w:p>
    <w:p>
      <w:pPr>
        <w:spacing w:after="0" w:line="117" w:lineRule="exact"/>
        <w:rPr>
          <w:rFonts w:ascii="Arial" w:cs="Arial" w:eastAsia="Arial" w:hAnsi="Arial"/>
          <w:sz w:val="18"/>
          <w:szCs w:val="18"/>
          <w:color w:val="auto"/>
        </w:rPr>
      </w:pPr>
    </w:p>
    <w:p>
      <w:pPr>
        <w:ind w:left="980" w:right="180" w:hanging="324"/>
        <w:spacing w:after="0" w:line="261" w:lineRule="auto"/>
        <w:tabs>
          <w:tab w:leader="none" w:pos="948"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and economic instability, including as a result of the United Kingdom’s exit from the European Union and the COVID-19 pandemic;</w:t>
      </w:r>
    </w:p>
    <w:p>
      <w:pPr>
        <w:spacing w:after="0" w:line="89"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sovereign debt issues;</w:t>
      </w:r>
    </w:p>
    <w:p>
      <w:pPr>
        <w:spacing w:after="0" w:line="117" w:lineRule="exact"/>
        <w:rPr>
          <w:rFonts w:ascii="Arial" w:cs="Arial" w:eastAsia="Arial" w:hAnsi="Arial"/>
          <w:sz w:val="18"/>
          <w:szCs w:val="18"/>
          <w:color w:val="auto"/>
        </w:rPr>
      </w:pPr>
    </w:p>
    <w:p>
      <w:pPr>
        <w:ind w:left="980" w:right="380" w:hanging="324"/>
        <w:spacing w:after="0" w:line="261" w:lineRule="auto"/>
        <w:tabs>
          <w:tab w:leader="none" w:pos="948"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 and currency exchange controls, limitations on participation in local enterprises, expropriation, nationalization and other governmental action and regulation;</w:t>
      </w:r>
    </w:p>
    <w:p>
      <w:pPr>
        <w:spacing w:after="0" w:line="89"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inflation, recession and fluctuations in interest rates;</w:t>
      </w:r>
    </w:p>
    <w:p>
      <w:pPr>
        <w:spacing w:after="0" w:line="117"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transfers of funds;</w:t>
      </w:r>
    </w:p>
    <w:p>
      <w:pPr>
        <w:spacing w:after="0" w:line="117" w:lineRule="exact"/>
        <w:rPr>
          <w:rFonts w:ascii="Arial" w:cs="Arial" w:eastAsia="Arial" w:hAnsi="Arial"/>
          <w:sz w:val="18"/>
          <w:szCs w:val="18"/>
          <w:color w:val="auto"/>
        </w:rPr>
      </w:pPr>
    </w:p>
    <w:p>
      <w:pPr>
        <w:ind w:left="980" w:right="420" w:hanging="324"/>
        <w:spacing w:after="0" w:line="261" w:lineRule="auto"/>
        <w:tabs>
          <w:tab w:leader="none" w:pos="948"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deterioration in the economic position and credit quality of certain non-U.S. countries, including in Europe and Latin America; and</w:t>
      </w:r>
    </w:p>
    <w:p>
      <w:pPr>
        <w:spacing w:after="0" w:line="89" w:lineRule="exact"/>
        <w:rPr>
          <w:rFonts w:ascii="Arial" w:cs="Arial" w:eastAsia="Arial" w:hAnsi="Arial"/>
          <w:sz w:val="18"/>
          <w:szCs w:val="18"/>
          <w:color w:val="auto"/>
        </w:rPr>
      </w:pPr>
    </w:p>
    <w:p>
      <w:pPr>
        <w:ind w:left="980" w:right="680" w:hanging="324"/>
        <w:spacing w:after="0" w:line="261" w:lineRule="auto"/>
        <w:tabs>
          <w:tab w:leader="none" w:pos="948"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penalties or other adverse consequences for violations of anti-corruption, anti-bribery and other similar laws and regulations, including the United States Foreign Corrupt Practices Act and the United Kingdom Bribery Act.</w:t>
      </w:r>
    </w:p>
    <w:p>
      <w:pPr>
        <w:spacing w:after="0" w:line="130" w:lineRule="exact"/>
        <w:rPr>
          <w:sz w:val="20"/>
          <w:szCs w:val="20"/>
          <w:color w:val="auto"/>
        </w:rPr>
      </w:pPr>
    </w:p>
    <w:p>
      <w:pPr>
        <w:ind w:right="400" w:firstLine="445"/>
        <w:spacing w:after="0" w:line="261" w:lineRule="auto"/>
        <w:rPr>
          <w:sz w:val="20"/>
          <w:szCs w:val="20"/>
          <w:color w:val="auto"/>
        </w:rPr>
      </w:pPr>
      <w:r>
        <w:rPr>
          <w:rFonts w:ascii="Arial" w:cs="Arial" w:eastAsia="Arial" w:hAnsi="Arial"/>
          <w:sz w:val="18"/>
          <w:szCs w:val="18"/>
          <w:color w:val="auto"/>
        </w:rPr>
        <w:t>Events contemplated by these risks may, individually or in the aggregate, have a material adverse effect on AbbVie's revenues and profitability.</w:t>
      </w:r>
    </w:p>
    <w:p>
      <w:pPr>
        <w:spacing w:after="0" w:line="200" w:lineRule="exact"/>
        <w:rPr>
          <w:sz w:val="20"/>
          <w:szCs w:val="20"/>
          <w:color w:val="auto"/>
        </w:rPr>
      </w:pPr>
    </w:p>
    <w:p>
      <w:pPr>
        <w:spacing w:after="0" w:line="319"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21</w:t>
      </w:r>
      <w:r>
        <w:rPr>
          <w:sz w:val="20"/>
          <w:szCs w:val="20"/>
          <w:color w:val="auto"/>
        </w:rPr>
        <w:tab/>
      </w:r>
      <w:r>
        <w:rPr>
          <w:sz w:val="1"/>
          <w:szCs w:val="1"/>
          <w:color w:val="auto"/>
        </w:rPr>
        <w:drawing>
          <wp:inline distT="0" distB="0" distL="0" distR="0">
            <wp:extent cx="600075" cy="11112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24" w:name="page25"/>
    <w:bookmarkEnd w:id="24"/>
    <w:p>
      <w:pPr>
        <w:ind w:left="420" w:right="220"/>
        <w:spacing w:after="0" w:line="287" w:lineRule="auto"/>
        <w:rPr>
          <w:sz w:val="20"/>
          <w:szCs w:val="20"/>
          <w:color w:val="auto"/>
        </w:rPr>
      </w:pPr>
      <w:r>
        <w:rPr>
          <w:rFonts w:ascii="Arial" w:cs="Arial" w:eastAsia="Arial" w:hAnsi="Arial"/>
          <w:sz w:val="18"/>
          <w:szCs w:val="18"/>
          <w:b w:val="1"/>
          <w:bCs w:val="1"/>
          <w:i w:val="1"/>
          <w:iCs w:val="1"/>
          <w:color w:val="auto"/>
        </w:rPr>
        <w:t>If AbbVie does not effectively and profitably commercialize its products, AbbVie's revenues and financial condition could be adversely affected.</w:t>
      </w:r>
    </w:p>
    <w:p>
      <w:pPr>
        <w:spacing w:after="0" w:line="94" w:lineRule="exact"/>
        <w:rPr>
          <w:sz w:val="20"/>
          <w:szCs w:val="20"/>
          <w:color w:val="auto"/>
        </w:rPr>
      </w:pPr>
    </w:p>
    <w:p>
      <w:pPr>
        <w:ind w:right="200" w:firstLine="445"/>
        <w:spacing w:after="0" w:line="251" w:lineRule="auto"/>
        <w:rPr>
          <w:sz w:val="20"/>
          <w:szCs w:val="20"/>
          <w:color w:val="auto"/>
        </w:rPr>
      </w:pPr>
      <w:r>
        <w:rPr>
          <w:rFonts w:ascii="Arial" w:cs="Arial" w:eastAsia="Arial" w:hAnsi="Arial"/>
          <w:sz w:val="18"/>
          <w:szCs w:val="18"/>
          <w:color w:val="auto"/>
        </w:rPr>
        <w:t>AbbVie must effectively and profitably commercialize its principal products by creating and meeting continued market demand; achieving market acceptance and generating product sales; ensuring that the active pharmaceutical ingredient(s) for a product and the finished product are manufactured in sufficient quantities and in compliance with requirements of the FDA and similar foreign regulatory agencies and with acceptable quality and pricing to meet commercial demand; and ensuring that the entire supply chain efficiently and consistently delivers AbbVie's products to its customers. The commercialization of AbbVie products may not be successful due to, among other things, unexpected challenges from competitors, new safety issues or concerns being reported that may impact or narrow approved indications, the relative price of AbbVie's product as compared to alternative treatment options and changes to a product's label that further restrict its marketing. If the commercialization of AbbVie's principal products is unsuccessful, AbbVie's ability to generate revenue from product sales will be adversely affected.</w:t>
      </w:r>
    </w:p>
    <w:p>
      <w:pPr>
        <w:spacing w:after="0" w:line="122" w:lineRule="exact"/>
        <w:rPr>
          <w:sz w:val="20"/>
          <w:szCs w:val="20"/>
          <w:color w:val="auto"/>
        </w:rPr>
      </w:pPr>
    </w:p>
    <w:p>
      <w:pPr>
        <w:ind w:left="420" w:right="140"/>
        <w:spacing w:after="0" w:line="287" w:lineRule="auto"/>
        <w:rPr>
          <w:sz w:val="20"/>
          <w:szCs w:val="20"/>
          <w:color w:val="auto"/>
        </w:rPr>
      </w:pPr>
      <w:r>
        <w:rPr>
          <w:rFonts w:ascii="Arial" w:cs="Arial" w:eastAsia="Arial" w:hAnsi="Arial"/>
          <w:sz w:val="18"/>
          <w:szCs w:val="18"/>
          <w:b w:val="1"/>
          <w:bCs w:val="1"/>
          <w:i w:val="1"/>
          <w:iCs w:val="1"/>
          <w:color w:val="auto"/>
        </w:rPr>
        <w:t>AbbVie may acquire other businesses, license rights to technologies or products, form alliances, or dispose of assets, which could cause it to incur significant expenses and could negatively affect profitability.</w:t>
      </w:r>
    </w:p>
    <w:p>
      <w:pPr>
        <w:spacing w:after="0" w:line="107" w:lineRule="exact"/>
        <w:rPr>
          <w:sz w:val="20"/>
          <w:szCs w:val="20"/>
          <w:color w:val="auto"/>
        </w:rPr>
      </w:pPr>
    </w:p>
    <w:p>
      <w:pPr>
        <w:ind w:right="120" w:firstLine="445"/>
        <w:spacing w:after="0" w:line="252" w:lineRule="auto"/>
        <w:rPr>
          <w:sz w:val="20"/>
          <w:szCs w:val="20"/>
          <w:color w:val="auto"/>
        </w:rPr>
      </w:pPr>
      <w:r>
        <w:rPr>
          <w:rFonts w:ascii="Arial" w:cs="Arial" w:eastAsia="Arial" w:hAnsi="Arial"/>
          <w:sz w:val="18"/>
          <w:szCs w:val="18"/>
          <w:color w:val="auto"/>
        </w:rPr>
        <w:t>AbbVie may pursue acquisitions, technology licensing arrangements, joint ventures and strategic alliances, or dispose of some of its assets, as part of its business strategy. AbbVie may not complete these transactions in a timely manner, on a cost-effective basis, or at all, and may not realize the expected benefits. If AbbVie is successful in making an acquisition, the products and technologies that are acquired may not be successful or may require significantly greater resources and investments than originally anticipated. AbbVie may not be able to integrate acquisitions successfully into its existing business and could incur or assume significant debt and unknown or contingent liabilities. AbbVie could also experience negative effects on its reported results of operations from acquisition or disposition-related charges, amortization of expenses related to intangibles and charges for impairment of long-term assets. These effects could cause a deterioration of AbbVie's credit rating and result in increased borrowing costs and interest expense.</w:t>
      </w:r>
    </w:p>
    <w:p>
      <w:pPr>
        <w:spacing w:after="0" w:line="124" w:lineRule="exact"/>
        <w:rPr>
          <w:sz w:val="20"/>
          <w:szCs w:val="20"/>
          <w:color w:val="auto"/>
        </w:rPr>
      </w:pPr>
    </w:p>
    <w:p>
      <w:pPr>
        <w:ind w:right="260" w:firstLine="445"/>
        <w:spacing w:after="0" w:line="254" w:lineRule="auto"/>
        <w:rPr>
          <w:sz w:val="20"/>
          <w:szCs w:val="20"/>
          <w:color w:val="auto"/>
        </w:rPr>
      </w:pPr>
      <w:r>
        <w:rPr>
          <w:rFonts w:ascii="Arial" w:cs="Arial" w:eastAsia="Arial" w:hAnsi="Arial"/>
          <w:sz w:val="18"/>
          <w:szCs w:val="18"/>
          <w:color w:val="auto"/>
        </w:rPr>
        <w:t>Additionally, changes in AbbVie's structure, operations, revenues, costs, or efficiency resulting from major transactions such as acquisitions, divestitures, mergers, alliances, joint ventures, restructurings or other strategic initiatives, may result in greater than expected costs, may take longer than expected to complete or encounter other difficulties, including the need for regulatory approval where appropriate.</w:t>
      </w:r>
    </w:p>
    <w:p>
      <w:pPr>
        <w:spacing w:after="0" w:line="114" w:lineRule="exact"/>
        <w:rPr>
          <w:sz w:val="20"/>
          <w:szCs w:val="20"/>
          <w:color w:val="auto"/>
        </w:rPr>
      </w:pPr>
    </w:p>
    <w:p>
      <w:pPr>
        <w:ind w:left="420" w:right="40"/>
        <w:spacing w:after="0" w:line="287" w:lineRule="auto"/>
        <w:rPr>
          <w:sz w:val="20"/>
          <w:szCs w:val="20"/>
          <w:color w:val="auto"/>
        </w:rPr>
      </w:pPr>
      <w:r>
        <w:rPr>
          <w:rFonts w:ascii="Arial" w:cs="Arial" w:eastAsia="Arial" w:hAnsi="Arial"/>
          <w:sz w:val="18"/>
          <w:szCs w:val="18"/>
          <w:b w:val="1"/>
          <w:bCs w:val="1"/>
          <w:i w:val="1"/>
          <w:iCs w:val="1"/>
          <w:color w:val="auto"/>
        </w:rPr>
        <w:t>AbbVie is dependent on wholesale distributors for distribution of its products in the United States and, accordingly, its results of operations could be adversely affected if they encounter financial difficulties.</w:t>
      </w:r>
    </w:p>
    <w:p>
      <w:pPr>
        <w:spacing w:after="0" w:line="107"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In 2020, three wholesale distributors (McKesson Corporation, Cardinal Health, Inc. and AmerisourceBergen Corporation) accounted for substantially all of AbbVie's sales in the United States. If one of its significant wholesale distributors encounters financial or other difficulties, such distributor may decrease the amount of business that it does with AbbVie, and AbbVie may be unable to collect all the amounts that the distributor owes it on a timely basis or at all, which could negatively impact AbbVie's business and results of operations.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AbbVie has debt obligations that could adversely affect its business and its ability to meet its obligations.</w:t>
      </w:r>
    </w:p>
    <w:p>
      <w:pPr>
        <w:spacing w:after="0" w:line="180"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The amount of debt that AbbVie has incurred and intends to incur could have important consequences to AbbVie and its investors. These consequences include, among other things, requiring a portion of AbbVie's cash flow from operations to make interest payments on this debt and reducing the cash flow available to fund capital expenditures and other corporate purposes and to grow AbbVie's business. In particular, AbbVie incurred significant debt in connection with its acquisition of Allergan. AbbVie’s substantially increased indebtedness and higher debt to equity ratio as a result of the acquisition may exacerbate these risks and have the effect of, among other things, reducing its flexibility to respond to changing business and economic conditions and/or lowering its credit ratings. To the extent AbbVie incurs additional indebtedness or interest rates increase, these risks could increase further. In addition, AbbVie's cash flow from operations may not be sufficient to repay all of the outstanding debt as it becomes due, and AbbVie may not be able to borrow money, sell assets, or otherwise raise funds on acceptable terms, or at all, to refinance its debt.</w:t>
      </w:r>
    </w:p>
    <w:p>
      <w:pPr>
        <w:spacing w:after="0" w:line="122" w:lineRule="exact"/>
        <w:rPr>
          <w:sz w:val="20"/>
          <w:szCs w:val="20"/>
          <w:color w:val="auto"/>
        </w:rPr>
      </w:pPr>
    </w:p>
    <w:p>
      <w:pPr>
        <w:ind w:left="420" w:right="200"/>
        <w:spacing w:after="0" w:line="287" w:lineRule="auto"/>
        <w:rPr>
          <w:sz w:val="20"/>
          <w:szCs w:val="20"/>
          <w:color w:val="auto"/>
        </w:rPr>
      </w:pPr>
      <w:r>
        <w:rPr>
          <w:rFonts w:ascii="Arial" w:cs="Arial" w:eastAsia="Arial" w:hAnsi="Arial"/>
          <w:sz w:val="18"/>
          <w:szCs w:val="18"/>
          <w:b w:val="1"/>
          <w:bCs w:val="1"/>
          <w:i w:val="1"/>
          <w:iCs w:val="1"/>
          <w:color w:val="auto"/>
        </w:rPr>
        <w:t>AbbVie may need additional financing in the future to meet its capital needs or to make opportunistic acquisitions, and such financing may not be available on favorable terms, if at all.</w:t>
      </w:r>
    </w:p>
    <w:p>
      <w:pPr>
        <w:spacing w:after="0" w:line="94"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AbbVie may need to seek additional financing for its general corporate purposes. For example, it may need to increase its investment in research and development activities or need funds to make acquisitions. AbbVie may be unable to obtain any desired additional financing on terms favorable to it, if at all. If AbbVie loses its investment grade credit rating or adequate funds are not available on acceptable terms, AbbVie may be unable to fund its expansion, successfully develop or enhance products, or respond to competitive pressures, any of which could negatively affect AbbVie's business. If AbbVie</w:t>
      </w:r>
    </w:p>
    <w:p>
      <w:pPr>
        <w:sectPr>
          <w:pgSz w:w="11900" w:h="16838" w:orient="portrait"/>
          <w:cols w:equalWidth="0" w:num="1">
            <w:col w:w="11240"/>
          </w:cols>
          <w:pgMar w:left="320" w:top="1075"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8180"/>
        <w:spacing w:after="0"/>
        <w:tabs>
          <w:tab w:leader="none" w:pos="9620" w:val="left"/>
        </w:tabs>
        <w:rPr>
          <w:sz w:val="20"/>
          <w:szCs w:val="20"/>
          <w:color w:val="auto"/>
        </w:rPr>
      </w:pPr>
      <w:r>
        <w:rPr>
          <w:rFonts w:ascii="Arial" w:cs="Arial" w:eastAsia="Arial" w:hAnsi="Arial"/>
          <w:sz w:val="18"/>
          <w:szCs w:val="18"/>
          <w:i w:val="1"/>
          <w:iCs w:val="1"/>
          <w:color w:val="auto"/>
        </w:rPr>
        <w:t>2020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600075" cy="11112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type w:val="continuous"/>
        </w:sectPr>
      </w:pPr>
    </w:p>
    <w:bookmarkStart w:id="25" w:name="page26"/>
    <w:bookmarkEnd w:id="25"/>
    <w:p>
      <w:pPr>
        <w:ind w:right="500"/>
        <w:spacing w:after="0" w:line="261" w:lineRule="auto"/>
        <w:rPr>
          <w:sz w:val="20"/>
          <w:szCs w:val="20"/>
          <w:color w:val="auto"/>
        </w:rPr>
      </w:pPr>
      <w:r>
        <w:rPr>
          <w:rFonts w:ascii="Arial" w:cs="Arial" w:eastAsia="Arial" w:hAnsi="Arial"/>
          <w:sz w:val="18"/>
          <w:szCs w:val="18"/>
          <w:color w:val="auto"/>
        </w:rPr>
        <w:t>raises additional funds by issuing debt or entering into credit facilities, it may be subject to limitations on its operations due to restrictive covenants. Failure to comply with these covenants could adversely affect AbbVie's business.</w:t>
      </w:r>
    </w:p>
    <w:p>
      <w:pPr>
        <w:spacing w:after="0" w:line="95" w:lineRule="exact"/>
        <w:rPr>
          <w:sz w:val="20"/>
          <w:szCs w:val="20"/>
          <w:color w:val="auto"/>
        </w:rPr>
      </w:pPr>
    </w:p>
    <w:p>
      <w:pPr>
        <w:ind w:left="420" w:right="240"/>
        <w:spacing w:after="0" w:line="287" w:lineRule="auto"/>
        <w:rPr>
          <w:sz w:val="20"/>
          <w:szCs w:val="20"/>
          <w:color w:val="auto"/>
        </w:rPr>
      </w:pPr>
      <w:r>
        <w:rPr>
          <w:rFonts w:ascii="Arial" w:cs="Arial" w:eastAsia="Arial" w:hAnsi="Arial"/>
          <w:sz w:val="18"/>
          <w:szCs w:val="18"/>
          <w:b w:val="1"/>
          <w:bCs w:val="1"/>
          <w:i w:val="1"/>
          <w:iCs w:val="1"/>
          <w:color w:val="auto"/>
        </w:rPr>
        <w:t>AbbVie depends on information technology and a failure of those systems could have a material adverse effect on AbbVie's business.</w:t>
      </w:r>
    </w:p>
    <w:p>
      <w:pPr>
        <w:spacing w:after="0" w:line="107"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AbbVie relies on sophisticated software applications and complex information technology systems to operate its business. These systems are potentially vulnerable to malicious intrusion, random attack, loss of data privacy, disruption, degradation or breakdown. Data privacy or security breaches by employees or others have resulted, and may in the future result, in the failure of critical business operations or may cause sensitive data, including intellectual property, trade secrets or personal information belonging to AbbVie, its patients, customers or business partners, to be exposed to unauthorized persons or to the public. To date, AbbVie’s business or operations have not been materially impacted by such incidents. Although AbbVie has invested in the protection of its data and information technology and also monitors its systems on an ongoing basis, there can be no assurance that these efforts will prevent material breakdowns or breaches in AbbVie's information technology systems that could adversely affect AbbVie's business. Such adverse consequences could include loss of revenue, or the loss of critical or sensitive information from AbbVie’s or third-party providers’ databases or IT systems and could also result in legal, financial, reputational or business harm to AbbVie and potentially substantial remediation costs.</w:t>
      </w:r>
    </w:p>
    <w:p>
      <w:pPr>
        <w:spacing w:after="0" w:line="122" w:lineRule="exact"/>
        <w:rPr>
          <w:sz w:val="20"/>
          <w:szCs w:val="20"/>
          <w:color w:val="auto"/>
        </w:rPr>
      </w:pPr>
    </w:p>
    <w:p>
      <w:pPr>
        <w:jc w:val="both"/>
        <w:ind w:left="420"/>
        <w:spacing w:after="0" w:line="268" w:lineRule="auto"/>
        <w:rPr>
          <w:sz w:val="20"/>
          <w:szCs w:val="20"/>
          <w:color w:val="auto"/>
        </w:rPr>
      </w:pPr>
      <w:r>
        <w:rPr>
          <w:rFonts w:ascii="Arial" w:cs="Arial" w:eastAsia="Arial" w:hAnsi="Arial"/>
          <w:sz w:val="18"/>
          <w:szCs w:val="18"/>
          <w:b w:val="1"/>
          <w:bCs w:val="1"/>
          <w:i w:val="1"/>
          <w:iCs w:val="1"/>
          <w:color w:val="auto"/>
        </w:rPr>
        <w:t>In connection with the acquisition of Allergan, AbbVie’s balances of intangible assets, including developed product rights and goodwill acquired, have increased significantly. Such balances are subject to impairment testing and may result in impairment charges, which will adversely affect AbbVie’s results of operations and financial condition.</w:t>
      </w:r>
    </w:p>
    <w:p>
      <w:pPr>
        <w:spacing w:after="0" w:line="112" w:lineRule="exact"/>
        <w:rPr>
          <w:sz w:val="20"/>
          <w:szCs w:val="20"/>
          <w:color w:val="auto"/>
        </w:rPr>
      </w:pPr>
    </w:p>
    <w:p>
      <w:pPr>
        <w:jc w:val="both"/>
        <w:ind w:right="380" w:firstLine="445"/>
        <w:spacing w:after="0" w:line="256" w:lineRule="auto"/>
        <w:rPr>
          <w:sz w:val="20"/>
          <w:szCs w:val="20"/>
          <w:color w:val="auto"/>
        </w:rPr>
      </w:pPr>
      <w:r>
        <w:rPr>
          <w:rFonts w:ascii="Arial" w:cs="Arial" w:eastAsia="Arial" w:hAnsi="Arial"/>
          <w:sz w:val="18"/>
          <w:szCs w:val="18"/>
          <w:color w:val="auto"/>
        </w:rPr>
        <w:t>A significant amount of AbbVie’s total assets is related to acquired intangibles and goodwill. As of December 31, 2020, the carrying value of AbbVie’s developed product rights and other intangible assets was $82.9 billion and the carrying value of AbbVie’s goodwill was $33.1 billion.</w:t>
      </w:r>
    </w:p>
    <w:p>
      <w:pPr>
        <w:spacing w:after="0" w:line="134"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AbbVie’s developed product rights are stated at cost, less accumulated amortization. AbbVie determines original fair value and amortization periods for developed product rights based on its assessment of various factors impacting estimated useful lives and cash flows of the acquired products. Significant adverse changes to any of these factors require AbbVie to perform an impairment test on the affected asset and, if evidence of impairment exists, require AbbVie to take an impairment charge with respect to the asset. For assets that are not impaired, AbbVie may adjust the remaining useful lives. Such a charge could have a material adverse effect on AbbVie’s results of operations and financial condition.</w:t>
      </w:r>
    </w:p>
    <w:p>
      <w:pPr>
        <w:spacing w:after="0" w:line="140" w:lineRule="exact"/>
        <w:rPr>
          <w:sz w:val="20"/>
          <w:szCs w:val="20"/>
          <w:color w:val="auto"/>
        </w:rPr>
      </w:pPr>
    </w:p>
    <w:p>
      <w:pPr>
        <w:ind w:right="480" w:firstLine="445"/>
        <w:spacing w:after="0" w:line="261" w:lineRule="auto"/>
        <w:rPr>
          <w:sz w:val="20"/>
          <w:szCs w:val="20"/>
          <w:color w:val="auto"/>
        </w:rPr>
      </w:pPr>
      <w:r>
        <w:rPr>
          <w:rFonts w:ascii="Arial" w:cs="Arial" w:eastAsia="Arial" w:hAnsi="Arial"/>
          <w:sz w:val="18"/>
          <w:szCs w:val="18"/>
          <w:color w:val="auto"/>
        </w:rPr>
        <w:t>AbbVie’s other significant intangible assets include in-process research and development (IPR&amp;D) intangible projects, acquired in recent business combinations, which are indefinite-lived intangible assets.</w:t>
      </w:r>
    </w:p>
    <w:p>
      <w:pPr>
        <w:spacing w:after="0" w:line="117"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Goodwill and AbbVie’s IPR&amp;D intangible assets are tested for impairment annually, or when events occur or circumstances change that could potentially reduce the fair value of the reporting unit or intangible asset. Impairment testing compares the fair value of the reporting unit or intangible asset to its carrying amount. A goodwill or IPR&amp;D impairment, if any, would be recorded in operating income and could have a material adverse effect on AbbVie’s results of operations and financial condition.</w:t>
      </w:r>
    </w:p>
    <w:p>
      <w:pPr>
        <w:spacing w:after="0" w:line="114" w:lineRule="exact"/>
        <w:rPr>
          <w:sz w:val="20"/>
          <w:szCs w:val="20"/>
          <w:color w:val="auto"/>
        </w:rPr>
      </w:pPr>
    </w:p>
    <w:p>
      <w:pPr>
        <w:ind w:left="420" w:right="40"/>
        <w:spacing w:after="0" w:line="287" w:lineRule="auto"/>
        <w:rPr>
          <w:sz w:val="20"/>
          <w:szCs w:val="20"/>
          <w:color w:val="auto"/>
        </w:rPr>
      </w:pPr>
      <w:r>
        <w:rPr>
          <w:rFonts w:ascii="Arial" w:cs="Arial" w:eastAsia="Arial" w:hAnsi="Arial"/>
          <w:sz w:val="18"/>
          <w:szCs w:val="18"/>
          <w:b w:val="1"/>
          <w:bCs w:val="1"/>
          <w:i w:val="1"/>
          <w:iCs w:val="1"/>
          <w:color w:val="auto"/>
        </w:rPr>
        <w:t>Failure to attract and retain highly qualified personnel could affect AbbVie’s ability to successfully develop and commercialize products.</w:t>
      </w:r>
    </w:p>
    <w:p>
      <w:pPr>
        <w:spacing w:after="0" w:line="107"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AbbVie’s success is largely dependent on its continued ability to attract and retain highly qualified scientific, technical and management personnel, as well as personnel with expertise in clinical research and development (R&amp;D), governmental regulation and commercialization. Competition for qualified personnel in the biopharmaceutical field is intense. AbbVie cannot be sure that it will be able to attract and retain quality personnel or that the costs of doing so will not materially increase.</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factors can have a material adverse effect on AbbVie's profitability and financial condition.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Many other factors can affect AbbVie's results of operations, cash flows and financial condition, including:</w:t>
      </w:r>
    </w:p>
    <w:p>
      <w:pPr>
        <w:spacing w:after="0" w:line="158" w:lineRule="exact"/>
        <w:rPr>
          <w:sz w:val="20"/>
          <w:szCs w:val="20"/>
          <w:color w:val="auto"/>
        </w:rPr>
      </w:pPr>
    </w:p>
    <w:p>
      <w:pPr>
        <w:jc w:val="both"/>
        <w:ind w:left="980" w:right="40" w:hanging="324"/>
        <w:spacing w:after="0"/>
        <w:tabs>
          <w:tab w:leader="none" w:pos="948"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or interpretations of laws and regulations, including changes in accounting standards, taxation requirements, product marketing application standards, data privacy laws, particularly in the European Union and the United States, and environmental laws;</w:t>
      </w:r>
    </w:p>
    <w:p>
      <w:pPr>
        <w:spacing w:after="0" w:line="121" w:lineRule="exact"/>
        <w:rPr>
          <w:rFonts w:ascii="Arial" w:cs="Arial" w:eastAsia="Arial" w:hAnsi="Arial"/>
          <w:sz w:val="18"/>
          <w:szCs w:val="18"/>
          <w:color w:val="auto"/>
        </w:rPr>
      </w:pPr>
    </w:p>
    <w:p>
      <w:pPr>
        <w:ind w:left="980" w:right="120" w:hanging="324"/>
        <w:spacing w:after="0" w:line="254" w:lineRule="auto"/>
        <w:tabs>
          <w:tab w:leader="none" w:pos="948"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differences between the fair value measurement of assets and liabilities and their actual value, particularly for pension and post-employment benefits, stock-based compensation, intangibles and goodwill; and for contingent liabilities such as litigation and contingent consideration, the absence of a recorded amount, or an amount recorded at the minimum, compared to the actual amount;</w:t>
      </w:r>
    </w:p>
    <w:p>
      <w:pPr>
        <w:sectPr>
          <w:pgSz w:w="11900" w:h="16838" w:orient="portrait"/>
          <w:cols w:equalWidth="0" w:num="1">
            <w:col w:w="11220"/>
          </w:cols>
          <w:pgMar w:left="320" w:top="1097"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23</w:t>
      </w:r>
      <w:r>
        <w:rPr>
          <w:sz w:val="20"/>
          <w:szCs w:val="20"/>
          <w:color w:val="auto"/>
        </w:rPr>
        <w:tab/>
      </w:r>
      <w:r>
        <w:rPr>
          <w:sz w:val="1"/>
          <w:szCs w:val="1"/>
          <w:color w:val="auto"/>
        </w:rPr>
        <w:drawing>
          <wp:inline distT="0" distB="0" distL="0" distR="0">
            <wp:extent cx="600075" cy="11112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type w:val="continuous"/>
        </w:sectPr>
      </w:pPr>
    </w:p>
    <w:bookmarkStart w:id="26" w:name="page27"/>
    <w:bookmarkEnd w:id="26"/>
    <w:p>
      <w:pPr>
        <w:ind w:left="980" w:right="360" w:hanging="324"/>
        <w:spacing w:after="0" w:line="261" w:lineRule="auto"/>
        <w:tabs>
          <w:tab w:leader="none" w:pos="948"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rate of inflation (including the cost of raw materials, commodities and supplies), interest rates, market value of AbbVie's equity investments and the performance of investments held by it or its employee benefit trusts;</w:t>
      </w:r>
    </w:p>
    <w:p>
      <w:pPr>
        <w:spacing w:after="0" w:line="116" w:lineRule="exact"/>
        <w:rPr>
          <w:rFonts w:ascii="Arial" w:cs="Arial" w:eastAsia="Arial" w:hAnsi="Arial"/>
          <w:sz w:val="18"/>
          <w:szCs w:val="18"/>
          <w:color w:val="auto"/>
        </w:rPr>
      </w:pPr>
    </w:p>
    <w:p>
      <w:pPr>
        <w:ind w:left="980" w:right="540" w:hanging="324"/>
        <w:spacing w:after="0" w:line="261" w:lineRule="auto"/>
        <w:tabs>
          <w:tab w:leader="none" w:pos="948"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creditworthiness of counterparties that transact business with or provide services to AbbVie or its employee benefit trusts;</w:t>
      </w:r>
    </w:p>
    <w:p>
      <w:pPr>
        <w:spacing w:after="0" w:line="130" w:lineRule="exact"/>
        <w:rPr>
          <w:rFonts w:ascii="Arial" w:cs="Arial" w:eastAsia="Arial" w:hAnsi="Arial"/>
          <w:sz w:val="18"/>
          <w:szCs w:val="18"/>
          <w:color w:val="auto"/>
        </w:rPr>
      </w:pPr>
    </w:p>
    <w:p>
      <w:pPr>
        <w:ind w:left="980" w:right="120" w:hanging="324"/>
        <w:spacing w:after="0" w:line="246" w:lineRule="auto"/>
        <w:tabs>
          <w:tab w:leader="none" w:pos="948"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liabilities in connection with AbbVie’s manufacturing processes and distribution logistics, including the handling of hazardous materials;</w:t>
      </w:r>
    </w:p>
    <w:p>
      <w:pPr>
        <w:spacing w:after="0" w:line="129" w:lineRule="exact"/>
        <w:rPr>
          <w:rFonts w:ascii="Arial" w:cs="Arial" w:eastAsia="Arial" w:hAnsi="Arial"/>
          <w:sz w:val="18"/>
          <w:szCs w:val="18"/>
          <w:color w:val="auto"/>
        </w:rPr>
      </w:pPr>
    </w:p>
    <w:p>
      <w:pPr>
        <w:ind w:left="980" w:right="660" w:hanging="324"/>
        <w:spacing w:after="0" w:line="261" w:lineRule="auto"/>
        <w:tabs>
          <w:tab w:leader="none" w:pos="948"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ability of third parties that provide information technology, accounting, human resources, payroll and other outsourced services to AbbVie to meet their contractual obligations to AbbVie; and</w:t>
      </w:r>
    </w:p>
    <w:p>
      <w:pPr>
        <w:spacing w:after="0" w:line="116" w:lineRule="exact"/>
        <w:rPr>
          <w:rFonts w:ascii="Arial" w:cs="Arial" w:eastAsia="Arial" w:hAnsi="Arial"/>
          <w:sz w:val="18"/>
          <w:szCs w:val="18"/>
          <w:color w:val="auto"/>
        </w:rPr>
      </w:pPr>
    </w:p>
    <w:p>
      <w:pPr>
        <w:ind w:left="980" w:right="320" w:hanging="324"/>
        <w:spacing w:after="0" w:line="254" w:lineRule="auto"/>
        <w:tabs>
          <w:tab w:leader="none" w:pos="948"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business, economic and political conditions, including: war, political instability, terrorist attacks, the threat of future terrorist activity and related military action; natural disasters; the cost and availability of insurance due to any of the foregoing events; labor disputes, strikes, slow-downs, or other forms of labor or union activity; and pressure from third-party interest groups.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Risks Related to AbbVie's Common Stock</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AbbVie cannot guarantee the timing, amount, or payment of dividends on its common stock.</w:t>
      </w:r>
    </w:p>
    <w:p>
      <w:pPr>
        <w:spacing w:after="0" w:line="166" w:lineRule="exact"/>
        <w:rPr>
          <w:sz w:val="20"/>
          <w:szCs w:val="20"/>
          <w:color w:val="auto"/>
        </w:rPr>
      </w:pPr>
    </w:p>
    <w:p>
      <w:pPr>
        <w:ind w:right="180" w:firstLine="445"/>
        <w:spacing w:after="0" w:line="252" w:lineRule="auto"/>
        <w:rPr>
          <w:sz w:val="20"/>
          <w:szCs w:val="20"/>
          <w:color w:val="auto"/>
        </w:rPr>
      </w:pPr>
      <w:r>
        <w:rPr>
          <w:rFonts w:ascii="Arial" w:cs="Arial" w:eastAsia="Arial" w:hAnsi="Arial"/>
          <w:sz w:val="18"/>
          <w:szCs w:val="18"/>
          <w:color w:val="auto"/>
        </w:rPr>
        <w:t>Although AbbVie expects to pay regular cash dividends, the timing, declaration, amount and payment of future dividends to stockholders will fall within the discretion of AbbVie's board of directors. The board's decisions regarding the payment of dividends will depend on many factors, such as AbbVie's financial condition, earnings, capital requirements, debt service obligations, industry practice, legal requirements, regulatory constraints and other factors that the board deems relevant. For more information, see Item 5, "Market for Registrant's Common Equity, Related Stockholder Matters and Issuer Purchases of Equity Securities." AbbVie's ability to pay dividends will depend on its ongoing ability to generate cash from operations and access capital markets. AbbVie cannot guarantee that it will continue to pay a dividend in the future.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 AbbVie stockholder's percentage of ownership in AbbVie may be diluted in the future.</w:t>
      </w:r>
    </w:p>
    <w:p>
      <w:pPr>
        <w:spacing w:after="0" w:line="180"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In the future, a stockholder's percentage ownership in AbbVie may be diluted because of equity issuances for capital market transactions, equity awards that AbbVie will be granting to AbbVie's directors, officers and employees, acquisitions or other purposes. AbbVie's employees have options to purchase shares of its common stock as a result of conversion of their Abbott stock options (in whole or in part) to AbbVie stock options. AbbVie anticipates its compensation committee will grant additional stock options or other stock-based awards to its employees. Such awards will have a dilutive effect on AbbVie's earnings per share, which could adversely affect the market price of AbbVie's common stock. From time to time, AbbVie will issue additional options or other stock-based awards to its employees under AbbVie's employee benefits plans.</w:t>
      </w:r>
    </w:p>
    <w:p>
      <w:pPr>
        <w:spacing w:after="0" w:line="126"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In addition, AbbVie's amended and restated certificate of incorporation authorizes AbbVie to issue, without the approval of AbbVie's stockholders, one or more classes or series of preferred stock having such designation, powers, preferences and relative, participating, optional and other special rights, including preferences over AbbVie's common stock respecting dividends and distributions, as AbbVie's board of directors generally may determine. The terms of one or more classes or series of preferred stock could dilute the voting power or reduce the value of AbbVie's common stock. For example, AbbVie could grant the holders of preferred stock the right to elect some number of AbbVie's directors in all events or on the happening of specified events or the right to veto specified transactions. Similarly, the repurchase or redemption rights or liquidation preferences AbbVie could assign to holders of preferred stock could affect the residual value of the common stock.</w:t>
      </w:r>
    </w:p>
    <w:p>
      <w:pPr>
        <w:spacing w:after="0" w:line="116" w:lineRule="exact"/>
        <w:rPr>
          <w:sz w:val="20"/>
          <w:szCs w:val="20"/>
          <w:color w:val="auto"/>
        </w:rPr>
      </w:pPr>
    </w:p>
    <w:p>
      <w:pPr>
        <w:ind w:left="420" w:right="240"/>
        <w:spacing w:after="0" w:line="268" w:lineRule="auto"/>
        <w:rPr>
          <w:sz w:val="20"/>
          <w:szCs w:val="20"/>
          <w:color w:val="auto"/>
        </w:rPr>
      </w:pPr>
      <w:r>
        <w:rPr>
          <w:rFonts w:ascii="Arial" w:cs="Arial" w:eastAsia="Arial" w:hAnsi="Arial"/>
          <w:sz w:val="18"/>
          <w:szCs w:val="18"/>
          <w:b w:val="1"/>
          <w:bCs w:val="1"/>
          <w:i w:val="1"/>
          <w:iCs w:val="1"/>
          <w:color w:val="auto"/>
        </w:rPr>
        <w:t>Certain provisions in AbbVie's amended and restated certificate of incorporation and amended and restated by-laws, and of Delaware law, may prevent or delay an acquisition of AbbVie, which could decrease the trading price of AbbVie's common stock.</w:t>
      </w:r>
    </w:p>
    <w:p>
      <w:pPr>
        <w:spacing w:after="0" w:line="125" w:lineRule="exact"/>
        <w:rPr>
          <w:sz w:val="20"/>
          <w:szCs w:val="20"/>
          <w:color w:val="auto"/>
        </w:rPr>
      </w:pPr>
    </w:p>
    <w:p>
      <w:pPr>
        <w:ind w:right="320" w:firstLine="445"/>
        <w:spacing w:after="0" w:line="256" w:lineRule="auto"/>
        <w:rPr>
          <w:sz w:val="20"/>
          <w:szCs w:val="20"/>
          <w:color w:val="auto"/>
        </w:rPr>
      </w:pPr>
      <w:r>
        <w:rPr>
          <w:rFonts w:ascii="Arial" w:cs="Arial" w:eastAsia="Arial" w:hAnsi="Arial"/>
          <w:sz w:val="18"/>
          <w:szCs w:val="18"/>
          <w:color w:val="auto"/>
        </w:rPr>
        <w:t>AbbVie's amended and restated certificate of incorporation and amended and restated by-laws contain, and Delaware law contains, provisions that are intended to deter coercive takeover practices and inadequate takeover bids by encouraging prospective acquirors to negotiate with AbbVie's board of directors rather than to attempt a hostile takeover. These provisions include, among others:</w:t>
      </w:r>
    </w:p>
    <w:p>
      <w:pPr>
        <w:spacing w:after="0" w:line="121" w:lineRule="exact"/>
        <w:rPr>
          <w:sz w:val="20"/>
          <w:szCs w:val="20"/>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inability of AbbVie's stockholders to call a special meeting;</w:t>
      </w:r>
    </w:p>
    <w:p>
      <w:pPr>
        <w:spacing w:after="0" w:line="157"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division of AbbVie's board of directors into three classes of directors, with each class serving a staggered three-year term;</w:t>
      </w:r>
    </w:p>
    <w:p>
      <w:pPr>
        <w:sectPr>
          <w:pgSz w:w="11900" w:h="16838" w:orient="portrait"/>
          <w:cols w:equalWidth="0" w:num="1">
            <w:col w:w="11220"/>
          </w:cols>
          <w:pgMar w:left="320" w:top="1097" w:right="35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8180"/>
        <w:spacing w:after="0"/>
        <w:tabs>
          <w:tab w:leader="none" w:pos="9620" w:val="left"/>
        </w:tabs>
        <w:rPr>
          <w:sz w:val="20"/>
          <w:szCs w:val="20"/>
          <w:color w:val="auto"/>
        </w:rPr>
      </w:pPr>
      <w:r>
        <w:rPr>
          <w:rFonts w:ascii="Arial" w:cs="Arial" w:eastAsia="Arial" w:hAnsi="Arial"/>
          <w:sz w:val="18"/>
          <w:szCs w:val="18"/>
          <w:i w:val="1"/>
          <w:iCs w:val="1"/>
          <w:color w:val="auto"/>
        </w:rPr>
        <w:t>2020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600075" cy="11112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type w:val="continuous"/>
        </w:sectPr>
      </w:pPr>
    </w:p>
    <w:bookmarkStart w:id="27" w:name="page28"/>
    <w:bookmarkEnd w:id="27"/>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provision that stockholders may only remove directors for cause;</w:t>
      </w:r>
    </w:p>
    <w:p>
      <w:pPr>
        <w:spacing w:after="0" w:line="144"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AbbVie's directors, and not stockholders, to fill vacancies on AbbVie's board of directors; and</w:t>
      </w:r>
    </w:p>
    <w:p>
      <w:pPr>
        <w:spacing w:after="0" w:line="157" w:lineRule="exact"/>
        <w:rPr>
          <w:rFonts w:ascii="Arial" w:cs="Arial" w:eastAsia="Arial" w:hAnsi="Arial"/>
          <w:sz w:val="18"/>
          <w:szCs w:val="18"/>
          <w:color w:val="auto"/>
        </w:rPr>
      </w:pPr>
    </w:p>
    <w:p>
      <w:pPr>
        <w:ind w:left="980" w:right="220" w:hanging="324"/>
        <w:spacing w:after="0" w:line="254" w:lineRule="auto"/>
        <w:tabs>
          <w:tab w:leader="none" w:pos="9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requirement that the affirmative vote of stockholders holding at least 80% of AbbVie's voting stock is required to amend certain provisions in AbbVie's amended and restated certificate of incorporation and AbbVie's amended and restated by-laws relating to the number, term and election of AbbVie's directors, the filling of board vacancies, the calling of special meetings of stockholders and director and officer indemnification provisions.</w:t>
      </w:r>
    </w:p>
    <w:p>
      <w:pPr>
        <w:spacing w:after="0" w:line="136" w:lineRule="exact"/>
        <w:rPr>
          <w:sz w:val="20"/>
          <w:szCs w:val="20"/>
          <w:color w:val="auto"/>
        </w:rPr>
      </w:pPr>
    </w:p>
    <w:p>
      <w:pPr>
        <w:ind w:right="60" w:firstLine="445"/>
        <w:spacing w:after="0" w:line="273" w:lineRule="auto"/>
        <w:rPr>
          <w:sz w:val="20"/>
          <w:szCs w:val="20"/>
          <w:color w:val="auto"/>
        </w:rPr>
      </w:pPr>
      <w:r>
        <w:rPr>
          <w:rFonts w:ascii="Arial" w:cs="Arial" w:eastAsia="Arial" w:hAnsi="Arial"/>
          <w:sz w:val="17"/>
          <w:szCs w:val="17"/>
          <w:color w:val="auto"/>
        </w:rPr>
        <w:t>In addition, Section 203 of the Delaware General Corporation Law provides that, subject to limited exceptions, persons that acquire, or are affiliated with a person that acquires, more than 15% of the outstanding voting stock of a Delaware corporation shall not engage in any business combination with that corporation, including by merger, consolidation or acquisitions of additional shares, for a three-year period following the date on which that person or its affiliates becomes the holder of more than 15% of the corporation's outstanding voting stock.</w:t>
      </w:r>
    </w:p>
    <w:p>
      <w:pPr>
        <w:spacing w:after="0" w:line="110"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AbbVie believes these provisions protect its stockholders from coercive or otherwise unfair takeover tactics by requiring potential acquirors to negotiate with AbbVie's board of directors and by providing AbbVie's board of directors with more time to assess any acquisition proposal. These provisions are not intended to make the company immune from takeovers. However, these provisions apply even if the offer may be considered beneficial by some stockholders and could delay or prevent an acquisition that AbbVie's board of directors determines is not in the best interests of AbbVie and AbbVie's stockholders. These provisions may also prevent or discourage attempts to remove and replace incumbent directors.</w:t>
      </w:r>
    </w:p>
    <w:p>
      <w:pPr>
        <w:spacing w:after="0" w:line="200" w:lineRule="exact"/>
        <w:rPr>
          <w:sz w:val="20"/>
          <w:szCs w:val="20"/>
          <w:color w:val="auto"/>
        </w:rPr>
      </w:pPr>
    </w:p>
    <w:p>
      <w:pPr>
        <w:spacing w:after="0" w:line="329"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25</w:t>
      </w:r>
      <w:r>
        <w:rPr>
          <w:sz w:val="20"/>
          <w:szCs w:val="20"/>
          <w:color w:val="auto"/>
        </w:rPr>
        <w:tab/>
      </w:r>
      <w:r>
        <w:rPr>
          <w:sz w:val="1"/>
          <w:szCs w:val="1"/>
          <w:color w:val="auto"/>
        </w:rPr>
        <w:drawing>
          <wp:inline distT="0" distB="0" distL="0" distR="0">
            <wp:extent cx="600075" cy="11112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97" w:right="399" w:bottom="1440"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b w:val="1"/>
          <w:bCs w:val="1"/>
          <w:color w:val="444867"/>
        </w:rPr>
        <w:t>CAUTIONARY STATEMENT REGARDING FORWARD-LOOKING STATEMENTS</w:t>
      </w:r>
    </w:p>
    <w:p>
      <w:pPr>
        <w:spacing w:after="0" w:line="170"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This Annual Report on Form 10-K contains certain forward looking statements regarding business strategies, market potential, future financial performance and other matters. The words "believe," "expect," "anticipate," "project" and similar expressions, among others, generally identify "forward looking statements," which speak only as of the date the statements were made. The matters discussed in these forward looking statements are subject to risks, uncertainties and other factors that could cause actual results to differ materially from those projected, anticipated or implied in the forward looking statements. In particular, information included under Item 1, "Business," Item 1A, "Risk Factors," and Item 7, "Management's Discussion and Analysis of Financial Condition and Results of Operations" contain forward looking statements. Where, in any forward looking statement, an expectation or belief as to future results or events is expressed, such expectation or belief is based on the current plans and expectations of AbbVie management and expressed in good faith and believed to have a reasonable basis, but there can be no assurance that the expectation or belief will result or be achieved or accomplished. Factors that could cause actual results or events to differ materially from those anticipated include the matters described under Item 1A, "Risk Factors" and Item 7, "Management's Discussion and Analysis of Financial Condition and Results of Operations." AbbVie does not undertake any obligation to update the forward-looking statements included in this Annual Report on Form 10-K to reflect events or circumstances after the date hereof, unless AbbVie is required by applicable securities law to do so.</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ITEM 1B. 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ITEM 2.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1"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AbbVie's corporate offices are located at 1 North Waukegan Road, North Chicago, Illinois 60064-6400. AbbVie's manufacturing facilities are in the following locations: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United States</w:t>
            </w:r>
          </w:p>
        </w:tc>
        <w:tc>
          <w:tcPr>
            <w:tcW w:w="718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Outside the United States</w:t>
            </w: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Abbott Park, Illinois*</w:t>
            </w:r>
          </w:p>
        </w:tc>
        <w:tc>
          <w:tcPr>
            <w:tcW w:w="718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Campoverde di Aprilia, Italy</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Barceloneta, Puerto Rico</w:t>
            </w:r>
          </w:p>
        </w:tc>
        <w:tc>
          <w:tcPr>
            <w:tcW w:w="7180" w:type="dxa"/>
            <w:vAlign w:val="bottom"/>
          </w:tcPr>
          <w:p>
            <w:pPr>
              <w:ind w:left="1820"/>
              <w:spacing w:after="0"/>
              <w:rPr>
                <w:sz w:val="20"/>
                <w:szCs w:val="20"/>
                <w:color w:val="auto"/>
              </w:rPr>
            </w:pPr>
            <w:r>
              <w:rPr>
                <w:rFonts w:ascii="Arial" w:cs="Arial" w:eastAsia="Arial" w:hAnsi="Arial"/>
                <w:sz w:val="18"/>
                <w:szCs w:val="18"/>
                <w:color w:val="auto"/>
              </w:rPr>
              <w:t>Clonshaugh, Ireland</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Branchburg, New Jersey*</w:t>
            </w:r>
          </w:p>
        </w:tc>
        <w:tc>
          <w:tcPr>
            <w:tcW w:w="718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Cork, Ireland</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Campbell, California</w:t>
            </w:r>
          </w:p>
        </w:tc>
        <w:tc>
          <w:tcPr>
            <w:tcW w:w="7180" w:type="dxa"/>
            <w:vAlign w:val="bottom"/>
          </w:tcPr>
          <w:p>
            <w:pPr>
              <w:ind w:left="1820"/>
              <w:spacing w:after="0"/>
              <w:rPr>
                <w:sz w:val="20"/>
                <w:szCs w:val="20"/>
                <w:color w:val="auto"/>
              </w:rPr>
            </w:pPr>
            <w:r>
              <w:rPr>
                <w:rFonts w:ascii="Arial" w:cs="Arial" w:eastAsia="Arial" w:hAnsi="Arial"/>
                <w:sz w:val="18"/>
                <w:szCs w:val="18"/>
                <w:color w:val="auto"/>
              </w:rPr>
              <w:t>Galway, Ireland*</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Cincinnati, Ohio</w:t>
            </w:r>
          </w:p>
        </w:tc>
        <w:tc>
          <w:tcPr>
            <w:tcW w:w="718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Grace-Hollogne, Belgium*</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Dublin, California*</w:t>
            </w:r>
          </w:p>
        </w:tc>
        <w:tc>
          <w:tcPr>
            <w:tcW w:w="7180" w:type="dxa"/>
            <w:vAlign w:val="bottom"/>
          </w:tcPr>
          <w:p>
            <w:pPr>
              <w:ind w:left="1820"/>
              <w:spacing w:after="0"/>
              <w:rPr>
                <w:sz w:val="20"/>
                <w:szCs w:val="20"/>
                <w:color w:val="auto"/>
              </w:rPr>
            </w:pPr>
            <w:r>
              <w:rPr>
                <w:rFonts w:ascii="Arial" w:cs="Arial" w:eastAsia="Arial" w:hAnsi="Arial"/>
                <w:sz w:val="18"/>
                <w:szCs w:val="18"/>
                <w:color w:val="auto"/>
              </w:rPr>
              <w:t>Guarulhos, Brazil</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Houston, Texas</w:t>
            </w:r>
          </w:p>
        </w:tc>
        <w:tc>
          <w:tcPr>
            <w:tcW w:w="718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La Aurora, Costa Rica</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Irvine, California</w:t>
            </w:r>
          </w:p>
        </w:tc>
        <w:tc>
          <w:tcPr>
            <w:tcW w:w="7180" w:type="dxa"/>
            <w:vAlign w:val="bottom"/>
          </w:tcPr>
          <w:p>
            <w:pPr>
              <w:ind w:left="1820"/>
              <w:spacing w:after="0"/>
              <w:rPr>
                <w:sz w:val="20"/>
                <w:szCs w:val="20"/>
                <w:color w:val="auto"/>
              </w:rPr>
            </w:pPr>
            <w:r>
              <w:rPr>
                <w:rFonts w:ascii="Arial" w:cs="Arial" w:eastAsia="Arial" w:hAnsi="Arial"/>
                <w:sz w:val="18"/>
                <w:szCs w:val="18"/>
                <w:color w:val="auto"/>
              </w:rPr>
              <w:t>Ludwigshafen, Germany</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Chicago, Illinois</w:t>
            </w:r>
          </w:p>
        </w:tc>
        <w:tc>
          <w:tcPr>
            <w:tcW w:w="718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Pringy, France</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Waco, Texas</w:t>
            </w:r>
          </w:p>
        </w:tc>
        <w:tc>
          <w:tcPr>
            <w:tcW w:w="7180" w:type="dxa"/>
            <w:vAlign w:val="bottom"/>
          </w:tcPr>
          <w:p>
            <w:pPr>
              <w:ind w:left="1820"/>
              <w:spacing w:after="0"/>
              <w:rPr>
                <w:sz w:val="20"/>
                <w:szCs w:val="20"/>
                <w:color w:val="auto"/>
              </w:rPr>
            </w:pPr>
            <w:r>
              <w:rPr>
                <w:rFonts w:ascii="Arial" w:cs="Arial" w:eastAsia="Arial" w:hAnsi="Arial"/>
                <w:sz w:val="18"/>
                <w:szCs w:val="18"/>
                <w:color w:val="auto"/>
              </w:rPr>
              <w:t>Singapore*</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Worcester, Massachusetts*</w:t>
            </w:r>
          </w:p>
        </w:tc>
        <w:tc>
          <w:tcPr>
            <w:tcW w:w="718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Sligo, Ireland</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Wyandotte, Michigan*</w:t>
            </w:r>
          </w:p>
        </w:tc>
        <w:tc>
          <w:tcPr>
            <w:tcW w:w="7180" w:type="dxa"/>
            <w:vAlign w:val="bottom"/>
          </w:tcPr>
          <w:p>
            <w:pPr>
              <w:ind w:left="1820"/>
              <w:spacing w:after="0"/>
              <w:rPr>
                <w:sz w:val="20"/>
                <w:szCs w:val="20"/>
                <w:color w:val="auto"/>
              </w:rPr>
            </w:pPr>
            <w:r>
              <w:rPr>
                <w:rFonts w:ascii="Arial" w:cs="Arial" w:eastAsia="Arial" w:hAnsi="Arial"/>
                <w:sz w:val="18"/>
                <w:szCs w:val="18"/>
                <w:color w:val="auto"/>
              </w:rPr>
              <w:t>Westport, Ireland</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0"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Leased property.</w:t>
      </w:r>
    </w:p>
    <w:p>
      <w:pPr>
        <w:spacing w:after="0" w:line="158" w:lineRule="exact"/>
        <w:rPr>
          <w:sz w:val="20"/>
          <w:szCs w:val="20"/>
          <w:color w:val="auto"/>
        </w:rPr>
      </w:pPr>
    </w:p>
    <w:p>
      <w:pPr>
        <w:ind w:right="440" w:firstLine="445"/>
        <w:spacing w:after="0" w:line="261" w:lineRule="auto"/>
        <w:rPr>
          <w:sz w:val="20"/>
          <w:szCs w:val="20"/>
          <w:color w:val="auto"/>
        </w:rPr>
      </w:pPr>
      <w:r>
        <w:rPr>
          <w:rFonts w:ascii="Arial" w:cs="Arial" w:eastAsia="Arial" w:hAnsi="Arial"/>
          <w:sz w:val="18"/>
          <w:szCs w:val="18"/>
          <w:color w:val="auto"/>
        </w:rPr>
        <w:t>In addition to the above, AbbVie has other manufacturing facilities worldwide. AbbVie believes its facilities are suitable and provide adequate production capacity. There are no material encumbrances on AbbVie's owned properties.</w:t>
      </w:r>
    </w:p>
    <w:p>
      <w:pPr>
        <w:spacing w:after="0" w:line="130" w:lineRule="exact"/>
        <w:rPr>
          <w:sz w:val="20"/>
          <w:szCs w:val="20"/>
          <w:color w:val="auto"/>
        </w:rPr>
      </w:pPr>
    </w:p>
    <w:p>
      <w:pPr>
        <w:ind w:right="340" w:firstLine="445"/>
        <w:spacing w:after="0" w:line="253" w:lineRule="auto"/>
        <w:rPr>
          <w:sz w:val="20"/>
          <w:szCs w:val="20"/>
          <w:color w:val="auto"/>
        </w:rPr>
      </w:pPr>
      <w:r>
        <w:rPr>
          <w:rFonts w:ascii="Arial" w:cs="Arial" w:eastAsia="Arial" w:hAnsi="Arial"/>
          <w:sz w:val="18"/>
          <w:szCs w:val="18"/>
          <w:color w:val="auto"/>
        </w:rPr>
        <w:t>In the United States, including Puerto Rico, AbbVie has two central distribution centers. AbbVie also has research and development facilities in the United States located at: Abbott Park, Illinois; Branchburg, New Jersey; Irvine, California; Madison, New Jersey; North Chicago, Illinois; Pleasanton, California; Redwood City, California; Santa Cruz, California; South San Francisco, California; Sunnyvale, California; Cambridge, Massachusetts; and Worcester, Massachusetts. Outside the United States, AbbVie's principal research and development facilities are located in Ludwigshafen, Germany and Liverpool, United Kingdom.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26</w:t>
            </w:r>
          </w:p>
        </w:tc>
      </w:tr>
      <w:tr>
        <w:trPr>
          <w:trHeight w:val="201"/>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-334010</wp:posOffset>
            </wp:positionV>
            <wp:extent cx="600075" cy="1117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0075" cy="11176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9" w:name="page30"/>
    <w:bookmarkEnd w:id="29"/>
    <w:p>
      <w:pPr>
        <w:spacing w:after="0"/>
        <w:rPr>
          <w:sz w:val="20"/>
          <w:szCs w:val="20"/>
          <w:color w:val="auto"/>
        </w:rPr>
      </w:pPr>
      <w:r>
        <w:rPr>
          <w:rFonts w:ascii="Arial" w:cs="Arial" w:eastAsia="Arial" w:hAnsi="Arial"/>
          <w:sz w:val="22"/>
          <w:szCs w:val="22"/>
          <w:b w:val="1"/>
          <w:bCs w:val="1"/>
          <w:color w:val="444867"/>
        </w:rPr>
        <w:t>ITEM 3.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1"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Information pertaining to legal proceedings is provided in Note 15, "Legal Proceedings and Contingencies" to the Consolidated Financial Statements included under Item 8, "Financial Statements and Supplementary Data," and is incorporated by reference herein.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6"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27</w:t>
      </w:r>
      <w:r>
        <w:rPr>
          <w:sz w:val="20"/>
          <w:szCs w:val="20"/>
          <w:color w:val="auto"/>
        </w:rPr>
        <w:tab/>
      </w:r>
      <w:r>
        <w:rPr>
          <w:sz w:val="1"/>
          <w:szCs w:val="1"/>
          <w:color w:val="auto"/>
        </w:rPr>
        <w:drawing>
          <wp:inline distT="0" distB="0" distL="0" distR="0">
            <wp:extent cx="600075" cy="11176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0075" cy="11176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320" w:top="931" w:right="879" w:bottom="1440" w:gutter="0" w:footer="0" w:header="0"/>
        </w:sectPr>
      </w:pPr>
    </w:p>
    <w:bookmarkStart w:id="30" w:name="page31"/>
    <w:bookmarkEnd w:id="30"/>
    <w:p>
      <w:pPr>
        <w:ind w:left="2960"/>
        <w:spacing w:after="0"/>
        <w:rPr>
          <w:sz w:val="20"/>
          <w:szCs w:val="20"/>
          <w:color w:val="auto"/>
        </w:rPr>
      </w:pPr>
      <w:r>
        <w:rPr>
          <w:rFonts w:ascii="Arial" w:cs="Arial" w:eastAsia="Arial" w:hAnsi="Arial"/>
          <w:sz w:val="22"/>
          <w:szCs w:val="22"/>
          <w:b w:val="1"/>
          <w:bCs w:val="1"/>
          <w:color w:val="444867"/>
        </w:rPr>
        <w:t>INFORMATION ABOUT OUR EXECUTIVE OFFICERS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lists AbbVie's executive officers: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40" w:type="dxa"/>
            <w:vAlign w:val="bottom"/>
            <w:tcBorders>
              <w:bottom w:val="single" w:sz="8" w:color="auto"/>
            </w:tcBorders>
          </w:tcPr>
          <w:p>
            <w:pPr>
              <w:jc w:val="center"/>
              <w:ind w:left="351"/>
              <w:spacing w:after="0"/>
              <w:rPr>
                <w:sz w:val="20"/>
                <w:szCs w:val="20"/>
                <w:color w:val="auto"/>
              </w:rPr>
            </w:pPr>
            <w:r>
              <w:rPr>
                <w:rFonts w:ascii="Arial" w:cs="Arial" w:eastAsia="Arial" w:hAnsi="Arial"/>
                <w:sz w:val="14"/>
                <w:szCs w:val="14"/>
                <w:b w:val="1"/>
                <w:bCs w:val="1"/>
                <w:color w:val="auto"/>
              </w:rPr>
              <w:t>Age</w:t>
            </w:r>
          </w:p>
        </w:tc>
        <w:tc>
          <w:tcPr>
            <w:tcW w:w="72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Position</w:t>
            </w:r>
          </w:p>
        </w:tc>
      </w:tr>
      <w:tr>
        <w:trPr>
          <w:trHeight w:val="223"/>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Richard A. Gonzalez</w:t>
            </w:r>
          </w:p>
        </w:tc>
        <w:tc>
          <w:tcPr>
            <w:tcW w:w="104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9"/>
              </w:rPr>
              <w:t>67</w:t>
            </w: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Chairman of the Board and Chief Executive Officer</w:t>
            </w: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Michael E. Severino, M.D.</w:t>
            </w:r>
          </w:p>
        </w:tc>
        <w:tc>
          <w:tcPr>
            <w:tcW w:w="1040" w:type="dxa"/>
            <w:vAlign w:val="bottom"/>
          </w:tcPr>
          <w:p>
            <w:pPr>
              <w:jc w:val="center"/>
              <w:ind w:left="351"/>
              <w:spacing w:after="0"/>
              <w:rPr>
                <w:sz w:val="20"/>
                <w:szCs w:val="20"/>
                <w:color w:val="auto"/>
              </w:rPr>
            </w:pPr>
            <w:r>
              <w:rPr>
                <w:rFonts w:ascii="Arial" w:cs="Arial" w:eastAsia="Arial" w:hAnsi="Arial"/>
                <w:sz w:val="18"/>
                <w:szCs w:val="18"/>
                <w:color w:val="auto"/>
                <w:w w:val="99"/>
              </w:rPr>
              <w:t>55</w:t>
            </w:r>
          </w:p>
        </w:tc>
        <w:tc>
          <w:tcPr>
            <w:tcW w:w="7280" w:type="dxa"/>
            <w:vAlign w:val="bottom"/>
          </w:tcPr>
          <w:p>
            <w:pPr>
              <w:ind w:left="160"/>
              <w:spacing w:after="0"/>
              <w:rPr>
                <w:sz w:val="20"/>
                <w:szCs w:val="20"/>
                <w:color w:val="auto"/>
              </w:rPr>
            </w:pPr>
            <w:r>
              <w:rPr>
                <w:rFonts w:ascii="Arial" w:cs="Arial" w:eastAsia="Arial" w:hAnsi="Arial"/>
                <w:sz w:val="18"/>
                <w:szCs w:val="18"/>
                <w:color w:val="auto"/>
              </w:rPr>
              <w:t>Vice Chairman and President</w:t>
            </w: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Laura J. Schumacher</w:t>
            </w:r>
          </w:p>
        </w:tc>
        <w:tc>
          <w:tcPr>
            <w:tcW w:w="104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9"/>
              </w:rPr>
              <w:t>57</w:t>
            </w: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Vice Chairman, External Affairs and Chief Legal Officer</w:t>
            </w: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Henry O. Gosebruch</w:t>
            </w:r>
          </w:p>
        </w:tc>
        <w:tc>
          <w:tcPr>
            <w:tcW w:w="1040" w:type="dxa"/>
            <w:vAlign w:val="bottom"/>
          </w:tcPr>
          <w:p>
            <w:pPr>
              <w:jc w:val="center"/>
              <w:ind w:left="351"/>
              <w:spacing w:after="0"/>
              <w:rPr>
                <w:sz w:val="20"/>
                <w:szCs w:val="20"/>
                <w:color w:val="auto"/>
              </w:rPr>
            </w:pPr>
            <w:r>
              <w:rPr>
                <w:rFonts w:ascii="Arial" w:cs="Arial" w:eastAsia="Arial" w:hAnsi="Arial"/>
                <w:sz w:val="18"/>
                <w:szCs w:val="18"/>
                <w:color w:val="auto"/>
                <w:w w:val="99"/>
              </w:rPr>
              <w:t>48</w:t>
            </w:r>
          </w:p>
        </w:tc>
        <w:tc>
          <w:tcPr>
            <w:tcW w:w="7280" w:type="dxa"/>
            <w:vAlign w:val="bottom"/>
          </w:tcPr>
          <w:p>
            <w:pPr>
              <w:ind w:left="160"/>
              <w:spacing w:after="0"/>
              <w:rPr>
                <w:sz w:val="20"/>
                <w:szCs w:val="20"/>
                <w:color w:val="auto"/>
              </w:rPr>
            </w:pPr>
            <w:r>
              <w:rPr>
                <w:rFonts w:ascii="Arial" w:cs="Arial" w:eastAsia="Arial" w:hAnsi="Arial"/>
                <w:sz w:val="18"/>
                <w:szCs w:val="18"/>
                <w:color w:val="auto"/>
              </w:rPr>
              <w:t>Executive Vice President, Chief Strategy Officer</w:t>
            </w: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Robert A. Michael</w:t>
            </w:r>
          </w:p>
        </w:tc>
        <w:tc>
          <w:tcPr>
            <w:tcW w:w="104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9"/>
              </w:rPr>
              <w:t>50</w:t>
            </w: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Executive Vice President, Chief Financial Officer</w:t>
            </w: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Timothy J. Richmond</w:t>
            </w:r>
          </w:p>
        </w:tc>
        <w:tc>
          <w:tcPr>
            <w:tcW w:w="1040" w:type="dxa"/>
            <w:vAlign w:val="bottom"/>
          </w:tcPr>
          <w:p>
            <w:pPr>
              <w:jc w:val="center"/>
              <w:ind w:left="351"/>
              <w:spacing w:after="0"/>
              <w:rPr>
                <w:sz w:val="20"/>
                <w:szCs w:val="20"/>
                <w:color w:val="auto"/>
              </w:rPr>
            </w:pPr>
            <w:r>
              <w:rPr>
                <w:rFonts w:ascii="Arial" w:cs="Arial" w:eastAsia="Arial" w:hAnsi="Arial"/>
                <w:sz w:val="18"/>
                <w:szCs w:val="18"/>
                <w:color w:val="auto"/>
                <w:w w:val="99"/>
              </w:rPr>
              <w:t>54</w:t>
            </w:r>
          </w:p>
        </w:tc>
        <w:tc>
          <w:tcPr>
            <w:tcW w:w="7280" w:type="dxa"/>
            <w:vAlign w:val="bottom"/>
          </w:tcPr>
          <w:p>
            <w:pPr>
              <w:ind w:left="160"/>
              <w:spacing w:after="0"/>
              <w:rPr>
                <w:sz w:val="20"/>
                <w:szCs w:val="20"/>
                <w:color w:val="auto"/>
              </w:rPr>
            </w:pPr>
            <w:r>
              <w:rPr>
                <w:rFonts w:ascii="Arial" w:cs="Arial" w:eastAsia="Arial" w:hAnsi="Arial"/>
                <w:sz w:val="18"/>
                <w:szCs w:val="18"/>
                <w:color w:val="auto"/>
              </w:rPr>
              <w:t>Executive Vice President, Chief Human Resources Officer</w:t>
            </w: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Azita Saleki-Gerhardt, Ph.D.</w:t>
            </w:r>
          </w:p>
        </w:tc>
        <w:tc>
          <w:tcPr>
            <w:tcW w:w="104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9"/>
              </w:rPr>
              <w:t>57</w:t>
            </w: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Executive Vice President, Operations</w:t>
            </w: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Jeffrey R. Stewart</w:t>
            </w:r>
          </w:p>
        </w:tc>
        <w:tc>
          <w:tcPr>
            <w:tcW w:w="1040" w:type="dxa"/>
            <w:vAlign w:val="bottom"/>
          </w:tcPr>
          <w:p>
            <w:pPr>
              <w:jc w:val="center"/>
              <w:ind w:left="351"/>
              <w:spacing w:after="0"/>
              <w:rPr>
                <w:sz w:val="20"/>
                <w:szCs w:val="20"/>
                <w:color w:val="auto"/>
              </w:rPr>
            </w:pPr>
            <w:r>
              <w:rPr>
                <w:rFonts w:ascii="Arial" w:cs="Arial" w:eastAsia="Arial" w:hAnsi="Arial"/>
                <w:sz w:val="18"/>
                <w:szCs w:val="18"/>
                <w:color w:val="auto"/>
                <w:w w:val="99"/>
              </w:rPr>
              <w:t>52</w:t>
            </w:r>
          </w:p>
        </w:tc>
        <w:tc>
          <w:tcPr>
            <w:tcW w:w="7280" w:type="dxa"/>
            <w:vAlign w:val="bottom"/>
          </w:tcPr>
          <w:p>
            <w:pPr>
              <w:ind w:left="160"/>
              <w:spacing w:after="0"/>
              <w:rPr>
                <w:sz w:val="20"/>
                <w:szCs w:val="20"/>
                <w:color w:val="auto"/>
              </w:rPr>
            </w:pPr>
            <w:r>
              <w:rPr>
                <w:rFonts w:ascii="Arial" w:cs="Arial" w:eastAsia="Arial" w:hAnsi="Arial"/>
                <w:sz w:val="18"/>
                <w:szCs w:val="18"/>
                <w:color w:val="auto"/>
              </w:rPr>
              <w:t>Executive Vice President, Commercial Operations</w:t>
            </w: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Thomas J. Hudson, M.D.</w:t>
            </w:r>
          </w:p>
        </w:tc>
        <w:tc>
          <w:tcPr>
            <w:tcW w:w="104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9"/>
              </w:rPr>
              <w:t>59</w:t>
            </w: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Senior Vice President, Research &amp; Development and Chief Scientific Officer</w:t>
            </w: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Elaine K. Sorg</w:t>
            </w:r>
          </w:p>
        </w:tc>
        <w:tc>
          <w:tcPr>
            <w:tcW w:w="1040" w:type="dxa"/>
            <w:vAlign w:val="bottom"/>
          </w:tcPr>
          <w:p>
            <w:pPr>
              <w:jc w:val="center"/>
              <w:ind w:left="351"/>
              <w:spacing w:after="0"/>
              <w:rPr>
                <w:sz w:val="20"/>
                <w:szCs w:val="20"/>
                <w:color w:val="auto"/>
              </w:rPr>
            </w:pPr>
            <w:r>
              <w:rPr>
                <w:rFonts w:ascii="Arial" w:cs="Arial" w:eastAsia="Arial" w:hAnsi="Arial"/>
                <w:sz w:val="18"/>
                <w:szCs w:val="18"/>
                <w:color w:val="auto"/>
                <w:w w:val="99"/>
              </w:rPr>
              <w:t>54</w:t>
            </w:r>
          </w:p>
        </w:tc>
        <w:tc>
          <w:tcPr>
            <w:tcW w:w="7280" w:type="dxa"/>
            <w:vAlign w:val="bottom"/>
          </w:tcPr>
          <w:p>
            <w:pPr>
              <w:ind w:left="160"/>
              <w:spacing w:after="0"/>
              <w:rPr>
                <w:sz w:val="20"/>
                <w:szCs w:val="20"/>
                <w:color w:val="auto"/>
              </w:rPr>
            </w:pPr>
            <w:r>
              <w:rPr>
                <w:rFonts w:ascii="Arial" w:cs="Arial" w:eastAsia="Arial" w:hAnsi="Arial"/>
                <w:sz w:val="18"/>
                <w:szCs w:val="18"/>
                <w:color w:val="auto"/>
              </w:rPr>
              <w:t>Senior Vice President, U.S. Commercial Operations</w:t>
            </w: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Carrie Strom</w:t>
            </w:r>
          </w:p>
        </w:tc>
        <w:tc>
          <w:tcPr>
            <w:tcW w:w="104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9"/>
              </w:rPr>
              <w:t>43</w:t>
            </w: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Senior Vice President, AbbVie and President, Global Allergan Aesthetics</w:t>
            </w: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Brian L. Durkin</w:t>
            </w:r>
          </w:p>
        </w:tc>
        <w:tc>
          <w:tcPr>
            <w:tcW w:w="1040" w:type="dxa"/>
            <w:vAlign w:val="bottom"/>
          </w:tcPr>
          <w:p>
            <w:pPr>
              <w:jc w:val="center"/>
              <w:ind w:left="351"/>
              <w:spacing w:after="0"/>
              <w:rPr>
                <w:sz w:val="20"/>
                <w:szCs w:val="20"/>
                <w:color w:val="auto"/>
              </w:rPr>
            </w:pPr>
            <w:r>
              <w:rPr>
                <w:rFonts w:ascii="Arial" w:cs="Arial" w:eastAsia="Arial" w:hAnsi="Arial"/>
                <w:sz w:val="18"/>
                <w:szCs w:val="18"/>
                <w:color w:val="auto"/>
                <w:w w:val="99"/>
              </w:rPr>
              <w:t>60</w:t>
            </w:r>
          </w:p>
        </w:tc>
        <w:tc>
          <w:tcPr>
            <w:tcW w:w="7280" w:type="dxa"/>
            <w:vAlign w:val="bottom"/>
          </w:tcPr>
          <w:p>
            <w:pPr>
              <w:ind w:left="160"/>
              <w:spacing w:after="0"/>
              <w:rPr>
                <w:sz w:val="20"/>
                <w:szCs w:val="20"/>
                <w:color w:val="auto"/>
              </w:rPr>
            </w:pPr>
            <w:r>
              <w:rPr>
                <w:rFonts w:ascii="Arial" w:cs="Arial" w:eastAsia="Arial" w:hAnsi="Arial"/>
                <w:sz w:val="18"/>
                <w:szCs w:val="18"/>
                <w:color w:val="auto"/>
              </w:rPr>
              <w:t>Vice President, Controller</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38"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Mr. Gonzalez is the Chairman and Chief Executive Officer of AbbVie. He served as Abbott’s Executive Vice President of the Pharmaceutical Products Group from July 2010 to December 2012, and was responsible for Abbott’s worldwide pharmaceutical business, including commercial operations, research and development, and manufacturing. He also served as President, Abbott Ventures Inc., Abbott’s medical technology investment arm, from 2009 to 2011. Mr. Gonzalez joined Abbott in 1977 and held various management positions. He was first appointed as an AbbVie corporate officer in December 2012.</w:t>
      </w:r>
    </w:p>
    <w:p>
      <w:pPr>
        <w:spacing w:after="0" w:line="138" w:lineRule="exact"/>
        <w:rPr>
          <w:sz w:val="20"/>
          <w:szCs w:val="20"/>
          <w:color w:val="auto"/>
        </w:rPr>
      </w:pPr>
    </w:p>
    <w:p>
      <w:pPr>
        <w:ind w:right="160" w:firstLine="445"/>
        <w:spacing w:after="0" w:line="252" w:lineRule="auto"/>
        <w:rPr>
          <w:sz w:val="20"/>
          <w:szCs w:val="20"/>
          <w:color w:val="auto"/>
        </w:rPr>
      </w:pPr>
      <w:r>
        <w:rPr>
          <w:rFonts w:ascii="Arial" w:cs="Arial" w:eastAsia="Arial" w:hAnsi="Arial"/>
          <w:sz w:val="18"/>
          <w:szCs w:val="18"/>
          <w:color w:val="auto"/>
        </w:rPr>
        <w:t>Dr. Severino is AbbVie’s Vice Chairman and President, responsible for research and development, human resources, operations, and the corporate strategy office. He served as Executive Vice President, Research and Development and Chief Scientific Officer from 2014 to 2018. Dr. Severino served at Amgen Inc. as Senior Vice President, Global Development and Corporate Chief Medical Officer from 2012 to 2014, as Vice President, Global Development from 2010 to 2012 and as Vice President, Therapeutic Area Head, General Medicine and Inflammation Global Clinical Development from 2007 to 2012. He joined AbbVie in 2014 and was first appointed as an AbbVie corporate officer in June 2014. Dr. Severino also serves on the board of Avantor, Inc.</w:t>
      </w:r>
    </w:p>
    <w:p>
      <w:pPr>
        <w:spacing w:after="0" w:line="127" w:lineRule="exact"/>
        <w:rPr>
          <w:sz w:val="20"/>
          <w:szCs w:val="20"/>
          <w:color w:val="auto"/>
        </w:rPr>
      </w:pPr>
    </w:p>
    <w:p>
      <w:pPr>
        <w:jc w:val="both"/>
        <w:ind w:right="200" w:firstLine="445"/>
        <w:spacing w:after="0" w:line="265" w:lineRule="auto"/>
        <w:rPr>
          <w:sz w:val="20"/>
          <w:szCs w:val="20"/>
          <w:color w:val="auto"/>
        </w:rPr>
      </w:pPr>
      <w:r>
        <w:rPr>
          <w:rFonts w:ascii="Arial" w:cs="Arial" w:eastAsia="Arial" w:hAnsi="Arial"/>
          <w:sz w:val="17"/>
          <w:szCs w:val="17"/>
          <w:color w:val="auto"/>
        </w:rPr>
        <w:t>Ms. Schumacher is AbbVie’s Vice Chairman, External Affairs and Chief Legal Officer, responsible for global legal, health economics outcomes research, corporate responsibility, brand and communications and government affairs. Prior to her current appointment in 2018, she served as AbbVie’s Executive Vice President, External Affairs, General Counsel and Corporate Secretary. Prior to AbbVie’s separation from Abbott, Ms. Schumacher served as Executive Vice President, General Counsel from 2007 to 2012. Both at Abbott and AbbVie, Ms.</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Schumacher also led Business Development and Ventures and Early Stage Collaborations. Ms. Schumacher joined Abbott in 1990 and was first appointed as an AbbVie corporate officer in December 2012. She serves on the board of General Dynamics Corporation and CrowdStrike Holdings, Inc.</w:t>
      </w:r>
    </w:p>
    <w:p>
      <w:pPr>
        <w:spacing w:after="0" w:line="134" w:lineRule="exact"/>
        <w:rPr>
          <w:sz w:val="20"/>
          <w:szCs w:val="20"/>
          <w:color w:val="auto"/>
        </w:rPr>
      </w:pPr>
    </w:p>
    <w:p>
      <w:pPr>
        <w:ind w:right="180" w:firstLine="445"/>
        <w:spacing w:after="0" w:line="254" w:lineRule="auto"/>
        <w:rPr>
          <w:sz w:val="20"/>
          <w:szCs w:val="20"/>
          <w:color w:val="auto"/>
        </w:rPr>
      </w:pPr>
      <w:r>
        <w:rPr>
          <w:rFonts w:ascii="Arial" w:cs="Arial" w:eastAsia="Arial" w:hAnsi="Arial"/>
          <w:sz w:val="18"/>
          <w:szCs w:val="18"/>
          <w:color w:val="auto"/>
        </w:rPr>
        <w:t>Mr. Gosebruch is AbbVie's Executive Vice President, Chief Strategy Officer. He worked for more than 20 years in the Mergers &amp; Acquisitions Group at J.P. Morgan Securities LLC, serving as Managing Director since 2007 and as Co-Head of M&amp;A North America during 2015. Mr. Gosebruch joined AbbVie in 2015 and was first appointed as an AbbVie corporate officer in December 2015. He serves on the board of Aptinyx Inc.</w:t>
      </w:r>
    </w:p>
    <w:p>
      <w:pPr>
        <w:spacing w:after="0" w:line="136"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Mr. Michael is AbbVie’s Executive Vice President, Chief Financial Officer. Mr. Michael previously served as Senior Vice President, Chief Financial Officer from October 2018 to July 2019, and as Vice President, Controller from March 2017 to October 2018. He served as AbbVie’s Vice President, Treasurer from 2015 to 2016, as Vice President, Controller, Commercial Operations from 2013 to 2015 and Vice President, Financial Planning and Analysis from 2012 to 2013. At Abbott, Mr. Michael served as Division Controller, Nutrition Supply Chain from 2010 to 2012. Mr. Michael joined Abbott in 1993 and was first appointed as an AbbVie corporate officer in December 2015.</w:t>
      </w:r>
    </w:p>
    <w:p>
      <w:pPr>
        <w:spacing w:after="0" w:line="124"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Mr. Richmond is AbbVie’s Executive Vice President, Chief Human Resources Officer. He served as Senior Vice President, Human Resources from 2013 to 2018. Mr. Richmond served as Abbott’s Divisional Vice President of Compensation &amp; Benefits from 2008 to 2012, as Group Vice President of Talent and Rewards from 2007 to 2008, and as Divisional Vice President of</w:t>
      </w:r>
    </w:p>
    <w:p>
      <w:pPr>
        <w:sectPr>
          <w:pgSz w:w="11900" w:h="16838" w:orient="portrait"/>
          <w:cols w:equalWidth="0" w:num="1">
            <w:col w:w="11220"/>
          </w:cols>
          <w:pgMar w:left="320" w:top="1039" w:right="35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8180"/>
        <w:spacing w:after="0"/>
        <w:tabs>
          <w:tab w:leader="none" w:pos="9620" w:val="left"/>
        </w:tabs>
        <w:rPr>
          <w:sz w:val="20"/>
          <w:szCs w:val="20"/>
          <w:color w:val="auto"/>
        </w:rPr>
      </w:pPr>
      <w:r>
        <w:rPr>
          <w:rFonts w:ascii="Arial" w:cs="Arial" w:eastAsia="Arial" w:hAnsi="Arial"/>
          <w:sz w:val="18"/>
          <w:szCs w:val="18"/>
          <w:i w:val="1"/>
          <w:iCs w:val="1"/>
          <w:color w:val="auto"/>
        </w:rPr>
        <w:t>2020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600075" cy="1117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0075" cy="11176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31" w:name="page32"/>
    <w:bookmarkEnd w:id="31"/>
    <w:p>
      <w:pPr>
        <w:ind w:right="800"/>
        <w:spacing w:after="0" w:line="261" w:lineRule="auto"/>
        <w:rPr>
          <w:sz w:val="20"/>
          <w:szCs w:val="20"/>
          <w:color w:val="auto"/>
        </w:rPr>
      </w:pPr>
      <w:r>
        <w:rPr>
          <w:rFonts w:ascii="Arial" w:cs="Arial" w:eastAsia="Arial" w:hAnsi="Arial"/>
          <w:sz w:val="18"/>
          <w:szCs w:val="18"/>
          <w:color w:val="auto"/>
        </w:rPr>
        <w:t>Talent Acquisition from 2006 to 2007. Mr. Richmond joined Abbott in 2006 and was first appointed as an AbbVie corporate officer in December 2012.</w:t>
      </w:r>
    </w:p>
    <w:p>
      <w:pPr>
        <w:spacing w:after="0" w:line="117" w:lineRule="exact"/>
        <w:rPr>
          <w:sz w:val="20"/>
          <w:szCs w:val="20"/>
          <w:color w:val="auto"/>
        </w:rPr>
      </w:pPr>
    </w:p>
    <w:p>
      <w:pPr>
        <w:ind w:right="200" w:firstLine="445"/>
        <w:spacing w:after="0" w:line="254" w:lineRule="auto"/>
        <w:rPr>
          <w:sz w:val="20"/>
          <w:szCs w:val="20"/>
          <w:color w:val="auto"/>
        </w:rPr>
      </w:pPr>
      <w:r>
        <w:rPr>
          <w:rFonts w:ascii="Arial" w:cs="Arial" w:eastAsia="Arial" w:hAnsi="Arial"/>
          <w:sz w:val="18"/>
          <w:szCs w:val="18"/>
          <w:color w:val="auto"/>
        </w:rPr>
        <w:t>Dr. Saleki-Gerhardt is AbbVie’s Executive Vice President, Operations. She served as Senior Vice President, Operations from 2013 to 2018. Dr. Saleki-Gerhardt served as Abbott’s Vice President, Pharmaceuticals Manufacturing and Supply from 2011 to 2012, and as Divisional Vice President, Quality Assurance, Global Pharmaceutical Operations from 2008 to 2011. Dr. Saleki-Gerhardt joined Abbott in 1993 and was first appointed as an AbbVie corporate officer in December 2012. She serves on the board of Entegris Inc.</w:t>
      </w:r>
    </w:p>
    <w:p>
      <w:pPr>
        <w:spacing w:after="0" w:line="136"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Mr. Stewart is AbbVie’s Executive Vice President, Commercial Operations. He previously served as Senior Vice President, U.S. Commercial Operations from 2018 to 2020 and as AbbVie’s President, Commercial Operations from 2013 to 2018. Prior to AbbVie’s separation from Abbott, he served as Vice President, Abbott Proprietary Pharmaceutical Division, United States. Mr. Stewart joined Abbott in 1992 and was first appointed as an AbbVie corporate officer in December 2018.</w:t>
      </w:r>
    </w:p>
    <w:p>
      <w:pPr>
        <w:spacing w:after="0" w:line="136"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Dr. Hudson is AbbVie's Senior Vice President, Research &amp; Development and Chief Scientific Officer. He previously served as Vice President, Head of Oncology Discovery and Early Development from 2016 to 2019. Prior to joining AbbVie, Dr. Hudson served at the Ontario Institute for Cancer Research as President and Scientific Director. He also previously served as Founder and Director of the McGill University and Genome Quebec Innovation Centre and Assistant Director of the Whitehead/MIT Center for Genome Research. Dr. Hudson was first appointed as an AbbVie corporate officer in July 2019.</w:t>
      </w:r>
    </w:p>
    <w:p>
      <w:pPr>
        <w:spacing w:after="0" w:line="124" w:lineRule="exact"/>
        <w:rPr>
          <w:sz w:val="20"/>
          <w:szCs w:val="20"/>
          <w:color w:val="auto"/>
        </w:rPr>
      </w:pPr>
    </w:p>
    <w:p>
      <w:pPr>
        <w:ind w:right="120" w:firstLine="405"/>
        <w:spacing w:after="0" w:line="238" w:lineRule="auto"/>
        <w:rPr>
          <w:sz w:val="20"/>
          <w:szCs w:val="20"/>
          <w:color w:val="auto"/>
        </w:rPr>
      </w:pPr>
      <w:r>
        <w:rPr>
          <w:rFonts w:ascii="Arial" w:cs="Arial" w:eastAsia="Arial" w:hAnsi="Arial"/>
          <w:sz w:val="18"/>
          <w:szCs w:val="18"/>
          <w:color w:val="auto"/>
        </w:rPr>
        <w:t>Ms. Sorg is AbbVie’s Senior Vice President, U.S. Commercial Operations. She previously served as AbbVie’s President, U.S. Immunology and Patient Services from 2019 to 2020 and as Vice President, Immunology and Oncology from 2016 to 2018. She served as Vice President, Immunology prior to AbbVie’s separation from Abbott and until 2016 at AbbVie. Ms. Sorg joined Abbott in 2012 and was first appointed as an AbbVie corporate officer in November 2020. Prior to joining Abbott, Ms. Sorg served in management roles at Eli Lilly and Company for 23 years.</w:t>
      </w:r>
    </w:p>
    <w:p>
      <w:pPr>
        <w:spacing w:after="0" w:line="229" w:lineRule="exact"/>
        <w:rPr>
          <w:sz w:val="20"/>
          <w:szCs w:val="20"/>
          <w:color w:val="auto"/>
        </w:rPr>
      </w:pPr>
    </w:p>
    <w:p>
      <w:pPr>
        <w:ind w:right="440" w:firstLine="405"/>
        <w:spacing w:after="0" w:line="238" w:lineRule="auto"/>
        <w:rPr>
          <w:sz w:val="20"/>
          <w:szCs w:val="20"/>
          <w:color w:val="auto"/>
        </w:rPr>
      </w:pPr>
      <w:r>
        <w:rPr>
          <w:rFonts w:ascii="Arial" w:cs="Arial" w:eastAsia="Arial" w:hAnsi="Arial"/>
          <w:sz w:val="18"/>
          <w:szCs w:val="18"/>
          <w:color w:val="auto"/>
        </w:rPr>
        <w:t>Ms. Strom is AbbVie’s Senior Vice President, AbbVie, and President, Global Allergan Aesthetics, responsible for the worldwide operations of the aesthetics franchise. She was appointed to the position upon AbbVie’s acquisition of Allergan in 2020 and was first appointed as an AbbVie corporate officer in May 2020. At Allergan, Ms. Strom previously served as Senior Vice President, U.S. Medical Aesthetics from 2018 to 2020. She joined Allergan in 2011.</w:t>
      </w:r>
    </w:p>
    <w:p>
      <w:pPr>
        <w:spacing w:after="0" w:line="137" w:lineRule="exact"/>
        <w:rPr>
          <w:sz w:val="20"/>
          <w:szCs w:val="20"/>
          <w:color w:val="auto"/>
        </w:rPr>
      </w:pPr>
    </w:p>
    <w:p>
      <w:pPr>
        <w:ind w:right="140" w:firstLine="445"/>
        <w:spacing w:after="0" w:line="254" w:lineRule="auto"/>
        <w:rPr>
          <w:sz w:val="20"/>
          <w:szCs w:val="20"/>
          <w:color w:val="auto"/>
        </w:rPr>
      </w:pPr>
      <w:r>
        <w:rPr>
          <w:rFonts w:ascii="Arial" w:cs="Arial" w:eastAsia="Arial" w:hAnsi="Arial"/>
          <w:sz w:val="18"/>
          <w:szCs w:val="18"/>
          <w:color w:val="auto"/>
        </w:rPr>
        <w:t>Mr. Durkin is AbbVie’s Vice President, Controller. Mr. Durkin previously served as Vice President, Internal Audit from 2016 to 2018. Prior to joining AbbVie, he served as Vice President of Finance and Division Controller for Abbott’s Vision Care business from 2009 to 2016 and Controller Pharmaceutical Research and Development from 2005 to 2009. Mr. Durkin joined Abbott in 1986 and was first appointed as an AbbVie corporate officer in October 2018.</w:t>
      </w:r>
    </w:p>
    <w:p>
      <w:pPr>
        <w:spacing w:after="0" w:line="136" w:lineRule="exact"/>
        <w:rPr>
          <w:sz w:val="20"/>
          <w:szCs w:val="20"/>
          <w:color w:val="auto"/>
        </w:rPr>
      </w:pPr>
    </w:p>
    <w:p>
      <w:pPr>
        <w:ind w:right="120" w:firstLine="445"/>
        <w:spacing w:after="0" w:line="253" w:lineRule="auto"/>
        <w:rPr>
          <w:sz w:val="20"/>
          <w:szCs w:val="20"/>
          <w:color w:val="auto"/>
        </w:rPr>
      </w:pPr>
      <w:r>
        <w:rPr>
          <w:rFonts w:ascii="Arial" w:cs="Arial" w:eastAsia="Arial" w:hAnsi="Arial"/>
          <w:sz w:val="18"/>
          <w:szCs w:val="18"/>
          <w:color w:val="auto"/>
        </w:rPr>
        <w:t>The executive officers of AbbVie are elected annually by the board of directors. All other officers are elected by the board or appointed by the Chairman of the Board. All officers are either elected at the first meeting of the board of directors held after the annual stockholder meeting or appointed by the Chairman of the Board after that board meeting. Each officer holds office until a successor has been duly elected or appointed and qualified or until the officer's death, resignation, or removal. There are no family relationships between any of the executive officers listed above.</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29</w:t>
      </w:r>
      <w:r>
        <w:rPr>
          <w:sz w:val="20"/>
          <w:szCs w:val="20"/>
          <w:color w:val="auto"/>
        </w:rPr>
        <w:tab/>
      </w:r>
      <w:r>
        <w:rPr>
          <w:sz w:val="1"/>
          <w:szCs w:val="1"/>
          <w:color w:val="auto"/>
        </w:rPr>
        <w:drawing>
          <wp:inline distT="0" distB="0" distL="0" distR="0">
            <wp:extent cx="600075" cy="11176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0075" cy="11176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32" w:name="page33"/>
    <w:bookmarkEnd w:id="32"/>
    <w:p>
      <w:pPr>
        <w:jc w:val="center"/>
        <w:spacing w:after="0"/>
        <w:rPr>
          <w:sz w:val="20"/>
          <w:szCs w:val="20"/>
          <w:color w:val="auto"/>
        </w:rPr>
      </w:pPr>
      <w:r>
        <w:rPr>
          <w:rFonts w:ascii="Arial" w:cs="Arial" w:eastAsia="Arial" w:hAnsi="Arial"/>
          <w:sz w:val="22"/>
          <w:szCs w:val="22"/>
          <w:b w:val="1"/>
          <w:bCs w:val="1"/>
          <w:color w:val="444867"/>
        </w:rPr>
        <w:t>PART II</w:t>
      </w:r>
    </w:p>
    <w:p>
      <w:pPr>
        <w:spacing w:after="0" w:line="220" w:lineRule="exact"/>
        <w:rPr>
          <w:sz w:val="20"/>
          <w:szCs w:val="20"/>
          <w:color w:val="auto"/>
        </w:rPr>
      </w:pPr>
    </w:p>
    <w:p>
      <w:pPr>
        <w:ind w:right="80"/>
        <w:spacing w:after="0" w:line="274" w:lineRule="auto"/>
        <w:rPr>
          <w:sz w:val="20"/>
          <w:szCs w:val="20"/>
          <w:color w:val="auto"/>
        </w:rPr>
      </w:pPr>
      <w:r>
        <w:rPr>
          <w:rFonts w:ascii="Arial" w:cs="Arial" w:eastAsia="Arial" w:hAnsi="Arial"/>
          <w:sz w:val="22"/>
          <w:szCs w:val="22"/>
          <w:b w:val="1"/>
          <w:bCs w:val="1"/>
          <w:color w:val="444867"/>
        </w:rPr>
        <w:t>ITEM 5. MARKET FOR REGISTRANT'S COMMON EQUITY, RELATED STOCKHOLDER MATTERS AND 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Principal Market</w:t>
      </w:r>
    </w:p>
    <w:p>
      <w:pPr>
        <w:spacing w:after="0" w:line="180" w:lineRule="exact"/>
        <w:rPr>
          <w:sz w:val="20"/>
          <w:szCs w:val="20"/>
          <w:color w:val="auto"/>
        </w:rPr>
      </w:pPr>
    </w:p>
    <w:p>
      <w:pPr>
        <w:ind w:right="380" w:firstLine="445"/>
        <w:spacing w:after="0" w:line="261" w:lineRule="auto"/>
        <w:rPr>
          <w:sz w:val="20"/>
          <w:szCs w:val="20"/>
          <w:color w:val="auto"/>
        </w:rPr>
      </w:pPr>
      <w:r>
        <w:rPr>
          <w:rFonts w:ascii="Arial" w:cs="Arial" w:eastAsia="Arial" w:hAnsi="Arial"/>
          <w:sz w:val="18"/>
          <w:szCs w:val="18"/>
          <w:color w:val="auto"/>
        </w:rPr>
        <w:t>The principal market for AbbVie's common stock is the New York Stock Exchange (Symbol: ABBV). AbbVie's common stock is also listed on the Chicago Stock Exchange and traded on various regional and electronic exchanges.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Stockholders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47,754 stockholders of record of AbbVie common stock as of January 31, 2021.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Performance Graph</w:t>
      </w:r>
    </w:p>
    <w:p>
      <w:pPr>
        <w:spacing w:after="0" w:line="166"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The following graph compares the cumulative total returns of AbbVie, the S&amp;P 500 Index and the NYSE Arca Pharmaceuticals Index for the period from December 31, 2015 through December 31, 2020. This graph assumes $100 was invested in AbbVie common stock and each index on December 31, 2015 and also assumes the reinvestment of dividends.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86995</wp:posOffset>
            </wp:positionV>
            <wp:extent cx="5254625" cy="4114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546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60" w:firstLine="445"/>
        <w:spacing w:after="0" w:line="261" w:lineRule="auto"/>
        <w:rPr>
          <w:sz w:val="20"/>
          <w:szCs w:val="20"/>
          <w:color w:val="auto"/>
        </w:rPr>
      </w:pPr>
      <w:r>
        <w:rPr>
          <w:rFonts w:ascii="Arial" w:cs="Arial" w:eastAsia="Arial" w:hAnsi="Arial"/>
          <w:sz w:val="18"/>
          <w:szCs w:val="18"/>
          <w:color w:val="auto"/>
        </w:rPr>
        <w:t>This performance graph is furnished and shall not be deemed "filed" with the SEC or subject to Section 18 of the Securities Exchange Act of 1934, nor shall it be deemed incorporated by reference in any of AbbVie's filings under the Securities Act of 1933, as amended.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30</w:t>
            </w:r>
          </w:p>
        </w:tc>
      </w:tr>
      <w:tr>
        <w:trPr>
          <w:trHeight w:val="201"/>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-333375</wp:posOffset>
            </wp:positionV>
            <wp:extent cx="600075" cy="1111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0075" cy="11112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444867"/>
        </w:rPr>
        <w:t>Dividends</w:t>
      </w:r>
    </w:p>
    <w:p>
      <w:pPr>
        <w:spacing w:after="0" w:line="166"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On October 30, 2020, AbbVie's board of directors declared an increase in the quarterly cash dividend from $1.18 per share to $1.30 per share, payable on February 16, 2021 to stockholders of record as of January 15, 2021. The timing, declaration, amount of and payment of any dividends by AbbVie in the future is within the discretion of its board of directors and will depend upon many factors, including AbbVie's financial condition, earnings, capital requirements of its operating subsidiaries, covenants associated with certain of AbbVie's debt service obligations, legal requirements, regulatory constraints, industry practice, ability to access capital markets and other factors deemed relevant by its board of directors. Moreover, if AbbVie determines to pay any dividend in the future, there can be no assurance that it will continue to pay such dividends or the amount of such dividends.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Issuer Purchases of Equity Securities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9"/>
              </w:rPr>
              <w:t>(c) Total</w:t>
            </w:r>
          </w:p>
        </w:tc>
        <w:tc>
          <w:tcPr>
            <w:tcW w:w="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9"/>
              </w:rPr>
              <w:t>Number of</w:t>
            </w:r>
          </w:p>
        </w:tc>
        <w:tc>
          <w:tcPr>
            <w:tcW w:w="2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 Total</w:t>
            </w: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Shares (or Units)</w:t>
            </w:r>
          </w:p>
        </w:tc>
        <w:tc>
          <w:tcPr>
            <w:tcW w:w="220" w:type="dxa"/>
            <w:vAlign w:val="bottom"/>
          </w:tcPr>
          <w:p>
            <w:pPr>
              <w:spacing w:after="0"/>
              <w:rPr>
                <w:sz w:val="11"/>
                <w:szCs w:val="11"/>
                <w:color w:val="auto"/>
              </w:rPr>
            </w:pPr>
          </w:p>
        </w:tc>
        <w:tc>
          <w:tcPr>
            <w:tcW w:w="2480" w:type="dxa"/>
            <w:vAlign w:val="bottom"/>
            <w:vMerge w:val="restart"/>
          </w:tcPr>
          <w:p>
            <w:pPr>
              <w:jc w:val="center"/>
              <w:ind w:right="380"/>
              <w:spacing w:after="0"/>
              <w:rPr>
                <w:sz w:val="20"/>
                <w:szCs w:val="20"/>
                <w:color w:val="auto"/>
              </w:rPr>
            </w:pPr>
            <w:r>
              <w:rPr>
                <w:rFonts w:ascii="Arial" w:cs="Arial" w:eastAsia="Arial" w:hAnsi="Arial"/>
                <w:sz w:val="14"/>
                <w:szCs w:val="14"/>
                <w:b w:val="1"/>
                <w:bCs w:val="1"/>
                <w:color w:val="auto"/>
              </w:rPr>
              <w:t>(d) Maximum Number (or</w:t>
            </w: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vMerge w:val="restart"/>
          </w:tcPr>
          <w:p>
            <w:pPr>
              <w:jc w:val="center"/>
              <w:ind w:right="398"/>
              <w:spacing w:after="0"/>
              <w:rPr>
                <w:sz w:val="20"/>
                <w:szCs w:val="20"/>
                <w:color w:val="auto"/>
              </w:rPr>
            </w:pPr>
            <w:r>
              <w:rPr>
                <w:rFonts w:ascii="Arial" w:cs="Arial" w:eastAsia="Arial" w:hAnsi="Arial"/>
                <w:sz w:val="14"/>
                <w:szCs w:val="14"/>
                <w:b w:val="1"/>
                <w:bCs w:val="1"/>
                <w:color w:val="auto"/>
              </w:rPr>
              <w:t>(b) Average</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Purchased as Part</w:t>
            </w:r>
          </w:p>
        </w:tc>
        <w:tc>
          <w:tcPr>
            <w:tcW w:w="22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720" w:type="dxa"/>
            <w:vAlign w:val="bottom"/>
          </w:tcPr>
          <w:p>
            <w:pPr>
              <w:jc w:val="center"/>
              <w:ind w:right="20"/>
              <w:spacing w:after="0" w:line="135" w:lineRule="exact"/>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Publicly</w:t>
            </w:r>
          </w:p>
        </w:tc>
        <w:tc>
          <w:tcPr>
            <w:tcW w:w="220" w:type="dxa"/>
            <w:vAlign w:val="bottom"/>
          </w:tcPr>
          <w:p>
            <w:pPr>
              <w:spacing w:after="0"/>
              <w:rPr>
                <w:sz w:val="11"/>
                <w:szCs w:val="11"/>
                <w:color w:val="auto"/>
              </w:rPr>
            </w:pPr>
          </w:p>
        </w:tc>
        <w:tc>
          <w:tcPr>
            <w:tcW w:w="2480" w:type="dxa"/>
            <w:vAlign w:val="bottom"/>
          </w:tcPr>
          <w:p>
            <w:pPr>
              <w:jc w:val="center"/>
              <w:ind w:right="400"/>
              <w:spacing w:after="0" w:line="135" w:lineRule="exact"/>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720" w:type="dxa"/>
            <w:vAlign w:val="bottom"/>
          </w:tcPr>
          <w:p>
            <w:pPr>
              <w:jc w:val="center"/>
              <w:ind w:right="20"/>
              <w:spacing w:after="0" w:line="135" w:lineRule="exact"/>
              <w:rPr>
                <w:sz w:val="20"/>
                <w:szCs w:val="20"/>
                <w:color w:val="auto"/>
              </w:rPr>
            </w:pPr>
            <w:r>
              <w:rPr>
                <w:rFonts w:ascii="Arial" w:cs="Arial" w:eastAsia="Arial" w:hAnsi="Arial"/>
                <w:sz w:val="14"/>
                <w:szCs w:val="14"/>
                <w:b w:val="1"/>
                <w:bCs w:val="1"/>
                <w:color w:val="auto"/>
              </w:rPr>
              <w:t>of Shares</w:t>
            </w:r>
          </w:p>
        </w:tc>
        <w:tc>
          <w:tcPr>
            <w:tcW w:w="240" w:type="dxa"/>
            <w:vAlign w:val="bottom"/>
          </w:tcPr>
          <w:p>
            <w:pPr>
              <w:spacing w:after="0"/>
              <w:rPr>
                <w:sz w:val="11"/>
                <w:szCs w:val="11"/>
                <w:color w:val="auto"/>
              </w:rPr>
            </w:pPr>
          </w:p>
        </w:tc>
        <w:tc>
          <w:tcPr>
            <w:tcW w:w="1300" w:type="dxa"/>
            <w:vAlign w:val="bottom"/>
          </w:tcPr>
          <w:p>
            <w:pPr>
              <w:jc w:val="center"/>
              <w:ind w:right="398"/>
              <w:spacing w:after="0" w:line="135" w:lineRule="exact"/>
              <w:rPr>
                <w:sz w:val="20"/>
                <w:szCs w:val="20"/>
                <w:color w:val="auto"/>
              </w:rPr>
            </w:pPr>
            <w:r>
              <w:rPr>
                <w:rFonts w:ascii="Arial" w:cs="Arial" w:eastAsia="Arial" w:hAnsi="Arial"/>
                <w:sz w:val="14"/>
                <w:szCs w:val="14"/>
                <w:b w:val="1"/>
                <w:bCs w:val="1"/>
                <w:color w:val="auto"/>
                <w:w w:val="99"/>
              </w:rPr>
              <w:t>Price</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Announced</w:t>
            </w:r>
          </w:p>
        </w:tc>
        <w:tc>
          <w:tcPr>
            <w:tcW w:w="220" w:type="dxa"/>
            <w:vAlign w:val="bottom"/>
          </w:tcPr>
          <w:p>
            <w:pPr>
              <w:spacing w:after="0"/>
              <w:rPr>
                <w:sz w:val="11"/>
                <w:szCs w:val="11"/>
                <w:color w:val="auto"/>
              </w:rPr>
            </w:pPr>
          </w:p>
        </w:tc>
        <w:tc>
          <w:tcPr>
            <w:tcW w:w="2480" w:type="dxa"/>
            <w:vAlign w:val="bottom"/>
          </w:tcPr>
          <w:p>
            <w:pPr>
              <w:jc w:val="center"/>
              <w:ind w:right="380"/>
              <w:spacing w:after="0" w:line="135" w:lineRule="exact"/>
              <w:rPr>
                <w:sz w:val="20"/>
                <w:szCs w:val="20"/>
                <w:color w:val="auto"/>
              </w:rPr>
            </w:pPr>
            <w:r>
              <w:rPr>
                <w:rFonts w:ascii="Arial" w:cs="Arial" w:eastAsia="Arial" w:hAnsi="Arial"/>
                <w:sz w:val="14"/>
                <w:szCs w:val="14"/>
                <w:b w:val="1"/>
                <w:bCs w:val="1"/>
                <w:color w:val="auto"/>
              </w:rPr>
              <w:t>Shares (or Units) that May</w:t>
            </w:r>
          </w:p>
        </w:tc>
        <w:tc>
          <w:tcPr>
            <w:tcW w:w="0" w:type="dxa"/>
            <w:vAlign w:val="bottom"/>
          </w:tcPr>
          <w:p>
            <w:pPr>
              <w:spacing w:after="0"/>
              <w:rPr>
                <w:sz w:val="1"/>
                <w:szCs w:val="1"/>
                <w:color w:val="auto"/>
              </w:rPr>
            </w:pPr>
          </w:p>
        </w:tc>
      </w:tr>
      <w:tr>
        <w:trPr>
          <w:trHeight w:val="135"/>
        </w:trPr>
        <w:tc>
          <w:tcPr>
            <w:tcW w:w="368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Period</w:t>
            </w: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(or Units)</w:t>
            </w:r>
          </w:p>
        </w:tc>
        <w:tc>
          <w:tcPr>
            <w:tcW w:w="1540" w:type="dxa"/>
            <w:vAlign w:val="bottom"/>
            <w:gridSpan w:val="2"/>
          </w:tcPr>
          <w:p>
            <w:pPr>
              <w:jc w:val="center"/>
              <w:ind w:right="158"/>
              <w:spacing w:after="0" w:line="135" w:lineRule="exact"/>
              <w:rPr>
                <w:sz w:val="20"/>
                <w:szCs w:val="20"/>
                <w:color w:val="auto"/>
              </w:rPr>
            </w:pPr>
            <w:r>
              <w:rPr>
                <w:rFonts w:ascii="Arial" w:cs="Arial" w:eastAsia="Arial" w:hAnsi="Arial"/>
                <w:sz w:val="14"/>
                <w:szCs w:val="14"/>
                <w:b w:val="1"/>
                <w:bCs w:val="1"/>
                <w:color w:val="auto"/>
              </w:rPr>
              <w:t>Paid per Share</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Plans or</w:t>
            </w:r>
          </w:p>
        </w:tc>
        <w:tc>
          <w:tcPr>
            <w:tcW w:w="220" w:type="dxa"/>
            <w:vAlign w:val="bottom"/>
          </w:tcPr>
          <w:p>
            <w:pPr>
              <w:spacing w:after="0"/>
              <w:rPr>
                <w:sz w:val="11"/>
                <w:szCs w:val="11"/>
                <w:color w:val="auto"/>
              </w:rPr>
            </w:pPr>
          </w:p>
        </w:tc>
        <w:tc>
          <w:tcPr>
            <w:tcW w:w="2480" w:type="dxa"/>
            <w:vAlign w:val="bottom"/>
          </w:tcPr>
          <w:p>
            <w:pPr>
              <w:jc w:val="center"/>
              <w:ind w:right="400"/>
              <w:spacing w:after="0" w:line="135" w:lineRule="exact"/>
              <w:rPr>
                <w:sz w:val="20"/>
                <w:szCs w:val="20"/>
                <w:color w:val="auto"/>
              </w:rPr>
            </w:pPr>
            <w:r>
              <w:rPr>
                <w:rFonts w:ascii="Arial" w:cs="Arial" w:eastAsia="Arial" w:hAnsi="Arial"/>
                <w:sz w:val="14"/>
                <w:szCs w:val="14"/>
                <w:b w:val="1"/>
                <w:bCs w:val="1"/>
                <w:color w:val="auto"/>
              </w:rPr>
              <w:t>Yet Be Purchased Under the</w:t>
            </w:r>
          </w:p>
        </w:tc>
        <w:tc>
          <w:tcPr>
            <w:tcW w:w="0" w:type="dxa"/>
            <w:vAlign w:val="bottom"/>
          </w:tcPr>
          <w:p>
            <w:pPr>
              <w:spacing w:after="0"/>
              <w:rPr>
                <w:sz w:val="1"/>
                <w:szCs w:val="1"/>
                <w:color w:val="auto"/>
              </w:rPr>
            </w:pPr>
          </w:p>
        </w:tc>
      </w:tr>
      <w:tr>
        <w:trPr>
          <w:trHeight w:val="175"/>
        </w:trPr>
        <w:tc>
          <w:tcPr>
            <w:tcW w:w="3680" w:type="dxa"/>
            <w:vAlign w:val="bottom"/>
            <w:tcBorders>
              <w:bottom w:val="single" w:sz="8" w:color="auto"/>
            </w:tcBorders>
            <w:vMerge w:val="continue"/>
          </w:tcPr>
          <w:p>
            <w:pPr>
              <w:spacing w:after="0"/>
              <w:rPr>
                <w:sz w:val="15"/>
                <w:szCs w:val="15"/>
                <w:color w:val="auto"/>
              </w:rPr>
            </w:pPr>
          </w:p>
        </w:tc>
        <w:tc>
          <w:tcPr>
            <w:tcW w:w="17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rPr>
              <w:t>Purchased</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418"/>
              <w:spacing w:after="0"/>
              <w:rPr>
                <w:sz w:val="20"/>
                <w:szCs w:val="20"/>
                <w:color w:val="auto"/>
              </w:rPr>
            </w:pPr>
            <w:r>
              <w:rPr>
                <w:rFonts w:ascii="Arial" w:cs="Arial" w:eastAsia="Arial" w:hAnsi="Arial"/>
                <w:sz w:val="14"/>
                <w:szCs w:val="14"/>
                <w:b w:val="1"/>
                <w:bCs w:val="1"/>
                <w:color w:val="auto"/>
              </w:rPr>
              <w:t>(or Unit)</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2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jc w:val="center"/>
              <w:ind w:right="400"/>
              <w:spacing w:after="0"/>
              <w:rPr>
                <w:sz w:val="20"/>
                <w:szCs w:val="20"/>
                <w:color w:val="auto"/>
              </w:rPr>
            </w:pPr>
            <w:r>
              <w:rPr>
                <w:rFonts w:ascii="Arial" w:cs="Arial" w:eastAsia="Arial" w:hAnsi="Arial"/>
                <w:sz w:val="14"/>
                <w:szCs w:val="14"/>
                <w:b w:val="1"/>
                <w:bCs w:val="1"/>
                <w:color w:val="auto"/>
              </w:rPr>
              <w:t>Plans or Programs</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2020 - October 31, 2020</w:t>
            </w:r>
          </w:p>
        </w:tc>
        <w:tc>
          <w:tcPr>
            <w:tcW w:w="1720" w:type="dxa"/>
            <w:vAlign w:val="bottom"/>
            <w:shd w:val="clear" w:color="auto" w:fill="CCEEFF"/>
          </w:tcPr>
          <w:p>
            <w:pPr>
              <w:jc w:val="right"/>
              <w:spacing w:after="0" w:line="223" w:lineRule="exact"/>
              <w:rPr>
                <w:sz w:val="20"/>
                <w:szCs w:val="20"/>
                <w:color w:val="auto"/>
              </w:rPr>
            </w:pPr>
            <w:r>
              <w:rPr>
                <w:rFonts w:ascii="Arial" w:cs="Arial" w:eastAsia="Arial" w:hAnsi="Arial"/>
                <w:sz w:val="18"/>
                <w:szCs w:val="18"/>
                <w:color w:val="auto"/>
              </w:rPr>
              <w:t xml:space="preserve">4,783 </w:t>
            </w:r>
            <w:r>
              <w:rPr>
                <w:rFonts w:ascii="Arial" w:cs="Arial" w:eastAsia="Arial" w:hAnsi="Arial"/>
                <w:sz w:val="23"/>
                <w:szCs w:val="23"/>
                <w:color w:val="auto"/>
                <w:vertAlign w:val="superscript"/>
              </w:rPr>
              <w:t>(1)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8"/>
              <w:spacing w:after="0" w:line="223" w:lineRule="exact"/>
              <w:rPr>
                <w:sz w:val="20"/>
                <w:szCs w:val="20"/>
                <w:color w:val="auto"/>
              </w:rPr>
            </w:pPr>
            <w:r>
              <w:rPr>
                <w:rFonts w:ascii="Arial" w:cs="Arial" w:eastAsia="Arial" w:hAnsi="Arial"/>
                <w:sz w:val="18"/>
                <w:szCs w:val="18"/>
                <w:color w:val="auto"/>
              </w:rPr>
              <w:t xml:space="preserve">84.46 </w:t>
            </w:r>
            <w:r>
              <w:rPr>
                <w:rFonts w:ascii="Arial" w:cs="Arial" w:eastAsia="Arial" w:hAnsi="Arial"/>
                <w:sz w:val="23"/>
                <w:szCs w:val="23"/>
                <w:color w:val="auto"/>
                <w:vertAlign w:val="superscript"/>
              </w:rPr>
              <w:t>(1)</w:t>
            </w:r>
          </w:p>
        </w:tc>
        <w:tc>
          <w:tcPr>
            <w:tcW w:w="16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jc w:val="right"/>
              <w:ind w:right="340"/>
              <w:spacing w:after="0"/>
              <w:rPr>
                <w:sz w:val="20"/>
                <w:szCs w:val="20"/>
                <w:color w:val="auto"/>
              </w:rPr>
            </w:pPr>
            <w:r>
              <w:rPr>
                <w:rFonts w:ascii="Arial" w:cs="Arial" w:eastAsia="Arial" w:hAnsi="Arial"/>
                <w:sz w:val="18"/>
                <w:szCs w:val="18"/>
                <w:color w:val="auto"/>
              </w:rPr>
              <w:t>3,450,069,690</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November 1, 2020 - November 30, 2020</w:t>
            </w:r>
          </w:p>
        </w:tc>
        <w:tc>
          <w:tcPr>
            <w:tcW w:w="1720" w:type="dxa"/>
            <w:vAlign w:val="bottom"/>
          </w:tcPr>
          <w:p>
            <w:pPr>
              <w:jc w:val="right"/>
              <w:spacing w:after="0" w:line="230" w:lineRule="exact"/>
              <w:rPr>
                <w:sz w:val="20"/>
                <w:szCs w:val="20"/>
                <w:color w:val="auto"/>
              </w:rPr>
            </w:pPr>
            <w:r>
              <w:rPr>
                <w:rFonts w:ascii="Arial" w:cs="Arial" w:eastAsia="Arial" w:hAnsi="Arial"/>
                <w:sz w:val="18"/>
                <w:szCs w:val="18"/>
                <w:color w:val="auto"/>
              </w:rPr>
              <w:t xml:space="preserve">945 </w:t>
            </w:r>
            <w:r>
              <w:rPr>
                <w:rFonts w:ascii="Arial" w:cs="Arial" w:eastAsia="Arial" w:hAnsi="Arial"/>
                <w:sz w:val="23"/>
                <w:szCs w:val="23"/>
                <w:color w:val="auto"/>
                <w:vertAlign w:val="superscript"/>
              </w:rPr>
              <w:t>(1)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8"/>
              <w:spacing w:after="0" w:line="230" w:lineRule="exact"/>
              <w:rPr>
                <w:sz w:val="20"/>
                <w:szCs w:val="20"/>
                <w:color w:val="auto"/>
              </w:rPr>
            </w:pPr>
            <w:r>
              <w:rPr>
                <w:rFonts w:ascii="Arial" w:cs="Arial" w:eastAsia="Arial" w:hAnsi="Arial"/>
                <w:sz w:val="18"/>
                <w:szCs w:val="18"/>
                <w:color w:val="auto"/>
              </w:rPr>
              <w:t xml:space="preserve">92.50 </w:t>
            </w:r>
            <w:r>
              <w:rPr>
                <w:rFonts w:ascii="Arial" w:cs="Arial" w:eastAsia="Arial" w:hAnsi="Arial"/>
                <w:sz w:val="23"/>
                <w:szCs w:val="23"/>
                <w:color w:val="auto"/>
                <w:vertAlign w:val="superscript"/>
              </w:rPr>
              <w:t>(1)</w:t>
            </w:r>
          </w:p>
        </w:tc>
        <w:tc>
          <w:tcPr>
            <w:tcW w:w="16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340"/>
              <w:spacing w:after="0"/>
              <w:rPr>
                <w:sz w:val="20"/>
                <w:szCs w:val="20"/>
                <w:color w:val="auto"/>
              </w:rPr>
            </w:pPr>
            <w:r>
              <w:rPr>
                <w:rFonts w:ascii="Arial" w:cs="Arial" w:eastAsia="Arial" w:hAnsi="Arial"/>
                <w:sz w:val="18"/>
                <w:szCs w:val="18"/>
                <w:color w:val="auto"/>
              </w:rPr>
              <w:t>3,450,069,690</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1, 2020 - December 31, 2020</w:t>
            </w:r>
          </w:p>
        </w:tc>
        <w:tc>
          <w:tcPr>
            <w:tcW w:w="1720" w:type="dxa"/>
            <w:vAlign w:val="bottom"/>
            <w:tcBorders>
              <w:bottom w:val="single" w:sz="8" w:color="auto"/>
            </w:tcBorders>
            <w:shd w:val="clear" w:color="auto" w:fill="CCEEFF"/>
          </w:tcPr>
          <w:p>
            <w:pPr>
              <w:jc w:val="right"/>
              <w:spacing w:after="0" w:line="230" w:lineRule="exact"/>
              <w:rPr>
                <w:sz w:val="20"/>
                <w:szCs w:val="20"/>
                <w:color w:val="auto"/>
              </w:rPr>
            </w:pPr>
            <w:r>
              <w:rPr>
                <w:rFonts w:ascii="Arial" w:cs="Arial" w:eastAsia="Arial" w:hAnsi="Arial"/>
                <w:sz w:val="18"/>
                <w:szCs w:val="18"/>
                <w:color w:val="auto"/>
              </w:rPr>
              <w:t xml:space="preserve">2,431,776 </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8"/>
              <w:spacing w:after="0" w:line="230" w:lineRule="exact"/>
              <w:rPr>
                <w:sz w:val="20"/>
                <w:szCs w:val="20"/>
                <w:color w:val="auto"/>
              </w:rPr>
            </w:pPr>
            <w:r>
              <w:rPr>
                <w:rFonts w:ascii="Arial" w:cs="Arial" w:eastAsia="Arial" w:hAnsi="Arial"/>
                <w:sz w:val="18"/>
                <w:szCs w:val="18"/>
                <w:color w:val="auto"/>
              </w:rPr>
              <w:t xml:space="preserve">105.61 </w:t>
            </w:r>
            <w:r>
              <w:rPr>
                <w:rFonts w:ascii="Arial" w:cs="Arial" w:eastAsia="Arial" w:hAnsi="Arial"/>
                <w:sz w:val="23"/>
                <w:szCs w:val="23"/>
                <w:color w:val="auto"/>
                <w:vertAlign w:val="superscript"/>
              </w:rPr>
              <w:t>(1)</w:t>
            </w:r>
          </w:p>
        </w:tc>
        <w:tc>
          <w:tcPr>
            <w:tcW w:w="16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2,430,910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8"/>
                <w:szCs w:val="18"/>
                <w:color w:val="auto"/>
              </w:rPr>
              <w:t>3,193,341,387</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18"/>
                <w:szCs w:val="18"/>
                <w:color w:val="auto"/>
              </w:rPr>
              <w:t xml:space="preserve">2,437,504 </w:t>
            </w:r>
            <w:r>
              <w:rPr>
                <w:rFonts w:ascii="Arial" w:cs="Arial" w:eastAsia="Arial" w:hAnsi="Arial"/>
                <w:sz w:val="23"/>
                <w:szCs w:val="23"/>
                <w:color w:val="auto"/>
                <w:vertAlign w:val="superscript"/>
              </w:rPr>
              <w:t>(1)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78"/>
              <w:spacing w:after="0" w:line="223" w:lineRule="exact"/>
              <w:rPr>
                <w:sz w:val="20"/>
                <w:szCs w:val="20"/>
                <w:color w:val="auto"/>
              </w:rPr>
            </w:pPr>
            <w:r>
              <w:rPr>
                <w:rFonts w:ascii="Arial" w:cs="Arial" w:eastAsia="Arial" w:hAnsi="Arial"/>
                <w:sz w:val="18"/>
                <w:szCs w:val="18"/>
                <w:color w:val="auto"/>
              </w:rPr>
              <w:t xml:space="preserve">105.56 </w:t>
            </w:r>
            <w:r>
              <w:rPr>
                <w:rFonts w:ascii="Arial" w:cs="Arial" w:eastAsia="Arial" w:hAnsi="Arial"/>
                <w:sz w:val="23"/>
                <w:szCs w:val="23"/>
                <w:color w:val="auto"/>
                <w:vertAlign w:val="superscript"/>
              </w:rPr>
              <w:t>(1)</w:t>
            </w:r>
          </w:p>
        </w:tc>
        <w:tc>
          <w:tcPr>
            <w:tcW w:w="160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2,430,910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80" w:type="dxa"/>
            <w:vAlign w:val="bottom"/>
            <w:tcBorders>
              <w:bottom w:val="single" w:sz="8" w:color="auto"/>
            </w:tcBorders>
          </w:tcPr>
          <w:p>
            <w:pPr>
              <w:jc w:val="right"/>
              <w:ind w:right="340"/>
              <w:spacing w:after="0"/>
              <w:rPr>
                <w:sz w:val="20"/>
                <w:szCs w:val="20"/>
                <w:color w:val="auto"/>
              </w:rPr>
            </w:pPr>
            <w:r>
              <w:rPr>
                <w:rFonts w:ascii="Arial" w:cs="Arial" w:eastAsia="Arial" w:hAnsi="Arial"/>
                <w:sz w:val="18"/>
                <w:szCs w:val="18"/>
                <w:color w:val="auto"/>
              </w:rPr>
              <w:t>3,193,341,387</w:t>
            </w:r>
          </w:p>
        </w:tc>
        <w:tc>
          <w:tcPr>
            <w:tcW w:w="0" w:type="dxa"/>
            <w:vAlign w:val="bottom"/>
          </w:tcPr>
          <w:p>
            <w:pPr>
              <w:spacing w:after="0"/>
              <w:rPr>
                <w:sz w:val="1"/>
                <w:szCs w:val="1"/>
                <w:color w:val="auto"/>
              </w:rPr>
            </w:pPr>
          </w:p>
        </w:tc>
      </w:tr>
      <w:tr>
        <w:trPr>
          <w:trHeight w:val="21"/>
        </w:trPr>
        <w:tc>
          <w:tcPr>
            <w:tcW w:w="36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20" w:right="260" w:hanging="412"/>
        <w:spacing w:after="0" w:line="256" w:lineRule="auto"/>
        <w:tabs>
          <w:tab w:leader="none" w:pos="3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addition to AbbVie shares repurchased on the open market under a publicly announced program, if any, these shares also included the shares purchased on the open market for the benefit of participants in the AbbVie Employee Stock Purchase Plan – 4,783 in October; 945 in November; and 866 in December.</w:t>
      </w:r>
    </w:p>
    <w:p>
      <w:pPr>
        <w:spacing w:after="0" w:line="134" w:lineRule="exact"/>
        <w:rPr>
          <w:sz w:val="20"/>
          <w:szCs w:val="20"/>
          <w:color w:val="auto"/>
        </w:rPr>
      </w:pPr>
    </w:p>
    <w:p>
      <w:pPr>
        <w:ind w:left="420" w:right="360"/>
        <w:spacing w:after="0" w:line="261" w:lineRule="auto"/>
        <w:rPr>
          <w:sz w:val="20"/>
          <w:szCs w:val="20"/>
          <w:color w:val="auto"/>
        </w:rPr>
      </w:pPr>
      <w:r>
        <w:rPr>
          <w:rFonts w:ascii="Arial" w:cs="Arial" w:eastAsia="Arial" w:hAnsi="Arial"/>
          <w:sz w:val="18"/>
          <w:szCs w:val="18"/>
          <w:color w:val="auto"/>
        </w:rPr>
        <w:t>These shares do not include the shares surrendered to AbbVie to satisfy minimum tax withholding obligations in connection with the vesting or exercise of stock-based awards.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ITEM 6.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31</w:t>
      </w:r>
      <w:r>
        <w:rPr>
          <w:sz w:val="20"/>
          <w:szCs w:val="20"/>
          <w:color w:val="auto"/>
        </w:rPr>
        <w:tab/>
      </w:r>
      <w:r>
        <w:rPr>
          <w:sz w:val="1"/>
          <w:szCs w:val="1"/>
          <w:color w:val="auto"/>
        </w:rPr>
        <w:drawing>
          <wp:inline distT="0" distB="0" distL="0" distR="0">
            <wp:extent cx="600075" cy="11112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34" w:name="page35"/>
    <w:bookmarkEnd w:id="34"/>
    <w:p>
      <w:pPr>
        <w:ind w:right="780"/>
        <w:spacing w:after="0" w:line="274" w:lineRule="auto"/>
        <w:rPr>
          <w:sz w:val="20"/>
          <w:szCs w:val="20"/>
          <w:color w:val="auto"/>
        </w:rPr>
      </w:pPr>
      <w:r>
        <w:rPr>
          <w:rFonts w:ascii="Arial" w:cs="Arial" w:eastAsia="Arial" w:hAnsi="Arial"/>
          <w:sz w:val="22"/>
          <w:szCs w:val="22"/>
          <w:b w:val="1"/>
          <w:bCs w:val="1"/>
          <w:color w:val="444867"/>
        </w:rPr>
        <w:t>ITEM 7.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3"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following is a discussion and analysis of the financial condition of AbbVie Inc. (AbbVie or the company). This commentary should be read in conjunction with the consolidated financial statements and accompanying notes appearing in Item 8, "Financial Statements and Supplementary Data." This section of this Form 10-K generally discusses 2020 and 2019 items and year-to-year comparisons between 2020 and 2019. Discussions of 2018 items and year-to-year comparisons between 2019 and 2018 that are not included in this Form 10-K can be found in “Management's Discussion and Analysis of Financial Condition and Results of Operations” in Part II, Item 7 of the Company’s Annual Report on Form 10-K for the fiscal year ended December 31, 2019.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EXECUTIVE OVERVIEW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Company Overview</w:t>
      </w:r>
    </w:p>
    <w:p>
      <w:pPr>
        <w:spacing w:after="0" w:line="180"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AbbVie is a global, research-based biopharmaceutical company formed in 2013 following separation from Abbott Laboratories (Abbott). AbbVie uses its expertise, dedicated people and unique approach to innovation to develop and market advanced therapies that address some of the world's most complex and serious diseases.</w:t>
      </w:r>
    </w:p>
    <w:p>
      <w:pPr>
        <w:spacing w:after="0" w:line="134"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On May 8, 2020, AbbVie completed the acquisition of Allergan plc (Allergan). The acquisition of Allergan creates a diversified biopharmaceutical company positioned for success with a comprehensive product portfolio that has leadership positions in key therapeutic areas of immunology, hematologic oncology, aesthetics, neuroscience, eye care and women's health. AbbVie's existing product portfolio and pipeline is enhanced with numerous Allergan assets and Allergan's product portfolio benefits from AbbVie's commercial strength, expertise and international infrastructure. See Note 5 to the Consolidated Financial Statements for additional information on the acquisition. Subsequent to the acquisition date, AbbVie's consolidated financial statements include the assets, liabilities, operating results and cash flows of Allergan.</w:t>
      </w:r>
    </w:p>
    <w:p>
      <w:pPr>
        <w:spacing w:after="0" w:line="126" w:lineRule="exact"/>
        <w:rPr>
          <w:sz w:val="20"/>
          <w:szCs w:val="20"/>
          <w:color w:val="auto"/>
        </w:rPr>
      </w:pPr>
    </w:p>
    <w:p>
      <w:pPr>
        <w:ind w:right="160" w:firstLine="445"/>
        <w:spacing w:after="0" w:line="252" w:lineRule="auto"/>
        <w:rPr>
          <w:sz w:val="20"/>
          <w:szCs w:val="20"/>
          <w:color w:val="auto"/>
        </w:rPr>
      </w:pPr>
      <w:r>
        <w:rPr>
          <w:rFonts w:ascii="Arial" w:cs="Arial" w:eastAsia="Arial" w:hAnsi="Arial"/>
          <w:sz w:val="18"/>
          <w:szCs w:val="18"/>
          <w:color w:val="auto"/>
        </w:rPr>
        <w:t>AbbVie's products are generally sold worldwide directly to wholesalers, distributors, government agencies, health care facilities, specialty pharmacies and independent retailers from AbbVie-owned distribution centers and public warehouses. Certain products (including aesthetic products and devices) are also sold directly to physicians and other licensed healthcare providers. In the United States, AbbVie distributes pharmaceutical products principally through independent wholesale distributors, with some sales directly to retailers, pharmacies and patients. Outside the United States, AbbVie sells products primarily to customers or through distributors, depending on the market served. Certain products are co-marketed or co-promoted with other companies. AbbVie has approximately 47,000 employees. AbbVie operates as a single global business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2020 Financial Results</w:t>
      </w:r>
    </w:p>
    <w:p>
      <w:pPr>
        <w:spacing w:after="0" w:line="180"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AbbVie's strategy has focused on delivering strong financial results, maximizing the benefits of the Allergan acquisition, advancing and investing in its pipeline and returning value to shareholders while ensuring a strong, sustainable growth business over the long term. The company's financial performance in 2020 included delivering worldwide net revenues of $45.8 billion, operating earnings of $11.4 billion, diluted earnings per share of $2.72 and cash flows from operations of $17.6 billion. Worldwide net revenues increased by 38% on a reported basis and on a constant currency basis, which included $10.3 billion of contributed revenues from the Allergan acquisition, growth in the immunology portfolio from Skyrizi, Rinvoq and the continued strength of Humira in the U.S. as well as revenue growth from Imbruvica and Venclexta.</w:t>
      </w:r>
    </w:p>
    <w:p>
      <w:pPr>
        <w:spacing w:after="0" w:line="126" w:lineRule="exact"/>
        <w:rPr>
          <w:sz w:val="20"/>
          <w:szCs w:val="20"/>
          <w:color w:val="auto"/>
        </w:rPr>
      </w:pPr>
    </w:p>
    <w:p>
      <w:pPr>
        <w:ind w:right="80" w:firstLine="445"/>
        <w:spacing w:after="0" w:line="271" w:lineRule="auto"/>
        <w:rPr>
          <w:sz w:val="20"/>
          <w:szCs w:val="20"/>
          <w:color w:val="auto"/>
        </w:rPr>
      </w:pPr>
      <w:r>
        <w:rPr>
          <w:rFonts w:ascii="Arial" w:cs="Arial" w:eastAsia="Arial" w:hAnsi="Arial"/>
          <w:sz w:val="17"/>
          <w:szCs w:val="17"/>
          <w:color w:val="auto"/>
        </w:rPr>
        <w:t>Diluted earnings per share in 2020 was $2.72 and included the following after-tax costs: (i) $5.7 billion for the change in fair value of contingent consideration liabilities; (ii) $4.8 billion related to the amortization of intangible assets; (iii) $ 3.0 billion of Allergan acquisition and integration expenses; (iv) $ 1.2 billion for acquired in -process research and development (IPR&amp;D); and $241 million for milestones and other research and development (R&amp;D) expenses. These costs were partially offset by $1.7 billion of certain tax benefits. Additionally, financial results reflected continued funding to support all stages of AbbVie’s pipeline assets and continued investment in AbbVie’s on-market brands.</w:t>
      </w:r>
    </w:p>
    <w:p>
      <w:pPr>
        <w:spacing w:after="0" w:line="12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In October 2020, AbbVie's board of directors declared a quarterly cash dividend of $1.30 per share of common stock payable in</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February 2021. This reflects an increase of approximately 10.2% over the previous quarterly dividend of $1.18 per share of common stock.</w:t>
      </w:r>
    </w:p>
    <w:p>
      <w:pPr>
        <w:spacing w:after="0" w:line="158"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Following the closing of the Allergan acquisition, AbbVie implemented an integration plan designed to reduce costs, integrate and optimize the combined organization. The integration plan is expected to realize more than $2 billion of expected annual cost synergies over a three-year period, with approximately 50% realized in R&amp;D, 40% in selling, general and administrative (SG&amp;A) and 10% in cost of products sold.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32</w:t>
            </w:r>
          </w:p>
        </w:tc>
      </w:tr>
      <w:tr>
        <w:trPr>
          <w:trHeight w:val="201"/>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-333375</wp:posOffset>
            </wp:positionV>
            <wp:extent cx="600075" cy="1117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0075" cy="11176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5" w:name="page36"/>
    <w:bookmarkEnd w:id="35"/>
    <w:p>
      <w:pPr>
        <w:ind w:right="220" w:firstLine="445"/>
        <w:spacing w:after="0" w:line="256" w:lineRule="auto"/>
        <w:rPr>
          <w:sz w:val="20"/>
          <w:szCs w:val="20"/>
          <w:color w:val="auto"/>
        </w:rPr>
      </w:pPr>
      <w:r>
        <w:rPr>
          <w:rFonts w:ascii="Arial" w:cs="Arial" w:eastAsia="Arial" w:hAnsi="Arial"/>
          <w:sz w:val="18"/>
          <w:szCs w:val="18"/>
          <w:color w:val="auto"/>
        </w:rPr>
        <w:t>To achieve these integration objectives, AbbVie expects to incur approximately $2 billion of charges through 2022. These costs will consist of severance and employee benefit costs (cash severance, non-cash severance, including accelerated equity award compensation expense, retention and other termination benefits) and other integration expenses.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Impact of the Coronavirus Disease 2019 (COVID-19)</w:t>
      </w:r>
    </w:p>
    <w:p>
      <w:pPr>
        <w:spacing w:after="0" w:line="180"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In March 2020, the World Health Organization declared the outbreak of a novel coronavirus (COVID-19) as a pandemic, which continues to spread throughout the United States and around the world. In response to the growing public health crisis, AbbVie has partnered with global authorities to support the experimental use of multiple AbbVie assets to determine their efficacy in the treatment of COVID-19. In June 2020, AbbVie announced that it entered into a collaboration with Harbour BioMed, Utrecht University and Erasmus Medical Center to develop a novel antibody therapeutic to prevent and treat COVID-19. Additionally, AbbVie donated $35 million to increase healthcare capacity, supply critical equipment and deliver food and essential supplies during the crisis. AbbVie continues to closely manage manufacturing and supply chain resources around the world to help ensure that patients continue to receive an uninterrupted supply of their medicines. Clinical trial sites are being monitored locally to protect the safety of study participants, staff and employees. While the impact of COVID-19 on AbbVie's operations to date has not been material, AbbVie has experienced lower new patient starts across the therapeutic portfolio. AbbVie expects this matter could continue to negatively impact its results of operations throughout the duration of the outbreak. The extent to which COVID-19 may impact AbbVie's financial condition and results of operations remains uncertain.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2021 Strategic Objectives</w:t>
      </w:r>
    </w:p>
    <w:p>
      <w:pPr>
        <w:spacing w:after="0" w:line="166"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AbbVie's mission is to discover and develop innovative medicines and products that solve serious health issues today and address the medical challenges of tomorrow while achieving top-tier financial performance through outstanding execution. AbbVie intends to continue to advance its mission in a number of ways, including: (i) maximizing the benefits of the Allergan acquisition to create a more diversified revenue base with multiple long-term growth drivers; (ii) growing revenues by leveraging AbbVie's commercial strength and international infrastructure across Allergan's therapeutic areas and ensuring strong commercial execution of new product launches; (iii) continuing to invest in and expand its pipeline in support of opportunities in immunology, oncology, aesthetics, neuroscience, eye care and women's health as well as continued investment in key on-market products; (iv) expanding operating margins; and (v) returning cash to shareholders via a strong and growing dividend while also reducing debt. In addition, AbbVie anticipates several regulatory submissions and key data readouts from key clinical trials in the next 12 months.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AbbVie expects to achieve its strategic objectives through:</w:t>
      </w:r>
    </w:p>
    <w:p>
      <w:pPr>
        <w:spacing w:after="0" w:line="158" w:lineRule="exact"/>
        <w:rPr>
          <w:sz w:val="20"/>
          <w:szCs w:val="20"/>
          <w:color w:val="auto"/>
        </w:rPr>
      </w:pPr>
    </w:p>
    <w:p>
      <w:pPr>
        <w:ind w:left="980" w:right="220" w:hanging="324"/>
        <w:spacing w:after="0" w:line="261" w:lineRule="auto"/>
        <w:tabs>
          <w:tab w:leader="none" w:pos="9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Immunology revenue growth driven by increasing market share and expanding patient access of Skyrizi and Rinvoq, as well as Humira U.S. sales growth.</w:t>
      </w:r>
    </w:p>
    <w:p>
      <w:pPr>
        <w:spacing w:after="0" w:line="116"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Hematologic oncology revenue growth from both Imbruvica and Venclexta.</w:t>
      </w:r>
    </w:p>
    <w:p>
      <w:pPr>
        <w:spacing w:after="0" w:line="157" w:lineRule="exact"/>
        <w:rPr>
          <w:rFonts w:ascii="Arial" w:cs="Arial" w:eastAsia="Arial" w:hAnsi="Arial"/>
          <w:sz w:val="18"/>
          <w:szCs w:val="18"/>
          <w:color w:val="auto"/>
        </w:rPr>
      </w:pPr>
    </w:p>
    <w:p>
      <w:pPr>
        <w:ind w:left="980" w:right="380" w:hanging="324"/>
        <w:spacing w:after="0" w:line="261" w:lineRule="auto"/>
        <w:tabs>
          <w:tab w:leader="none" w:pos="9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Expansion of the company’s revenue base from additional Allergan products contributing to key aesthetics and neuroscience portfolios.</w:t>
      </w:r>
    </w:p>
    <w:p>
      <w:pPr>
        <w:spacing w:after="0" w:line="130"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 management of Humira international biosimilar erosion.</w:t>
      </w:r>
    </w:p>
    <w:p>
      <w:pPr>
        <w:spacing w:after="0" w:line="144" w:lineRule="exact"/>
        <w:rPr>
          <w:rFonts w:ascii="Arial" w:cs="Arial" w:eastAsia="Arial" w:hAnsi="Arial"/>
          <w:sz w:val="18"/>
          <w:szCs w:val="18"/>
          <w:color w:val="auto"/>
        </w:rPr>
      </w:pPr>
    </w:p>
    <w:p>
      <w:pPr>
        <w:ind w:left="980" w:right="440" w:hanging="324"/>
        <w:spacing w:after="0" w:line="261" w:lineRule="auto"/>
        <w:tabs>
          <w:tab w:leader="none" w:pos="9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Optimization of combined AbbVie and Allergan research and development, commercial, and manufacturing operations while maintaining key growth portfolios.</w:t>
      </w:r>
    </w:p>
    <w:p>
      <w:pPr>
        <w:spacing w:after="0" w:line="130" w:lineRule="exact"/>
        <w:rPr>
          <w:rFonts w:ascii="Arial" w:cs="Arial" w:eastAsia="Arial" w:hAnsi="Arial"/>
          <w:sz w:val="18"/>
          <w:szCs w:val="18"/>
          <w:color w:val="auto"/>
        </w:rPr>
      </w:pPr>
    </w:p>
    <w:p>
      <w:pPr>
        <w:jc w:val="both"/>
        <w:ind w:left="980" w:right="60" w:hanging="324"/>
        <w:spacing w:after="0" w:line="256" w:lineRule="auto"/>
        <w:tabs>
          <w:tab w:leader="none" w:pos="9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favorable impact of pipeline products and indications recently approved or currently under regulatory review where approval is expected in 2021. These products are described in greater detail in the section labeled "Research and Development" included as part of this Item 7.</w:t>
      </w:r>
    </w:p>
    <w:p>
      <w:pPr>
        <w:spacing w:after="0" w:line="134" w:lineRule="exact"/>
        <w:rPr>
          <w:sz w:val="20"/>
          <w:szCs w:val="20"/>
          <w:color w:val="auto"/>
        </w:rPr>
      </w:pPr>
    </w:p>
    <w:p>
      <w:pPr>
        <w:ind w:right="440" w:firstLine="445"/>
        <w:spacing w:after="0" w:line="254" w:lineRule="auto"/>
        <w:rPr>
          <w:sz w:val="20"/>
          <w:szCs w:val="20"/>
          <w:color w:val="auto"/>
        </w:rPr>
      </w:pPr>
      <w:r>
        <w:rPr>
          <w:rFonts w:ascii="Arial" w:cs="Arial" w:eastAsia="Arial" w:hAnsi="Arial"/>
          <w:sz w:val="18"/>
          <w:szCs w:val="18"/>
          <w:color w:val="auto"/>
        </w:rPr>
        <w:t>AbbVie remains committed to driving continued expansion of operating margins and expects to achieve this objective through continued leverage from revenue growth, realization of expense synergies from the Allergan acquisition, productivity initiatives in supply chain and ongoing efficiency programs to optimize manufacturing, commercial infrastructure, administrative costs and general corporate expenses.</w:t>
      </w:r>
    </w:p>
    <w:p>
      <w:pPr>
        <w:spacing w:after="0" w:line="123" w:lineRule="exact"/>
        <w:rPr>
          <w:sz w:val="20"/>
          <w:szCs w:val="20"/>
          <w:color w:val="auto"/>
        </w:rPr>
      </w:pPr>
    </w:p>
    <w:p>
      <w:pPr>
        <w:ind w:right="40" w:firstLine="445"/>
        <w:spacing w:after="0" w:line="278" w:lineRule="auto"/>
        <w:rPr>
          <w:sz w:val="20"/>
          <w:szCs w:val="20"/>
          <w:color w:val="auto"/>
        </w:rPr>
      </w:pPr>
      <w:r>
        <w:rPr>
          <w:rFonts w:ascii="Arial" w:cs="Arial" w:eastAsia="Arial" w:hAnsi="Arial"/>
          <w:sz w:val="17"/>
          <w:szCs w:val="17"/>
          <w:color w:val="auto"/>
        </w:rPr>
        <w:t>The combination of AbbVie and Allergan creates a diverse entity with leadership positions across immunology, hematologic oncology, aesthetics, neuroscience, women's health, eye care and virology. AbbVie's existing product portfolio and pipeline is enhanced with numerous Allergan assets and Allergan's product portfolio benefits from AbbVie's commercial strength, expertise and international infrastructure.</w:t>
      </w:r>
    </w:p>
    <w:p>
      <w:pPr>
        <w:spacing w:after="0" w:line="358"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33</w:t>
      </w:r>
      <w:r>
        <w:rPr>
          <w:sz w:val="20"/>
          <w:szCs w:val="20"/>
          <w:color w:val="auto"/>
        </w:rPr>
        <w:tab/>
      </w:r>
      <w:r>
        <w:rPr>
          <w:sz w:val="1"/>
          <w:szCs w:val="1"/>
          <w:color w:val="auto"/>
        </w:rPr>
        <w:drawing>
          <wp:inline distT="0" distB="0" distL="0" distR="0">
            <wp:extent cx="600075" cy="11112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444867"/>
        </w:rPr>
        <w:t>Research and Development</w:t>
      </w:r>
    </w:p>
    <w:p>
      <w:pPr>
        <w:spacing w:after="0" w:line="166" w:lineRule="exact"/>
        <w:rPr>
          <w:sz w:val="20"/>
          <w:szCs w:val="20"/>
          <w:color w:val="auto"/>
        </w:rPr>
      </w:pPr>
    </w:p>
    <w:p>
      <w:pPr>
        <w:jc w:val="both"/>
        <w:ind w:right="580" w:firstLine="445"/>
        <w:spacing w:after="0" w:line="256" w:lineRule="auto"/>
        <w:rPr>
          <w:sz w:val="20"/>
          <w:szCs w:val="20"/>
          <w:color w:val="auto"/>
        </w:rPr>
      </w:pPr>
      <w:r>
        <w:rPr>
          <w:rFonts w:ascii="Arial" w:cs="Arial" w:eastAsia="Arial" w:hAnsi="Arial"/>
          <w:sz w:val="18"/>
          <w:szCs w:val="18"/>
          <w:color w:val="auto"/>
        </w:rPr>
        <w:t>Research and innovation are the cornerstones of AbbVie's business as a global biopharmaceutical company. AbbVie's long-term success depends to a great extent on its ability to continue to discover and develop innovative products and acquire or collaborate on compounds currently in development by other biotechnology or pharmaceutical companies.</w:t>
      </w:r>
    </w:p>
    <w:p>
      <w:pPr>
        <w:spacing w:after="0" w:line="134"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AbbVie's pipeline currently includes more than 90 compounds, devices or indications in development individually or under collaboration or license agreements and is focused on such important specialties as immunology, oncology, aesthetics, neuroscience, eye care and women's health along with targeted investments in cystic fibrosis. Of these programs, more than 50 are in mid- and late-stage development.</w:t>
      </w:r>
    </w:p>
    <w:p>
      <w:pPr>
        <w:spacing w:after="0" w:line="134"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The following sections summarize transitions of significant programs from mid-stage development to late-stage development as well as developments in significant late-stage and registration programs. AbbVie expects multiple mid-stage programs to transition into late-stage programs in the next 12 months.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Significant Programs and Developments</w:t>
      </w:r>
    </w:p>
    <w:p>
      <w:pPr>
        <w:spacing w:after="0" w:line="162" w:lineRule="exact"/>
        <w:rPr>
          <w:sz w:val="20"/>
          <w:szCs w:val="20"/>
          <w:color w:val="auto"/>
        </w:rPr>
      </w:pPr>
    </w:p>
    <w:p>
      <w:pPr>
        <w:jc w:val="right"/>
        <w:ind w:right="10260"/>
        <w:spacing w:after="0"/>
        <w:rPr>
          <w:sz w:val="20"/>
          <w:szCs w:val="20"/>
          <w:color w:val="auto"/>
        </w:rPr>
      </w:pPr>
      <w:r>
        <w:rPr>
          <w:rFonts w:ascii="Arial" w:cs="Arial" w:eastAsia="Arial" w:hAnsi="Arial"/>
          <w:sz w:val="17"/>
          <w:szCs w:val="17"/>
          <w:i w:val="1"/>
          <w:iCs w:val="1"/>
          <w:color w:val="auto"/>
        </w:rPr>
        <w:t>Immunology</w:t>
      </w:r>
    </w:p>
    <w:p>
      <w:pPr>
        <w:spacing w:after="0" w:line="187" w:lineRule="exact"/>
        <w:rPr>
          <w:sz w:val="20"/>
          <w:szCs w:val="20"/>
          <w:color w:val="auto"/>
        </w:rPr>
      </w:pPr>
    </w:p>
    <w:p>
      <w:pPr>
        <w:jc w:val="right"/>
        <w:ind w:right="10220"/>
        <w:spacing w:after="0"/>
        <w:rPr>
          <w:sz w:val="20"/>
          <w:szCs w:val="20"/>
          <w:color w:val="auto"/>
        </w:rPr>
      </w:pPr>
      <w:r>
        <w:rPr>
          <w:rFonts w:ascii="Arial" w:cs="Arial" w:eastAsia="Arial" w:hAnsi="Arial"/>
          <w:sz w:val="18"/>
          <w:szCs w:val="18"/>
          <w:u w:val="single" w:color="auto"/>
          <w:color w:val="auto"/>
        </w:rPr>
        <w:t>Skyrizi</w:t>
      </w:r>
    </w:p>
    <w:p>
      <w:pPr>
        <w:spacing w:after="0" w:line="158" w:lineRule="exact"/>
        <w:rPr>
          <w:sz w:val="20"/>
          <w:szCs w:val="20"/>
          <w:color w:val="auto"/>
        </w:rPr>
      </w:pPr>
    </w:p>
    <w:p>
      <w:pPr>
        <w:ind w:left="980" w:right="200" w:hanging="324"/>
        <w:spacing w:after="0" w:line="237" w:lineRule="auto"/>
        <w:tabs>
          <w:tab w:leader="none" w:pos="941" w:val="left"/>
        </w:tabs>
        <w:numPr>
          <w:ilvl w:val="0"/>
          <w:numId w:val="15"/>
        </w:numPr>
        <w:rPr>
          <w:rFonts w:ascii="Arial" w:cs="Arial" w:eastAsia="Arial" w:hAnsi="Arial"/>
          <w:sz w:val="20"/>
          <w:szCs w:val="20"/>
          <w:color w:val="auto"/>
        </w:rPr>
      </w:pPr>
      <w:r>
        <w:rPr>
          <w:rFonts w:ascii="Arial" w:cs="Arial" w:eastAsia="Arial" w:hAnsi="Arial"/>
          <w:sz w:val="18"/>
          <w:szCs w:val="18"/>
          <w:color w:val="auto"/>
        </w:rPr>
        <w:t>In January 2021, AbbVie announced top-line results from its Phase 3 KEEPsAKE-1 and KEEPsAKE-2 clinical trials of Skyrizi in adults with active psoriatic arthritis (PsA) met the primary and ranked secondary endpoints.</w:t>
      </w:r>
    </w:p>
    <w:p>
      <w:pPr>
        <w:spacing w:after="0" w:line="148" w:lineRule="exact"/>
        <w:rPr>
          <w:rFonts w:ascii="Arial" w:cs="Arial" w:eastAsia="Arial" w:hAnsi="Arial"/>
          <w:sz w:val="20"/>
          <w:szCs w:val="20"/>
          <w:color w:val="auto"/>
        </w:rPr>
      </w:pPr>
    </w:p>
    <w:p>
      <w:pPr>
        <w:ind w:left="980" w:right="260" w:hanging="324"/>
        <w:spacing w:after="0" w:line="261" w:lineRule="auto"/>
        <w:tabs>
          <w:tab w:leader="none" w:pos="9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January 2021, AbbVie announced top-line results from its Phase 3 ADVANCE and MOTIVATE induction studies of Skyrizi in patients with Crohn’s Disease met the primary and key secondary endpoints.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Rinvoq</w:t>
      </w:r>
    </w:p>
    <w:p>
      <w:pPr>
        <w:spacing w:after="0" w:line="144" w:lineRule="exact"/>
        <w:rPr>
          <w:sz w:val="20"/>
          <w:szCs w:val="20"/>
          <w:color w:val="auto"/>
        </w:rPr>
      </w:pPr>
    </w:p>
    <w:p>
      <w:pPr>
        <w:ind w:left="980" w:right="40" w:hanging="324"/>
        <w:spacing w:after="0" w:line="253" w:lineRule="auto"/>
        <w:tabs>
          <w:tab w:leader="none" w:pos="9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February 2020, AbbVie announced top-line results from its second Phase 3 clinical trial of Rinvoq in adult patients with active PsA. Results from the SELECT-PsA 1 study, which evaluated Rinvoq versus placebo in patients who did not adequately respond to treatment with one or more non-biologic disease-modifying anti-rheumatic drugs (DMARDs), showed that both doses of Rinvoq met the primary and key secondary endpoints. The safety profile was consistent with that of previous studies across indications, with no new safety risks detected.</w:t>
      </w:r>
    </w:p>
    <w:p>
      <w:pPr>
        <w:spacing w:after="0" w:line="137" w:lineRule="exact"/>
        <w:rPr>
          <w:rFonts w:ascii="Arial" w:cs="Arial" w:eastAsia="Arial" w:hAnsi="Arial"/>
          <w:sz w:val="18"/>
          <w:szCs w:val="18"/>
          <w:color w:val="auto"/>
        </w:rPr>
      </w:pPr>
    </w:p>
    <w:p>
      <w:pPr>
        <w:ind w:left="980" w:right="140" w:hanging="324"/>
        <w:spacing w:after="0" w:line="256" w:lineRule="auto"/>
        <w:tabs>
          <w:tab w:leader="none" w:pos="9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May 2020, AbbVie submitted a supplemental New Drug Application (sNDA) to the U.S. Food and Drug Administration (FDA) and, in June 2020, submitted a marketing authorization application (MAA) to the European Medicines Agency (EMA) for Rinvoq for the treatment of adult patients with active PsA.</w:t>
      </w:r>
    </w:p>
    <w:p>
      <w:pPr>
        <w:spacing w:after="0" w:line="134" w:lineRule="exact"/>
        <w:rPr>
          <w:rFonts w:ascii="Arial" w:cs="Arial" w:eastAsia="Arial" w:hAnsi="Arial"/>
          <w:sz w:val="18"/>
          <w:szCs w:val="18"/>
          <w:color w:val="auto"/>
        </w:rPr>
      </w:pPr>
    </w:p>
    <w:p>
      <w:pPr>
        <w:jc w:val="both"/>
        <w:ind w:left="980" w:right="300" w:hanging="324"/>
        <w:spacing w:after="0" w:line="256" w:lineRule="auto"/>
        <w:tabs>
          <w:tab w:leader="none" w:pos="9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June 2020, AbbVie announced top-line results from its Phase 3 Measure Up 1 study and, in July 2020, announced top-line results from its Phase 3 Measure Up 2 and AD Up studies of Rinvoq for the treatment of moderate to severe atopic dermatitis (AD) met all primary and secondary endpoints versus placebo.</w:t>
      </w:r>
    </w:p>
    <w:p>
      <w:pPr>
        <w:spacing w:after="0" w:line="120" w:lineRule="exact"/>
        <w:rPr>
          <w:rFonts w:ascii="Arial" w:cs="Arial" w:eastAsia="Arial" w:hAnsi="Arial"/>
          <w:sz w:val="18"/>
          <w:szCs w:val="18"/>
          <w:color w:val="auto"/>
        </w:rPr>
      </w:pPr>
    </w:p>
    <w:p>
      <w:pPr>
        <w:ind w:left="980" w:right="280" w:hanging="324"/>
        <w:spacing w:after="0" w:line="261" w:lineRule="auto"/>
        <w:tabs>
          <w:tab w:leader="none" w:pos="9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August 2020, AbbVie submitted an sNDA to the FDA and, earlier this year, submitted an MAA to the EMA for Rinvoq for the treatment of adult patients with active ankylosing spondylitis (AS).</w:t>
      </w:r>
    </w:p>
    <w:p>
      <w:pPr>
        <w:spacing w:after="0" w:line="130" w:lineRule="exact"/>
        <w:rPr>
          <w:rFonts w:ascii="Arial" w:cs="Arial" w:eastAsia="Arial" w:hAnsi="Arial"/>
          <w:sz w:val="18"/>
          <w:szCs w:val="18"/>
          <w:color w:val="auto"/>
        </w:rPr>
      </w:pPr>
    </w:p>
    <w:p>
      <w:pPr>
        <w:ind w:left="980" w:right="600" w:hanging="324"/>
        <w:spacing w:after="0" w:line="261" w:lineRule="auto"/>
        <w:tabs>
          <w:tab w:leader="none" w:pos="9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October 2020, AbbVie submitted an sNDA to the FDA and an MAA to the EMA for Rinvoq for the treatment of adult and adolescent patients with moderate to severe AD.</w:t>
      </w:r>
    </w:p>
    <w:p>
      <w:pPr>
        <w:spacing w:after="0" w:line="130" w:lineRule="exact"/>
        <w:rPr>
          <w:rFonts w:ascii="Arial" w:cs="Arial" w:eastAsia="Arial" w:hAnsi="Arial"/>
          <w:sz w:val="18"/>
          <w:szCs w:val="18"/>
          <w:color w:val="auto"/>
        </w:rPr>
      </w:pPr>
    </w:p>
    <w:p>
      <w:pPr>
        <w:ind w:left="980" w:right="100" w:hanging="324"/>
        <w:spacing w:after="0" w:line="261" w:lineRule="auto"/>
        <w:tabs>
          <w:tab w:leader="none" w:pos="9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December 2020, AbbVie announced its Phase 3 U-ACHIEVE induction study of Rinvoq for the treatment of adult patients with moderate to severe ulcerative colitis met the primary and all ranked secondary endpoints.</w:t>
      </w:r>
    </w:p>
    <w:p>
      <w:pPr>
        <w:spacing w:after="0" w:line="116" w:lineRule="exact"/>
        <w:rPr>
          <w:rFonts w:ascii="Arial" w:cs="Arial" w:eastAsia="Arial" w:hAnsi="Arial"/>
          <w:sz w:val="18"/>
          <w:szCs w:val="18"/>
          <w:color w:val="auto"/>
        </w:rPr>
      </w:pPr>
    </w:p>
    <w:p>
      <w:pPr>
        <w:ind w:left="980" w:right="40" w:hanging="324"/>
        <w:spacing w:after="0" w:line="261" w:lineRule="auto"/>
        <w:tabs>
          <w:tab w:leader="none" w:pos="9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January 2021, AbbVie announced that the European Commission (EC) approved Rinvoq for the treatment of adults with active PsA and active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34</w:t>
            </w:r>
          </w:p>
        </w:tc>
      </w:tr>
      <w:tr>
        <w:trPr>
          <w:trHeight w:val="201"/>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-333375</wp:posOffset>
            </wp:positionV>
            <wp:extent cx="600075" cy="1117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0075" cy="11176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Oncology</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Imbruvica</w:t>
      </w:r>
    </w:p>
    <w:p>
      <w:pPr>
        <w:spacing w:after="0" w:line="158" w:lineRule="exact"/>
        <w:rPr>
          <w:sz w:val="20"/>
          <w:szCs w:val="20"/>
          <w:color w:val="auto"/>
        </w:rPr>
      </w:pPr>
    </w:p>
    <w:p>
      <w:pPr>
        <w:ind w:left="980" w:right="840" w:hanging="324"/>
        <w:spacing w:after="0" w:line="261" w:lineRule="auto"/>
        <w:tabs>
          <w:tab w:leader="none" w:pos="9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April 2020, AbbVie received FDA approval for the use of Imbruvica in combination with rituximab for the treatment of previously untreated patients with chronic lymphocytic leukemia (CLL) or small lymphocytic lymphoma (SLL).</w:t>
      </w:r>
    </w:p>
    <w:p>
      <w:pPr>
        <w:spacing w:after="0" w:line="130" w:lineRule="exact"/>
        <w:rPr>
          <w:rFonts w:ascii="Arial" w:cs="Arial" w:eastAsia="Arial" w:hAnsi="Arial"/>
          <w:sz w:val="18"/>
          <w:szCs w:val="18"/>
          <w:color w:val="auto"/>
        </w:rPr>
      </w:pPr>
    </w:p>
    <w:p>
      <w:pPr>
        <w:ind w:left="980" w:right="380" w:hanging="324"/>
        <w:spacing w:after="0" w:line="261" w:lineRule="auto"/>
        <w:tabs>
          <w:tab w:leader="none" w:pos="9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August 2020, the EC granted marketing authorization for Imbruvica in combination with rituximab for the treatment of adult patients with previously untreated CLL.</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Venclexta</w:t>
      </w:r>
    </w:p>
    <w:p>
      <w:pPr>
        <w:spacing w:after="0" w:line="158" w:lineRule="exact"/>
        <w:rPr>
          <w:sz w:val="20"/>
          <w:szCs w:val="20"/>
          <w:color w:val="auto"/>
        </w:rPr>
      </w:pPr>
    </w:p>
    <w:p>
      <w:pPr>
        <w:ind w:left="980" w:right="380" w:hanging="324"/>
        <w:spacing w:after="0" w:line="261" w:lineRule="auto"/>
        <w:tabs>
          <w:tab w:leader="none" w:pos="9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February 2020, AbbVie announced that the Phase 3 VIALE-C trial of Venclexta in combination with low-dose cytarabine in newly-diagnosed patients with acute myeloid leukemia (AML) did not meet its primary endpoint.</w:t>
      </w:r>
    </w:p>
    <w:p>
      <w:pPr>
        <w:spacing w:after="0" w:line="130" w:lineRule="exact"/>
        <w:rPr>
          <w:rFonts w:ascii="Arial" w:cs="Arial" w:eastAsia="Arial" w:hAnsi="Arial"/>
          <w:sz w:val="18"/>
          <w:szCs w:val="18"/>
          <w:color w:val="auto"/>
        </w:rPr>
      </w:pPr>
    </w:p>
    <w:p>
      <w:pPr>
        <w:ind w:left="980" w:hanging="324"/>
        <w:spacing w:after="0" w:line="261" w:lineRule="auto"/>
        <w:tabs>
          <w:tab w:leader="none" w:pos="9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March 2020, AbbVie announced that top-line results from its Phase 3 VIALE-A trial of Venclexta in combination with azacitidine in patients with AML met its primary endpoints.</w:t>
      </w:r>
    </w:p>
    <w:p>
      <w:pPr>
        <w:spacing w:after="0" w:line="116" w:lineRule="exact"/>
        <w:rPr>
          <w:rFonts w:ascii="Arial" w:cs="Arial" w:eastAsia="Arial" w:hAnsi="Arial"/>
          <w:sz w:val="18"/>
          <w:szCs w:val="18"/>
          <w:color w:val="auto"/>
        </w:rPr>
      </w:pPr>
    </w:p>
    <w:p>
      <w:pPr>
        <w:ind w:left="980" w:right="720" w:hanging="324"/>
        <w:spacing w:after="0" w:line="261" w:lineRule="auto"/>
        <w:tabs>
          <w:tab w:leader="none" w:pos="9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March 2020, AbbVie received EC approval of Venclyxto in combination with obinutuzumab for patients with previously untreated CLL.</w:t>
      </w:r>
    </w:p>
    <w:p>
      <w:pPr>
        <w:spacing w:after="0" w:line="130"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June 2020, AbbVie submitted an MAA to the EMA for Venclyxto for the treatment of patients with AML.</w:t>
      </w:r>
    </w:p>
    <w:p>
      <w:pPr>
        <w:spacing w:after="0" w:line="157" w:lineRule="exact"/>
        <w:rPr>
          <w:rFonts w:ascii="Arial" w:cs="Arial" w:eastAsia="Arial" w:hAnsi="Arial"/>
          <w:sz w:val="18"/>
          <w:szCs w:val="18"/>
          <w:color w:val="auto"/>
        </w:rPr>
      </w:pPr>
    </w:p>
    <w:p>
      <w:pPr>
        <w:ind w:left="980" w:right="740" w:hanging="324"/>
        <w:spacing w:after="0" w:line="261" w:lineRule="auto"/>
        <w:tabs>
          <w:tab w:leader="none" w:pos="9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October 2020, AbbVie received FDA full approval of Venclexta for the treatment of patients with AML. The approval is supported by data from a series of trials including the Phase 3 VIALE-A and VIALE-C studies.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Aesthetics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Juvederm Collection</w:t>
      </w:r>
    </w:p>
    <w:p>
      <w:pPr>
        <w:spacing w:after="0" w:line="158" w:lineRule="exact"/>
        <w:rPr>
          <w:sz w:val="20"/>
          <w:szCs w:val="20"/>
          <w:color w:val="auto"/>
        </w:rPr>
      </w:pPr>
    </w:p>
    <w:p>
      <w:pPr>
        <w:ind w:left="980" w:right="360" w:hanging="324"/>
        <w:spacing w:after="0" w:line="261" w:lineRule="auto"/>
        <w:tabs>
          <w:tab w:leader="none" w:pos="9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June 2020, AbbVie received FDA approval of Juvederm Voluma XC for the augmentation of the chin region to improve the chin profile in adults over the age of 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Neuroscience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Botox Therapeutic</w:t>
      </w:r>
    </w:p>
    <w:p>
      <w:pPr>
        <w:spacing w:after="0" w:line="158" w:lineRule="exact"/>
        <w:rPr>
          <w:sz w:val="20"/>
          <w:szCs w:val="20"/>
          <w:color w:val="auto"/>
        </w:rPr>
      </w:pPr>
    </w:p>
    <w:p>
      <w:pPr>
        <w:ind w:left="980" w:right="320" w:hanging="324"/>
        <w:spacing w:after="0" w:line="254" w:lineRule="auto"/>
        <w:tabs>
          <w:tab w:leader="none" w:pos="9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June 2020, the FDA accepted the company's supplemental Biologics License Application (sBLA) to expand the Botox prescribing information for the treatment of detrusor (bladder muscle) overactivity associated with an underlying neurologic condition in certain pediatric patients. In February 2021, AbbVie received FDA approval of Botox for the treatment of detrusor overactivity associated with a neurological condition in certain pediatric patients 5 years of age and older.</w:t>
      </w:r>
    </w:p>
    <w:p>
      <w:pPr>
        <w:spacing w:after="0" w:line="122" w:lineRule="exact"/>
        <w:rPr>
          <w:rFonts w:ascii="Arial" w:cs="Arial" w:eastAsia="Arial" w:hAnsi="Arial"/>
          <w:sz w:val="18"/>
          <w:szCs w:val="18"/>
          <w:color w:val="auto"/>
        </w:rPr>
      </w:pPr>
    </w:p>
    <w:p>
      <w:pPr>
        <w:ind w:left="980" w:right="580" w:hanging="324"/>
        <w:spacing w:after="0" w:line="261" w:lineRule="auto"/>
        <w:tabs>
          <w:tab w:leader="none" w:pos="9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July 2020, AbbVie received FDA approval of Botox for the treatment of lower limb spasticity caused by cerebral palsy in pediatric patients over the age of 2.</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Atogepant</w:t>
      </w:r>
    </w:p>
    <w:p>
      <w:pPr>
        <w:spacing w:after="0" w:line="144" w:lineRule="exact"/>
        <w:rPr>
          <w:sz w:val="20"/>
          <w:szCs w:val="20"/>
          <w:color w:val="auto"/>
        </w:rPr>
      </w:pPr>
    </w:p>
    <w:p>
      <w:pPr>
        <w:ind w:left="980" w:right="180" w:hanging="324"/>
        <w:spacing w:after="0" w:line="254" w:lineRule="auto"/>
        <w:tabs>
          <w:tab w:leader="none" w:pos="9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July 2020, AbbVie announced that the Phase 3 ADVANCE trial evaluating atogepant, an orally administered calcitonin gene-related peptide receptor antagonist, for migraine prevention met its primary endpoint for all doses (10mg, 30mg, and 60mg) compared to placebo, all secondary endpoints with 30mg and 60mg doses, and four out of six secondary endpoints with the 10mg dose.</w:t>
      </w:r>
    </w:p>
    <w:p>
      <w:pPr>
        <w:spacing w:after="0" w:line="136" w:lineRule="exact"/>
        <w:rPr>
          <w:rFonts w:ascii="Arial" w:cs="Arial" w:eastAsia="Arial" w:hAnsi="Arial"/>
          <w:sz w:val="18"/>
          <w:szCs w:val="18"/>
          <w:color w:val="auto"/>
        </w:rPr>
      </w:pPr>
    </w:p>
    <w:p>
      <w:pPr>
        <w:ind w:left="500" w:right="380" w:firstLine="156"/>
        <w:spacing w:after="0" w:line="414" w:lineRule="auto"/>
        <w:tabs>
          <w:tab w:leader="none" w:pos="9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In January 2021, AbbVie submitted a New Drug Application to the FDA for atogepant for the prevention of episodic migraine. </w:t>
      </w:r>
      <w:r>
        <w:rPr>
          <w:rFonts w:ascii="Arial" w:cs="Arial" w:eastAsia="Arial" w:hAnsi="Arial"/>
          <w:sz w:val="18"/>
          <w:szCs w:val="18"/>
          <w:u w:val="single" w:color="auto"/>
          <w:color w:val="auto"/>
        </w:rPr>
        <w:t>Elezanumab</w:t>
      </w:r>
    </w:p>
    <w:p>
      <w:pPr>
        <w:spacing w:after="0" w:line="1" w:lineRule="exact"/>
        <w:rPr>
          <w:rFonts w:ascii="Arial" w:cs="Arial" w:eastAsia="Arial" w:hAnsi="Arial"/>
          <w:sz w:val="18"/>
          <w:szCs w:val="18"/>
          <w:color w:val="auto"/>
        </w:rPr>
      </w:pPr>
    </w:p>
    <w:p>
      <w:pPr>
        <w:ind w:left="980" w:right="420" w:hanging="324"/>
        <w:spacing w:after="0" w:line="261" w:lineRule="auto"/>
        <w:tabs>
          <w:tab w:leader="none" w:pos="9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September 2020, AbbVie announced that the FDA granted Orphan Drug and Fast Track designations for elezanumab, an investigational treatment for patients following spinal cord injury.</w:t>
      </w:r>
    </w:p>
    <w:p>
      <w:pPr>
        <w:spacing w:after="0" w:line="200" w:lineRule="exact"/>
        <w:rPr>
          <w:sz w:val="20"/>
          <w:szCs w:val="20"/>
          <w:color w:val="auto"/>
        </w:rPr>
      </w:pPr>
    </w:p>
    <w:p>
      <w:pPr>
        <w:spacing w:after="0" w:line="319"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35</w:t>
      </w:r>
      <w:r>
        <w:rPr>
          <w:sz w:val="20"/>
          <w:szCs w:val="20"/>
          <w:color w:val="auto"/>
        </w:rPr>
        <w:tab/>
      </w:r>
      <w:r>
        <w:rPr>
          <w:sz w:val="1"/>
          <w:szCs w:val="1"/>
          <w:color w:val="auto"/>
        </w:rPr>
        <w:drawing>
          <wp:inline distT="0" distB="0" distL="0" distR="0">
            <wp:extent cx="600075" cy="11176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0075" cy="11176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Virology/Liver Disease</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Mavyret</w:t>
      </w:r>
    </w:p>
    <w:p>
      <w:pPr>
        <w:spacing w:after="0" w:line="158" w:lineRule="exact"/>
        <w:rPr>
          <w:sz w:val="20"/>
          <w:szCs w:val="20"/>
          <w:color w:val="auto"/>
        </w:rPr>
      </w:pPr>
    </w:p>
    <w:p>
      <w:pPr>
        <w:ind w:left="980" w:right="120" w:hanging="324"/>
        <w:spacing w:after="0" w:line="256" w:lineRule="auto"/>
        <w:tabs>
          <w:tab w:leader="none" w:pos="9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March 2020, AbbVie announced that the EC granted marketing authorization for Maviret to shorten once-daily treatment duration from 12 to 8 weeks in treatment-naïve, compensated cirrhotic, chronic hepatitis C virus (HCV) patients with genotype 3 infection.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Eye Care</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AGN-190584</w:t>
      </w:r>
    </w:p>
    <w:p>
      <w:pPr>
        <w:spacing w:after="0" w:line="158" w:lineRule="exact"/>
        <w:rPr>
          <w:sz w:val="20"/>
          <w:szCs w:val="20"/>
          <w:color w:val="auto"/>
        </w:rPr>
      </w:pPr>
    </w:p>
    <w:p>
      <w:pPr>
        <w:ind w:left="980" w:right="420" w:hanging="324"/>
        <w:spacing w:after="0" w:line="256" w:lineRule="auto"/>
        <w:tabs>
          <w:tab w:leader="none" w:pos="9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October 2020, AbbVie announced that top-line results from its Phase 3 GEMINI 1 and 2 studies of AGN-190584, an investigational ophthalmic solution, for the treatment of presbyopia met their primary endpoint and majority of the secondary endpoints.</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Abicipar pegol</w:t>
      </w:r>
    </w:p>
    <w:p>
      <w:pPr>
        <w:spacing w:after="0" w:line="144" w:lineRule="exact"/>
        <w:rPr>
          <w:sz w:val="20"/>
          <w:szCs w:val="20"/>
          <w:color w:val="auto"/>
        </w:rPr>
      </w:pPr>
    </w:p>
    <w:p>
      <w:pPr>
        <w:ind w:left="980" w:right="180" w:hanging="324"/>
        <w:spacing w:after="0" w:line="253" w:lineRule="auto"/>
        <w:tabs>
          <w:tab w:leader="none" w:pos="9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June 2020, AbbVie announced that the FDA issued a Complete Response Letter (CRL) to the Biologics License Application (BLA) for abicipar pegol, a novel, investigational DARPin therapy for patients with neovascular (wet) age-related macular degeneration (nAMD). The CRL indicated that the rate of intraocular inflammation observed following administration of abicipar pegol results in an unfavorable benefit-risk ratio in the treatment of nAMD. In July 2020, AbbVie withdrew the regulatory application with the EMA for abicipar pegol for the treatment of nAMD.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Women's Health</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Oriahnn</w:t>
      </w:r>
    </w:p>
    <w:p>
      <w:pPr>
        <w:spacing w:after="0" w:line="144" w:lineRule="exact"/>
        <w:rPr>
          <w:sz w:val="20"/>
          <w:szCs w:val="20"/>
          <w:color w:val="auto"/>
        </w:rPr>
      </w:pPr>
    </w:p>
    <w:p>
      <w:pPr>
        <w:ind w:left="980" w:right="500" w:hanging="324"/>
        <w:spacing w:after="0" w:line="261" w:lineRule="auto"/>
        <w:tabs>
          <w:tab w:leader="none" w:pos="9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May 2020, the FDA approved Oriahnn (elagolix, estradiol, and norethindrone acetate capsules; elagolix capsules) for the management of heavy menstrual bleeding due to uterine fibroids in pre-menopausal women.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Net Revenues</w:t>
      </w:r>
    </w:p>
    <w:p>
      <w:pPr>
        <w:spacing w:after="0" w:line="166"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The comparisons presented at constant currency rates reflect comparative local currency net revenues at the prior year's foreign exchange rates. This measure provides information on the change in net revenues assuming that foreign currency exchange rates had not changed between the prior and current periods. AbbVie believes that the non-GAAP measure of change in net revenues at constant currency rates, when used in conjunction with the GAAP measure of change in net revenues at actual currency rates, may provide a more complete understanding of the company's operations and can facilitate analysis of the company's results of operations, particularly in evaluating performance from one period to another.</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737"/>
              <w:spacing w:after="0"/>
              <w:rPr>
                <w:sz w:val="20"/>
                <w:szCs w:val="20"/>
                <w:color w:val="auto"/>
              </w:rPr>
            </w:pPr>
            <w:r>
              <w:rPr>
                <w:rFonts w:ascii="Arial" w:cs="Arial" w:eastAsia="Arial" w:hAnsi="Arial"/>
                <w:sz w:val="14"/>
                <w:szCs w:val="14"/>
                <w:b w:val="1"/>
                <w:bCs w:val="1"/>
                <w:color w:val="auto"/>
              </w:rPr>
              <w:t>Percent change</w:t>
            </w:r>
          </w:p>
        </w:tc>
        <w:tc>
          <w:tcPr>
            <w:tcW w:w="980" w:type="dxa"/>
            <w:vAlign w:val="bottom"/>
            <w:tcBorders>
              <w:bottom w:val="single" w:sz="8" w:color="auto"/>
            </w:tcBorders>
          </w:tcPr>
          <w:p>
            <w:pPr>
              <w:spacing w:after="0"/>
              <w:rPr>
                <w:sz w:val="16"/>
                <w:szCs w:val="16"/>
                <w:color w:val="auto"/>
              </w:rPr>
            </w:pPr>
          </w:p>
        </w:tc>
      </w:tr>
      <w:tr>
        <w:trPr>
          <w:trHeight w:val="183"/>
        </w:trPr>
        <w:tc>
          <w:tcPr>
            <w:tcW w:w="2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80" w:type="dxa"/>
            <w:vAlign w:val="bottom"/>
            <w:gridSpan w:val="3"/>
          </w:tcPr>
          <w:p>
            <w:pPr>
              <w:ind w:left="320"/>
              <w:spacing w:after="0"/>
              <w:rPr>
                <w:sz w:val="20"/>
                <w:szCs w:val="20"/>
                <w:color w:val="auto"/>
              </w:rPr>
            </w:pPr>
            <w:r>
              <w:rPr>
                <w:rFonts w:ascii="Arial" w:cs="Arial" w:eastAsia="Arial" w:hAnsi="Arial"/>
                <w:sz w:val="14"/>
                <w:szCs w:val="14"/>
                <w:b w:val="1"/>
                <w:bCs w:val="1"/>
                <w:color w:val="auto"/>
              </w:rPr>
              <w:t>At actual currency rates</w:t>
            </w:r>
          </w:p>
        </w:tc>
        <w:tc>
          <w:tcPr>
            <w:tcW w:w="2280" w:type="dxa"/>
            <w:vAlign w:val="bottom"/>
            <w:gridSpan w:val="2"/>
          </w:tcPr>
          <w:p>
            <w:pPr>
              <w:jc w:val="right"/>
              <w:ind w:right="155"/>
              <w:spacing w:after="0"/>
              <w:rPr>
                <w:sz w:val="20"/>
                <w:szCs w:val="20"/>
                <w:color w:val="auto"/>
              </w:rPr>
            </w:pPr>
            <w:r>
              <w:rPr>
                <w:rFonts w:ascii="Arial" w:cs="Arial" w:eastAsia="Arial" w:hAnsi="Arial"/>
                <w:sz w:val="14"/>
                <w:szCs w:val="14"/>
                <w:b w:val="1"/>
                <w:bCs w:val="1"/>
                <w:color w:val="auto"/>
              </w:rPr>
              <w:t>At constant currency rates</w:t>
            </w:r>
          </w:p>
        </w:tc>
      </w:tr>
      <w:tr>
        <w:trPr>
          <w:trHeight w:val="183"/>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(dollars in millions)</w:t>
            </w:r>
          </w:p>
        </w:tc>
        <w:tc>
          <w:tcPr>
            <w:tcW w:w="7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3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r>
      <w:tr>
        <w:trPr>
          <w:trHeight w:val="223"/>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34,879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23,907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21,524</w:t>
            </w: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45.9 %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45.9 %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11.1 %</w:t>
            </w:r>
          </w:p>
        </w:tc>
      </w:tr>
      <w:tr>
        <w:trPr>
          <w:trHeight w:val="230"/>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International</w:t>
            </w:r>
          </w:p>
        </w:tc>
        <w:tc>
          <w:tcPr>
            <w:tcW w:w="7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10,925</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9,359</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11,229</w:t>
            </w: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16.7 %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17.8 %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48"/>
        </w:trPr>
        <w:tc>
          <w:tcPr>
            <w:tcW w:w="2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45,804</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33,266</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32,753</w:t>
            </w: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37.7 %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38.0 %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0"/>
        </w:trPr>
        <w:tc>
          <w:tcPr>
            <w:tcW w:w="26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36</w:t>
            </w:r>
          </w:p>
        </w:tc>
      </w:tr>
      <w:tr>
        <w:trPr>
          <w:trHeight w:val="201"/>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-334010</wp:posOffset>
            </wp:positionV>
            <wp:extent cx="600075" cy="1117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0075" cy="111760"/>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39" w:name="page40"/>
    <w:bookmarkEnd w:id="39"/>
    <w:p>
      <w:pPr>
        <w:ind w:left="440"/>
        <w:spacing w:after="0"/>
        <w:rPr>
          <w:sz w:val="20"/>
          <w:szCs w:val="20"/>
          <w:color w:val="auto"/>
        </w:rPr>
      </w:pPr>
      <w:r>
        <w:rPr>
          <w:rFonts w:ascii="Arial" w:cs="Arial" w:eastAsia="Arial" w:hAnsi="Arial"/>
          <w:sz w:val="18"/>
          <w:szCs w:val="18"/>
          <w:color w:val="auto"/>
        </w:rPr>
        <w:t>The following table details AbbVie's worldwide net revenues: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b w:val="1"/>
                <w:bCs w:val="1"/>
                <w:color w:val="auto"/>
              </w:rPr>
              <w:t>Percent change</w:t>
            </w:r>
          </w:p>
        </w:tc>
        <w:tc>
          <w:tcPr>
            <w:tcW w:w="940" w:type="dxa"/>
            <w:vAlign w:val="bottom"/>
            <w:tcBorders>
              <w:bottom w:val="single" w:sz="8" w:color="auto"/>
            </w:tcBorders>
          </w:tcPr>
          <w:p>
            <w:pPr>
              <w:spacing w:after="0"/>
              <w:rPr>
                <w:sz w:val="16"/>
                <w:szCs w:val="16"/>
                <w:color w:val="auto"/>
              </w:rPr>
            </w:pPr>
          </w:p>
        </w:tc>
      </w:tr>
      <w:tr>
        <w:trPr>
          <w:trHeight w:val="183"/>
        </w:trPr>
        <w:tc>
          <w:tcPr>
            <w:tcW w:w="16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20" w:type="dxa"/>
            <w:vAlign w:val="bottom"/>
            <w:gridSpan w:val="3"/>
          </w:tcPr>
          <w:p>
            <w:pPr>
              <w:ind w:left="300"/>
              <w:spacing w:after="0"/>
              <w:rPr>
                <w:sz w:val="20"/>
                <w:szCs w:val="20"/>
                <w:color w:val="auto"/>
              </w:rPr>
            </w:pPr>
            <w:r>
              <w:rPr>
                <w:rFonts w:ascii="Arial" w:cs="Arial" w:eastAsia="Arial" w:hAnsi="Arial"/>
                <w:sz w:val="14"/>
                <w:szCs w:val="14"/>
                <w:b w:val="1"/>
                <w:bCs w:val="1"/>
                <w:color w:val="auto"/>
              </w:rPr>
              <w:t>At actual currency rates</w:t>
            </w:r>
          </w:p>
        </w:tc>
        <w:tc>
          <w:tcPr>
            <w:tcW w:w="22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At constant currency rates</w:t>
            </w:r>
          </w:p>
        </w:tc>
      </w:tr>
      <w:tr>
        <w:trPr>
          <w:trHeight w:val="183"/>
        </w:trPr>
        <w:tc>
          <w:tcPr>
            <w:tcW w:w="3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years ended December 31 (dollars in millions)</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r>
      <w:tr>
        <w:trPr>
          <w:trHeight w:val="183"/>
        </w:trPr>
        <w:tc>
          <w:tcPr>
            <w:tcW w:w="1680" w:type="dxa"/>
            <w:vAlign w:val="bottom"/>
          </w:tcPr>
          <w:p>
            <w:pPr>
              <w:ind w:left="20"/>
              <w:spacing w:after="0"/>
              <w:rPr>
                <w:sz w:val="20"/>
                <w:szCs w:val="20"/>
                <w:color w:val="auto"/>
              </w:rPr>
            </w:pPr>
            <w:r>
              <w:rPr>
                <w:rFonts w:ascii="Arial" w:cs="Arial" w:eastAsia="Arial" w:hAnsi="Arial"/>
                <w:sz w:val="14"/>
                <w:szCs w:val="14"/>
                <w:b w:val="1"/>
                <w:bCs w:val="1"/>
                <w:color w:val="auto"/>
              </w:rPr>
              <w:t>Immunology</w:t>
            </w: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9"/>
        </w:trPr>
        <w:tc>
          <w:tcPr>
            <w:tcW w:w="1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Humira</w:t>
            </w:r>
          </w:p>
        </w:tc>
        <w:tc>
          <w:tcPr>
            <w:tcW w:w="1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United States</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16,112</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14,864</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13,685</w:t>
            </w: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8.4 %</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8.6 %</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8.4 %</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8.6 %</w:t>
            </w:r>
          </w:p>
        </w:tc>
      </w:tr>
      <w:tr>
        <w:trPr>
          <w:trHeight w:val="189"/>
        </w:trPr>
        <w:tc>
          <w:tcPr>
            <w:tcW w:w="16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International</w:t>
            </w: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3,720</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4,305</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6,251</w:t>
            </w: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(13.6)%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(12.5)%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w:t>
            </w:r>
          </w:p>
        </w:tc>
      </w:tr>
      <w:tr>
        <w:trPr>
          <w:trHeight w:val="183"/>
        </w:trPr>
        <w:tc>
          <w:tcPr>
            <w:tcW w:w="168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19,832</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19,169</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19,936</w:t>
            </w:r>
          </w:p>
        </w:tc>
        <w:tc>
          <w:tcPr>
            <w:tcW w:w="12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3.5 %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3.7 %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183"/>
        </w:trPr>
        <w:tc>
          <w:tcPr>
            <w:tcW w:w="1680" w:type="dxa"/>
            <w:vAlign w:val="bottom"/>
          </w:tcPr>
          <w:p>
            <w:pPr>
              <w:ind w:left="20"/>
              <w:spacing w:after="0"/>
              <w:rPr>
                <w:sz w:val="20"/>
                <w:szCs w:val="20"/>
                <w:color w:val="auto"/>
              </w:rPr>
            </w:pPr>
            <w:r>
              <w:rPr>
                <w:rFonts w:ascii="Arial" w:cs="Arial" w:eastAsia="Arial" w:hAnsi="Arial"/>
                <w:sz w:val="14"/>
                <w:szCs w:val="14"/>
                <w:color w:val="auto"/>
              </w:rPr>
              <w:t>Skyrizi</w:t>
            </w:r>
          </w:p>
        </w:tc>
        <w:tc>
          <w:tcPr>
            <w:tcW w:w="1700" w:type="dxa"/>
            <w:vAlign w:val="bottom"/>
          </w:tcPr>
          <w:p>
            <w:pPr>
              <w:ind w:left="80"/>
              <w:spacing w:after="0"/>
              <w:rPr>
                <w:sz w:val="20"/>
                <w:szCs w:val="20"/>
                <w:color w:val="auto"/>
              </w:rPr>
            </w:pPr>
            <w:r>
              <w:rPr>
                <w:rFonts w:ascii="Arial" w:cs="Arial" w:eastAsia="Arial" w:hAnsi="Arial"/>
                <w:sz w:val="14"/>
                <w:szCs w:val="14"/>
                <w:color w:val="auto"/>
              </w:rPr>
              <w:t>United States</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1,385</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311</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&gt;100.0%</w:t>
            </w:r>
          </w:p>
        </w:tc>
        <w:tc>
          <w:tcPr>
            <w:tcW w:w="1040" w:type="dxa"/>
            <w:vAlign w:val="bottom"/>
            <w:gridSpan w:val="2"/>
          </w:tcPr>
          <w:p>
            <w:pPr>
              <w:ind w:left="680"/>
              <w:spacing w:after="0"/>
              <w:rPr>
                <w:sz w:val="20"/>
                <w:szCs w:val="20"/>
                <w:color w:val="auto"/>
              </w:rPr>
            </w:pPr>
            <w:r>
              <w:rPr>
                <w:rFonts w:ascii="Arial" w:cs="Arial" w:eastAsia="Arial" w:hAnsi="Arial"/>
                <w:sz w:val="14"/>
                <w:szCs w:val="14"/>
                <w:color w:val="auto"/>
              </w:rPr>
              <w:t>n/m</w:t>
            </w: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&gt;100.0%</w:t>
            </w:r>
          </w:p>
        </w:tc>
        <w:tc>
          <w:tcPr>
            <w:tcW w:w="94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189"/>
        </w:trPr>
        <w:tc>
          <w:tcPr>
            <w:tcW w:w="168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International</w:t>
            </w:r>
          </w:p>
        </w:tc>
        <w:tc>
          <w:tcPr>
            <w:tcW w:w="3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205</w:t>
            </w: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&gt;100.0%</w:t>
            </w:r>
          </w:p>
        </w:tc>
        <w:tc>
          <w:tcPr>
            <w:tcW w:w="104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4"/>
                <w:szCs w:val="14"/>
                <w:color w:val="auto"/>
              </w:rPr>
              <w:t>n/m</w:t>
            </w: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&gt;100.0%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83"/>
        </w:trPr>
        <w:tc>
          <w:tcPr>
            <w:tcW w:w="16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1,590</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355</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&gt;100.0%</w:t>
            </w:r>
          </w:p>
        </w:tc>
        <w:tc>
          <w:tcPr>
            <w:tcW w:w="104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color w:val="auto"/>
              </w:rPr>
              <w:t>n/m</w:t>
            </w: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&gt;100.0%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183"/>
        </w:trPr>
        <w:tc>
          <w:tcPr>
            <w:tcW w:w="1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Rinvoq</w:t>
            </w:r>
          </w:p>
        </w:tc>
        <w:tc>
          <w:tcPr>
            <w:tcW w:w="1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United States</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653</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&gt;100.0%</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n/m</w:t>
            </w:r>
          </w:p>
        </w:tc>
        <w:tc>
          <w:tcPr>
            <w:tcW w:w="13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&gt;100.0%</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89"/>
        </w:trPr>
        <w:tc>
          <w:tcPr>
            <w:tcW w:w="16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International</w:t>
            </w: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&gt;100.0%</w:t>
            </w:r>
          </w:p>
        </w:tc>
        <w:tc>
          <w:tcPr>
            <w:tcW w:w="104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color w:val="auto"/>
              </w:rPr>
              <w:t>n/m</w:t>
            </w: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&gt;100.0%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183"/>
        </w:trPr>
        <w:tc>
          <w:tcPr>
            <w:tcW w:w="168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731</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&gt;100.0%</w:t>
            </w:r>
          </w:p>
        </w:tc>
        <w:tc>
          <w:tcPr>
            <w:tcW w:w="104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4"/>
                <w:szCs w:val="14"/>
                <w:color w:val="auto"/>
              </w:rPr>
              <w:t>n/m</w:t>
            </w: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&gt;100.0%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83"/>
        </w:trPr>
        <w:tc>
          <w:tcPr>
            <w:tcW w:w="1680" w:type="dxa"/>
            <w:vAlign w:val="bottom"/>
          </w:tcPr>
          <w:p>
            <w:pPr>
              <w:ind w:left="20"/>
              <w:spacing w:after="0"/>
              <w:rPr>
                <w:sz w:val="20"/>
                <w:szCs w:val="20"/>
                <w:color w:val="auto"/>
              </w:rPr>
            </w:pPr>
            <w:r>
              <w:rPr>
                <w:rFonts w:ascii="Arial" w:cs="Arial" w:eastAsia="Arial" w:hAnsi="Arial"/>
                <w:sz w:val="14"/>
                <w:szCs w:val="14"/>
                <w:b w:val="1"/>
                <w:bCs w:val="1"/>
                <w:color w:val="auto"/>
              </w:rPr>
              <w:t>Hematologic Oncology</w:t>
            </w: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9"/>
        </w:trPr>
        <w:tc>
          <w:tcPr>
            <w:tcW w:w="1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Imbruvica</w:t>
            </w:r>
          </w:p>
        </w:tc>
        <w:tc>
          <w:tcPr>
            <w:tcW w:w="1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United States</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4,305</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3,830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2,968</w:t>
            </w: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12.4 %</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29.1 %</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12.4 %</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29.1 %</w:t>
            </w:r>
          </w:p>
        </w:tc>
      </w:tr>
      <w:tr>
        <w:trPr>
          <w:trHeight w:val="189"/>
        </w:trPr>
        <w:tc>
          <w:tcPr>
            <w:tcW w:w="16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Collaboration revenues</w:t>
            </w: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1,009</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844</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622</w:t>
            </w: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19.5 %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35.8 %</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19.5 %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35.8 %</w:t>
            </w:r>
          </w:p>
        </w:tc>
      </w:tr>
      <w:tr>
        <w:trPr>
          <w:trHeight w:val="182"/>
        </w:trPr>
        <w:tc>
          <w:tcPr>
            <w:tcW w:w="168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5,314</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4,674</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3,590</w:t>
            </w:r>
          </w:p>
        </w:tc>
        <w:tc>
          <w:tcPr>
            <w:tcW w:w="12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13.7 %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30.2 %</w:t>
            </w:r>
          </w:p>
        </w:tc>
        <w:tc>
          <w:tcPr>
            <w:tcW w:w="1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13.7 %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30.2 %</w:t>
            </w:r>
          </w:p>
        </w:tc>
      </w:tr>
      <w:tr>
        <w:trPr>
          <w:trHeight w:val="183"/>
        </w:trPr>
        <w:tc>
          <w:tcPr>
            <w:tcW w:w="1680" w:type="dxa"/>
            <w:vAlign w:val="bottom"/>
          </w:tcPr>
          <w:p>
            <w:pPr>
              <w:ind w:left="20"/>
              <w:spacing w:after="0"/>
              <w:rPr>
                <w:sz w:val="20"/>
                <w:szCs w:val="20"/>
                <w:color w:val="auto"/>
              </w:rPr>
            </w:pPr>
            <w:r>
              <w:rPr>
                <w:rFonts w:ascii="Arial" w:cs="Arial" w:eastAsia="Arial" w:hAnsi="Arial"/>
                <w:sz w:val="14"/>
                <w:szCs w:val="14"/>
                <w:color w:val="auto"/>
              </w:rPr>
              <w:t>Venclexta</w:t>
            </w:r>
          </w:p>
        </w:tc>
        <w:tc>
          <w:tcPr>
            <w:tcW w:w="1700" w:type="dxa"/>
            <w:vAlign w:val="bottom"/>
          </w:tcPr>
          <w:p>
            <w:pPr>
              <w:ind w:left="80"/>
              <w:spacing w:after="0"/>
              <w:rPr>
                <w:sz w:val="20"/>
                <w:szCs w:val="20"/>
                <w:color w:val="auto"/>
              </w:rPr>
            </w:pPr>
            <w:r>
              <w:rPr>
                <w:rFonts w:ascii="Arial" w:cs="Arial" w:eastAsia="Arial" w:hAnsi="Arial"/>
                <w:sz w:val="14"/>
                <w:szCs w:val="14"/>
                <w:color w:val="auto"/>
              </w:rPr>
              <w:t>United States</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804</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521</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247</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54.4 %</w:t>
            </w:r>
          </w:p>
        </w:tc>
        <w:tc>
          <w:tcPr>
            <w:tcW w:w="940" w:type="dxa"/>
            <w:vAlign w:val="bottom"/>
          </w:tcPr>
          <w:p>
            <w:pPr>
              <w:jc w:val="right"/>
              <w:spacing w:after="0"/>
              <w:rPr>
                <w:sz w:val="20"/>
                <w:szCs w:val="20"/>
                <w:color w:val="auto"/>
              </w:rPr>
            </w:pPr>
            <w:r>
              <w:rPr>
                <w:rFonts w:ascii="Arial" w:cs="Arial" w:eastAsia="Arial" w:hAnsi="Arial"/>
                <w:sz w:val="14"/>
                <w:szCs w:val="14"/>
                <w:color w:val="auto"/>
              </w:rPr>
              <w:t>&gt;100.0%</w:t>
            </w:r>
          </w:p>
        </w:tc>
        <w:tc>
          <w:tcPr>
            <w:tcW w:w="100" w:type="dxa"/>
            <w:vAlign w:val="bottom"/>
          </w:tcPr>
          <w:p>
            <w:pPr>
              <w:spacing w:after="0"/>
              <w:rPr>
                <w:sz w:val="15"/>
                <w:szCs w:val="15"/>
                <w:color w:val="auto"/>
              </w:rPr>
            </w:pP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54.4 %</w:t>
            </w:r>
          </w:p>
        </w:tc>
        <w:tc>
          <w:tcPr>
            <w:tcW w:w="940" w:type="dxa"/>
            <w:vAlign w:val="bottom"/>
          </w:tcPr>
          <w:p>
            <w:pPr>
              <w:jc w:val="right"/>
              <w:spacing w:after="0"/>
              <w:rPr>
                <w:sz w:val="20"/>
                <w:szCs w:val="20"/>
                <w:color w:val="auto"/>
              </w:rPr>
            </w:pPr>
            <w:r>
              <w:rPr>
                <w:rFonts w:ascii="Arial" w:cs="Arial" w:eastAsia="Arial" w:hAnsi="Arial"/>
                <w:sz w:val="14"/>
                <w:szCs w:val="14"/>
                <w:color w:val="auto"/>
              </w:rPr>
              <w:t>&gt;100.0%</w:t>
            </w:r>
          </w:p>
        </w:tc>
      </w:tr>
      <w:tr>
        <w:trPr>
          <w:trHeight w:val="189"/>
        </w:trPr>
        <w:tc>
          <w:tcPr>
            <w:tcW w:w="168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International</w:t>
            </w:r>
          </w:p>
        </w:tc>
        <w:tc>
          <w:tcPr>
            <w:tcW w:w="3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533</w:t>
            </w: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271</w:t>
            </w: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97</w:t>
            </w:r>
          </w:p>
        </w:tc>
        <w:tc>
          <w:tcPr>
            <w:tcW w:w="12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97.0 %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&gt;100.0%</w:t>
            </w:r>
          </w:p>
        </w:tc>
        <w:tc>
          <w:tcPr>
            <w:tcW w:w="1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97.8 %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&gt;100.0%</w:t>
            </w:r>
          </w:p>
        </w:tc>
      </w:tr>
      <w:tr>
        <w:trPr>
          <w:trHeight w:val="183"/>
        </w:trPr>
        <w:tc>
          <w:tcPr>
            <w:tcW w:w="16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1,337</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792</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344</w:t>
            </w: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69.0 %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&gt;100.0%</w:t>
            </w: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69.3 %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&gt;100.0%</w:t>
            </w:r>
          </w:p>
        </w:tc>
      </w:tr>
      <w:tr>
        <w:trPr>
          <w:trHeight w:val="183"/>
        </w:trPr>
        <w:tc>
          <w:tcPr>
            <w:tcW w:w="1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Aesthetics</w:t>
            </w:r>
          </w:p>
        </w:tc>
        <w:tc>
          <w:tcPr>
            <w:tcW w:w="1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9"/>
        </w:trPr>
        <w:tc>
          <w:tcPr>
            <w:tcW w:w="16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Botox Cosmetic </w:t>
            </w:r>
            <w:r>
              <w:rPr>
                <w:rFonts w:ascii="Arial" w:cs="Arial" w:eastAsia="Arial" w:hAnsi="Arial"/>
                <w:sz w:val="18"/>
                <w:szCs w:val="18"/>
                <w:color w:val="auto"/>
                <w:vertAlign w:val="superscript"/>
              </w:rPr>
              <w:t>(a)</w:t>
            </w:r>
          </w:p>
        </w:tc>
        <w:tc>
          <w:tcPr>
            <w:tcW w:w="1700" w:type="dxa"/>
            <w:vAlign w:val="bottom"/>
          </w:tcPr>
          <w:p>
            <w:pPr>
              <w:ind w:left="80"/>
              <w:spacing w:after="0"/>
              <w:rPr>
                <w:sz w:val="20"/>
                <w:szCs w:val="20"/>
                <w:color w:val="auto"/>
              </w:rPr>
            </w:pPr>
            <w:r>
              <w:rPr>
                <w:rFonts w:ascii="Arial" w:cs="Arial" w:eastAsia="Arial" w:hAnsi="Arial"/>
                <w:sz w:val="14"/>
                <w:szCs w:val="14"/>
                <w:color w:val="auto"/>
              </w:rPr>
              <w:t>United States</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687</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n/m</w:t>
            </w:r>
          </w:p>
        </w:tc>
        <w:tc>
          <w:tcPr>
            <w:tcW w:w="1040" w:type="dxa"/>
            <w:vAlign w:val="bottom"/>
            <w:gridSpan w:val="2"/>
          </w:tcPr>
          <w:p>
            <w:pPr>
              <w:ind w:left="680"/>
              <w:spacing w:after="0"/>
              <w:rPr>
                <w:sz w:val="20"/>
                <w:szCs w:val="20"/>
                <w:color w:val="auto"/>
              </w:rPr>
            </w:pPr>
            <w:r>
              <w:rPr>
                <w:rFonts w:ascii="Arial" w:cs="Arial" w:eastAsia="Arial" w:hAnsi="Arial"/>
                <w:sz w:val="14"/>
                <w:szCs w:val="14"/>
                <w:color w:val="auto"/>
              </w:rPr>
              <w:t>n/m</w:t>
            </w: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189"/>
        </w:trPr>
        <w:tc>
          <w:tcPr>
            <w:tcW w:w="168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International</w:t>
            </w:r>
          </w:p>
        </w:tc>
        <w:tc>
          <w:tcPr>
            <w:tcW w:w="3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425</w:t>
            </w: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n/m</w:t>
            </w:r>
          </w:p>
        </w:tc>
        <w:tc>
          <w:tcPr>
            <w:tcW w:w="104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4"/>
                <w:szCs w:val="14"/>
                <w:color w:val="auto"/>
              </w:rPr>
              <w:t>n/m</w:t>
            </w: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83"/>
        </w:trPr>
        <w:tc>
          <w:tcPr>
            <w:tcW w:w="16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1,112</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n/m</w:t>
            </w:r>
          </w:p>
        </w:tc>
        <w:tc>
          <w:tcPr>
            <w:tcW w:w="104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color w:val="auto"/>
              </w:rPr>
              <w:t>n/m</w:t>
            </w: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183"/>
        </w:trPr>
        <w:tc>
          <w:tcPr>
            <w:tcW w:w="168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Juvederm Collection </w:t>
            </w:r>
            <w:r>
              <w:rPr>
                <w:rFonts w:ascii="Arial" w:cs="Arial" w:eastAsia="Arial" w:hAnsi="Arial"/>
                <w:sz w:val="18"/>
                <w:szCs w:val="18"/>
                <w:color w:val="auto"/>
                <w:vertAlign w:val="superscript"/>
              </w:rPr>
              <w:t>(a)</w:t>
            </w:r>
          </w:p>
        </w:tc>
        <w:tc>
          <w:tcPr>
            <w:tcW w:w="1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United States</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n/m</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n/m</w:t>
            </w:r>
          </w:p>
        </w:tc>
        <w:tc>
          <w:tcPr>
            <w:tcW w:w="13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89"/>
        </w:trPr>
        <w:tc>
          <w:tcPr>
            <w:tcW w:w="16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International</w:t>
            </w: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400</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n/m</w:t>
            </w:r>
          </w:p>
        </w:tc>
        <w:tc>
          <w:tcPr>
            <w:tcW w:w="104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color w:val="auto"/>
              </w:rPr>
              <w:t>n/m</w:t>
            </w: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183"/>
        </w:trPr>
        <w:tc>
          <w:tcPr>
            <w:tcW w:w="168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718</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n/m</w:t>
            </w:r>
          </w:p>
        </w:tc>
        <w:tc>
          <w:tcPr>
            <w:tcW w:w="104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4"/>
                <w:szCs w:val="14"/>
                <w:color w:val="auto"/>
              </w:rPr>
              <w:t>n/m</w:t>
            </w: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83"/>
        </w:trPr>
        <w:tc>
          <w:tcPr>
            <w:tcW w:w="1680" w:type="dxa"/>
            <w:vAlign w:val="bottom"/>
          </w:tcPr>
          <w:p>
            <w:pPr>
              <w:ind w:left="20"/>
              <w:spacing w:after="0" w:line="182" w:lineRule="exact"/>
              <w:rPr>
                <w:sz w:val="20"/>
                <w:szCs w:val="20"/>
                <w:color w:val="auto"/>
              </w:rPr>
            </w:pPr>
            <w:r>
              <w:rPr>
                <w:rFonts w:ascii="Arial" w:cs="Arial" w:eastAsia="Arial" w:hAnsi="Arial"/>
                <w:sz w:val="14"/>
                <w:szCs w:val="14"/>
                <w:color w:val="auto"/>
              </w:rPr>
              <w:t xml:space="preserve">Other Aesthetics </w:t>
            </w:r>
            <w:r>
              <w:rPr>
                <w:rFonts w:ascii="Arial" w:cs="Arial" w:eastAsia="Arial" w:hAnsi="Arial"/>
                <w:sz w:val="18"/>
                <w:szCs w:val="18"/>
                <w:color w:val="auto"/>
                <w:vertAlign w:val="superscript"/>
              </w:rPr>
              <w:t>(a)</w:t>
            </w:r>
          </w:p>
        </w:tc>
        <w:tc>
          <w:tcPr>
            <w:tcW w:w="1700" w:type="dxa"/>
            <w:vAlign w:val="bottom"/>
          </w:tcPr>
          <w:p>
            <w:pPr>
              <w:ind w:left="80"/>
              <w:spacing w:after="0"/>
              <w:rPr>
                <w:sz w:val="20"/>
                <w:szCs w:val="20"/>
                <w:color w:val="auto"/>
              </w:rPr>
            </w:pPr>
            <w:r>
              <w:rPr>
                <w:rFonts w:ascii="Arial" w:cs="Arial" w:eastAsia="Arial" w:hAnsi="Arial"/>
                <w:sz w:val="14"/>
                <w:szCs w:val="14"/>
                <w:color w:val="auto"/>
              </w:rPr>
              <w:t>United States</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666</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n/m</w:t>
            </w:r>
          </w:p>
        </w:tc>
        <w:tc>
          <w:tcPr>
            <w:tcW w:w="1040" w:type="dxa"/>
            <w:vAlign w:val="bottom"/>
            <w:gridSpan w:val="2"/>
          </w:tcPr>
          <w:p>
            <w:pPr>
              <w:ind w:left="680"/>
              <w:spacing w:after="0"/>
              <w:rPr>
                <w:sz w:val="20"/>
                <w:szCs w:val="20"/>
                <w:color w:val="auto"/>
              </w:rPr>
            </w:pPr>
            <w:r>
              <w:rPr>
                <w:rFonts w:ascii="Arial" w:cs="Arial" w:eastAsia="Arial" w:hAnsi="Arial"/>
                <w:sz w:val="14"/>
                <w:szCs w:val="14"/>
                <w:color w:val="auto"/>
              </w:rPr>
              <w:t>n/m</w:t>
            </w: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189"/>
        </w:trPr>
        <w:tc>
          <w:tcPr>
            <w:tcW w:w="168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International</w:t>
            </w:r>
          </w:p>
        </w:tc>
        <w:tc>
          <w:tcPr>
            <w:tcW w:w="3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n/m</w:t>
            </w:r>
          </w:p>
        </w:tc>
        <w:tc>
          <w:tcPr>
            <w:tcW w:w="104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4"/>
                <w:szCs w:val="14"/>
                <w:color w:val="auto"/>
              </w:rPr>
              <w:t>n/m</w:t>
            </w: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82"/>
        </w:trPr>
        <w:tc>
          <w:tcPr>
            <w:tcW w:w="16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760</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n/m</w:t>
            </w:r>
          </w:p>
        </w:tc>
        <w:tc>
          <w:tcPr>
            <w:tcW w:w="104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color w:val="auto"/>
              </w:rPr>
              <w:t>n/m</w:t>
            </w: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183"/>
        </w:trPr>
        <w:tc>
          <w:tcPr>
            <w:tcW w:w="1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Neuroscience</w:t>
            </w:r>
          </w:p>
        </w:tc>
        <w:tc>
          <w:tcPr>
            <w:tcW w:w="1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9"/>
        </w:trPr>
        <w:tc>
          <w:tcPr>
            <w:tcW w:w="16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Botox Therapeutic </w:t>
            </w:r>
            <w:r>
              <w:rPr>
                <w:rFonts w:ascii="Arial" w:cs="Arial" w:eastAsia="Arial" w:hAnsi="Arial"/>
                <w:sz w:val="18"/>
                <w:szCs w:val="18"/>
                <w:color w:val="auto"/>
                <w:vertAlign w:val="superscript"/>
              </w:rPr>
              <w:t>(a)</w:t>
            </w:r>
          </w:p>
        </w:tc>
        <w:tc>
          <w:tcPr>
            <w:tcW w:w="1700" w:type="dxa"/>
            <w:vAlign w:val="bottom"/>
          </w:tcPr>
          <w:p>
            <w:pPr>
              <w:ind w:left="80"/>
              <w:spacing w:after="0"/>
              <w:rPr>
                <w:sz w:val="20"/>
                <w:szCs w:val="20"/>
                <w:color w:val="auto"/>
              </w:rPr>
            </w:pPr>
            <w:r>
              <w:rPr>
                <w:rFonts w:ascii="Arial" w:cs="Arial" w:eastAsia="Arial" w:hAnsi="Arial"/>
                <w:sz w:val="14"/>
                <w:szCs w:val="14"/>
                <w:color w:val="auto"/>
              </w:rPr>
              <w:t>United States</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1,155</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n/m</w:t>
            </w:r>
          </w:p>
        </w:tc>
        <w:tc>
          <w:tcPr>
            <w:tcW w:w="1040" w:type="dxa"/>
            <w:vAlign w:val="bottom"/>
            <w:gridSpan w:val="2"/>
          </w:tcPr>
          <w:p>
            <w:pPr>
              <w:ind w:left="680"/>
              <w:spacing w:after="0"/>
              <w:rPr>
                <w:sz w:val="20"/>
                <w:szCs w:val="20"/>
                <w:color w:val="auto"/>
              </w:rPr>
            </w:pPr>
            <w:r>
              <w:rPr>
                <w:rFonts w:ascii="Arial" w:cs="Arial" w:eastAsia="Arial" w:hAnsi="Arial"/>
                <w:sz w:val="14"/>
                <w:szCs w:val="14"/>
                <w:color w:val="auto"/>
              </w:rPr>
              <w:t>n/m</w:t>
            </w: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189"/>
        </w:trPr>
        <w:tc>
          <w:tcPr>
            <w:tcW w:w="168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International</w:t>
            </w:r>
          </w:p>
        </w:tc>
        <w:tc>
          <w:tcPr>
            <w:tcW w:w="3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232</w:t>
            </w: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n/m</w:t>
            </w:r>
          </w:p>
        </w:tc>
        <w:tc>
          <w:tcPr>
            <w:tcW w:w="104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4"/>
                <w:szCs w:val="14"/>
                <w:color w:val="auto"/>
              </w:rPr>
              <w:t>n/m</w:t>
            </w: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83"/>
        </w:trPr>
        <w:tc>
          <w:tcPr>
            <w:tcW w:w="16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1,387</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n/m</w:t>
            </w:r>
          </w:p>
        </w:tc>
        <w:tc>
          <w:tcPr>
            <w:tcW w:w="104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color w:val="auto"/>
              </w:rPr>
              <w:t>n/m</w:t>
            </w: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183"/>
        </w:trPr>
        <w:tc>
          <w:tcPr>
            <w:tcW w:w="1680" w:type="dxa"/>
            <w:vAlign w:val="bottom"/>
            <w:tcBorders>
              <w:bottom w:val="single" w:sz="8" w:color="auto"/>
            </w:tcBorders>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Vraylar </w:t>
            </w:r>
            <w:r>
              <w:rPr>
                <w:rFonts w:ascii="Arial" w:cs="Arial" w:eastAsia="Arial" w:hAnsi="Arial"/>
                <w:sz w:val="18"/>
                <w:szCs w:val="18"/>
                <w:color w:val="auto"/>
                <w:vertAlign w:val="superscript"/>
              </w:rPr>
              <w:t>(a)</w:t>
            </w:r>
          </w:p>
        </w:tc>
        <w:tc>
          <w:tcPr>
            <w:tcW w:w="17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United States</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951</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n/m</w:t>
            </w:r>
          </w:p>
        </w:tc>
        <w:tc>
          <w:tcPr>
            <w:tcW w:w="104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4"/>
                <w:szCs w:val="14"/>
                <w:color w:val="auto"/>
              </w:rPr>
              <w:t>n/m</w:t>
            </w: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82"/>
        </w:trPr>
        <w:tc>
          <w:tcPr>
            <w:tcW w:w="1680" w:type="dxa"/>
            <w:vAlign w:val="bottom"/>
          </w:tcPr>
          <w:p>
            <w:pPr>
              <w:ind w:left="20"/>
              <w:spacing w:after="0"/>
              <w:rPr>
                <w:sz w:val="20"/>
                <w:szCs w:val="20"/>
                <w:color w:val="auto"/>
              </w:rPr>
            </w:pPr>
            <w:r>
              <w:rPr>
                <w:rFonts w:ascii="Arial" w:cs="Arial" w:eastAsia="Arial" w:hAnsi="Arial"/>
                <w:sz w:val="14"/>
                <w:szCs w:val="14"/>
                <w:color w:val="auto"/>
              </w:rPr>
              <w:t>Duodopa</w:t>
            </w:r>
          </w:p>
        </w:tc>
        <w:tc>
          <w:tcPr>
            <w:tcW w:w="1700" w:type="dxa"/>
            <w:vAlign w:val="bottom"/>
          </w:tcPr>
          <w:p>
            <w:pPr>
              <w:ind w:left="80"/>
              <w:spacing w:after="0"/>
              <w:rPr>
                <w:sz w:val="20"/>
                <w:szCs w:val="20"/>
                <w:color w:val="auto"/>
              </w:rPr>
            </w:pPr>
            <w:r>
              <w:rPr>
                <w:rFonts w:ascii="Arial" w:cs="Arial" w:eastAsia="Arial" w:hAnsi="Arial"/>
                <w:sz w:val="14"/>
                <w:szCs w:val="14"/>
                <w:color w:val="auto"/>
              </w:rPr>
              <w:t>United States</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97</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80</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5.9 %</w:t>
            </w:r>
          </w:p>
        </w:tc>
        <w:tc>
          <w:tcPr>
            <w:tcW w:w="940" w:type="dxa"/>
            <w:vAlign w:val="bottom"/>
          </w:tcPr>
          <w:p>
            <w:pPr>
              <w:jc w:val="right"/>
              <w:spacing w:after="0"/>
              <w:rPr>
                <w:sz w:val="20"/>
                <w:szCs w:val="20"/>
                <w:color w:val="auto"/>
              </w:rPr>
            </w:pPr>
            <w:r>
              <w:rPr>
                <w:rFonts w:ascii="Arial" w:cs="Arial" w:eastAsia="Arial" w:hAnsi="Arial"/>
                <w:sz w:val="14"/>
                <w:szCs w:val="14"/>
                <w:color w:val="auto"/>
              </w:rPr>
              <w:t>20.4 %</w:t>
            </w:r>
          </w:p>
        </w:tc>
        <w:tc>
          <w:tcPr>
            <w:tcW w:w="100" w:type="dxa"/>
            <w:vAlign w:val="bottom"/>
          </w:tcPr>
          <w:p>
            <w:pPr>
              <w:spacing w:after="0"/>
              <w:rPr>
                <w:sz w:val="15"/>
                <w:szCs w:val="15"/>
                <w:color w:val="auto"/>
              </w:rPr>
            </w:pP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5.9 %</w:t>
            </w:r>
          </w:p>
        </w:tc>
        <w:tc>
          <w:tcPr>
            <w:tcW w:w="940" w:type="dxa"/>
            <w:vAlign w:val="bottom"/>
          </w:tcPr>
          <w:p>
            <w:pPr>
              <w:jc w:val="right"/>
              <w:spacing w:after="0"/>
              <w:rPr>
                <w:sz w:val="20"/>
                <w:szCs w:val="20"/>
                <w:color w:val="auto"/>
              </w:rPr>
            </w:pPr>
            <w:r>
              <w:rPr>
                <w:rFonts w:ascii="Arial" w:cs="Arial" w:eastAsia="Arial" w:hAnsi="Arial"/>
                <w:sz w:val="14"/>
                <w:szCs w:val="14"/>
                <w:color w:val="auto"/>
              </w:rPr>
              <w:t>20.4 %</w:t>
            </w:r>
          </w:p>
        </w:tc>
      </w:tr>
      <w:tr>
        <w:trPr>
          <w:trHeight w:val="189"/>
        </w:trPr>
        <w:tc>
          <w:tcPr>
            <w:tcW w:w="168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International</w:t>
            </w:r>
          </w:p>
        </w:tc>
        <w:tc>
          <w:tcPr>
            <w:tcW w:w="3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391</w:t>
            </w: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364</w:t>
            </w: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350</w:t>
            </w:r>
          </w:p>
        </w:tc>
        <w:tc>
          <w:tcPr>
            <w:tcW w:w="12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7.4 %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1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6.3 %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9.8 %</w:t>
            </w:r>
          </w:p>
        </w:tc>
      </w:tr>
      <w:tr>
        <w:trPr>
          <w:trHeight w:val="183"/>
        </w:trPr>
        <w:tc>
          <w:tcPr>
            <w:tcW w:w="16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494</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461</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430</w:t>
            </w: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7.1 %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7.2 %</w:t>
            </w: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6.2 %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11.7 %</w:t>
            </w:r>
          </w:p>
        </w:tc>
      </w:tr>
      <w:tr>
        <w:trPr>
          <w:trHeight w:val="183"/>
        </w:trPr>
        <w:tc>
          <w:tcPr>
            <w:tcW w:w="1680" w:type="dxa"/>
            <w:vAlign w:val="bottom"/>
            <w:tcBorders>
              <w:bottom w:val="single" w:sz="8" w:color="auto"/>
            </w:tcBorders>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Ubrelvy </w:t>
            </w:r>
            <w:r>
              <w:rPr>
                <w:rFonts w:ascii="Arial" w:cs="Arial" w:eastAsia="Arial" w:hAnsi="Arial"/>
                <w:sz w:val="18"/>
                <w:szCs w:val="18"/>
                <w:color w:val="auto"/>
                <w:vertAlign w:val="superscript"/>
              </w:rPr>
              <w:t>(a)</w:t>
            </w:r>
          </w:p>
        </w:tc>
        <w:tc>
          <w:tcPr>
            <w:tcW w:w="17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United States</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n/m</w:t>
            </w:r>
          </w:p>
        </w:tc>
        <w:tc>
          <w:tcPr>
            <w:tcW w:w="104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4"/>
                <w:szCs w:val="14"/>
                <w:color w:val="auto"/>
              </w:rPr>
              <w:t>n/m</w:t>
            </w: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83"/>
        </w:trPr>
        <w:tc>
          <w:tcPr>
            <w:tcW w:w="1680" w:type="dxa"/>
            <w:vAlign w:val="bottom"/>
          </w:tcPr>
          <w:p>
            <w:pPr>
              <w:ind w:left="20"/>
              <w:spacing w:after="0" w:line="182" w:lineRule="exact"/>
              <w:rPr>
                <w:sz w:val="20"/>
                <w:szCs w:val="20"/>
                <w:color w:val="auto"/>
              </w:rPr>
            </w:pPr>
            <w:r>
              <w:rPr>
                <w:rFonts w:ascii="Arial" w:cs="Arial" w:eastAsia="Arial" w:hAnsi="Arial"/>
                <w:sz w:val="14"/>
                <w:szCs w:val="14"/>
                <w:color w:val="auto"/>
              </w:rPr>
              <w:t xml:space="preserve">Other Neuroscience </w:t>
            </w:r>
            <w:r>
              <w:rPr>
                <w:rFonts w:ascii="Arial" w:cs="Arial" w:eastAsia="Arial" w:hAnsi="Arial"/>
                <w:sz w:val="18"/>
                <w:szCs w:val="18"/>
                <w:color w:val="auto"/>
                <w:vertAlign w:val="superscript"/>
              </w:rPr>
              <w:t>(a)</w:t>
            </w:r>
          </w:p>
        </w:tc>
        <w:tc>
          <w:tcPr>
            <w:tcW w:w="1700" w:type="dxa"/>
            <w:vAlign w:val="bottom"/>
          </w:tcPr>
          <w:p>
            <w:pPr>
              <w:ind w:left="80"/>
              <w:spacing w:after="0"/>
              <w:rPr>
                <w:sz w:val="20"/>
                <w:szCs w:val="20"/>
                <w:color w:val="auto"/>
              </w:rPr>
            </w:pPr>
            <w:r>
              <w:rPr>
                <w:rFonts w:ascii="Arial" w:cs="Arial" w:eastAsia="Arial" w:hAnsi="Arial"/>
                <w:sz w:val="14"/>
                <w:szCs w:val="14"/>
                <w:color w:val="auto"/>
              </w:rPr>
              <w:t>United States</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528</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n/m</w:t>
            </w:r>
          </w:p>
        </w:tc>
        <w:tc>
          <w:tcPr>
            <w:tcW w:w="1040" w:type="dxa"/>
            <w:vAlign w:val="bottom"/>
            <w:gridSpan w:val="2"/>
          </w:tcPr>
          <w:p>
            <w:pPr>
              <w:ind w:left="680"/>
              <w:spacing w:after="0"/>
              <w:rPr>
                <w:sz w:val="20"/>
                <w:szCs w:val="20"/>
                <w:color w:val="auto"/>
              </w:rPr>
            </w:pPr>
            <w:r>
              <w:rPr>
                <w:rFonts w:ascii="Arial" w:cs="Arial" w:eastAsia="Arial" w:hAnsi="Arial"/>
                <w:sz w:val="14"/>
                <w:szCs w:val="14"/>
                <w:color w:val="auto"/>
              </w:rPr>
              <w:t>n/m</w:t>
            </w: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189"/>
        </w:trPr>
        <w:tc>
          <w:tcPr>
            <w:tcW w:w="168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International</w:t>
            </w:r>
          </w:p>
        </w:tc>
        <w:tc>
          <w:tcPr>
            <w:tcW w:w="3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n/m</w:t>
            </w:r>
          </w:p>
        </w:tc>
        <w:tc>
          <w:tcPr>
            <w:tcW w:w="104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4"/>
                <w:szCs w:val="14"/>
                <w:color w:val="auto"/>
              </w:rPr>
              <w:t>n/m</w:t>
            </w: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83"/>
        </w:trPr>
        <w:tc>
          <w:tcPr>
            <w:tcW w:w="16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539</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n/m</w:t>
            </w:r>
          </w:p>
        </w:tc>
        <w:tc>
          <w:tcPr>
            <w:tcW w:w="104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color w:val="auto"/>
              </w:rPr>
              <w:t>n/m</w:t>
            </w: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bl>
    <w:p>
      <w:pPr>
        <w:spacing w:after="0" w:line="200" w:lineRule="exact"/>
        <w:rPr>
          <w:sz w:val="20"/>
          <w:szCs w:val="20"/>
          <w:color w:val="auto"/>
        </w:rPr>
      </w:pPr>
    </w:p>
    <w:p>
      <w:pPr>
        <w:spacing w:after="0" w:line="3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i w:val="1"/>
          <w:iCs w:val="1"/>
          <w:color w:val="auto"/>
        </w:rPr>
        <w:t>37</w:t>
      </w:r>
      <w:r>
        <w:rPr>
          <w:sz w:val="20"/>
          <w:szCs w:val="20"/>
          <w:color w:val="auto"/>
        </w:rPr>
        <w:tab/>
      </w:r>
      <w:r>
        <w:rPr>
          <w:sz w:val="1"/>
          <w:szCs w:val="1"/>
          <w:color w:val="auto"/>
        </w:rPr>
        <w:drawing>
          <wp:inline distT="0" distB="0" distL="0" distR="0">
            <wp:extent cx="600075" cy="11176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0075" cy="11176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32" w:right="359" w:bottom="1440" w:gutter="0" w:footer="0" w:header="0"/>
        </w:sectPr>
      </w:pPr>
    </w:p>
    <w:bookmarkStart w:id="40" w:name="page41"/>
    <w:bookmarkEnd w:id="40"/>
    <w:tbl>
      <w:tblPr>
        <w:tblLayout w:type="fixed"/>
        <w:tblInd w:w="20" w:type="dxa"/>
        <w:tblCellMar>
          <w:top w:w="0" w:type="dxa"/>
          <w:left w:w="0" w:type="dxa"/>
          <w:bottom w:w="0" w:type="dxa"/>
          <w:right w:w="0" w:type="dxa"/>
        </w:tblCellMar>
      </w:tblPr>
      <w:tr>
        <w:trPr>
          <w:trHeight w:val="189"/>
        </w:trPr>
        <w:tc>
          <w:tcPr>
            <w:tcW w:w="1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708"/>
              <w:spacing w:after="0"/>
              <w:rPr>
                <w:sz w:val="20"/>
                <w:szCs w:val="20"/>
                <w:color w:val="auto"/>
              </w:rPr>
            </w:pPr>
            <w:r>
              <w:rPr>
                <w:rFonts w:ascii="Arial" w:cs="Arial" w:eastAsia="Arial" w:hAnsi="Arial"/>
                <w:sz w:val="14"/>
                <w:szCs w:val="14"/>
                <w:b w:val="1"/>
                <w:bCs w:val="1"/>
                <w:color w:val="auto"/>
              </w:rPr>
              <w:t>Percent change</w:t>
            </w:r>
          </w:p>
        </w:tc>
        <w:tc>
          <w:tcPr>
            <w:tcW w:w="940" w:type="dxa"/>
            <w:vAlign w:val="bottom"/>
            <w:tcBorders>
              <w:bottom w:val="single" w:sz="8" w:color="auto"/>
            </w:tcBorders>
          </w:tcPr>
          <w:p>
            <w:pPr>
              <w:spacing w:after="0"/>
              <w:rPr>
                <w:sz w:val="16"/>
                <w:szCs w:val="16"/>
                <w:color w:val="auto"/>
              </w:rPr>
            </w:pPr>
          </w:p>
        </w:tc>
      </w:tr>
      <w:tr>
        <w:trPr>
          <w:trHeight w:val="183"/>
        </w:trPr>
        <w:tc>
          <w:tcPr>
            <w:tcW w:w="17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300" w:type="dxa"/>
            <w:vAlign w:val="bottom"/>
            <w:gridSpan w:val="3"/>
          </w:tcPr>
          <w:p>
            <w:pPr>
              <w:ind w:left="280"/>
              <w:spacing w:after="0"/>
              <w:rPr>
                <w:sz w:val="20"/>
                <w:szCs w:val="20"/>
                <w:color w:val="auto"/>
              </w:rPr>
            </w:pPr>
            <w:r>
              <w:rPr>
                <w:rFonts w:ascii="Arial" w:cs="Arial" w:eastAsia="Arial" w:hAnsi="Arial"/>
                <w:sz w:val="14"/>
                <w:szCs w:val="14"/>
                <w:b w:val="1"/>
                <w:bCs w:val="1"/>
                <w:color w:val="auto"/>
              </w:rPr>
              <w:t>At actual currency rates</w:t>
            </w:r>
          </w:p>
        </w:tc>
        <w:tc>
          <w:tcPr>
            <w:tcW w:w="22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At constant currency rates</w:t>
            </w:r>
          </w:p>
        </w:tc>
      </w:tr>
      <w:tr>
        <w:trPr>
          <w:trHeight w:val="183"/>
        </w:trPr>
        <w:tc>
          <w:tcPr>
            <w:tcW w:w="3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years ended December 31 (dollars in millions)</w:t>
            </w: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r>
      <w:tr>
        <w:trPr>
          <w:trHeight w:val="183"/>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Eye Care</w:t>
            </w:r>
          </w:p>
        </w:tc>
        <w:tc>
          <w:tcPr>
            <w:tcW w:w="1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9"/>
        </w:trPr>
        <w:tc>
          <w:tcPr>
            <w:tcW w:w="17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Lumigan/Ganfort </w:t>
            </w:r>
            <w:r>
              <w:rPr>
                <w:rFonts w:ascii="Arial" w:cs="Arial" w:eastAsia="Arial" w:hAnsi="Arial"/>
                <w:sz w:val="18"/>
                <w:szCs w:val="18"/>
                <w:color w:val="auto"/>
                <w:vertAlign w:val="superscript"/>
              </w:rPr>
              <w:t>(a)</w:t>
            </w:r>
          </w:p>
        </w:tc>
        <w:tc>
          <w:tcPr>
            <w:tcW w:w="1640" w:type="dxa"/>
            <w:vAlign w:val="bottom"/>
          </w:tcPr>
          <w:p>
            <w:pPr>
              <w:ind w:left="100"/>
              <w:spacing w:after="0"/>
              <w:rPr>
                <w:sz w:val="20"/>
                <w:szCs w:val="20"/>
                <w:color w:val="auto"/>
              </w:rPr>
            </w:pPr>
            <w:r>
              <w:rPr>
                <w:rFonts w:ascii="Arial" w:cs="Arial" w:eastAsia="Arial" w:hAnsi="Arial"/>
                <w:sz w:val="14"/>
                <w:szCs w:val="14"/>
                <w:color w:val="auto"/>
              </w:rPr>
              <w:t>United States</w:t>
            </w: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165</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n/m</w:t>
            </w: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n/m</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189"/>
        </w:trPr>
        <w:tc>
          <w:tcPr>
            <w:tcW w:w="172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International</w:t>
            </w:r>
          </w:p>
        </w:tc>
        <w:tc>
          <w:tcPr>
            <w:tcW w:w="4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213</w:t>
            </w: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n/m</w:t>
            </w:r>
          </w:p>
        </w:tc>
        <w:tc>
          <w:tcPr>
            <w:tcW w:w="104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4"/>
                <w:szCs w:val="14"/>
                <w:color w:val="auto"/>
              </w:rPr>
              <w:t>n/m</w:t>
            </w:r>
          </w:p>
        </w:tc>
        <w:tc>
          <w:tcPr>
            <w:tcW w:w="12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83"/>
        </w:trPr>
        <w:tc>
          <w:tcPr>
            <w:tcW w:w="17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378</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n/m</w:t>
            </w:r>
          </w:p>
        </w:tc>
        <w:tc>
          <w:tcPr>
            <w:tcW w:w="104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color w:val="auto"/>
              </w:rPr>
              <w:t>n/m</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183"/>
        </w:trPr>
        <w:tc>
          <w:tcPr>
            <w:tcW w:w="172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Alphagan/Combigan </w:t>
            </w:r>
            <w:r>
              <w:rPr>
                <w:rFonts w:ascii="Arial" w:cs="Arial" w:eastAsia="Arial" w:hAnsi="Arial"/>
                <w:sz w:val="18"/>
                <w:szCs w:val="18"/>
                <w:color w:val="auto"/>
                <w:vertAlign w:val="superscript"/>
              </w:rPr>
              <w:t>(a)</w:t>
            </w:r>
          </w:p>
        </w:tc>
        <w:tc>
          <w:tcPr>
            <w:tcW w:w="1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United States</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n/m</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n/m</w:t>
            </w:r>
          </w:p>
        </w:tc>
        <w:tc>
          <w:tcPr>
            <w:tcW w:w="12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89"/>
        </w:trPr>
        <w:tc>
          <w:tcPr>
            <w:tcW w:w="17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International</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n/m</w:t>
            </w:r>
          </w:p>
        </w:tc>
        <w:tc>
          <w:tcPr>
            <w:tcW w:w="104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color w:val="auto"/>
              </w:rPr>
              <w:t>n/m</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209"/>
        </w:trPr>
        <w:tc>
          <w:tcPr>
            <w:tcW w:w="17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326</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n/m</w:t>
            </w:r>
          </w:p>
        </w:tc>
        <w:tc>
          <w:tcPr>
            <w:tcW w:w="104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4"/>
                <w:szCs w:val="14"/>
                <w:color w:val="auto"/>
              </w:rPr>
              <w:t>n/m</w:t>
            </w:r>
          </w:p>
        </w:tc>
        <w:tc>
          <w:tcPr>
            <w:tcW w:w="12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83"/>
        </w:trPr>
        <w:tc>
          <w:tcPr>
            <w:tcW w:w="1720" w:type="dxa"/>
            <w:vAlign w:val="bottom"/>
          </w:tcPr>
          <w:p>
            <w:pPr>
              <w:ind w:left="20"/>
              <w:spacing w:after="0" w:line="182" w:lineRule="exact"/>
              <w:rPr>
                <w:sz w:val="20"/>
                <w:szCs w:val="20"/>
                <w:color w:val="auto"/>
              </w:rPr>
            </w:pPr>
            <w:r>
              <w:rPr>
                <w:rFonts w:ascii="Arial" w:cs="Arial" w:eastAsia="Arial" w:hAnsi="Arial"/>
                <w:sz w:val="14"/>
                <w:szCs w:val="14"/>
                <w:color w:val="auto"/>
              </w:rPr>
              <w:t xml:space="preserve">Restasis </w:t>
            </w:r>
            <w:r>
              <w:rPr>
                <w:rFonts w:ascii="Arial" w:cs="Arial" w:eastAsia="Arial" w:hAnsi="Arial"/>
                <w:sz w:val="18"/>
                <w:szCs w:val="18"/>
                <w:color w:val="auto"/>
                <w:vertAlign w:val="superscript"/>
              </w:rPr>
              <w:t>(a)</w:t>
            </w:r>
          </w:p>
        </w:tc>
        <w:tc>
          <w:tcPr>
            <w:tcW w:w="1640" w:type="dxa"/>
            <w:vAlign w:val="bottom"/>
          </w:tcPr>
          <w:p>
            <w:pPr>
              <w:ind w:left="100"/>
              <w:spacing w:after="0"/>
              <w:rPr>
                <w:sz w:val="20"/>
                <w:szCs w:val="20"/>
                <w:color w:val="auto"/>
              </w:rPr>
            </w:pPr>
            <w:r>
              <w:rPr>
                <w:rFonts w:ascii="Arial" w:cs="Arial" w:eastAsia="Arial" w:hAnsi="Arial"/>
                <w:sz w:val="14"/>
                <w:szCs w:val="14"/>
                <w:color w:val="auto"/>
              </w:rPr>
              <w:t>United States</w:t>
            </w: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755</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n/m</w:t>
            </w: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n/m</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189"/>
        </w:trPr>
        <w:tc>
          <w:tcPr>
            <w:tcW w:w="172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International</w:t>
            </w:r>
          </w:p>
        </w:tc>
        <w:tc>
          <w:tcPr>
            <w:tcW w:w="4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n/m</w:t>
            </w:r>
          </w:p>
        </w:tc>
        <w:tc>
          <w:tcPr>
            <w:tcW w:w="104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4"/>
                <w:szCs w:val="14"/>
                <w:color w:val="auto"/>
              </w:rPr>
              <w:t>n/m</w:t>
            </w:r>
          </w:p>
        </w:tc>
        <w:tc>
          <w:tcPr>
            <w:tcW w:w="12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209"/>
        </w:trPr>
        <w:tc>
          <w:tcPr>
            <w:tcW w:w="17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787</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n/m</w:t>
            </w:r>
          </w:p>
        </w:tc>
        <w:tc>
          <w:tcPr>
            <w:tcW w:w="104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color w:val="auto"/>
              </w:rPr>
              <w:t>n/m</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183"/>
        </w:trPr>
        <w:tc>
          <w:tcPr>
            <w:tcW w:w="172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Other Eye Care </w:t>
            </w:r>
            <w:r>
              <w:rPr>
                <w:rFonts w:ascii="Arial" w:cs="Arial" w:eastAsia="Arial" w:hAnsi="Arial"/>
                <w:sz w:val="18"/>
                <w:szCs w:val="18"/>
                <w:color w:val="auto"/>
                <w:vertAlign w:val="superscript"/>
              </w:rPr>
              <w:t>(a)</w:t>
            </w:r>
          </w:p>
        </w:tc>
        <w:tc>
          <w:tcPr>
            <w:tcW w:w="1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United States</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n/m</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n/m</w:t>
            </w:r>
          </w:p>
        </w:tc>
        <w:tc>
          <w:tcPr>
            <w:tcW w:w="12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89"/>
        </w:trPr>
        <w:tc>
          <w:tcPr>
            <w:tcW w:w="17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International</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388</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n/m</w:t>
            </w:r>
          </w:p>
        </w:tc>
        <w:tc>
          <w:tcPr>
            <w:tcW w:w="104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color w:val="auto"/>
              </w:rPr>
              <w:t>n/m</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210"/>
        </w:trPr>
        <w:tc>
          <w:tcPr>
            <w:tcW w:w="17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693</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n/m</w:t>
            </w:r>
          </w:p>
        </w:tc>
        <w:tc>
          <w:tcPr>
            <w:tcW w:w="104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4"/>
                <w:szCs w:val="14"/>
                <w:color w:val="auto"/>
              </w:rPr>
              <w:t>n/m</w:t>
            </w:r>
          </w:p>
        </w:tc>
        <w:tc>
          <w:tcPr>
            <w:tcW w:w="12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83"/>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Women's Health</w:t>
            </w:r>
          </w:p>
        </w:tc>
        <w:tc>
          <w:tcPr>
            <w:tcW w:w="1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9"/>
        </w:trPr>
        <w:tc>
          <w:tcPr>
            <w:tcW w:w="17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Lo Loestrin </w:t>
            </w:r>
            <w:r>
              <w:rPr>
                <w:rFonts w:ascii="Arial" w:cs="Arial" w:eastAsia="Arial" w:hAnsi="Arial"/>
                <w:sz w:val="18"/>
                <w:szCs w:val="18"/>
                <w:color w:val="auto"/>
                <w:vertAlign w:val="superscript"/>
              </w:rPr>
              <w:t>(a)</w:t>
            </w:r>
          </w:p>
        </w:tc>
        <w:tc>
          <w:tcPr>
            <w:tcW w:w="1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United States</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n/m</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n/m</w:t>
            </w:r>
          </w:p>
        </w:tc>
        <w:tc>
          <w:tcPr>
            <w:tcW w:w="12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89"/>
        </w:trPr>
        <w:tc>
          <w:tcPr>
            <w:tcW w:w="17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International</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n/m</w:t>
            </w:r>
          </w:p>
        </w:tc>
        <w:tc>
          <w:tcPr>
            <w:tcW w:w="104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color w:val="auto"/>
              </w:rPr>
              <w:t>n/m</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210"/>
        </w:trPr>
        <w:tc>
          <w:tcPr>
            <w:tcW w:w="17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356</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n/m</w:t>
            </w:r>
          </w:p>
        </w:tc>
        <w:tc>
          <w:tcPr>
            <w:tcW w:w="104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4"/>
                <w:szCs w:val="14"/>
                <w:color w:val="auto"/>
              </w:rPr>
              <w:t>n/m</w:t>
            </w:r>
          </w:p>
        </w:tc>
        <w:tc>
          <w:tcPr>
            <w:tcW w:w="12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82"/>
        </w:trPr>
        <w:tc>
          <w:tcPr>
            <w:tcW w:w="1720" w:type="dxa"/>
            <w:vAlign w:val="bottom"/>
          </w:tcPr>
          <w:p>
            <w:pPr>
              <w:ind w:left="20"/>
              <w:spacing w:after="0"/>
              <w:rPr>
                <w:sz w:val="20"/>
                <w:szCs w:val="20"/>
                <w:color w:val="auto"/>
              </w:rPr>
            </w:pPr>
            <w:r>
              <w:rPr>
                <w:rFonts w:ascii="Arial" w:cs="Arial" w:eastAsia="Arial" w:hAnsi="Arial"/>
                <w:sz w:val="14"/>
                <w:szCs w:val="14"/>
                <w:color w:val="auto"/>
              </w:rPr>
              <w:t>Orilissa/Oriahnn</w:t>
            </w:r>
          </w:p>
        </w:tc>
        <w:tc>
          <w:tcPr>
            <w:tcW w:w="1640" w:type="dxa"/>
            <w:vAlign w:val="bottom"/>
          </w:tcPr>
          <w:p>
            <w:pPr>
              <w:ind w:left="100"/>
              <w:spacing w:after="0"/>
              <w:rPr>
                <w:sz w:val="20"/>
                <w:szCs w:val="20"/>
                <w:color w:val="auto"/>
              </w:rPr>
            </w:pPr>
            <w:r>
              <w:rPr>
                <w:rFonts w:ascii="Arial" w:cs="Arial" w:eastAsia="Arial" w:hAnsi="Arial"/>
                <w:sz w:val="14"/>
                <w:szCs w:val="14"/>
                <w:color w:val="auto"/>
              </w:rPr>
              <w:t>United States</w:t>
            </w: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91</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11</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33.3 %</w:t>
            </w:r>
          </w:p>
        </w:tc>
        <w:tc>
          <w:tcPr>
            <w:tcW w:w="920" w:type="dxa"/>
            <w:vAlign w:val="bottom"/>
          </w:tcPr>
          <w:p>
            <w:pPr>
              <w:jc w:val="right"/>
              <w:spacing w:after="0"/>
              <w:rPr>
                <w:sz w:val="20"/>
                <w:szCs w:val="20"/>
                <w:color w:val="auto"/>
              </w:rPr>
            </w:pPr>
            <w:r>
              <w:rPr>
                <w:rFonts w:ascii="Arial" w:cs="Arial" w:eastAsia="Arial" w:hAnsi="Arial"/>
                <w:sz w:val="14"/>
                <w:szCs w:val="14"/>
                <w:color w:val="auto"/>
              </w:rPr>
              <w:t>&gt;100.0%</w:t>
            </w:r>
          </w:p>
        </w:tc>
        <w:tc>
          <w:tcPr>
            <w:tcW w:w="120" w:type="dxa"/>
            <w:vAlign w:val="bottom"/>
          </w:tcPr>
          <w:p>
            <w:pPr>
              <w:spacing w:after="0"/>
              <w:rPr>
                <w:sz w:val="15"/>
                <w:szCs w:val="15"/>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33.3 %</w:t>
            </w:r>
          </w:p>
        </w:tc>
        <w:tc>
          <w:tcPr>
            <w:tcW w:w="940" w:type="dxa"/>
            <w:vAlign w:val="bottom"/>
          </w:tcPr>
          <w:p>
            <w:pPr>
              <w:jc w:val="right"/>
              <w:spacing w:after="0"/>
              <w:rPr>
                <w:sz w:val="20"/>
                <w:szCs w:val="20"/>
                <w:color w:val="auto"/>
              </w:rPr>
            </w:pPr>
            <w:r>
              <w:rPr>
                <w:rFonts w:ascii="Arial" w:cs="Arial" w:eastAsia="Arial" w:hAnsi="Arial"/>
                <w:sz w:val="14"/>
                <w:szCs w:val="14"/>
                <w:color w:val="auto"/>
              </w:rPr>
              <w:t>&gt;100.0%</w:t>
            </w:r>
          </w:p>
        </w:tc>
      </w:tr>
      <w:tr>
        <w:trPr>
          <w:trHeight w:val="189"/>
        </w:trPr>
        <w:tc>
          <w:tcPr>
            <w:tcW w:w="172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International</w:t>
            </w:r>
          </w:p>
        </w:tc>
        <w:tc>
          <w:tcPr>
            <w:tcW w:w="4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96.1 %</w:t>
            </w:r>
          </w:p>
        </w:tc>
        <w:tc>
          <w:tcPr>
            <w:tcW w:w="104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4"/>
                <w:szCs w:val="14"/>
                <w:color w:val="auto"/>
              </w:rPr>
              <w:t>n/m</w:t>
            </w:r>
          </w:p>
        </w:tc>
        <w:tc>
          <w:tcPr>
            <w:tcW w:w="12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97.7 %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210"/>
        </w:trPr>
        <w:tc>
          <w:tcPr>
            <w:tcW w:w="17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w:t>
            </w: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34.6 %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&gt;100.0%</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34.6 %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&gt;100.0%</w:t>
            </w:r>
          </w:p>
        </w:tc>
      </w:tr>
      <w:tr>
        <w:trPr>
          <w:trHeight w:val="183"/>
        </w:trPr>
        <w:tc>
          <w:tcPr>
            <w:tcW w:w="172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Other Women's Health </w:t>
            </w:r>
            <w:r>
              <w:rPr>
                <w:rFonts w:ascii="Arial" w:cs="Arial" w:eastAsia="Arial" w:hAnsi="Arial"/>
                <w:sz w:val="18"/>
                <w:szCs w:val="18"/>
                <w:color w:val="auto"/>
                <w:vertAlign w:val="superscript"/>
              </w:rPr>
              <w:t>(a)</w:t>
            </w:r>
          </w:p>
        </w:tc>
        <w:tc>
          <w:tcPr>
            <w:tcW w:w="1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United States</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n/m</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n/m</w:t>
            </w:r>
          </w:p>
        </w:tc>
        <w:tc>
          <w:tcPr>
            <w:tcW w:w="12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89"/>
        </w:trPr>
        <w:tc>
          <w:tcPr>
            <w:tcW w:w="17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International</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n/m</w:t>
            </w:r>
          </w:p>
        </w:tc>
        <w:tc>
          <w:tcPr>
            <w:tcW w:w="104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color w:val="auto"/>
              </w:rPr>
              <w:t>n/m</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210"/>
        </w:trPr>
        <w:tc>
          <w:tcPr>
            <w:tcW w:w="17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n/m</w:t>
            </w:r>
          </w:p>
        </w:tc>
        <w:tc>
          <w:tcPr>
            <w:tcW w:w="104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4"/>
                <w:szCs w:val="14"/>
                <w:color w:val="auto"/>
              </w:rPr>
              <w:t>n/m</w:t>
            </w:r>
          </w:p>
        </w:tc>
        <w:tc>
          <w:tcPr>
            <w:tcW w:w="12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83"/>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Other Key Products</w:t>
            </w:r>
          </w:p>
        </w:tc>
        <w:tc>
          <w:tcPr>
            <w:tcW w:w="1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9"/>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Mavyret</w:t>
            </w:r>
          </w:p>
        </w:tc>
        <w:tc>
          <w:tcPr>
            <w:tcW w:w="1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United States</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785</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1,473</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1,614</w:t>
            </w:r>
          </w:p>
        </w:tc>
        <w:tc>
          <w:tcPr>
            <w:tcW w:w="12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(46.7)%</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(46.7)%</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189"/>
        </w:trPr>
        <w:tc>
          <w:tcPr>
            <w:tcW w:w="17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International</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1,045</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1,420</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1,824</w:t>
            </w: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(26.4)%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(26.8)%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r>
      <w:tr>
        <w:trPr>
          <w:trHeight w:val="209"/>
        </w:trPr>
        <w:tc>
          <w:tcPr>
            <w:tcW w:w="17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1,830</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2,893</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3,438</w:t>
            </w:r>
          </w:p>
        </w:tc>
        <w:tc>
          <w:tcPr>
            <w:tcW w:w="12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(36.7)%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(36.9)%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r>
      <w:tr>
        <w:trPr>
          <w:trHeight w:val="183"/>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Creon</w:t>
            </w: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United States</w:t>
            </w: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1,114</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1,041</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928</w:t>
            </w: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6.9 %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12.2 %</w:t>
            </w: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6.9 %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12.2 %</w:t>
            </w:r>
          </w:p>
        </w:tc>
      </w:tr>
      <w:tr>
        <w:trPr>
          <w:trHeight w:val="183"/>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Lupron</w:t>
            </w:r>
          </w:p>
        </w:tc>
        <w:tc>
          <w:tcPr>
            <w:tcW w:w="1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United States</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726</w:t>
            </w:r>
          </w:p>
        </w:tc>
        <w:tc>
          <w:tcPr>
            <w:tcW w:w="12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(16.6)%</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(16.6)%</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189"/>
        </w:trPr>
        <w:tc>
          <w:tcPr>
            <w:tcW w:w="17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International</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166</w:t>
            </w: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(9.1)%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0.8 %</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6.0 %</w:t>
            </w:r>
          </w:p>
        </w:tc>
      </w:tr>
      <w:tr>
        <w:trPr>
          <w:trHeight w:val="210"/>
        </w:trPr>
        <w:tc>
          <w:tcPr>
            <w:tcW w:w="17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752</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887</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892</w:t>
            </w:r>
          </w:p>
        </w:tc>
        <w:tc>
          <w:tcPr>
            <w:tcW w:w="12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(15.2)%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(14.5)%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0.5 %</w:t>
            </w:r>
          </w:p>
        </w:tc>
      </w:tr>
      <w:tr>
        <w:trPr>
          <w:trHeight w:val="183"/>
        </w:trPr>
        <w:tc>
          <w:tcPr>
            <w:tcW w:w="1720" w:type="dxa"/>
            <w:vAlign w:val="bottom"/>
          </w:tcPr>
          <w:p>
            <w:pPr>
              <w:ind w:left="20"/>
              <w:spacing w:after="0" w:line="182" w:lineRule="exact"/>
              <w:rPr>
                <w:sz w:val="20"/>
                <w:szCs w:val="20"/>
                <w:color w:val="auto"/>
              </w:rPr>
            </w:pPr>
            <w:r>
              <w:rPr>
                <w:rFonts w:ascii="Arial" w:cs="Arial" w:eastAsia="Arial" w:hAnsi="Arial"/>
                <w:sz w:val="14"/>
                <w:szCs w:val="14"/>
                <w:color w:val="auto"/>
              </w:rPr>
              <w:t xml:space="preserve">Linzess/Constella </w:t>
            </w:r>
            <w:r>
              <w:rPr>
                <w:rFonts w:ascii="Arial" w:cs="Arial" w:eastAsia="Arial" w:hAnsi="Arial"/>
                <w:sz w:val="18"/>
                <w:szCs w:val="18"/>
                <w:color w:val="auto"/>
                <w:vertAlign w:val="superscript"/>
              </w:rPr>
              <w:t>(a)</w:t>
            </w:r>
          </w:p>
        </w:tc>
        <w:tc>
          <w:tcPr>
            <w:tcW w:w="1640" w:type="dxa"/>
            <w:vAlign w:val="bottom"/>
          </w:tcPr>
          <w:p>
            <w:pPr>
              <w:ind w:left="100"/>
              <w:spacing w:after="0"/>
              <w:rPr>
                <w:sz w:val="20"/>
                <w:szCs w:val="20"/>
                <w:color w:val="auto"/>
              </w:rPr>
            </w:pPr>
            <w:r>
              <w:rPr>
                <w:rFonts w:ascii="Arial" w:cs="Arial" w:eastAsia="Arial" w:hAnsi="Arial"/>
                <w:sz w:val="14"/>
                <w:szCs w:val="14"/>
                <w:color w:val="auto"/>
              </w:rPr>
              <w:t>United States</w:t>
            </w: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649</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n/m</w:t>
            </w: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n/m</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189"/>
        </w:trPr>
        <w:tc>
          <w:tcPr>
            <w:tcW w:w="172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International</w:t>
            </w:r>
          </w:p>
        </w:tc>
        <w:tc>
          <w:tcPr>
            <w:tcW w:w="4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n/m</w:t>
            </w:r>
          </w:p>
        </w:tc>
        <w:tc>
          <w:tcPr>
            <w:tcW w:w="104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4"/>
                <w:szCs w:val="14"/>
                <w:color w:val="auto"/>
              </w:rPr>
              <w:t>n/m</w:t>
            </w:r>
          </w:p>
        </w:tc>
        <w:tc>
          <w:tcPr>
            <w:tcW w:w="12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210"/>
        </w:trPr>
        <w:tc>
          <w:tcPr>
            <w:tcW w:w="17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667</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n/m</w:t>
            </w:r>
          </w:p>
        </w:tc>
        <w:tc>
          <w:tcPr>
            <w:tcW w:w="104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color w:val="auto"/>
              </w:rPr>
              <w:t>n/m</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n/m</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183"/>
        </w:trPr>
        <w:tc>
          <w:tcPr>
            <w:tcW w:w="1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Synthroid</w:t>
            </w:r>
          </w:p>
        </w:tc>
        <w:tc>
          <w:tcPr>
            <w:tcW w:w="16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United States</w:t>
            </w: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771</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786</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776</w:t>
            </w:r>
          </w:p>
        </w:tc>
        <w:tc>
          <w:tcPr>
            <w:tcW w:w="12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(1.9)%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1.3 %</w:t>
            </w:r>
          </w:p>
        </w:tc>
      </w:tr>
      <w:tr>
        <w:trPr>
          <w:trHeight w:val="183"/>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All other</w:t>
            </w:r>
          </w:p>
        </w:tc>
        <w:tc>
          <w:tcPr>
            <w:tcW w:w="16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2,923</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2,068</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2,408</w:t>
            </w: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41.3 %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42.4 %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r>
      <w:tr>
        <w:trPr>
          <w:trHeight w:val="208"/>
        </w:trPr>
        <w:tc>
          <w:tcPr>
            <w:tcW w:w="1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16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45,804</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33,266</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32,753</w:t>
            </w:r>
          </w:p>
        </w:tc>
        <w:tc>
          <w:tcPr>
            <w:tcW w:w="12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37.7 %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38.0 %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2.6 %</w:t>
            </w:r>
          </w:p>
        </w:tc>
      </w:tr>
      <w:tr>
        <w:trPr>
          <w:trHeight w:val="20"/>
        </w:trPr>
        <w:tc>
          <w:tcPr>
            <w:tcW w:w="17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5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Net revenues include Allergan product revenues from the date of the acquisition, May 8, 2020, through December 31, 2020.</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discussion and analysis of AbbVie's net revenues by product is presented on a constant currency basis.</w:t>
      </w:r>
    </w:p>
    <w:p>
      <w:pPr>
        <w:spacing w:after="0" w:line="144"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Global Humira sales increased 4% in 2020 primarily driven by market growth across therapeutic categories, offset by direct biosimilar competition in certain international markets. In the United States, Humira sales increased 8% in 2020 driven by market growth across all indications and favorable pricing, partially offset by lower new patient starts due to the COVID-19 pandemic. Internationally, Humira revenues decreased 12% in 2020 primarily driven by direct biosimilar competition in certain international markets. Biosimilar competition for Humira is not expected in the United States until 2023. AbbVie continues to pursue strategies intended to maintain market leadership among its installed patient base and add to the sustainability of Humira.</w:t>
      </w:r>
    </w:p>
    <w:p>
      <w:pPr>
        <w:spacing w:after="0" w:line="140" w:lineRule="exact"/>
        <w:rPr>
          <w:sz w:val="20"/>
          <w:szCs w:val="20"/>
          <w:color w:val="auto"/>
        </w:rPr>
      </w:pPr>
    </w:p>
    <w:p>
      <w:pPr>
        <w:ind w:right="300" w:firstLine="445"/>
        <w:spacing w:after="0" w:line="261" w:lineRule="auto"/>
        <w:rPr>
          <w:sz w:val="20"/>
          <w:szCs w:val="20"/>
          <w:color w:val="auto"/>
        </w:rPr>
      </w:pPr>
      <w:r>
        <w:rPr>
          <w:rFonts w:ascii="Arial" w:cs="Arial" w:eastAsia="Arial" w:hAnsi="Arial"/>
          <w:sz w:val="18"/>
          <w:szCs w:val="18"/>
          <w:color w:val="auto"/>
        </w:rPr>
        <w:t>Net revenues for Skyrizi increased more than 100% in 2020 primarily driven by market growth and market share gains over the prior year following the April 2019 regulatory approvals for the treatment of moderate to severe plaque psoriasis.</w:t>
      </w:r>
    </w:p>
    <w:p>
      <w:pPr>
        <w:spacing w:after="0" w:line="130"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Net revenues for Rinvoq increased more than 100% in 2020 primarily driven by the August 2019 FDA approval and December 2019 EC approval for the treatment of moderate to severe rheumatoid arthritis.</w:t>
      </w:r>
    </w:p>
    <w:p>
      <w:pPr>
        <w:sectPr>
          <w:pgSz w:w="11900" w:h="16838" w:orient="portrait"/>
          <w:cols w:equalWidth="0" w:num="1">
            <w:col w:w="11240"/>
          </w:cols>
          <w:pgMar w:left="320" w:top="1125"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8180"/>
        <w:spacing w:after="0"/>
        <w:tabs>
          <w:tab w:leader="none" w:pos="9620" w:val="left"/>
        </w:tabs>
        <w:rPr>
          <w:sz w:val="20"/>
          <w:szCs w:val="20"/>
          <w:color w:val="auto"/>
        </w:rPr>
      </w:pPr>
      <w:r>
        <w:rPr>
          <w:rFonts w:ascii="Arial" w:cs="Arial" w:eastAsia="Arial" w:hAnsi="Arial"/>
          <w:sz w:val="18"/>
          <w:szCs w:val="18"/>
          <w:i w:val="1"/>
          <w:iCs w:val="1"/>
          <w:color w:val="auto"/>
        </w:rPr>
        <w:t>2020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600075" cy="1117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0075" cy="11176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type w:val="continuous"/>
        </w:sectPr>
      </w:pPr>
    </w:p>
    <w:bookmarkStart w:id="41" w:name="page42"/>
    <w:bookmarkEnd w:id="41"/>
    <w:p>
      <w:pPr>
        <w:ind w:right="280" w:firstLine="445"/>
        <w:spacing w:after="0" w:line="256" w:lineRule="auto"/>
        <w:rPr>
          <w:sz w:val="20"/>
          <w:szCs w:val="20"/>
          <w:color w:val="auto"/>
        </w:rPr>
      </w:pPr>
      <w:r>
        <w:rPr>
          <w:rFonts w:ascii="Arial" w:cs="Arial" w:eastAsia="Arial" w:hAnsi="Arial"/>
          <w:sz w:val="18"/>
          <w:szCs w:val="18"/>
          <w:color w:val="auto"/>
        </w:rPr>
        <w:t>Net revenues for Imbruvica represent product revenues in the United States and collaboration revenues outside of the United States related to AbbVie's 50% share of Imbruvica profit. AbbVie's global Imbruvica revenues increased 14% in 2020 as a result of continued penetration of Imbruvica for patients with CLL, partially offset by lower new patient starts due to the COVID-19 pandemic in 2020.</w:t>
      </w:r>
    </w:p>
    <w:p>
      <w:pPr>
        <w:spacing w:after="0" w:line="121"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Net revenues for Venclexta increased 69% in 2020 primarily due to continued expansion of Venclexta for the treatment of patients with first-line CLL, relapsed/refractory CLL and first-line AML.</w:t>
      </w:r>
    </w:p>
    <w:p>
      <w:pPr>
        <w:spacing w:after="0" w:line="130" w:lineRule="exact"/>
        <w:rPr>
          <w:sz w:val="20"/>
          <w:szCs w:val="20"/>
          <w:color w:val="auto"/>
        </w:rPr>
      </w:pPr>
    </w:p>
    <w:p>
      <w:pPr>
        <w:ind w:right="180" w:firstLine="445"/>
        <w:spacing w:after="0" w:line="261" w:lineRule="auto"/>
        <w:rPr>
          <w:sz w:val="20"/>
          <w:szCs w:val="20"/>
          <w:color w:val="auto"/>
        </w:rPr>
      </w:pPr>
      <w:r>
        <w:rPr>
          <w:rFonts w:ascii="Arial" w:cs="Arial" w:eastAsia="Arial" w:hAnsi="Arial"/>
          <w:sz w:val="18"/>
          <w:szCs w:val="18"/>
          <w:color w:val="auto"/>
        </w:rPr>
        <w:t>Net revenues for Botox Cosmetic used in facial aesthetics were $1.1 billion in 2020 for the period subsequent to the completion of the Allergan acquisition.</w:t>
      </w:r>
    </w:p>
    <w:p>
      <w:pPr>
        <w:spacing w:after="0" w:line="130" w:lineRule="exact"/>
        <w:rPr>
          <w:sz w:val="20"/>
          <w:szCs w:val="20"/>
          <w:color w:val="auto"/>
        </w:rPr>
      </w:pPr>
    </w:p>
    <w:p>
      <w:pPr>
        <w:ind w:right="460" w:firstLine="445"/>
        <w:spacing w:after="0" w:line="261" w:lineRule="auto"/>
        <w:rPr>
          <w:sz w:val="20"/>
          <w:szCs w:val="20"/>
          <w:color w:val="auto"/>
        </w:rPr>
      </w:pPr>
      <w:r>
        <w:rPr>
          <w:rFonts w:ascii="Arial" w:cs="Arial" w:eastAsia="Arial" w:hAnsi="Arial"/>
          <w:sz w:val="18"/>
          <w:szCs w:val="18"/>
          <w:color w:val="auto"/>
        </w:rPr>
        <w:t>Net revenues for Juvederm Collection (including Juvederm Ultra XC, Juvederm Voluma XC and other Juvederm products) used in facial aesthetics were $718 million in 2020 for the period subsequent to the completion of the Allergan acquisition.</w:t>
      </w:r>
    </w:p>
    <w:p>
      <w:pPr>
        <w:spacing w:after="0" w:line="117" w:lineRule="exact"/>
        <w:rPr>
          <w:sz w:val="20"/>
          <w:szCs w:val="20"/>
          <w:color w:val="auto"/>
        </w:rPr>
      </w:pPr>
    </w:p>
    <w:p>
      <w:pPr>
        <w:ind w:right="480" w:firstLine="445"/>
        <w:spacing w:after="0" w:line="261" w:lineRule="auto"/>
        <w:rPr>
          <w:sz w:val="20"/>
          <w:szCs w:val="20"/>
          <w:color w:val="auto"/>
        </w:rPr>
      </w:pPr>
      <w:r>
        <w:rPr>
          <w:rFonts w:ascii="Arial" w:cs="Arial" w:eastAsia="Arial" w:hAnsi="Arial"/>
          <w:sz w:val="18"/>
          <w:szCs w:val="18"/>
          <w:color w:val="auto"/>
        </w:rPr>
        <w:t>Net revenues for Botox Therapeutic used primarily in neuroscience and urology therapeutic areas were $1.4 billion in 2020 for the period subsequent to the completion of the Allergan acquisition.</w:t>
      </w:r>
    </w:p>
    <w:p>
      <w:pPr>
        <w:spacing w:after="0" w:line="130" w:lineRule="exact"/>
        <w:rPr>
          <w:sz w:val="20"/>
          <w:szCs w:val="20"/>
          <w:color w:val="auto"/>
        </w:rPr>
      </w:pPr>
    </w:p>
    <w:p>
      <w:pPr>
        <w:ind w:right="160" w:firstLine="445"/>
        <w:spacing w:after="0" w:line="261" w:lineRule="auto"/>
        <w:rPr>
          <w:sz w:val="20"/>
          <w:szCs w:val="20"/>
          <w:color w:val="auto"/>
        </w:rPr>
      </w:pPr>
      <w:r>
        <w:rPr>
          <w:rFonts w:ascii="Arial" w:cs="Arial" w:eastAsia="Arial" w:hAnsi="Arial"/>
          <w:sz w:val="18"/>
          <w:szCs w:val="18"/>
          <w:color w:val="auto"/>
        </w:rPr>
        <w:t>Net revenues for Vraylar for the treatment of schizophrenia, bipolar I disorder and bipolar depression were $951 million in 2020 for the period subsequent to the completion of the Allergan acquisition.</w:t>
      </w:r>
    </w:p>
    <w:p>
      <w:pPr>
        <w:spacing w:after="0" w:line="130" w:lineRule="exact"/>
        <w:rPr>
          <w:sz w:val="20"/>
          <w:szCs w:val="20"/>
          <w:color w:val="auto"/>
        </w:rPr>
      </w:pPr>
    </w:p>
    <w:p>
      <w:pPr>
        <w:ind w:right="20" w:firstLine="445"/>
        <w:spacing w:after="0" w:line="261" w:lineRule="auto"/>
        <w:rPr>
          <w:sz w:val="20"/>
          <w:szCs w:val="20"/>
          <w:color w:val="auto"/>
        </w:rPr>
      </w:pPr>
      <w:r>
        <w:rPr>
          <w:rFonts w:ascii="Arial" w:cs="Arial" w:eastAsia="Arial" w:hAnsi="Arial"/>
          <w:sz w:val="18"/>
          <w:szCs w:val="18"/>
          <w:color w:val="auto"/>
        </w:rPr>
        <w:t>Global Mavyret sales decreased 37% in 2020 primarily driven by lower global new patient starts due to the COVID-19 pandemic as well as competitive dynamics in the U.S.</w:t>
      </w:r>
    </w:p>
    <w:p>
      <w:pPr>
        <w:spacing w:after="0" w:line="117" w:lineRule="exact"/>
        <w:rPr>
          <w:sz w:val="20"/>
          <w:szCs w:val="20"/>
          <w:color w:val="auto"/>
        </w:rPr>
      </w:pPr>
    </w:p>
    <w:p>
      <w:pPr>
        <w:jc w:val="both"/>
        <w:ind w:right="220" w:firstLine="445"/>
        <w:spacing w:after="0" w:line="256" w:lineRule="auto"/>
        <w:rPr>
          <w:sz w:val="20"/>
          <w:szCs w:val="20"/>
          <w:color w:val="auto"/>
        </w:rPr>
      </w:pPr>
      <w:r>
        <w:rPr>
          <w:rFonts w:ascii="Arial" w:cs="Arial" w:eastAsia="Arial" w:hAnsi="Arial"/>
          <w:sz w:val="18"/>
          <w:szCs w:val="18"/>
          <w:color w:val="auto"/>
        </w:rPr>
        <w:t>Net revenues for Creon increased 7% in 2020 primarily driven by continued market growth, partially offset by lower new patient starts due to the COVID-19 pandemic. Creon maintains market leadership in the pancreatic enzyme market with approximately 80% total market share.</w:t>
      </w:r>
    </w:p>
    <w:p>
      <w:pPr>
        <w:spacing w:after="0" w:line="134" w:lineRule="exact"/>
        <w:rPr>
          <w:sz w:val="20"/>
          <w:szCs w:val="20"/>
          <w:color w:val="auto"/>
        </w:rPr>
      </w:pPr>
    </w:p>
    <w:p>
      <w:pPr>
        <w:ind w:right="240" w:firstLine="445"/>
        <w:spacing w:after="0" w:line="261" w:lineRule="auto"/>
        <w:rPr>
          <w:sz w:val="20"/>
          <w:szCs w:val="20"/>
          <w:color w:val="auto"/>
        </w:rPr>
      </w:pPr>
      <w:r>
        <w:rPr>
          <w:rFonts w:ascii="Arial" w:cs="Arial" w:eastAsia="Arial" w:hAnsi="Arial"/>
          <w:sz w:val="18"/>
          <w:szCs w:val="18"/>
          <w:color w:val="auto"/>
        </w:rPr>
        <w:t>Net revenues for Lupron decreased 14% in 2020 primarily due to a near-term supply issue which has impacted product availability of certain formulations.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Gross Margin</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2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4"/>
                <w:szCs w:val="14"/>
                <w:b w:val="1"/>
                <w:bCs w:val="1"/>
                <w:color w:val="auto"/>
              </w:rPr>
              <w:t>Percent change</w:t>
            </w:r>
          </w:p>
        </w:tc>
      </w:tr>
      <w:tr>
        <w:trPr>
          <w:trHeight w:val="18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 (dollars in millions)</w:t>
            </w:r>
          </w:p>
        </w:tc>
        <w:tc>
          <w:tcPr>
            <w:tcW w:w="8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52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r>
      <w:tr>
        <w:trPr>
          <w:trHeight w:val="22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30,417</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25,827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25,035</w:t>
            </w:r>
          </w:p>
        </w:tc>
        <w:tc>
          <w:tcPr>
            <w:tcW w:w="152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18 %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 a percent of net revenues</w:t>
            </w:r>
          </w:p>
        </w:tc>
        <w:tc>
          <w:tcPr>
            <w:tcW w:w="8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66 %</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78 %</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76 %</w:t>
            </w:r>
          </w:p>
        </w:tc>
        <w:tc>
          <w:tcPr>
            <w:tcW w:w="1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bl>
    <w:p>
      <w:pPr>
        <w:spacing w:after="0" w:line="148" w:lineRule="exact"/>
        <w:rPr>
          <w:sz w:val="20"/>
          <w:szCs w:val="20"/>
          <w:color w:val="auto"/>
        </w:rPr>
      </w:pPr>
    </w:p>
    <w:p>
      <w:pPr>
        <w:ind w:right="700" w:firstLine="445"/>
        <w:spacing w:after="0" w:line="256" w:lineRule="auto"/>
        <w:rPr>
          <w:sz w:val="20"/>
          <w:szCs w:val="20"/>
          <w:color w:val="auto"/>
        </w:rPr>
      </w:pPr>
      <w:r>
        <w:rPr>
          <w:rFonts w:ascii="Arial" w:cs="Arial" w:eastAsia="Arial" w:hAnsi="Arial"/>
          <w:sz w:val="18"/>
          <w:szCs w:val="18"/>
          <w:color w:val="auto"/>
        </w:rPr>
        <w:t>Gross margin as a percentage of net revenues in 2020 decreased from 2019 primarily due to the unfavorable impacts of higher amortization of intangible assets and inventory fair value step-up adjustments associated with the Allergan acquisition as well as collaboration profit sharing arrangements for Imbruvica and Venclexta.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Selling, General and Administrative</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2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4"/>
                <w:szCs w:val="14"/>
                <w:b w:val="1"/>
                <w:bCs w:val="1"/>
                <w:color w:val="auto"/>
              </w:rPr>
              <w:t>Percent change</w:t>
            </w:r>
          </w:p>
        </w:tc>
      </w:tr>
      <w:tr>
        <w:trPr>
          <w:trHeight w:val="183"/>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 (dollars in millions)</w:t>
            </w:r>
          </w:p>
        </w:tc>
        <w:tc>
          <w:tcPr>
            <w:tcW w:w="8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52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r>
      <w:tr>
        <w:trPr>
          <w:trHeight w:val="223"/>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11,299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6,942</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7,399</w:t>
            </w:r>
          </w:p>
        </w:tc>
        <w:tc>
          <w:tcPr>
            <w:tcW w:w="152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63 %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 a percent of net revenues</w:t>
            </w:r>
          </w:p>
        </w:tc>
        <w:tc>
          <w:tcPr>
            <w:tcW w:w="8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23 %</w:t>
            </w:r>
          </w:p>
        </w:tc>
        <w:tc>
          <w:tcPr>
            <w:tcW w:w="1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bl>
    <w:p>
      <w:pPr>
        <w:spacing w:after="0" w:line="148"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Selling, general and administrative (SG&amp;A) expenses as a percentage of net revenues in 2020 increased from 2019 primarily due to the unfavorable impacts of incremental SG&amp;A expenses of Allergan, including transaction and integration costs resulting from the acquisition.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Research and Development and Acquired In-Process Research and Development</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 change</w:t>
            </w:r>
          </w:p>
        </w:tc>
        <w:tc>
          <w:tcPr>
            <w:tcW w:w="820" w:type="dxa"/>
            <w:vAlign w:val="bottom"/>
            <w:tcBorders>
              <w:bottom w:val="single" w:sz="8" w:color="auto"/>
            </w:tcBorders>
          </w:tcPr>
          <w:p>
            <w:pPr>
              <w:spacing w:after="0"/>
              <w:rPr>
                <w:sz w:val="16"/>
                <w:szCs w:val="16"/>
                <w:color w:val="auto"/>
              </w:rPr>
            </w:pPr>
          </w:p>
        </w:tc>
      </w:tr>
      <w:tr>
        <w:trPr>
          <w:trHeight w:val="183"/>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 (dollars in millions)</w:t>
            </w: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860" w:type="dxa"/>
            <w:vAlign w:val="bottom"/>
            <w:tcBorders>
              <w:bottom w:val="single" w:sz="8" w:color="auto"/>
            </w:tcBorders>
          </w:tcPr>
          <w:p>
            <w:pPr>
              <w:jc w:val="right"/>
              <w:ind w:right="979"/>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6,557</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6,407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10,329</w:t>
            </w:r>
          </w:p>
        </w:tc>
        <w:tc>
          <w:tcPr>
            <w:tcW w:w="186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2 %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as a percent of net revenues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14 %</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19 %</w:t>
            </w:r>
          </w:p>
        </w:tc>
        <w:tc>
          <w:tcPr>
            <w:tcW w:w="360" w:type="dxa"/>
            <w:vAlign w:val="bottom"/>
          </w:tcPr>
          <w:p>
            <w:pPr>
              <w:spacing w:after="0"/>
              <w:rPr>
                <w:sz w:val="19"/>
                <w:szCs w:val="19"/>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32 %</w:t>
            </w:r>
          </w:p>
        </w:tc>
        <w:tc>
          <w:tcPr>
            <w:tcW w:w="18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Acquired in-process research and development</w:t>
            </w:r>
          </w:p>
        </w:tc>
        <w:tc>
          <w:tcPr>
            <w:tcW w:w="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1,198</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385</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rPr>
              <w:t>424</w:t>
            </w:r>
          </w:p>
        </w:tc>
        <w:tc>
          <w:tcPr>
            <w:tcW w:w="186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rPr>
              <w:t>&gt;100%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bl>
    <w:p>
      <w:pPr>
        <w:spacing w:after="0" w:line="148" w:lineRule="exact"/>
        <w:rPr>
          <w:sz w:val="20"/>
          <w:szCs w:val="20"/>
          <w:color w:val="auto"/>
        </w:rPr>
      </w:pPr>
    </w:p>
    <w:p>
      <w:pPr>
        <w:ind w:right="540" w:firstLine="445"/>
        <w:spacing w:after="0" w:line="261" w:lineRule="auto"/>
        <w:rPr>
          <w:sz w:val="20"/>
          <w:szCs w:val="20"/>
          <w:color w:val="auto"/>
        </w:rPr>
      </w:pPr>
      <w:r>
        <w:rPr>
          <w:rFonts w:ascii="Arial" w:cs="Arial" w:eastAsia="Arial" w:hAnsi="Arial"/>
          <w:sz w:val="18"/>
          <w:szCs w:val="18"/>
          <w:color w:val="auto"/>
        </w:rPr>
        <w:t>Research and Development (R&amp;D) expenses as a percentage of net revenues decreased in 2020 primarily due to the $1.0 billion intangible asset impairment charge in 2019, which represented the remaining value of the IPR&amp;D acquired as part</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39</w:t>
      </w:r>
      <w:r>
        <w:rPr>
          <w:sz w:val="20"/>
          <w:szCs w:val="20"/>
          <w:color w:val="auto"/>
        </w:rPr>
        <w:tab/>
      </w:r>
      <w:r>
        <w:rPr>
          <w:sz w:val="1"/>
          <w:szCs w:val="1"/>
          <w:color w:val="auto"/>
        </w:rPr>
        <w:drawing>
          <wp:inline distT="0" distB="0" distL="0" distR="0">
            <wp:extent cx="600075" cy="1117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0075" cy="11176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42" w:name="page43"/>
    <w:bookmarkEnd w:id="42"/>
    <w:p>
      <w:pPr>
        <w:jc w:val="both"/>
        <w:ind w:right="260"/>
        <w:spacing w:after="0" w:line="278" w:lineRule="auto"/>
        <w:rPr>
          <w:sz w:val="20"/>
          <w:szCs w:val="20"/>
          <w:color w:val="auto"/>
        </w:rPr>
      </w:pPr>
      <w:r>
        <w:rPr>
          <w:rFonts w:ascii="Arial" w:cs="Arial" w:eastAsia="Arial" w:hAnsi="Arial"/>
          <w:sz w:val="17"/>
          <w:szCs w:val="17"/>
          <w:color w:val="auto"/>
        </w:rPr>
        <w:t>of the 2016 Stemcentrx acquisition following the decision to terminate the Rova-T R&amp;D program. See Note 7 to the Consolidated Financial Statements for additional information regarding the impairment charge. R&amp;D expenses as a percentage of net revenues in 2020 were also favorably impacted by increased scale of the combined company for the period subsequent to the completion of the Allergan acquisition.</w:t>
      </w:r>
    </w:p>
    <w:p>
      <w:pPr>
        <w:spacing w:after="0" w:line="104"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Acquired IPR&amp;D expenses reflect upfront payments related to various collaborations. Acquired IPR&amp;D expense in 2020 included a charge of $750 million as a result of entering a collaboration agreement with Genmab A/S (Genmab) to research, develop and commercialize investigational bispecific antibody therapeutics for the treatment of cancer. Acquired IPR&amp;D expense in 2020 also included a charge of $200 million as a result of a collaboration agreement with I-Mab Biopharma (I-Mab) for the development and commercialization of lemzoparlimab for the treatment of multiple cancers. See Note 5 to the Consolidated Financial Statements for additional information regarding the Genmab and I-Mab agreements. There were no individually significant transactions or cash flows during 2019.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Other Operating Expenses and Income</w:t>
      </w:r>
    </w:p>
    <w:p>
      <w:pPr>
        <w:spacing w:after="0" w:line="180" w:lineRule="exact"/>
        <w:rPr>
          <w:sz w:val="20"/>
          <w:szCs w:val="20"/>
          <w:color w:val="auto"/>
        </w:rPr>
      </w:pPr>
    </w:p>
    <w:p>
      <w:pPr>
        <w:jc w:val="both"/>
        <w:ind w:right="20" w:firstLine="445"/>
        <w:spacing w:after="0" w:line="256" w:lineRule="auto"/>
        <w:rPr>
          <w:sz w:val="20"/>
          <w:szCs w:val="20"/>
          <w:color w:val="auto"/>
        </w:rPr>
      </w:pPr>
      <w:r>
        <w:rPr>
          <w:rFonts w:ascii="Arial" w:cs="Arial" w:eastAsia="Arial" w:hAnsi="Arial"/>
          <w:sz w:val="18"/>
          <w:szCs w:val="18"/>
          <w:color w:val="auto"/>
        </w:rPr>
        <w:t>Other operating income in 2019 included $ 550 million of income from a legal settlement related to an intellectual property dispute with a third party and $330 million of income related to an amended and restated license agreement between AbbVie and Reata. See Note 5 to the Consolidated Financial Statements for additional information on the Reata agreement.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Other Non-Operating Expenses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 (in millions)</w:t>
            </w:r>
          </w:p>
        </w:tc>
        <w:tc>
          <w:tcPr>
            <w:tcW w:w="27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r>
      <w:tr>
        <w:trPr>
          <w:trHeight w:val="223"/>
        </w:trPr>
        <w:tc>
          <w:tcPr>
            <w:tcW w:w="5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 expense</w:t>
            </w:r>
          </w:p>
        </w:tc>
        <w:tc>
          <w:tcPr>
            <w:tcW w:w="2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2,454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1,784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r>
      <w:tr>
        <w:trPr>
          <w:trHeight w:val="230"/>
        </w:trPr>
        <w:tc>
          <w:tcPr>
            <w:tcW w:w="5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Interest income</w:t>
            </w:r>
          </w:p>
        </w:tc>
        <w:tc>
          <w:tcPr>
            <w:tcW w:w="27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48"/>
        </w:trPr>
        <w:tc>
          <w:tcPr>
            <w:tcW w:w="51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Interest expense, net</w:t>
            </w:r>
          </w:p>
        </w:tc>
        <w:tc>
          <w:tcPr>
            <w:tcW w:w="2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2,280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1,509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27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5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foreign exchange loss</w:t>
            </w:r>
          </w:p>
        </w:tc>
        <w:tc>
          <w:tcPr>
            <w:tcW w:w="2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51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Other expense, net</w:t>
            </w:r>
          </w:p>
        </w:tc>
        <w:tc>
          <w:tcPr>
            <w:tcW w:w="27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5,614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3,006</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bl>
    <w:p>
      <w:pPr>
        <w:spacing w:after="0" w:line="175" w:lineRule="exact"/>
        <w:rPr>
          <w:sz w:val="20"/>
          <w:szCs w:val="20"/>
          <w:color w:val="auto"/>
        </w:rPr>
      </w:pPr>
    </w:p>
    <w:p>
      <w:pPr>
        <w:jc w:val="both"/>
        <w:ind w:right="180" w:firstLine="445"/>
        <w:spacing w:after="0" w:line="256" w:lineRule="auto"/>
        <w:rPr>
          <w:sz w:val="20"/>
          <w:szCs w:val="20"/>
          <w:color w:val="auto"/>
        </w:rPr>
      </w:pPr>
      <w:r>
        <w:rPr>
          <w:rFonts w:ascii="Arial" w:cs="Arial" w:eastAsia="Arial" w:hAnsi="Arial"/>
          <w:sz w:val="18"/>
          <w:szCs w:val="18"/>
          <w:color w:val="auto"/>
        </w:rPr>
        <w:t>Interest expense in 2020 increased compared to 2019 primarily due to a higher average debt balance associated with the financing of the Allergan acquisition as well as the incremental Allergan debt acquired, partially offset by the favorable impact of lower interest rates on the company’s debt obligations.</w:t>
      </w:r>
    </w:p>
    <w:p>
      <w:pPr>
        <w:spacing w:after="0" w:line="134" w:lineRule="exact"/>
        <w:rPr>
          <w:sz w:val="20"/>
          <w:szCs w:val="20"/>
          <w:color w:val="auto"/>
        </w:rPr>
      </w:pPr>
    </w:p>
    <w:p>
      <w:pPr>
        <w:jc w:val="both"/>
        <w:ind w:right="180" w:firstLine="445"/>
        <w:spacing w:after="0" w:line="261" w:lineRule="auto"/>
        <w:rPr>
          <w:sz w:val="20"/>
          <w:szCs w:val="20"/>
          <w:color w:val="auto"/>
        </w:rPr>
      </w:pPr>
      <w:r>
        <w:rPr>
          <w:rFonts w:ascii="Arial" w:cs="Arial" w:eastAsia="Arial" w:hAnsi="Arial"/>
          <w:sz w:val="18"/>
          <w:szCs w:val="18"/>
          <w:color w:val="auto"/>
        </w:rPr>
        <w:t>Interest income in 2020 decreased compared to 2019 primarily due to a lower average cash and cash equivalents balance as a result of the cash paid for the Allergan acquisition and the unfavorable impact of lower interest rates.</w:t>
      </w:r>
    </w:p>
    <w:p>
      <w:pPr>
        <w:spacing w:after="0" w:line="130" w:lineRule="exact"/>
        <w:rPr>
          <w:sz w:val="20"/>
          <w:szCs w:val="20"/>
          <w:color w:val="auto"/>
        </w:rPr>
      </w:pPr>
    </w:p>
    <w:p>
      <w:pPr>
        <w:ind w:right="120" w:firstLine="445"/>
        <w:spacing w:after="0" w:line="251" w:lineRule="auto"/>
        <w:rPr>
          <w:sz w:val="20"/>
          <w:szCs w:val="20"/>
          <w:color w:val="auto"/>
        </w:rPr>
      </w:pPr>
      <w:r>
        <w:rPr>
          <w:rFonts w:ascii="Arial" w:cs="Arial" w:eastAsia="Arial" w:hAnsi="Arial"/>
          <w:sz w:val="18"/>
          <w:szCs w:val="18"/>
          <w:color w:val="auto"/>
        </w:rPr>
        <w:t>Other expense, net included charges related to the change in fair value of the contingent consideration liabilities of $5.8 billion in 2020 and $3.1 billion in 2019. The fair value of contingent consideration liabilities is impacted by the passage of time and multiple other inputs, including the probability of success of achieving regulatory/commercial milestones, discount rates, the estimated amount of future sales of the acquired products and other market-based factors. In 2020, the change in fair value primarily included the increase in the Skyrizi contingent consideration liability due to higher estimated future sales driven by stronger market share uptake and favorable clinical trial results as well as lower interest rates. In 2019, the Skyrizi contingent consideration liability increased due to higher probabilities of success, higher estimated future sales, declining interest rates and passage of time. The higher probabilities of success primarily resulted from the April 2019 regulatory approvals of Skyrizi for the treatment of moderate to severe plaque psoriasis. These changes were partially offset by a $91 million decrease in the Stemcentrx contingent consideration liability due to the termination of the Rova-T R&amp;D program.</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Income Tax Expense</w:t>
      </w:r>
    </w:p>
    <w:p>
      <w:pPr>
        <w:spacing w:after="0" w:line="180" w:lineRule="exact"/>
        <w:rPr>
          <w:sz w:val="20"/>
          <w:szCs w:val="20"/>
          <w:color w:val="auto"/>
        </w:rPr>
      </w:pPr>
    </w:p>
    <w:p>
      <w:pPr>
        <w:ind w:right="20" w:firstLine="445"/>
        <w:spacing w:after="0" w:line="237" w:lineRule="auto"/>
        <w:rPr>
          <w:sz w:val="20"/>
          <w:szCs w:val="20"/>
          <w:color w:val="auto"/>
        </w:rPr>
      </w:pPr>
      <w:r>
        <w:rPr>
          <w:rFonts w:ascii="Arial" w:cs="Arial" w:eastAsia="Arial" w:hAnsi="Arial"/>
          <w:sz w:val="18"/>
          <w:szCs w:val="18"/>
          <w:color w:val="auto"/>
        </w:rPr>
        <w:t>The effective income tax rate was negative 36% in 2020, 6% in 2019 and negative 9% in 2018. The effective tax rate in each period differed from the statutory tax rate principally due to the impact of foreign operations which reflects the impact of lower income tax rates in locations outside the United States, tax incentives in Puerto Rico and other foreign tax jurisdictions, business development activities, changes in enacted tax rates and laws and related restructuring, the cost of repatriation decisions, tax audit settlements and Boehringer Ingelheim accretion on contingent consideration. The decrease in the effective tax rate for 2020 over the prior year was principally due to the recognition of a net tax benefit of $1.7 billion related to changes in tax laws and related restructuring, including certain intra-group transfers of intellectual property and deferred tax remeasurement.</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40</w:t>
            </w:r>
          </w:p>
        </w:tc>
      </w:tr>
      <w:tr>
        <w:trPr>
          <w:trHeight w:val="201"/>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-334010</wp:posOffset>
            </wp:positionV>
            <wp:extent cx="600075" cy="1111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0075" cy="11112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444867"/>
        </w:rPr>
        <w:t>FINANCIAL POSITION, LIQUIDITY AND CAPITAL RESOURCES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 (in millions)</w:t>
            </w:r>
          </w:p>
        </w:tc>
        <w:tc>
          <w:tcPr>
            <w:tcW w:w="2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Cash flows from:</w:t>
            </w:r>
          </w:p>
        </w:tc>
        <w:tc>
          <w:tcPr>
            <w:tcW w:w="2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center"/>
              <w:ind w:left="255"/>
              <w:spacing w:after="0"/>
              <w:rPr>
                <w:sz w:val="20"/>
                <w:szCs w:val="20"/>
                <w:color w:val="auto"/>
              </w:rPr>
            </w:pPr>
            <w:r>
              <w:rPr>
                <w:rFonts w:ascii="Arial" w:cs="Arial" w:eastAsia="Arial" w:hAnsi="Arial"/>
                <w:sz w:val="18"/>
                <w:szCs w:val="18"/>
                <w:color w:val="auto"/>
                <w:w w:val="98"/>
              </w:rPr>
              <w:t>17,588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13,324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13,427</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2340" w:type="dxa"/>
            <w:vAlign w:val="bottom"/>
          </w:tcPr>
          <w:p>
            <w:pPr>
              <w:spacing w:after="0"/>
              <w:rPr>
                <w:sz w:val="19"/>
                <w:szCs w:val="19"/>
                <w:color w:val="auto"/>
              </w:rPr>
            </w:pPr>
          </w:p>
        </w:tc>
        <w:tc>
          <w:tcPr>
            <w:tcW w:w="1160" w:type="dxa"/>
            <w:vAlign w:val="bottom"/>
          </w:tcPr>
          <w:p>
            <w:pPr>
              <w:jc w:val="center"/>
              <w:ind w:left="235"/>
              <w:spacing w:after="0"/>
              <w:rPr>
                <w:sz w:val="20"/>
                <w:szCs w:val="20"/>
                <w:color w:val="auto"/>
              </w:rPr>
            </w:pPr>
            <w:r>
              <w:rPr>
                <w:rFonts w:ascii="Arial" w:cs="Arial" w:eastAsia="Arial" w:hAnsi="Arial"/>
                <w:sz w:val="18"/>
                <w:szCs w:val="18"/>
                <w:color w:val="auto"/>
              </w:rPr>
              <w:t>(37,557)</w:t>
            </w:r>
          </w:p>
        </w:tc>
        <w:tc>
          <w:tcPr>
            <w:tcW w:w="38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596</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(1,006)</w:t>
            </w:r>
          </w:p>
        </w:tc>
      </w:tr>
      <w:tr>
        <w:trPr>
          <w:trHeight w:val="230"/>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235"/>
              <w:spacing w:after="0"/>
              <w:rPr>
                <w:sz w:val="20"/>
                <w:szCs w:val="20"/>
                <w:color w:val="auto"/>
              </w:rPr>
            </w:pPr>
            <w:r>
              <w:rPr>
                <w:rFonts w:ascii="Arial" w:cs="Arial" w:eastAsia="Arial" w:hAnsi="Arial"/>
                <w:sz w:val="18"/>
                <w:szCs w:val="18"/>
                <w:color w:val="auto"/>
              </w:rPr>
              <w:t>(11,501)</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18,708</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(14,396)</w:t>
            </w:r>
          </w:p>
        </w:tc>
      </w:tr>
    </w:tbl>
    <w:p>
      <w:pPr>
        <w:spacing w:after="0" w:line="188" w:lineRule="exact"/>
        <w:rPr>
          <w:sz w:val="20"/>
          <w:szCs w:val="20"/>
          <w:color w:val="auto"/>
        </w:rPr>
      </w:pPr>
    </w:p>
    <w:p>
      <w:pPr>
        <w:ind w:right="280" w:firstLine="445"/>
        <w:spacing w:after="0" w:line="254" w:lineRule="auto"/>
        <w:rPr>
          <w:sz w:val="20"/>
          <w:szCs w:val="20"/>
          <w:color w:val="auto"/>
        </w:rPr>
      </w:pPr>
      <w:r>
        <w:rPr>
          <w:rFonts w:ascii="Arial" w:cs="Arial" w:eastAsia="Arial" w:hAnsi="Arial"/>
          <w:sz w:val="18"/>
          <w:szCs w:val="18"/>
          <w:color w:val="auto"/>
        </w:rPr>
        <w:t>Operating cash flows in 2020 increased from 2019 and included the results of Allergan subsequent to the May 8 acquisition date. Operating cash flows in 2020 were favorably impacted by higher net revenues of the combined company and the timing of working capital cash flows, partially offset by acquisition-related cash expenses. Operating cash flows also reflected AbbVie’s contributions to its defined benefit plans of $367 million in 2020 and $727 million in 2019.</w:t>
      </w:r>
    </w:p>
    <w:p>
      <w:pPr>
        <w:spacing w:after="0" w:line="123"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Investing cash flows in 2020 primarily included $39.7 billion cash consideration paid to acquire Allergan offset by cash acquired of $1.5 billion. Investing cash flows also included net sales and maturities of investments totaling $1.5 billion, payments made for other acquisitions and investments of $1.4 billion and capital expenditures of $798 million. Investing cash flows in 2019 included net sales and maturities of investment securities totaling $2.1 billion resulting from the sale of substantially all of the company's investments in debt securities, payments made for other acquisitions and investments of $1.1 billion and capital expenditures of $552 million.</w:t>
      </w:r>
    </w:p>
    <w:p>
      <w:pPr>
        <w:spacing w:after="0" w:line="138"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Financing cash flows in 2020 included the issuance of term loans totaling $3.0 billion under the existing $6.0 billion term loan credit agreement which were used to finance the acquisition of Allergan. Subsequent to these borrowings, AbbVie terminated the unused commitments of the lenders under the term loan. Additionally, financing cash flows included the May 2020 repayment of $3.8 billion aggregate principal amount of the company's 2.50% senior notes at maturity, the September 2020 repayment of $650 million aggregate principal amount of 3.375% Allergan exchange notes at maturity, and the November 2020 repayments of €700 million aggregate principal amount of floating rate Allergan exchange notes at maturity and $450 million aggregate principal amount of 4.875% Allergan exchange notes due February 2021.</w:t>
      </w:r>
    </w:p>
    <w:p>
      <w:pPr>
        <w:spacing w:after="0" w:line="139"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Financing cash flows in 2019 included the issuance of $30.0 billion aggregate principal amount of floating rate and fixed rate unsecured senior notes which were used to finance the acquisition of Allergan. Additionally, financing cash flows in 2019 included the issuance of €1.4 billion aggregate principal amount of unsecured senior Euro notes which the company used to redeem €1.4 billion aggregate principal amount of 0.38% senior Euro notes that were due to mature in November 2019, as well as the repayment of a $3.0 billion 364-day term loan credit agreement that was scheduled to mature in June 2019.</w:t>
      </w:r>
    </w:p>
    <w:p>
      <w:pPr>
        <w:spacing w:after="0" w:line="124"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Cash dividend payments totaled $7.7 billion in 2020 and $6.4 billion in 2019. The increase in cash dividend payments was primarily driven by higher outstanding shares following the 286 million shares of AbbVie common stock issued to Allergan shareholders in May 2020 as well as an increase in the dividend rate. On October 30, 2020, AbbVie announced that its board of directors declared an increase in the quarterly cash dividend from $1.18 per share to $1.30 per share beginning with the dividend payable on February 16, 2021 to stockholders of record as of January 15, 2021. This reflects an increase of approximately 10.2% over the previous quarterly rate. The timing, declaration, amount of and payment of any dividends by AbbVie in the future is within the discretion of its board of directors and will depend upon many factors, including AbbVie's financial condition, earnings, capital requirements of its operating subsidiaries, covenants associated with certain of AbbVie's debt service obligations, legal requirements, regulatory constraints, industry practice, ability to access capital markets and other factors deemed relevant by its board of directors.</w:t>
      </w:r>
    </w:p>
    <w:p>
      <w:pPr>
        <w:spacing w:after="0" w:line="144"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The company's stock repurchase authorization permits purchases of AbbVie shares from time to time in open-market or private transactions at management’s discretion. The program has no time limit and can be discontinued at any time. Under this authorization, AbbVie repurchased 8 million shares for $757 million in 2020 and 4 million shares for $300 million in 2019. AbbVie cash-settled $201 million of its December 2018 open market purchases in January 2019. AbbVie's remaining stock repurchase authorization was $3.2 billion as of December 31, 2020.</w:t>
      </w:r>
    </w:p>
    <w:p>
      <w:pPr>
        <w:spacing w:after="0" w:line="138"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In 2020 and 2019, the company issued and redeemed commercial paper. There were no commercial paper borrowings outstanding as of December 31, 2020 or December 31, 2019. AbbVie may issue additional commercial paper or retire commercial paper to meet liquidity requirements as needed.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Credit Risk</w:t>
      </w:r>
    </w:p>
    <w:p>
      <w:pPr>
        <w:spacing w:after="0" w:line="180" w:lineRule="exact"/>
        <w:rPr>
          <w:sz w:val="20"/>
          <w:szCs w:val="20"/>
          <w:color w:val="auto"/>
        </w:rPr>
      </w:pPr>
    </w:p>
    <w:p>
      <w:pPr>
        <w:jc w:val="both"/>
        <w:ind w:right="220" w:firstLine="445"/>
        <w:spacing w:after="0" w:line="256" w:lineRule="auto"/>
        <w:rPr>
          <w:sz w:val="20"/>
          <w:szCs w:val="20"/>
          <w:color w:val="auto"/>
        </w:rPr>
      </w:pPr>
      <w:r>
        <w:rPr>
          <w:rFonts w:ascii="Arial" w:cs="Arial" w:eastAsia="Arial" w:hAnsi="Arial"/>
          <w:sz w:val="18"/>
          <w:szCs w:val="18"/>
          <w:color w:val="auto"/>
        </w:rPr>
        <w:t>AbbVie monitors economic conditions, the creditworthiness of customers and government regulations and funding, both domestically and abroad. AbbVie regularly communicates with its customers regarding the status of receivable balances, including their payment plans and obtains positive confirmation of the validity of the receivables. AbbVie establishes an</w:t>
      </w:r>
    </w:p>
    <w:p>
      <w:pPr>
        <w:sectPr>
          <w:pgSz w:w="11900" w:h="16838" w:orient="portrait"/>
          <w:cols w:equalWidth="0" w:num="1">
            <w:col w:w="11220"/>
          </w:cols>
          <w:pgMar w:left="320" w:top="1075" w:right="35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41</w:t>
      </w:r>
      <w:r>
        <w:rPr>
          <w:sz w:val="20"/>
          <w:szCs w:val="20"/>
          <w:color w:val="auto"/>
        </w:rPr>
        <w:tab/>
      </w:r>
      <w:r>
        <w:rPr>
          <w:sz w:val="1"/>
          <w:szCs w:val="1"/>
          <w:color w:val="auto"/>
        </w:rPr>
        <w:drawing>
          <wp:inline distT="0" distB="0" distL="0" distR="0">
            <wp:extent cx="600075" cy="1117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0075" cy="11176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5" w:right="359" w:bottom="1440" w:gutter="0" w:footer="0" w:header="0"/>
          <w:type w:val="continuous"/>
        </w:sectPr>
      </w:pPr>
    </w:p>
    <w:bookmarkStart w:id="44" w:name="page45"/>
    <w:bookmarkEnd w:id="44"/>
    <w:p>
      <w:pPr>
        <w:spacing w:after="0" w:line="256" w:lineRule="auto"/>
        <w:rPr>
          <w:sz w:val="20"/>
          <w:szCs w:val="20"/>
          <w:color w:val="auto"/>
        </w:rPr>
      </w:pPr>
      <w:r>
        <w:rPr>
          <w:rFonts w:ascii="Arial" w:cs="Arial" w:eastAsia="Arial" w:hAnsi="Arial"/>
          <w:sz w:val="18"/>
          <w:szCs w:val="18"/>
          <w:color w:val="auto"/>
        </w:rPr>
        <w:t>allowance for credit losses equal to the estimate of future losses over the contractual life of outstanding accounts receivable. AbbVie may also utilize factoring arrangements to mitigate credit risk, although the receivables included in such arrangements have historically not been a significant amount of total outstanding receivables.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Credit Facility, Access to Capital and Credit Ratings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76" w:lineRule="exact"/>
        <w:rPr>
          <w:sz w:val="20"/>
          <w:szCs w:val="20"/>
          <w:color w:val="auto"/>
        </w:rPr>
      </w:pPr>
    </w:p>
    <w:p>
      <w:pPr>
        <w:ind w:right="420" w:firstLine="445"/>
        <w:spacing w:after="0" w:line="254" w:lineRule="auto"/>
        <w:rPr>
          <w:sz w:val="20"/>
          <w:szCs w:val="20"/>
          <w:color w:val="auto"/>
        </w:rPr>
      </w:pPr>
      <w:r>
        <w:rPr>
          <w:rFonts w:ascii="Arial" w:cs="Arial" w:eastAsia="Arial" w:hAnsi="Arial"/>
          <w:sz w:val="18"/>
          <w:szCs w:val="18"/>
          <w:color w:val="auto"/>
        </w:rPr>
        <w:t>AbbVie currently has a $4.0 billion five-year revolving credit facility that matures in August 2024. This amended facility enables the company to borrow funds on an unsecured basis at variable interest rates and contains various covenants. At December 31, 2020, the company was in compliance with all covenants, and commitment fees under the credit facility were insignificant. No amounts were outstanding under the company's credit facility as of December 31, 2020 and 2019.</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Access to Capital</w:t>
      </w:r>
    </w:p>
    <w:p>
      <w:pPr>
        <w:spacing w:after="0" w:line="176"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The company intends to fund short-term and long-term financial obligations as they mature through cash on hand, future cash flows from operations or has the ability to issue additional debt. The company's ability to generate cash flows from operations, issue debt or enter into financing arrangements on acceptable terms could be adversely affected if there is a material decline in the demand for the company's products or in the solvency of its customers or suppliers, deterioration in the company's key financial ratios or credit ratings, or other material unfavorable changes in business conditions. At the current time, the company believes it has sufficient financial flexibility to issue debt, enter into other financing arrangements and attract long-term capital on acceptable terms to support the company's growth objectives.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Ratings</w:t>
      </w:r>
    </w:p>
    <w:p>
      <w:pPr>
        <w:spacing w:after="0" w:line="162"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Following the acquisition of Allergan, S&amp;P Global Ratings revised its ratings outlook to stable from negative and lowered the issuer credit rating by one notch to BBB+ from A- and the short-term rating to A-2 from A-1. There were no changes in Moody's Investor Service of its Baa2 senior unsecured long-term rating and Prime-2 short-term rating with a stable outlook.</w:t>
      </w:r>
    </w:p>
    <w:p>
      <w:pPr>
        <w:spacing w:after="0" w:line="94"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Unfavorable changes to the ratings may have an adverse impact on future financing arrangements; however, they would not affect the company’s ability to draw on its credit facility and would not result in an acceleration of scheduled maturities of any of the company’s outstanding debt.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Contractual Obligations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AbbVie's estimated contractual obligations as of December 31, 2020:</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4"/>
                <w:szCs w:val="14"/>
                <w:color w:val="auto"/>
              </w:rPr>
            </w:pPr>
          </w:p>
        </w:tc>
        <w:tc>
          <w:tcPr>
            <w:tcW w:w="9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980" w:type="dxa"/>
            <w:vAlign w:val="bottom"/>
          </w:tcPr>
          <w:p>
            <w:pPr>
              <w:jc w:val="right"/>
              <w:ind w:right="174"/>
              <w:spacing w:after="0"/>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4"/>
                <w:szCs w:val="14"/>
                <w:color w:val="auto"/>
              </w:rPr>
            </w:pPr>
          </w:p>
        </w:tc>
        <w:tc>
          <w:tcPr>
            <w:tcW w:w="1020" w:type="dxa"/>
            <w:vAlign w:val="bottom"/>
          </w:tcPr>
          <w:p>
            <w:pPr>
              <w:jc w:val="right"/>
              <w:ind w:right="294"/>
              <w:spacing w:after="0"/>
              <w:rPr>
                <w:sz w:val="20"/>
                <w:szCs w:val="20"/>
                <w:color w:val="auto"/>
              </w:rPr>
            </w:pPr>
            <w:r>
              <w:rPr>
                <w:rFonts w:ascii="Arial" w:cs="Arial" w:eastAsia="Arial" w:hAnsi="Arial"/>
                <w:sz w:val="14"/>
                <w:szCs w:val="14"/>
                <w:b w:val="1"/>
                <w:bCs w:val="1"/>
                <w:color w:val="auto"/>
              </w:rPr>
              <w:t>One to</w:t>
            </w:r>
          </w:p>
        </w:tc>
        <w:tc>
          <w:tcPr>
            <w:tcW w:w="260" w:type="dxa"/>
            <w:vAlign w:val="bottom"/>
          </w:tcPr>
          <w:p>
            <w:pPr>
              <w:spacing w:after="0"/>
              <w:rPr>
                <w:sz w:val="14"/>
                <w:szCs w:val="14"/>
                <w:color w:val="auto"/>
              </w:rPr>
            </w:pPr>
          </w:p>
        </w:tc>
        <w:tc>
          <w:tcPr>
            <w:tcW w:w="1000" w:type="dxa"/>
            <w:vAlign w:val="bottom"/>
          </w:tcPr>
          <w:p>
            <w:pPr>
              <w:jc w:val="right"/>
              <w:ind w:right="234"/>
              <w:spacing w:after="0"/>
              <w:rPr>
                <w:sz w:val="20"/>
                <w:szCs w:val="20"/>
                <w:color w:val="auto"/>
              </w:rPr>
            </w:pPr>
            <w:r>
              <w:rPr>
                <w:rFonts w:ascii="Arial" w:cs="Arial" w:eastAsia="Arial" w:hAnsi="Arial"/>
                <w:sz w:val="14"/>
                <w:szCs w:val="14"/>
                <w:b w:val="1"/>
                <w:bCs w:val="1"/>
                <w:color w:val="auto"/>
              </w:rPr>
              <w:t>Three to</w:t>
            </w:r>
          </w:p>
        </w:tc>
        <w:tc>
          <w:tcPr>
            <w:tcW w:w="260" w:type="dxa"/>
            <w:vAlign w:val="bottom"/>
          </w:tcPr>
          <w:p>
            <w:pPr>
              <w:spacing w:after="0"/>
              <w:rPr>
                <w:sz w:val="14"/>
                <w:szCs w:val="14"/>
                <w:color w:val="auto"/>
              </w:rPr>
            </w:pPr>
          </w:p>
        </w:tc>
        <w:tc>
          <w:tcPr>
            <w:tcW w:w="980" w:type="dxa"/>
            <w:vAlign w:val="bottom"/>
          </w:tcPr>
          <w:p>
            <w:pPr>
              <w:jc w:val="right"/>
              <w:ind w:right="154"/>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5"/>
        </w:trPr>
        <w:tc>
          <w:tcPr>
            <w:tcW w:w="470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one year</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three years</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five years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five years</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borrowings</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58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84,948</w:t>
            </w:r>
          </w:p>
        </w:tc>
        <w:tc>
          <w:tcPr>
            <w:tcW w:w="26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8,422</w:t>
            </w:r>
          </w:p>
        </w:tc>
        <w:tc>
          <w:tcPr>
            <w:tcW w:w="240" w:type="dxa"/>
            <w:vAlign w:val="bottom"/>
          </w:tcPr>
          <w:p>
            <w:pPr>
              <w:spacing w:after="0"/>
              <w:rPr>
                <w:sz w:val="19"/>
                <w:szCs w:val="19"/>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16,643</w:t>
            </w:r>
          </w:p>
        </w:tc>
        <w:tc>
          <w:tcPr>
            <w:tcW w:w="26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16,197</w:t>
            </w:r>
          </w:p>
        </w:tc>
        <w:tc>
          <w:tcPr>
            <w:tcW w:w="26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43,686</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Interest on long-term debt</w:t>
            </w:r>
            <w:r>
              <w:rPr>
                <w:rFonts w:ascii="Arial" w:cs="Arial" w:eastAsia="Arial" w:hAnsi="Arial"/>
                <w:sz w:val="23"/>
                <w:szCs w:val="23"/>
                <w:color w:val="auto"/>
                <w:vertAlign w:val="superscript"/>
              </w:rPr>
              <w:t>(a)</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33,664</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2,752</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4,652</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3,898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22,362</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Non-cancelable operating and finance lease payments</w:t>
            </w:r>
          </w:p>
        </w:tc>
        <w:tc>
          <w:tcPr>
            <w:tcW w:w="58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1,154</w:t>
            </w:r>
          </w:p>
        </w:tc>
        <w:tc>
          <w:tcPr>
            <w:tcW w:w="26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229</w:t>
            </w:r>
          </w:p>
        </w:tc>
        <w:tc>
          <w:tcPr>
            <w:tcW w:w="240" w:type="dxa"/>
            <w:vAlign w:val="bottom"/>
          </w:tcPr>
          <w:p>
            <w:pPr>
              <w:spacing w:after="0"/>
              <w:rPr>
                <w:sz w:val="19"/>
                <w:szCs w:val="19"/>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323</w:t>
            </w:r>
          </w:p>
        </w:tc>
        <w:tc>
          <w:tcPr>
            <w:tcW w:w="26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Purchase obligations and other</w:t>
            </w:r>
            <w:r>
              <w:rPr>
                <w:rFonts w:ascii="Arial" w:cs="Arial" w:eastAsia="Arial" w:hAnsi="Arial"/>
                <w:sz w:val="23"/>
                <w:szCs w:val="23"/>
                <w:color w:val="auto"/>
                <w:vertAlign w:val="superscript"/>
              </w:rPr>
              <w:t>(b)</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5,432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5,040</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249</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23"/>
                <w:szCs w:val="23"/>
                <w:color w:val="auto"/>
                <w:vertAlign w:val="superscript"/>
              </w:rPr>
              <w:t>(c) (d) (e)</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18,478</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1,029</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3,036</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4,144</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10,269</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143,710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17,506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24,903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24,559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76,742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20" w:right="140" w:hanging="412"/>
        <w:spacing w:after="0" w:line="252" w:lineRule="auto"/>
        <w:tabs>
          <w:tab w:leader="none" w:pos="4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estimated future interest payments on long-term debt. Interest payments on debt are calculated for future periods using forecasted interest rates in effect at the end of 2020. Projected interest payments include the related effects of interest rate swap agreements. Certain of these projected interest payments may differ in the future based on changes in floating interest rates or other factors or events. The projected interest payments only pertain to obligations and agreements outstanding at December 31, 2020. See Note 10 to the Consolidated Financial Statements for additional information regarding the company's debt instruments and Note 11 for additional information on the interest rate swap agreements outstanding at December 31, 2020.</w:t>
      </w:r>
    </w:p>
    <w:p>
      <w:pPr>
        <w:spacing w:after="0" w:line="127" w:lineRule="exact"/>
        <w:rPr>
          <w:rFonts w:ascii="Arial" w:cs="Arial" w:eastAsia="Arial" w:hAnsi="Arial"/>
          <w:sz w:val="18"/>
          <w:szCs w:val="18"/>
          <w:color w:val="auto"/>
        </w:rPr>
      </w:pPr>
    </w:p>
    <w:p>
      <w:pPr>
        <w:ind w:left="420" w:right="380" w:hanging="412"/>
        <w:spacing w:after="0" w:line="261" w:lineRule="auto"/>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the company's significant unconditional purchase obligations. These commitments do not exceed the company's projected requirements and are made in the normal course of business.</w:t>
      </w:r>
    </w:p>
    <w:p>
      <w:pPr>
        <w:spacing w:after="0" w:line="130" w:lineRule="exact"/>
        <w:rPr>
          <w:rFonts w:ascii="Arial" w:cs="Arial" w:eastAsia="Arial" w:hAnsi="Arial"/>
          <w:sz w:val="18"/>
          <w:szCs w:val="18"/>
          <w:color w:val="auto"/>
        </w:rPr>
      </w:pPr>
    </w:p>
    <w:p>
      <w:pPr>
        <w:ind w:left="420" w:hanging="412"/>
        <w:spacing w:after="0" w:line="256" w:lineRule="auto"/>
        <w:tabs>
          <w:tab w:leader="none" w:pos="441"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Excludes liabilities associated with the company's unrecognized tax benefits as it is not possible to reliably estimate the timing of the future cash outflows related to these liabilities. See Note 14 to the Consolidated Financial Statements for additional information on these unrecognized tax benefits.</w:t>
      </w:r>
    </w:p>
    <w:p>
      <w:pPr>
        <w:sectPr>
          <w:pgSz w:w="11900" w:h="16838" w:orient="portrait"/>
          <w:cols w:equalWidth="0" w:num="1">
            <w:col w:w="11220"/>
          </w:cols>
          <w:pgMar w:left="320" w:top="1097" w:right="35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8180"/>
        <w:spacing w:after="0"/>
        <w:tabs>
          <w:tab w:leader="none" w:pos="9620" w:val="left"/>
        </w:tabs>
        <w:rPr>
          <w:sz w:val="20"/>
          <w:szCs w:val="20"/>
          <w:color w:val="auto"/>
        </w:rPr>
      </w:pPr>
      <w:r>
        <w:rPr>
          <w:rFonts w:ascii="Arial" w:cs="Arial" w:eastAsia="Arial" w:hAnsi="Arial"/>
          <w:sz w:val="18"/>
          <w:szCs w:val="18"/>
          <w:i w:val="1"/>
          <w:iCs w:val="1"/>
          <w:color w:val="auto"/>
        </w:rPr>
        <w:t>2020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600075" cy="1117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0075" cy="11176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type w:val="continuous"/>
        </w:sectPr>
      </w:pPr>
    </w:p>
    <w:bookmarkStart w:id="45" w:name="page46"/>
    <w:bookmarkEnd w:id="45"/>
    <w:p>
      <w:pPr>
        <w:ind w:left="420" w:hanging="412"/>
        <w:spacing w:after="0" w:line="278" w:lineRule="auto"/>
        <w:tabs>
          <w:tab w:leader="none" w:pos="424"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$13.0 billion of contingent consideration liabilities which are recorded at fair value on the consolidated balance sheet. Potential contingent consideration payments that exceed the fair value recorded on the consolidated balance sheet are not included in the table of contractual obligations. See Note 11 to the Consolidated Financial Statements for additional information regarding these liabilities.</w:t>
      </w:r>
    </w:p>
    <w:p>
      <w:pPr>
        <w:spacing w:after="0" w:line="76" w:lineRule="exact"/>
        <w:rPr>
          <w:rFonts w:ascii="Arial" w:cs="Arial" w:eastAsia="Arial" w:hAnsi="Arial"/>
          <w:sz w:val="17"/>
          <w:szCs w:val="17"/>
          <w:color w:val="auto"/>
        </w:rPr>
      </w:pPr>
    </w:p>
    <w:p>
      <w:pPr>
        <w:ind w:left="420" w:right="260" w:hanging="412"/>
        <w:spacing w:after="0" w:line="291" w:lineRule="auto"/>
        <w:tabs>
          <w:tab w:leader="none" w:pos="437"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a one-time transition tax liability on a mandatory deemed repatriation of previously untaxed earnings of foreign subsidiaries resulting from U.S. tax reform enacted in 2017. The one-time transition tax is generally payable in eight annual installments.</w:t>
      </w:r>
    </w:p>
    <w:p>
      <w:pPr>
        <w:spacing w:after="0" w:line="66" w:lineRule="exact"/>
        <w:rPr>
          <w:sz w:val="20"/>
          <w:szCs w:val="20"/>
          <w:color w:val="auto"/>
        </w:rPr>
      </w:pPr>
    </w:p>
    <w:p>
      <w:pPr>
        <w:ind w:right="100" w:firstLine="445"/>
        <w:spacing w:after="0" w:line="251" w:lineRule="auto"/>
        <w:rPr>
          <w:sz w:val="20"/>
          <w:szCs w:val="20"/>
          <w:color w:val="auto"/>
        </w:rPr>
      </w:pPr>
      <w:r>
        <w:rPr>
          <w:rFonts w:ascii="Arial" w:cs="Arial" w:eastAsia="Arial" w:hAnsi="Arial"/>
          <w:sz w:val="18"/>
          <w:szCs w:val="18"/>
          <w:color w:val="auto"/>
        </w:rPr>
        <w:t>AbbVie enters into R&amp;D collaboration arrangements with third parties that may require future milestone payments to third parties contingent upon the achievement of certain development, regulatory, or commercial milestones. Individually, these arrangements are insignificant in any one annual reporting period. However, if milestones for multiple products covered by these arrangements would happen to be reached in the same reporting period, the aggregate charge to expense could be material to the results of operations in that period. From a business perspective, the payments are viewed as positive because they signify that the product is successfully moving through development and is now generating or is more likely to generate future cash flows from product sales. It is not possible to predict with reasonable certainty whether these milestones will be achieved or the timing for achievement. As a result, these potential payments are not included in the table of contractual obligations. See Note 5 to the Consolidated Financial Statements for additional information on these collaboration arrangements.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CRITICAL ACCOUNTING POLICIES AND ESTIMATES</w:t>
      </w:r>
    </w:p>
    <w:p>
      <w:pPr>
        <w:spacing w:after="0" w:line="166"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in the United States requires the use of estimates and assumptions that affect the reported amounts of assets and liabilities and the reported amounts of revenue and expenses. A summary of the company's significant accounting policies is included in Note 2 to the Consolidated Financial Statements. Certain of these policies are considered critical as these most significantly impact the company's financial condition and results of operations and require the most difficult, subjective, or complex judgments, often as a result of the need to make estimates about the effect of matters that are inherently uncertain. Actual results may vary from these estimates.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Revenue Recognition</w:t>
      </w:r>
    </w:p>
    <w:p>
      <w:pPr>
        <w:spacing w:after="0" w:line="180"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AbbVie recognizes revenue when control of promised goods or services is transferred to the company’s customers, in an amount that reflects the consideration AbbVie expects to be entitled to in exchange for those goods or services. Sales, value add and other taxes collected concurrent with revenue-producing activities are excluded from revenue. AbbVie generates revenue primarily from product sales. For the majority of sales, the company transfers control, invoices the customer and recognizes revenue upon shipment to the customer.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Rebates</w:t>
      </w:r>
    </w:p>
    <w:p>
      <w:pPr>
        <w:spacing w:after="0" w:line="176" w:lineRule="exact"/>
        <w:rPr>
          <w:sz w:val="20"/>
          <w:szCs w:val="20"/>
          <w:color w:val="auto"/>
        </w:rPr>
      </w:pPr>
    </w:p>
    <w:p>
      <w:pPr>
        <w:ind w:right="160" w:firstLine="445"/>
        <w:spacing w:after="0" w:line="261" w:lineRule="auto"/>
        <w:rPr>
          <w:sz w:val="20"/>
          <w:szCs w:val="20"/>
          <w:color w:val="auto"/>
        </w:rPr>
      </w:pPr>
      <w:r>
        <w:rPr>
          <w:rFonts w:ascii="Arial" w:cs="Arial" w:eastAsia="Arial" w:hAnsi="Arial"/>
          <w:sz w:val="18"/>
          <w:szCs w:val="18"/>
          <w:color w:val="auto"/>
        </w:rPr>
        <w:t>AbbVie provides rebates to pharmacy benefit managers, state government Medicaid programs, insurance companies that administer Medicare drug plans, wholesalers, group purchasing organizations and other government agencies and private entities.</w:t>
      </w:r>
    </w:p>
    <w:p>
      <w:pPr>
        <w:spacing w:after="0" w:line="130"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Rebate and chargeback accruals are accounted for as variable consideration and are recorded as a reduction to revenue in the period the related product is sold. Provisions for rebates and chargebacks totaled $27.0 billion in 2020, $18.8 billion in 2019 and $16.4 billion in 2018. Rebate amounts are typically based upon the volume of purchases using contractual or statutory prices, which may vary by product and by payer. For each type of rebate, the factors used in the calculations of the accrual for that rebate include the identification of the products subject to the rebate, the applicable price terms and the estimated lag time between sale and payment of the rebate, which can be significant.</w:t>
      </w:r>
    </w:p>
    <w:p>
      <w:pPr>
        <w:spacing w:after="0" w:line="127"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In order to establish its rebate and chargeback accruals, the company uses both internal and external data to estimate the level of inventory in the distribution channel and the rebate claims processing lag time for each type of rebate. To estimate the rebate percentage or net price, the company tracks sales by product and by customer or payer. The company evaluates inventory data reported by wholesalers, available prescription volume information, product pricing, historical experience and other factors in order to determine the adequacy of its reserves. AbbVie regularly monitors its reserves and records adjustments when rebate trends, rebate programs and contract terms, legislative changes, or other significant events indicate that a change in the reserve is appropriate. Historically, adjustments to rebate accruals have not been material to net earnings.</w:t>
      </w:r>
    </w:p>
    <w:p>
      <w:pPr>
        <w:spacing w:after="0" w:line="380"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43</w:t>
      </w:r>
      <w:r>
        <w:rPr>
          <w:sz w:val="20"/>
          <w:szCs w:val="20"/>
          <w:color w:val="auto"/>
        </w:rPr>
        <w:tab/>
      </w:r>
      <w:r>
        <w:rPr>
          <w:sz w:val="1"/>
          <w:szCs w:val="1"/>
          <w:color w:val="auto"/>
        </w:rPr>
        <w:drawing>
          <wp:inline distT="0" distB="0" distL="0" distR="0">
            <wp:extent cx="600075" cy="11176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0075" cy="11176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57" w:right="419" w:bottom="1440" w:gutter="0" w:footer="0" w:header="0"/>
        </w:sectPr>
      </w:pPr>
    </w:p>
    <w:bookmarkStart w:id="46" w:name="page47"/>
    <w:bookmarkEnd w:id="46"/>
    <w:p>
      <w:pPr>
        <w:jc w:val="both"/>
        <w:ind w:right="80"/>
        <w:spacing w:after="0" w:line="256" w:lineRule="auto"/>
        <w:rPr>
          <w:sz w:val="20"/>
          <w:szCs w:val="20"/>
          <w:color w:val="auto"/>
        </w:rPr>
      </w:pPr>
      <w:r>
        <w:rPr>
          <w:rFonts w:ascii="Arial" w:cs="Arial" w:eastAsia="Arial" w:hAnsi="Arial"/>
          <w:sz w:val="18"/>
          <w:szCs w:val="18"/>
          <w:color w:val="auto"/>
        </w:rPr>
        <w:t>The following table is an analysis of the three largest rebate accruals and chargeback allowances, which comprise approximately 89% of the total consolidated rebate and chargebacks recorded as reductions to revenues in 2020. Remaining rebate provisions charged against gross revenues are not significant in the determination of operating earnings.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20" w:type="dxa"/>
            <w:vAlign w:val="bottom"/>
          </w:tcPr>
          <w:p>
            <w:pPr>
              <w:jc w:val="center"/>
              <w:ind w:right="235"/>
              <w:spacing w:after="0"/>
              <w:rPr>
                <w:sz w:val="20"/>
                <w:szCs w:val="20"/>
                <w:color w:val="auto"/>
              </w:rPr>
            </w:pPr>
            <w:r>
              <w:rPr>
                <w:rFonts w:ascii="Arial" w:cs="Arial" w:eastAsia="Arial" w:hAnsi="Arial"/>
                <w:sz w:val="14"/>
                <w:szCs w:val="14"/>
                <w:b w:val="1"/>
                <w:bCs w:val="1"/>
                <w:color w:val="auto"/>
              </w:rPr>
              <w:t>Medicaid</w:t>
            </w:r>
          </w:p>
        </w:tc>
        <w:tc>
          <w:tcPr>
            <w:tcW w:w="320" w:type="dxa"/>
            <w:vAlign w:val="bottom"/>
          </w:tcPr>
          <w:p>
            <w:pPr>
              <w:spacing w:after="0"/>
              <w:rPr>
                <w:sz w:val="14"/>
                <w:szCs w:val="14"/>
                <w:color w:val="auto"/>
              </w:rPr>
            </w:pPr>
          </w:p>
        </w:tc>
        <w:tc>
          <w:tcPr>
            <w:tcW w:w="1240" w:type="dxa"/>
            <w:vAlign w:val="bottom"/>
            <w:vMerge w:val="restart"/>
          </w:tcPr>
          <w:p>
            <w:pPr>
              <w:jc w:val="center"/>
              <w:ind w:right="214"/>
              <w:spacing w:after="0"/>
              <w:rPr>
                <w:sz w:val="20"/>
                <w:szCs w:val="20"/>
                <w:color w:val="auto"/>
              </w:rPr>
            </w:pPr>
            <w:r>
              <w:rPr>
                <w:rFonts w:ascii="Arial" w:cs="Arial" w:eastAsia="Arial" w:hAnsi="Arial"/>
                <w:sz w:val="14"/>
                <w:szCs w:val="14"/>
                <w:b w:val="1"/>
                <w:bCs w:val="1"/>
                <w:color w:val="auto"/>
              </w:rPr>
              <w:t>Managed</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20" w:type="dxa"/>
            <w:vAlign w:val="bottom"/>
          </w:tcPr>
          <w:p>
            <w:pPr>
              <w:jc w:val="center"/>
              <w:ind w:right="235"/>
              <w:spacing w:after="0" w:line="135" w:lineRule="exact"/>
              <w:rPr>
                <w:sz w:val="20"/>
                <w:szCs w:val="20"/>
                <w:color w:val="auto"/>
              </w:rPr>
            </w:pPr>
            <w:r>
              <w:rPr>
                <w:rFonts w:ascii="Arial" w:cs="Arial" w:eastAsia="Arial" w:hAnsi="Arial"/>
                <w:sz w:val="14"/>
                <w:szCs w:val="14"/>
                <w:b w:val="1"/>
                <w:bCs w:val="1"/>
                <w:color w:val="auto"/>
              </w:rPr>
              <w:t>and</w:t>
            </w:r>
          </w:p>
        </w:tc>
        <w:tc>
          <w:tcPr>
            <w:tcW w:w="3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Wholesaler</w:t>
            </w:r>
          </w:p>
        </w:tc>
        <w:tc>
          <w:tcPr>
            <w:tcW w:w="0" w:type="dxa"/>
            <w:vAlign w:val="bottom"/>
          </w:tcPr>
          <w:p>
            <w:pPr>
              <w:spacing w:after="0"/>
              <w:rPr>
                <w:sz w:val="1"/>
                <w:szCs w:val="1"/>
                <w:color w:val="auto"/>
              </w:rPr>
            </w:pPr>
          </w:p>
        </w:tc>
      </w:tr>
      <w:tr>
        <w:trPr>
          <w:trHeight w:val="135"/>
        </w:trPr>
        <w:tc>
          <w:tcPr>
            <w:tcW w:w="4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360" w:type="dxa"/>
            <w:vAlign w:val="bottom"/>
          </w:tcPr>
          <w:p>
            <w:pPr>
              <w:spacing w:after="0"/>
              <w:rPr>
                <w:sz w:val="11"/>
                <w:szCs w:val="11"/>
                <w:color w:val="auto"/>
              </w:rPr>
            </w:pPr>
          </w:p>
        </w:tc>
        <w:tc>
          <w:tcPr>
            <w:tcW w:w="1220" w:type="dxa"/>
            <w:vAlign w:val="bottom"/>
          </w:tcPr>
          <w:p>
            <w:pPr>
              <w:jc w:val="center"/>
              <w:ind w:right="235"/>
              <w:spacing w:after="0" w:line="135" w:lineRule="exact"/>
              <w:rPr>
                <w:sz w:val="20"/>
                <w:szCs w:val="20"/>
                <w:color w:val="auto"/>
              </w:rPr>
            </w:pPr>
            <w:r>
              <w:rPr>
                <w:rFonts w:ascii="Arial" w:cs="Arial" w:eastAsia="Arial" w:hAnsi="Arial"/>
                <w:sz w:val="14"/>
                <w:szCs w:val="14"/>
                <w:b w:val="1"/>
                <w:bCs w:val="1"/>
                <w:color w:val="auto"/>
              </w:rPr>
              <w:t>Medicare</w:t>
            </w:r>
          </w:p>
        </w:tc>
        <w:tc>
          <w:tcPr>
            <w:tcW w:w="320" w:type="dxa"/>
            <w:vAlign w:val="bottom"/>
          </w:tcPr>
          <w:p>
            <w:pPr>
              <w:spacing w:after="0"/>
              <w:rPr>
                <w:sz w:val="11"/>
                <w:szCs w:val="11"/>
                <w:color w:val="auto"/>
              </w:rPr>
            </w:pPr>
          </w:p>
        </w:tc>
        <w:tc>
          <w:tcPr>
            <w:tcW w:w="1240" w:type="dxa"/>
            <w:vAlign w:val="bottom"/>
          </w:tcPr>
          <w:p>
            <w:pPr>
              <w:jc w:val="center"/>
              <w:ind w:right="234"/>
              <w:spacing w:after="0" w:line="135" w:lineRule="exact"/>
              <w:rPr>
                <w:sz w:val="20"/>
                <w:szCs w:val="20"/>
                <w:color w:val="auto"/>
              </w:rPr>
            </w:pPr>
            <w:r>
              <w:rPr>
                <w:rFonts w:ascii="Arial" w:cs="Arial" w:eastAsia="Arial" w:hAnsi="Arial"/>
                <w:sz w:val="14"/>
                <w:szCs w:val="14"/>
                <w:b w:val="1"/>
                <w:bCs w:val="1"/>
                <w:color w:val="auto"/>
              </w:rPr>
              <w:t>Care</w:t>
            </w:r>
          </w:p>
        </w:tc>
        <w:tc>
          <w:tcPr>
            <w:tcW w:w="2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600" w:type="dxa"/>
            <w:vAlign w:val="bottom"/>
            <w:tcBorders>
              <w:bottom w:val="single" w:sz="8" w:color="auto"/>
            </w:tcBorders>
            <w:vMerge w:val="continue"/>
          </w:tcPr>
          <w:p>
            <w:pPr>
              <w:spacing w:after="0"/>
              <w:rPr>
                <w:sz w:val="15"/>
                <w:szCs w:val="15"/>
                <w:color w:val="auto"/>
              </w:rPr>
            </w:pPr>
          </w:p>
        </w:tc>
        <w:tc>
          <w:tcPr>
            <w:tcW w:w="2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rPr>
              <w:t>Rebates</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rPr>
              <w:t>Rebates</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Chargebacks</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2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435"/>
              <w:spacing w:after="0"/>
              <w:rPr>
                <w:sz w:val="20"/>
                <w:szCs w:val="20"/>
                <w:color w:val="auto"/>
              </w:rPr>
            </w:pPr>
            <w:r>
              <w:rPr>
                <w:rFonts w:ascii="Arial" w:cs="Arial" w:eastAsia="Arial" w:hAnsi="Arial"/>
                <w:sz w:val="18"/>
                <w:szCs w:val="18"/>
                <w:color w:val="auto"/>
              </w:rPr>
              <w:t>1,340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1,195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Provisions</w:t>
            </w:r>
          </w:p>
        </w:tc>
        <w:tc>
          <w:tcPr>
            <w:tcW w:w="2360" w:type="dxa"/>
            <w:vAlign w:val="bottom"/>
          </w:tcPr>
          <w:p>
            <w:pPr>
              <w:spacing w:after="0"/>
              <w:rPr>
                <w:sz w:val="19"/>
                <w:szCs w:val="19"/>
                <w:color w:val="auto"/>
              </w:rPr>
            </w:pPr>
          </w:p>
        </w:tc>
        <w:tc>
          <w:tcPr>
            <w:tcW w:w="1220" w:type="dxa"/>
            <w:vAlign w:val="bottom"/>
          </w:tcPr>
          <w:p>
            <w:pPr>
              <w:jc w:val="center"/>
              <w:ind w:left="435"/>
              <w:spacing w:after="0"/>
              <w:rPr>
                <w:sz w:val="20"/>
                <w:szCs w:val="20"/>
                <w:color w:val="auto"/>
              </w:rPr>
            </w:pPr>
            <w:r>
              <w:rPr>
                <w:rFonts w:ascii="Arial" w:cs="Arial" w:eastAsia="Arial" w:hAnsi="Arial"/>
                <w:sz w:val="18"/>
                <w:szCs w:val="18"/>
                <w:color w:val="auto"/>
              </w:rPr>
              <w:t>3,493</w:t>
            </w:r>
          </w:p>
        </w:tc>
        <w:tc>
          <w:tcPr>
            <w:tcW w:w="32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4,729</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6,659</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415"/>
              <w:spacing w:after="0"/>
              <w:rPr>
                <w:sz w:val="20"/>
                <w:szCs w:val="20"/>
                <w:color w:val="auto"/>
              </w:rPr>
            </w:pPr>
            <w:r>
              <w:rPr>
                <w:rFonts w:ascii="Arial" w:cs="Arial" w:eastAsia="Arial" w:hAnsi="Arial"/>
                <w:sz w:val="18"/>
                <w:szCs w:val="18"/>
                <w:color w:val="auto"/>
                <w:w w:val="98"/>
              </w:rPr>
              <w:t>(3,188)</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(6,525)</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Balance at December 31, 2018</w:t>
            </w:r>
          </w:p>
        </w:tc>
        <w:tc>
          <w:tcPr>
            <w:tcW w:w="2360" w:type="dxa"/>
            <w:vAlign w:val="bottom"/>
          </w:tcPr>
          <w:p>
            <w:pPr>
              <w:spacing w:after="0"/>
              <w:rPr>
                <w:sz w:val="19"/>
                <w:szCs w:val="19"/>
                <w:color w:val="auto"/>
              </w:rPr>
            </w:pPr>
          </w:p>
        </w:tc>
        <w:tc>
          <w:tcPr>
            <w:tcW w:w="1220" w:type="dxa"/>
            <w:vAlign w:val="bottom"/>
          </w:tcPr>
          <w:p>
            <w:pPr>
              <w:jc w:val="center"/>
              <w:ind w:left="435"/>
              <w:spacing w:after="0"/>
              <w:rPr>
                <w:sz w:val="20"/>
                <w:szCs w:val="20"/>
                <w:color w:val="auto"/>
              </w:rPr>
            </w:pPr>
            <w:r>
              <w:rPr>
                <w:rFonts w:ascii="Arial" w:cs="Arial" w:eastAsia="Arial" w:hAnsi="Arial"/>
                <w:sz w:val="18"/>
                <w:szCs w:val="18"/>
                <w:color w:val="auto"/>
              </w:rPr>
              <w:t>1,645</w:t>
            </w:r>
          </w:p>
        </w:tc>
        <w:tc>
          <w:tcPr>
            <w:tcW w:w="32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1,439</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Provisions</w:t>
            </w:r>
          </w:p>
        </w:tc>
        <w:tc>
          <w:tcPr>
            <w:tcW w:w="236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435"/>
              <w:spacing w:after="0"/>
              <w:rPr>
                <w:sz w:val="20"/>
                <w:szCs w:val="20"/>
                <w:color w:val="auto"/>
              </w:rPr>
            </w:pPr>
            <w:r>
              <w:rPr>
                <w:rFonts w:ascii="Arial" w:cs="Arial" w:eastAsia="Arial" w:hAnsi="Arial"/>
                <w:sz w:val="18"/>
                <w:szCs w:val="18"/>
                <w:color w:val="auto"/>
              </w:rPr>
              <w:t>4,035</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5,772</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7,947</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Payments</w:t>
            </w:r>
          </w:p>
        </w:tc>
        <w:tc>
          <w:tcPr>
            <w:tcW w:w="2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415"/>
              <w:spacing w:after="0"/>
              <w:rPr>
                <w:sz w:val="20"/>
                <w:szCs w:val="20"/>
                <w:color w:val="auto"/>
              </w:rPr>
            </w:pPr>
            <w:r>
              <w:rPr>
                <w:rFonts w:ascii="Arial" w:cs="Arial" w:eastAsia="Arial" w:hAnsi="Arial"/>
                <w:sz w:val="18"/>
                <w:szCs w:val="18"/>
                <w:color w:val="auto"/>
                <w:w w:val="98"/>
              </w:rPr>
              <w:t>(3,915)</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(5,275)</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(7,917)</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36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435"/>
              <w:spacing w:after="0"/>
              <w:rPr>
                <w:sz w:val="20"/>
                <w:szCs w:val="20"/>
                <w:color w:val="auto"/>
              </w:rPr>
            </w:pPr>
            <w:r>
              <w:rPr>
                <w:rFonts w:ascii="Arial" w:cs="Arial" w:eastAsia="Arial" w:hAnsi="Arial"/>
                <w:sz w:val="18"/>
                <w:szCs w:val="18"/>
                <w:color w:val="auto"/>
              </w:rPr>
              <w:t>1,765</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1,936</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line="230" w:lineRule="exact"/>
              <w:rPr>
                <w:sz w:val="20"/>
                <w:szCs w:val="20"/>
                <w:color w:val="auto"/>
              </w:rPr>
            </w:pPr>
            <w:r>
              <w:rPr>
                <w:rFonts w:ascii="Arial" w:cs="Arial" w:eastAsia="Arial" w:hAnsi="Arial"/>
                <w:sz w:val="18"/>
                <w:szCs w:val="18"/>
                <w:color w:val="auto"/>
              </w:rPr>
              <w:t>Additions</w:t>
            </w:r>
            <w:r>
              <w:rPr>
                <w:rFonts w:ascii="Arial" w:cs="Arial" w:eastAsia="Arial" w:hAnsi="Arial"/>
                <w:sz w:val="23"/>
                <w:szCs w:val="23"/>
                <w:color w:val="auto"/>
                <w:vertAlign w:val="superscript"/>
              </w:rPr>
              <w:t>(a)</w:t>
            </w:r>
          </w:p>
        </w:tc>
        <w:tc>
          <w:tcPr>
            <w:tcW w:w="2360" w:type="dxa"/>
            <w:vAlign w:val="bottom"/>
          </w:tcPr>
          <w:p>
            <w:pPr>
              <w:spacing w:after="0"/>
              <w:rPr>
                <w:sz w:val="19"/>
                <w:szCs w:val="19"/>
                <w:color w:val="auto"/>
              </w:rPr>
            </w:pPr>
          </w:p>
        </w:tc>
        <w:tc>
          <w:tcPr>
            <w:tcW w:w="1220" w:type="dxa"/>
            <w:vAlign w:val="bottom"/>
          </w:tcPr>
          <w:p>
            <w:pPr>
              <w:jc w:val="center"/>
              <w:ind w:left="435"/>
              <w:spacing w:after="0"/>
              <w:rPr>
                <w:sz w:val="20"/>
                <w:szCs w:val="20"/>
                <w:color w:val="auto"/>
              </w:rPr>
            </w:pPr>
            <w:r>
              <w:rPr>
                <w:rFonts w:ascii="Arial" w:cs="Arial" w:eastAsia="Arial" w:hAnsi="Arial"/>
                <w:sz w:val="18"/>
                <w:szCs w:val="18"/>
                <w:color w:val="auto"/>
              </w:rPr>
              <w:t>1,266</w:t>
            </w:r>
          </w:p>
        </w:tc>
        <w:tc>
          <w:tcPr>
            <w:tcW w:w="32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649</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Provisions</w:t>
            </w:r>
          </w:p>
        </w:tc>
        <w:tc>
          <w:tcPr>
            <w:tcW w:w="236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435"/>
              <w:spacing w:after="0"/>
              <w:rPr>
                <w:sz w:val="20"/>
                <w:szCs w:val="20"/>
                <w:color w:val="auto"/>
              </w:rPr>
            </w:pPr>
            <w:r>
              <w:rPr>
                <w:rFonts w:ascii="Arial" w:cs="Arial" w:eastAsia="Arial" w:hAnsi="Arial"/>
                <w:sz w:val="18"/>
                <w:szCs w:val="18"/>
                <w:color w:val="auto"/>
              </w:rPr>
              <w:t>6,715</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8,656</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Payments</w:t>
            </w:r>
          </w:p>
        </w:tc>
        <w:tc>
          <w:tcPr>
            <w:tcW w:w="2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415"/>
              <w:spacing w:after="0"/>
              <w:rPr>
                <w:sz w:val="20"/>
                <w:szCs w:val="20"/>
                <w:color w:val="auto"/>
              </w:rPr>
            </w:pPr>
            <w:r>
              <w:rPr>
                <w:rFonts w:ascii="Arial" w:cs="Arial" w:eastAsia="Arial" w:hAnsi="Arial"/>
                <w:sz w:val="18"/>
                <w:szCs w:val="18"/>
                <w:color w:val="auto"/>
                <w:w w:val="98"/>
              </w:rPr>
              <w:t>(6,801)</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(8,334)</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(8,693)</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center"/>
              <w:ind w:left="435"/>
              <w:spacing w:after="0"/>
              <w:rPr>
                <w:sz w:val="20"/>
                <w:szCs w:val="20"/>
                <w:color w:val="auto"/>
              </w:rPr>
            </w:pPr>
            <w:r>
              <w:rPr>
                <w:rFonts w:ascii="Arial" w:cs="Arial" w:eastAsia="Arial" w:hAnsi="Arial"/>
                <w:sz w:val="18"/>
                <w:szCs w:val="18"/>
                <w:color w:val="auto"/>
              </w:rPr>
              <w:t>2,945</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2,907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80" w:hanging="672"/>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rebate accruals and chargeback allowances assumed in the Allergan acquisition.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Discounts and Product Returns</w:t>
      </w:r>
    </w:p>
    <w:p>
      <w:pPr>
        <w:spacing w:after="0" w:line="176"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Cash discounts and product returns, which totaled $ 2.4 billion in 2020, $1.6 billion in 2019 and $1.6 billion in 2018, are accounted for as variable consideration and are recorded as a reduction to revenue in the same period the related product is sold. The reserve for cash discounts is readily determinable because the company's experience of payment history is fairly consistent. Product returns can be reliably estimated based on the company's historical return experience.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Pension and Other Post-Employment Benefits</w:t>
      </w:r>
    </w:p>
    <w:p>
      <w:pPr>
        <w:spacing w:after="0" w:line="180"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AbbVie engages outside actuaries to assist in the determination of the obligations and costs under the pension and other post-employment benefit plans that are direct obligations of AbbVie. The valuation of the funded status and the net periodic benefit cost for these plans are calculated using actuarial assumptions. The significant assumptions, which are reviewed annually, include the discount rate, the expected long-term rate of return on plan assets and the health care cost trend rates, and are disclosed in Note 12 to the Consolidated Financial Statements.</w:t>
      </w:r>
    </w:p>
    <w:p>
      <w:pPr>
        <w:spacing w:after="0" w:line="138" w:lineRule="exact"/>
        <w:rPr>
          <w:sz w:val="20"/>
          <w:szCs w:val="20"/>
          <w:color w:val="auto"/>
        </w:rPr>
      </w:pPr>
    </w:p>
    <w:p>
      <w:pPr>
        <w:ind w:right="360" w:firstLine="445"/>
        <w:spacing w:after="0" w:line="252" w:lineRule="auto"/>
        <w:rPr>
          <w:sz w:val="20"/>
          <w:szCs w:val="20"/>
          <w:color w:val="auto"/>
        </w:rPr>
      </w:pPr>
      <w:r>
        <w:rPr>
          <w:rFonts w:ascii="Arial" w:cs="Arial" w:eastAsia="Arial" w:hAnsi="Arial"/>
          <w:sz w:val="18"/>
          <w:szCs w:val="18"/>
          <w:color w:val="auto"/>
        </w:rPr>
        <w:t>The discount rate is selected based on current market rates on high-quality, fixed-income investments at December 31 each year. AbbVie employs a yield-curve approach for countries where a robust bond market exists. The yield curve is developed using high-quality bonds. The yield-curve approach reflects the plans' specific cash flows (i.e. duration) in calculating the benefit obligations by applying the corresponding individual spot rates along the yield curve. AbbVie reflects the plans' specific cash flows and applies them to the corresponding individual spot rates along the yield curve in calculating the service cost and interest cost portions of expense. For other countries, AbbVie reviews various indices such as corporate bond and government bond benchmarks to estimate the discount rate.</w:t>
      </w:r>
    </w:p>
    <w:p>
      <w:pPr>
        <w:spacing w:after="0" w:line="127"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AbbVie's assumed discount rates have a significant effect on the amounts reported for defined benefit pension and other post-employment plans as of December 31, 2020. A 50 basis point change in the assumed discount rate would have had the following effects on AbbVie's calculation of net periodic benefit costs in 2021 and projected benefit obligations as of December 31, 2020: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933"/>
              <w:spacing w:after="0"/>
              <w:rPr>
                <w:sz w:val="20"/>
                <w:szCs w:val="20"/>
                <w:color w:val="auto"/>
              </w:rPr>
            </w:pPr>
            <w:r>
              <w:rPr>
                <w:rFonts w:ascii="Arial" w:cs="Arial" w:eastAsia="Arial" w:hAnsi="Arial"/>
                <w:sz w:val="14"/>
                <w:szCs w:val="14"/>
                <w:b w:val="1"/>
                <w:bCs w:val="1"/>
                <w:color w:val="auto"/>
              </w:rPr>
              <w:t>50 basis point</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Arial" w:cs="Arial" w:eastAsia="Arial" w:hAnsi="Arial"/>
                <w:sz w:val="14"/>
                <w:szCs w:val="14"/>
                <w:b w:val="1"/>
                <w:bCs w:val="1"/>
                <w:color w:val="auto"/>
              </w:rPr>
              <w:t>(in millions) (brackets denote a reduction)</w:t>
            </w: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436"/>
              <w:spacing w:after="0"/>
              <w:rPr>
                <w:sz w:val="20"/>
                <w:szCs w:val="20"/>
                <w:color w:val="auto"/>
              </w:rPr>
            </w:pPr>
            <w:r>
              <w:rPr>
                <w:rFonts w:ascii="Arial" w:cs="Arial" w:eastAsia="Arial" w:hAnsi="Arial"/>
                <w:sz w:val="14"/>
                <w:szCs w:val="14"/>
                <w:b w:val="1"/>
                <w:bCs w:val="1"/>
                <w:color w:val="auto"/>
              </w:rPr>
              <w:t>Increase</w:t>
            </w:r>
          </w:p>
        </w:tc>
        <w:tc>
          <w:tcPr>
            <w:tcW w:w="2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Decrease</w:t>
            </w:r>
          </w:p>
        </w:tc>
      </w:tr>
      <w:tr>
        <w:trPr>
          <w:trHeight w:val="223"/>
        </w:trPr>
        <w:tc>
          <w:tcPr>
            <w:tcW w:w="20" w:type="dxa"/>
            <w:vAlign w:val="bottom"/>
          </w:tcPr>
          <w:p>
            <w:pPr>
              <w:spacing w:after="0"/>
              <w:rPr>
                <w:sz w:val="19"/>
                <w:szCs w:val="19"/>
                <w:color w:val="auto"/>
              </w:rPr>
            </w:pPr>
          </w:p>
        </w:tc>
        <w:tc>
          <w:tcPr>
            <w:tcW w:w="55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Defined benefit plans</w:t>
            </w:r>
          </w:p>
        </w:tc>
        <w:tc>
          <w:tcPr>
            <w:tcW w:w="26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and interest cost</w:t>
            </w:r>
          </w:p>
        </w:tc>
        <w:tc>
          <w:tcPr>
            <w:tcW w:w="2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Projected benefit obligation</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post-employment plans</w:t>
            </w:r>
          </w:p>
        </w:tc>
        <w:tc>
          <w:tcPr>
            <w:tcW w:w="2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Service and interest cost</w:t>
            </w:r>
          </w:p>
        </w:tc>
        <w:tc>
          <w:tcPr>
            <w:tcW w:w="2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(6)</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26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(56)</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r>
      <w:tr>
        <w:trPr>
          <w:trHeight w:val="830"/>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220" w:type="dxa"/>
            <w:vAlign w:val="bottom"/>
            <w:gridSpan w:val="3"/>
          </w:tcPr>
          <w:p>
            <w:pPr>
              <w:jc w:val="right"/>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44</w:t>
            </w:r>
          </w:p>
        </w:tc>
        <w:tc>
          <w:tcPr>
            <w:tcW w:w="20" w:type="dxa"/>
            <w:vAlign w:val="bottom"/>
          </w:tcPr>
          <w:p>
            <w:pPr>
              <w:spacing w:after="0"/>
              <w:rPr>
                <w:sz w:val="24"/>
                <w:szCs w:val="24"/>
                <w:color w:val="auto"/>
              </w:rPr>
            </w:pPr>
          </w:p>
        </w:tc>
      </w:tr>
      <w:tr>
        <w:trPr>
          <w:trHeight w:val="196"/>
        </w:trPr>
        <w:tc>
          <w:tcPr>
            <w:tcW w:w="20" w:type="dxa"/>
            <w:vAlign w:val="bottom"/>
            <w:tcBorders>
              <w:bottom w:val="single" w:sz="8" w:color="9A9A9A"/>
            </w:tcBorders>
          </w:tcPr>
          <w:p>
            <w:pPr>
              <w:spacing w:after="0"/>
              <w:rPr>
                <w:sz w:val="17"/>
                <w:szCs w:val="17"/>
                <w:color w:val="auto"/>
              </w:rPr>
            </w:pPr>
          </w:p>
        </w:tc>
        <w:tc>
          <w:tcPr>
            <w:tcW w:w="5520" w:type="dxa"/>
            <w:vAlign w:val="bottom"/>
            <w:tcBorders>
              <w:bottom w:val="single" w:sz="8" w:color="9A9A9A"/>
            </w:tcBorders>
          </w:tcPr>
          <w:p>
            <w:pPr>
              <w:spacing w:after="0"/>
              <w:rPr>
                <w:sz w:val="17"/>
                <w:szCs w:val="17"/>
                <w:color w:val="auto"/>
              </w:rPr>
            </w:pPr>
          </w:p>
        </w:tc>
        <w:tc>
          <w:tcPr>
            <w:tcW w:w="26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-325120</wp:posOffset>
            </wp:positionV>
            <wp:extent cx="600075" cy="1111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0075" cy="11112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7" w:name="page48"/>
    <w:bookmarkEnd w:id="47"/>
    <w:p>
      <w:pPr>
        <w:ind w:firstLine="445"/>
        <w:spacing w:after="0" w:line="252" w:lineRule="auto"/>
        <w:rPr>
          <w:sz w:val="20"/>
          <w:szCs w:val="20"/>
          <w:color w:val="auto"/>
        </w:rPr>
      </w:pPr>
      <w:r>
        <w:rPr>
          <w:rFonts w:ascii="Arial" w:cs="Arial" w:eastAsia="Arial" w:hAnsi="Arial"/>
          <w:sz w:val="18"/>
          <w:szCs w:val="18"/>
          <w:color w:val="auto"/>
        </w:rPr>
        <w:t>The expected long-term rate of return is based on the asset allocation, historical performance and the current view of expected future returns. AbbVie considers these inputs with a long-term focus to avoid short-term market influences. The current long-term rate of return on plan assets for each plan is supported by the historical performance of the trust's actual and target asset allocation. AbbVie's assumed expected long-term rate of return has a significant effect on the amounts reported for defined benefit pension plans as of December 31, 2020 and will be used in the calculation of net periodic benefit cost in 2021. A one percentage point change in assumed expected long-term rate of return on plan assets would increase or decrease the net period benefit cost of these plans in 2021 by $94 million.</w:t>
      </w:r>
    </w:p>
    <w:p>
      <w:pPr>
        <w:spacing w:after="0" w:line="127" w:lineRule="exact"/>
        <w:rPr>
          <w:sz w:val="20"/>
          <w:szCs w:val="20"/>
          <w:color w:val="auto"/>
        </w:rPr>
      </w:pPr>
    </w:p>
    <w:p>
      <w:pPr>
        <w:ind w:right="340" w:firstLine="445"/>
        <w:spacing w:after="0" w:line="254" w:lineRule="auto"/>
        <w:rPr>
          <w:sz w:val="20"/>
          <w:szCs w:val="20"/>
          <w:color w:val="auto"/>
        </w:rPr>
      </w:pPr>
      <w:r>
        <w:rPr>
          <w:rFonts w:ascii="Arial" w:cs="Arial" w:eastAsia="Arial" w:hAnsi="Arial"/>
          <w:sz w:val="18"/>
          <w:szCs w:val="18"/>
          <w:color w:val="auto"/>
        </w:rPr>
        <w:t>The health care cost trend rate is selected by reviewing historical trends and current views on projected future health care cost increases. The current health care cost trend rate is supported by the historical trend experience of each plan. Assumed health care cost trend rates have a significant effect on the amounts reported for health care plans as of December 31, 2020 and will be used in the calculation of net periodic benefit cost in 2021.</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Income Taxes</w:t>
      </w:r>
    </w:p>
    <w:p>
      <w:pPr>
        <w:spacing w:after="0" w:line="180" w:lineRule="exact"/>
        <w:rPr>
          <w:sz w:val="20"/>
          <w:szCs w:val="20"/>
          <w:color w:val="auto"/>
        </w:rPr>
      </w:pPr>
    </w:p>
    <w:p>
      <w:pPr>
        <w:ind w:right="180" w:firstLine="445"/>
        <w:spacing w:after="0" w:line="253" w:lineRule="auto"/>
        <w:rPr>
          <w:sz w:val="20"/>
          <w:szCs w:val="20"/>
          <w:color w:val="auto"/>
        </w:rPr>
      </w:pPr>
      <w:r>
        <w:rPr>
          <w:rFonts w:ascii="Arial" w:cs="Arial" w:eastAsia="Arial" w:hAnsi="Arial"/>
          <w:sz w:val="18"/>
          <w:szCs w:val="18"/>
          <w:color w:val="auto"/>
        </w:rPr>
        <w:t>AbbVie accounts for income taxes under the asset and liability method. Provisions for federal, state and foreign income taxes are calculated on reported pretax earnings based on current tax laws. Deferred taxes are provided using enacted tax rates on the future tax consequences of temporary differences, which are the differences between the financial statement carrying amount of assets and liabilities and their respective tax bases and the tax benefits of carryforwards. A valuation allowance is established or maintained when, based on currently available information, it is more likely than not that all or a portion of a deferred tax asset will not be realized.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Litigation</w:t>
      </w:r>
    </w:p>
    <w:p>
      <w:pPr>
        <w:spacing w:after="0" w:line="180"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The company is subject to contingencies, such as various claims, legal proceedings and investigations regarding product liability, intellectual property, commercial, securities and other matters that arise in the normal course of business. See Note 15 to the Consolidated Financial Statements for additional information. Loss contingency provisions are recorded for probable losses at management's best estimate of a loss, or when a best estimate cannot be made, a minimum loss contingency amount within a probable range is recorded. Accordingly, AbbVie is often initially unable to develop a best estimate of loss and therefore, the minimum amount, which could be zero, is recorded. As information becomes known, either the minimum loss amount is increased, resulting in additional loss provisions, or a best estimate can be made, also resulting in additional loss provisions. Occasionally, a best estimate amount is changed to a lower amount when events result in an expectation of a more favorable outcome than previously expected.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Valuation of Goodwill and Intangible Assets</w:t>
      </w:r>
    </w:p>
    <w:p>
      <w:pPr>
        <w:spacing w:after="0" w:line="166" w:lineRule="exact"/>
        <w:rPr>
          <w:sz w:val="20"/>
          <w:szCs w:val="20"/>
          <w:color w:val="auto"/>
        </w:rPr>
      </w:pPr>
    </w:p>
    <w:p>
      <w:pPr>
        <w:ind w:right="100" w:firstLine="445"/>
        <w:spacing w:after="0" w:line="251" w:lineRule="auto"/>
        <w:rPr>
          <w:sz w:val="20"/>
          <w:szCs w:val="20"/>
          <w:color w:val="auto"/>
        </w:rPr>
      </w:pPr>
      <w:r>
        <w:rPr>
          <w:rFonts w:ascii="Arial" w:cs="Arial" w:eastAsia="Arial" w:hAnsi="Arial"/>
          <w:sz w:val="18"/>
          <w:szCs w:val="18"/>
          <w:color w:val="auto"/>
        </w:rPr>
        <w:t>AbbVie has acquired and may continue to acquire significant intangible assets in connection with business combinations that AbbVie records at fair value. Transactions involving the purchase or sale of intangible assets occur with some frequency between companies in the pharmaceuticals industry and valuations are usually based on a discounted cash flow analysis incorporating the stage of completion. The discounted cash flow model requires assumptions about the timing and amount of future net cash flows, risk, cost of capital, terminal values and market participants. Each of these factors can significantly affect the value of the intangible asset. IPR&amp;D acquired in a business combination is capitalized as an indefinite-lived intangible asset until regulatory approval is obtained, at which time it is accounted for as a definite-lived asset and amortized over its estimated useful life, or discontinuation, at which point the intangible asset will be written off. IPR&amp;D acquired in transactions that are not business combinations is expensed immediately, unless deemed to have an alternative future use. Payments made to third parties subsequent to regulatory approval are capitalized and amortized over the remaining useful life.</w:t>
      </w:r>
    </w:p>
    <w:p>
      <w:pPr>
        <w:spacing w:after="0" w:line="144"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AbbVie reviews the recoverability of definite-lived intangible assets whenever events or changes in circumstances indicate the carrying value of an asset may not be recoverable. Goodwill and indefinite-lived intangible assets are reviewed for impairment annually or when an event occurs that could result in an impairment. See Note 2 to the Consolidated Financial Statements for further information.</w:t>
      </w:r>
    </w:p>
    <w:p>
      <w:pPr>
        <w:spacing w:after="0" w:line="134"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Annually, the company tests its goodwill for impairment by first assessing qualitative factors to determine whether it is more likely than not that the fair value is less than its carrying amount. Some of the factors considered in the assessment include general macro-economic conditions, conditions specific to the industry and market, cost factors, the overall financial performance and whether there have been sustained declines in the company's share price. If the company concludes it is more likely than not that the fair value of the reporting unit is less than its carrying amount, a quantitative impairment test is performed. AbbVie tests indefinite-lived intangible assets for impairment by first assessing qualitative factors to determine whether it is more likely than not that the fair value is less than its carrying amount. If the company concludes it is more likely than not that the fair value is less than its carrying amount, a quantitative impairment test is performed.</w:t>
      </w:r>
    </w:p>
    <w:p>
      <w:pPr>
        <w:spacing w:after="0" w:line="200" w:lineRule="exact"/>
        <w:rPr>
          <w:sz w:val="20"/>
          <w:szCs w:val="20"/>
          <w:color w:val="auto"/>
        </w:rPr>
      </w:pPr>
    </w:p>
    <w:p>
      <w:pPr>
        <w:spacing w:after="0" w:line="315"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45</w:t>
      </w:r>
      <w:r>
        <w:rPr>
          <w:sz w:val="20"/>
          <w:szCs w:val="20"/>
          <w:color w:val="auto"/>
        </w:rPr>
        <w:tab/>
      </w:r>
      <w:r>
        <w:rPr>
          <w:sz w:val="1"/>
          <w:szCs w:val="1"/>
          <w:color w:val="auto"/>
        </w:rPr>
        <w:drawing>
          <wp:inline distT="0" distB="0" distL="0" distR="0">
            <wp:extent cx="600075" cy="11112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48" w:name="page49"/>
    <w:bookmarkEnd w:id="48"/>
    <w:p>
      <w:pPr>
        <w:ind w:right="20" w:firstLine="445"/>
        <w:spacing w:after="0" w:line="253" w:lineRule="auto"/>
        <w:rPr>
          <w:sz w:val="20"/>
          <w:szCs w:val="20"/>
          <w:color w:val="auto"/>
        </w:rPr>
      </w:pPr>
      <w:r>
        <w:rPr>
          <w:rFonts w:ascii="Arial" w:cs="Arial" w:eastAsia="Arial" w:hAnsi="Arial"/>
          <w:sz w:val="18"/>
          <w:szCs w:val="18"/>
          <w:color w:val="auto"/>
        </w:rPr>
        <w:t>For its quantitative impairment tests, the company uses an estimated future cash flow approach that requires significant judgment with respect to future volume, revenue and expense growth rates, changes in working capital use, the selection of an appropriate discount rate, asset groupings and other assumptions and estimates. The estimates and assumptions used are consistent with the company's business plans and a market participant's views. The use of alternative estimates and assumptions could increase or decrease the estimated fair value of the assets and could potentially impact the company's results of operations. Actual results may differ from the company's estimates.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Contingent Consideration</w:t>
      </w:r>
    </w:p>
    <w:p>
      <w:pPr>
        <w:spacing w:after="0" w:line="180"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The fair value measurements of contingent consideration liabilities are determined as of the acquisition date based on significant unobservable inputs, including the discount rate, estimated probabilities and timing of achieving specified development, regulatory and commercial milestones and the estimated amount of future sales of the acquired products. Contingent consideration liabilities are revalued to fair value at each subsequent reporting date until the related contingency is resolved. The potential contingent consideration payments are estimated by applying a probability-weighted expected payment model for contingent milestone payments and a Monte Carlo simulation model for contingent royalty payments, which are then discounted to present value. Changes to the fair value of the contingent consideration liabilities can result from changes to one or a number of inputs, including discount rates, the probabilities of achieving the milestones, the time required to achieve the milestones and estimated future sales. Significant judgment is employed in determining the appropriateness of certain of these inputs. Changes to the inputs described above could have a material impact on the company's financial position and results of operations in any given period. The fair value of the company's contingent consideration liabilities as of December 31, 2020 was calculated using the following significant unobservable inputs: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jc w:val="right"/>
              <w:ind w:right="994"/>
              <w:spacing w:after="0"/>
              <w:rPr>
                <w:sz w:val="20"/>
                <w:szCs w:val="20"/>
                <w:color w:val="auto"/>
              </w:rPr>
            </w:pPr>
            <w:r>
              <w:rPr>
                <w:rFonts w:ascii="Arial" w:cs="Arial" w:eastAsia="Arial" w:hAnsi="Arial"/>
                <w:sz w:val="14"/>
                <w:szCs w:val="14"/>
                <w:b w:val="1"/>
                <w:bCs w:val="1"/>
                <w:color w:val="auto"/>
              </w:rPr>
              <w:t>Range</w:t>
            </w:r>
          </w:p>
        </w:tc>
        <w:tc>
          <w:tcPr>
            <w:tcW w:w="1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Weighted Average</w:t>
            </w:r>
            <w:r>
              <w:rPr>
                <w:rFonts w:ascii="Arial" w:cs="Arial" w:eastAsia="Arial" w:hAnsi="Arial"/>
                <w:sz w:val="18"/>
                <w:szCs w:val="18"/>
                <w:b w:val="1"/>
                <w:bCs w:val="1"/>
                <w:color w:val="auto"/>
                <w:vertAlign w:val="superscript"/>
              </w:rPr>
              <w:t>(a)</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34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0.1% - 2.2%</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Probability of payment for unachieved milestones</w:t>
            </w:r>
          </w:p>
        </w:tc>
        <w:tc>
          <w:tcPr>
            <w:tcW w:w="3400" w:type="dxa"/>
            <w:vAlign w:val="bottom"/>
          </w:tcPr>
          <w:p>
            <w:pPr>
              <w:jc w:val="right"/>
              <w:ind w:right="134"/>
              <w:spacing w:after="0"/>
              <w:rPr>
                <w:sz w:val="20"/>
                <w:szCs w:val="20"/>
                <w:color w:val="auto"/>
              </w:rPr>
            </w:pPr>
            <w:r>
              <w:rPr>
                <w:rFonts w:ascii="Arial" w:cs="Arial" w:eastAsia="Arial" w:hAnsi="Arial"/>
                <w:sz w:val="18"/>
                <w:szCs w:val="18"/>
                <w:color w:val="auto"/>
              </w:rPr>
              <w:t>56% - 92%</w:t>
            </w:r>
          </w:p>
        </w:tc>
        <w:tc>
          <w:tcPr>
            <w:tcW w:w="19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5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Probability of payment for royalties by indication</w:t>
            </w:r>
            <w:r>
              <w:rPr>
                <w:rFonts w:ascii="Arial" w:cs="Arial" w:eastAsia="Arial" w:hAnsi="Arial"/>
                <w:sz w:val="23"/>
                <w:szCs w:val="23"/>
                <w:color w:val="auto"/>
                <w:vertAlign w:val="superscript"/>
              </w:rPr>
              <w:t>(b)</w:t>
            </w:r>
          </w:p>
        </w:tc>
        <w:tc>
          <w:tcPr>
            <w:tcW w:w="34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56% - 100%</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Projected year of payments</w:t>
            </w:r>
          </w:p>
        </w:tc>
        <w:tc>
          <w:tcPr>
            <w:tcW w:w="34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2021 - 2034</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r>
    </w:tbl>
    <w:p>
      <w:pPr>
        <w:spacing w:after="0" w:line="134" w:lineRule="exact"/>
        <w:rPr>
          <w:sz w:val="20"/>
          <w:szCs w:val="20"/>
          <w:color w:val="auto"/>
        </w:rPr>
      </w:pPr>
    </w:p>
    <w:p>
      <w:pPr>
        <w:ind w:left="480" w:hanging="472"/>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Unobservable inputs were weighted by the relative fair value of the contingent consideration liabilities.</w:t>
      </w:r>
    </w:p>
    <w:p>
      <w:pPr>
        <w:spacing w:after="0" w:line="157" w:lineRule="exact"/>
        <w:rPr>
          <w:rFonts w:ascii="Arial" w:cs="Arial" w:eastAsia="Arial" w:hAnsi="Arial"/>
          <w:sz w:val="18"/>
          <w:szCs w:val="18"/>
          <w:color w:val="auto"/>
        </w:rPr>
      </w:pPr>
    </w:p>
    <w:p>
      <w:pPr>
        <w:ind w:left="460" w:right="200" w:hanging="452"/>
        <w:spacing w:after="0" w:line="261" w:lineRule="auto"/>
        <w:tabs>
          <w:tab w:leader="none" w:pos="4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Excludes early stage indications with 0% estimated probability of payment and includes approved indications with 100% probability of payment. Excluding approved indications, the estimated probability of payment ranged from 56% to 89% at December 31, 2020.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Recent Accounting Pronouncements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 to the Consolidated Financial Statements for additional information on recent accounting pronouncements.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46</w:t>
            </w:r>
          </w:p>
        </w:tc>
      </w:tr>
      <w:tr>
        <w:trPr>
          <w:trHeight w:val="201"/>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-334010</wp:posOffset>
            </wp:positionV>
            <wp:extent cx="600075" cy="1111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0075" cy="11112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9" w:name="page50"/>
    <w:bookmarkEnd w:id="49"/>
    <w:p>
      <w:pPr>
        <w:spacing w:after="0"/>
        <w:rPr>
          <w:sz w:val="20"/>
          <w:szCs w:val="20"/>
          <w:color w:val="auto"/>
        </w:rPr>
      </w:pPr>
      <w:r>
        <w:rPr>
          <w:rFonts w:ascii="Arial" w:cs="Arial" w:eastAsia="Arial" w:hAnsi="Arial"/>
          <w:sz w:val="22"/>
          <w:szCs w:val="22"/>
          <w:b w:val="1"/>
          <w:bCs w:val="1"/>
          <w:color w:val="444867"/>
        </w:rPr>
        <w:t>ITEM 7A.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99"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The company is exposed to risk that its earnings, cash flows and equity could be adversely impacted by changes in foreign exchange rates and interest rates. Certain derivative instruments are used when available on a cost-effective basis to hedge the company's underlying economic exposures. See Note 11 to the Consolidated Financial Statements for additional information regarding the company's financial instruments and hedging strategies.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Foreign Currency Risk</w:t>
      </w:r>
    </w:p>
    <w:p>
      <w:pPr>
        <w:spacing w:after="0" w:line="180" w:lineRule="exact"/>
        <w:rPr>
          <w:sz w:val="20"/>
          <w:szCs w:val="20"/>
          <w:color w:val="auto"/>
        </w:rPr>
      </w:pPr>
    </w:p>
    <w:p>
      <w:pPr>
        <w:ind w:right="240" w:firstLine="445"/>
        <w:spacing w:after="0" w:line="261" w:lineRule="auto"/>
        <w:rPr>
          <w:sz w:val="20"/>
          <w:szCs w:val="20"/>
          <w:color w:val="auto"/>
        </w:rPr>
      </w:pPr>
      <w:r>
        <w:rPr>
          <w:rFonts w:ascii="Arial" w:cs="Arial" w:eastAsia="Arial" w:hAnsi="Arial"/>
          <w:sz w:val="18"/>
          <w:szCs w:val="18"/>
          <w:color w:val="auto"/>
        </w:rPr>
        <w:t>AbbVie's primary net foreign currency exposures are the Euro, Japanese yen, Canadian dollar and British pound. The following table reflects the total foreign currency forward exchange contracts outstanding at December 31, 2020 and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Fair and carrying</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2"/>
                <w:szCs w:val="12"/>
                <w:color w:val="auto"/>
              </w:rPr>
            </w:pPr>
          </w:p>
        </w:tc>
        <w:tc>
          <w:tcPr>
            <w:tcW w:w="130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Fair and carrying</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Contract</w:t>
            </w: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Contract</w:t>
            </w: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(in millions)</w:t>
            </w:r>
          </w:p>
        </w:tc>
        <w:tc>
          <w:tcPr>
            <w:tcW w:w="2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exchange</w:t>
            </w:r>
          </w:p>
        </w:tc>
        <w:tc>
          <w:tcPr>
            <w:tcW w:w="18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exchange</w:t>
            </w:r>
          </w:p>
        </w:tc>
        <w:tc>
          <w:tcPr>
            <w:tcW w:w="180" w:type="dxa"/>
            <w:vAlign w:val="bottom"/>
          </w:tcPr>
          <w:p>
            <w:pPr>
              <w:spacing w:after="0"/>
              <w:rPr>
                <w:sz w:val="11"/>
                <w:szCs w:val="11"/>
                <w:color w:val="auto"/>
              </w:rPr>
            </w:pPr>
          </w:p>
        </w:tc>
        <w:tc>
          <w:tcPr>
            <w:tcW w:w="1300" w:type="dxa"/>
            <w:vAlign w:val="bottom"/>
          </w:tcPr>
          <w:p>
            <w:pPr>
              <w:jc w:val="right"/>
              <w:ind w:right="435"/>
              <w:spacing w:after="0" w:line="135"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5"/>
        </w:trPr>
        <w:tc>
          <w:tcPr>
            <w:tcW w:w="36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p>
        </w:tc>
        <w:tc>
          <w:tcPr>
            <w:tcW w:w="15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receivable/(payable)</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receivable/(payable)</w:t>
            </w:r>
          </w:p>
        </w:tc>
        <w:tc>
          <w:tcPr>
            <w:tcW w:w="0" w:type="dxa"/>
            <w:vAlign w:val="bottom"/>
          </w:tcPr>
          <w:p>
            <w:pPr>
              <w:spacing w:after="0"/>
              <w:rPr>
                <w:sz w:val="1"/>
                <w:szCs w:val="1"/>
                <w:color w:val="auto"/>
              </w:rPr>
            </w:pPr>
          </w:p>
        </w:tc>
      </w:tr>
      <w:tr>
        <w:trPr>
          <w:trHeight w:val="182"/>
        </w:trPr>
        <w:tc>
          <w:tcPr>
            <w:tcW w:w="3660" w:type="dxa"/>
            <w:vAlign w:val="bottom"/>
          </w:tcPr>
          <w:p>
            <w:pPr>
              <w:ind w:left="20"/>
              <w:spacing w:after="0" w:line="182" w:lineRule="exact"/>
              <w:rPr>
                <w:sz w:val="20"/>
                <w:szCs w:val="20"/>
                <w:color w:val="auto"/>
              </w:rPr>
            </w:pPr>
            <w:r>
              <w:rPr>
                <w:rFonts w:ascii="Arial" w:cs="Arial" w:eastAsia="Arial" w:hAnsi="Arial"/>
                <w:sz w:val="18"/>
                <w:szCs w:val="18"/>
                <w:color w:val="auto"/>
              </w:rPr>
              <w:t>Receive primarily U.S. dollars in exchange</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660" w:type="dxa"/>
            <w:vAlign w:val="bottom"/>
          </w:tcPr>
          <w:p>
            <w:pPr>
              <w:ind w:left="20"/>
              <w:spacing w:after="0"/>
              <w:rPr>
                <w:sz w:val="20"/>
                <w:szCs w:val="20"/>
                <w:color w:val="auto"/>
              </w:rPr>
            </w:pPr>
            <w:r>
              <w:rPr>
                <w:rFonts w:ascii="Arial" w:cs="Arial" w:eastAsia="Arial" w:hAnsi="Arial"/>
                <w:sz w:val="18"/>
                <w:szCs w:val="18"/>
                <w:color w:val="auto"/>
              </w:rPr>
              <w:t>for the following currencies: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7,818</w:t>
            </w:r>
          </w:p>
        </w:tc>
        <w:tc>
          <w:tcPr>
            <w:tcW w:w="1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1.213</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6,217</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1.116</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Japanese yen</w:t>
            </w:r>
          </w:p>
        </w:tc>
        <w:tc>
          <w:tcPr>
            <w:tcW w:w="2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837</w:t>
            </w:r>
          </w:p>
        </w:tc>
        <w:tc>
          <w:tcPr>
            <w:tcW w:w="1060" w:type="dxa"/>
            <w:vAlign w:val="bottom"/>
          </w:tcPr>
          <w:p>
            <w:pPr>
              <w:ind w:left="480"/>
              <w:spacing w:after="0"/>
              <w:rPr>
                <w:sz w:val="20"/>
                <w:szCs w:val="20"/>
                <w:color w:val="auto"/>
              </w:rPr>
            </w:pPr>
            <w:r>
              <w:rPr>
                <w:rFonts w:ascii="Arial" w:cs="Arial" w:eastAsia="Arial" w:hAnsi="Arial"/>
                <w:sz w:val="18"/>
                <w:szCs w:val="18"/>
                <w:color w:val="auto"/>
              </w:rPr>
              <w:t>103.9</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95"/>
              <w:spacing w:after="0"/>
              <w:rPr>
                <w:sz w:val="20"/>
                <w:szCs w:val="20"/>
                <w:color w:val="auto"/>
              </w:rPr>
            </w:pPr>
            <w:r>
              <w:rPr>
                <w:rFonts w:ascii="Arial" w:cs="Arial" w:eastAsia="Arial" w:hAnsi="Arial"/>
                <w:sz w:val="18"/>
                <w:szCs w:val="18"/>
                <w:color w:val="auto"/>
              </w:rPr>
              <w:t>820</w:t>
            </w: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108.7</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Canadian dollar</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591</w:t>
            </w:r>
          </w:p>
        </w:tc>
        <w:tc>
          <w:tcPr>
            <w:tcW w:w="1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1.328</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504</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1.324</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British pound</w:t>
            </w:r>
          </w:p>
        </w:tc>
        <w:tc>
          <w:tcPr>
            <w:tcW w:w="2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275</w:t>
            </w:r>
          </w:p>
        </w:tc>
        <w:tc>
          <w:tcPr>
            <w:tcW w:w="1060" w:type="dxa"/>
            <w:vAlign w:val="bottom"/>
          </w:tcPr>
          <w:p>
            <w:pPr>
              <w:ind w:left="480"/>
              <w:spacing w:after="0"/>
              <w:rPr>
                <w:sz w:val="20"/>
                <w:szCs w:val="20"/>
                <w:color w:val="auto"/>
              </w:rPr>
            </w:pPr>
            <w:r>
              <w:rPr>
                <w:rFonts w:ascii="Arial" w:cs="Arial" w:eastAsia="Arial" w:hAnsi="Arial"/>
                <w:sz w:val="18"/>
                <w:szCs w:val="18"/>
                <w:color w:val="auto"/>
              </w:rPr>
              <w:t>1.341</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95"/>
              <w:spacing w:after="0"/>
              <w:rPr>
                <w:sz w:val="20"/>
                <w:szCs w:val="20"/>
                <w:color w:val="auto"/>
              </w:rPr>
            </w:pPr>
            <w:r>
              <w:rPr>
                <w:rFonts w:ascii="Arial" w:cs="Arial" w:eastAsia="Arial" w:hAnsi="Arial"/>
                <w:sz w:val="18"/>
                <w:szCs w:val="18"/>
                <w:color w:val="auto"/>
              </w:rPr>
              <w:t>427</w:t>
            </w: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1.305</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All other currencies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1,706</w:t>
            </w:r>
          </w:p>
        </w:tc>
        <w:tc>
          <w:tcPr>
            <w:tcW w:w="10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1,508</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11,227</w:t>
            </w:r>
          </w:p>
        </w:tc>
        <w:tc>
          <w:tcPr>
            <w:tcW w:w="10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9,476</w:t>
            </w:r>
          </w:p>
        </w:tc>
        <w:tc>
          <w:tcPr>
            <w:tcW w:w="10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
        </w:trPr>
        <w:tc>
          <w:tcPr>
            <w:tcW w:w="3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The company estimates that a 10% appreciation in the underlying currencies being hedged from their levels against the U.S. dollar, with all other variables held constant, would decrease the fair value of foreign exchange forward contracts by $1.14 billion at December 31, 2020. If realized, this appreciation would negatively affect earnings over the remaining life of the contracts. However, gains and losses on the hedging instruments offset losses and gains on the hedged transactions and reduce the earnings and stockholders' equity volatility relating to foreign exchange. A 10% appreciation is believed to be a reasonably possible near-term change in foreign currencies.</w:t>
      </w:r>
    </w:p>
    <w:p>
      <w:pPr>
        <w:spacing w:after="0" w:line="138"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As of December 31, 2020, the company has €6.6 billion aggregate principal amount of unsecured senior Euro notes outstanding, which are exposed to foreign currency risk. The company designated these foreign currency denominated notes as hedges of its net investments in certain foreign subsidiaries and affiliates. As a result, any foreign currency translation gains or losses related to the Euro notes will be included in accumulated other comprehensive loss. See Note 10 to the Consolidated Financial Statements for additional information regarding to the senior Euro notes and Note 11 to the Consolidated Financial Statements for additional information regarding to the net investment hedging program.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Interest Rate Risk</w:t>
      </w:r>
    </w:p>
    <w:p>
      <w:pPr>
        <w:spacing w:after="0" w:line="180"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The company estimates that an increase in interest rates of 100 basis points would adversely impact the fair value of AbbVie's interest rate swap contracts by approximately $111 million at December 31, 2020. If realized, the fair value reduction would affect earnings over the remaining life of the contracts. The company estimates that an increase of 100 basis points in long-term interest rates would decrease the fair value of long-term debt by $5.7 billion at December 31, 2020. A 100 basis point change is believed to be a reasonably possible near-term change in interest rates.</w:t>
      </w: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47</w:t>
      </w:r>
      <w:r>
        <w:rPr>
          <w:sz w:val="20"/>
          <w:szCs w:val="20"/>
          <w:color w:val="auto"/>
        </w:rPr>
        <w:tab/>
      </w:r>
      <w:r>
        <w:rPr>
          <w:sz w:val="1"/>
          <w:szCs w:val="1"/>
          <w:color w:val="auto"/>
        </w:rPr>
        <w:drawing>
          <wp:inline distT="0" distB="0" distL="0" distR="0">
            <wp:extent cx="600075" cy="11112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0" w:name="page51"/>
    <w:bookmarkEnd w:id="50"/>
    <w:p>
      <w:pPr>
        <w:spacing w:after="0"/>
        <w:rPr>
          <w:sz w:val="20"/>
          <w:szCs w:val="20"/>
          <w:color w:val="auto"/>
        </w:rPr>
      </w:pPr>
      <w:r>
        <w:rPr>
          <w:rFonts w:ascii="Arial" w:cs="Arial" w:eastAsia="Arial" w:hAnsi="Arial"/>
          <w:sz w:val="22"/>
          <w:szCs w:val="22"/>
          <w:b w:val="1"/>
          <w:bCs w:val="1"/>
          <w:color w:val="444867"/>
        </w:rPr>
        <w:t>ITEM 8.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2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Financial Statements</w:t>
            </w: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0"/>
        </w:trPr>
        <w:tc>
          <w:tcPr>
            <w:tcW w:w="10220" w:type="dxa"/>
            <w:vAlign w:val="bottom"/>
            <w:vMerge w:val="continue"/>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220" w:type="dxa"/>
            <w:vAlign w:val="bottom"/>
          </w:tcPr>
          <w:p>
            <w:pPr>
              <w:ind w:left="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Consolidated Statements of Earnings</w:t>
              </w:r>
            </w:hyperlink>
          </w:p>
        </w:tc>
        <w:tc>
          <w:tcPr>
            <w:tcW w:w="100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49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220" w:type="dxa"/>
            <w:vAlign w:val="bottom"/>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Consolidated Statements of Comprehensive Income</w:t>
              </w:r>
            </w:hyperlink>
          </w:p>
        </w:tc>
        <w:tc>
          <w:tcPr>
            <w:tcW w:w="100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220" w:type="dxa"/>
            <w:vAlign w:val="bottom"/>
          </w:tcPr>
          <w:p>
            <w:pPr>
              <w:ind w:left="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Consolidated Balance Sheets</w:t>
              </w:r>
            </w:hyperlink>
          </w:p>
        </w:tc>
        <w:tc>
          <w:tcPr>
            <w:tcW w:w="1000" w:type="dxa"/>
            <w:vAlign w:val="bottom"/>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20" w:type="dxa"/>
            <w:vAlign w:val="bottom"/>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Consolidated Statements of Equity</w:t>
              </w:r>
            </w:hyperlink>
          </w:p>
        </w:tc>
        <w:tc>
          <w:tcPr>
            <w:tcW w:w="100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220" w:type="dxa"/>
            <w:vAlign w:val="bottom"/>
          </w:tcPr>
          <w:p>
            <w:pPr>
              <w:ind w:left="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Consolidated Statements of Cash Flows</w:t>
              </w:r>
            </w:hyperlink>
          </w:p>
        </w:tc>
        <w:tc>
          <w:tcPr>
            <w:tcW w:w="100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220" w:type="dxa"/>
            <w:vAlign w:val="bottom"/>
          </w:tcPr>
          <w:p>
            <w:pPr>
              <w:ind w:left="2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Notes to Consolidated Financial Statements</w:t>
              </w:r>
            </w:hyperlink>
          </w:p>
        </w:tc>
        <w:tc>
          <w:tcPr>
            <w:tcW w:w="1000" w:type="dxa"/>
            <w:vAlign w:val="bottom"/>
          </w:tcPr>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20" w:type="dxa"/>
            <w:vAlign w:val="bottom"/>
          </w:tcPr>
          <w:p>
            <w:pPr>
              <w:ind w:left="20"/>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Report of Independent Registered Public Accounting Firm</w:t>
              </w:r>
            </w:hyperlink>
          </w:p>
        </w:tc>
        <w:tc>
          <w:tcPr>
            <w:tcW w:w="1000" w:type="dxa"/>
            <w:vAlign w:val="bottom"/>
          </w:tcPr>
          <w:p>
            <w:pPr>
              <w:jc w:val="right"/>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96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5"/>
        </w:trPr>
        <w:tc>
          <w:tcPr>
            <w:tcW w:w="1022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i w:val="1"/>
                <w:iCs w:val="1"/>
                <w:color w:val="auto"/>
              </w:rPr>
              <w:t>48</w:t>
            </w:r>
          </w:p>
        </w:tc>
        <w:tc>
          <w:tcPr>
            <w:tcW w:w="0" w:type="dxa"/>
            <w:vAlign w:val="bottom"/>
          </w:tcPr>
          <w:p>
            <w:pPr>
              <w:spacing w:after="0"/>
              <w:rPr>
                <w:sz w:val="1"/>
                <w:szCs w:val="1"/>
                <w:color w:val="auto"/>
              </w:rPr>
            </w:pPr>
          </w:p>
        </w:tc>
      </w:tr>
      <w:tr>
        <w:trPr>
          <w:trHeight w:val="201"/>
        </w:trPr>
        <w:tc>
          <w:tcPr>
            <w:tcW w:w="102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-334010</wp:posOffset>
            </wp:positionV>
            <wp:extent cx="600075" cy="1117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0075" cy="11176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1" w:name="page52"/>
    <w:bookmarkEnd w:id="51"/>
    <w:p>
      <w:pPr>
        <w:spacing w:after="0"/>
        <w:rPr>
          <w:sz w:val="20"/>
          <w:szCs w:val="20"/>
          <w:color w:val="auto"/>
        </w:rPr>
      </w:pPr>
      <w:r>
        <w:rPr>
          <w:rFonts w:ascii="Arial" w:cs="Arial" w:eastAsia="Arial" w:hAnsi="Arial"/>
          <w:sz w:val="22"/>
          <w:szCs w:val="22"/>
          <w:b w:val="1"/>
          <w:bCs w:val="1"/>
          <w:color w:val="444867"/>
        </w:rPr>
        <w:t>AbbVie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Consolidated Statements of Earnings</w:t>
      </w: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 (in millions, except per share data)</w:t>
            </w:r>
          </w:p>
        </w:tc>
        <w:tc>
          <w:tcPr>
            <w:tcW w:w="1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45,804</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33,266</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32,753</w:t>
            </w:r>
          </w:p>
        </w:tc>
      </w:tr>
      <w:tr>
        <w:trPr>
          <w:trHeight w:val="257"/>
        </w:trPr>
        <w:tc>
          <w:tcPr>
            <w:tcW w:w="5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15,387</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7,439</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7,718</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54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11,299</w:t>
            </w:r>
          </w:p>
        </w:tc>
        <w:tc>
          <w:tcPr>
            <w:tcW w:w="38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6,942</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7,399</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6,557</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6,407</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10,329</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Acquired in-process research and development</w:t>
            </w:r>
          </w:p>
        </w:tc>
        <w:tc>
          <w:tcPr>
            <w:tcW w:w="154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1,198</w:t>
            </w:r>
          </w:p>
        </w:tc>
        <w:tc>
          <w:tcPr>
            <w:tcW w:w="38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385</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30"/>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operating (income) expense</w:t>
            </w:r>
          </w:p>
        </w:tc>
        <w:tc>
          <w:tcPr>
            <w:tcW w:w="1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1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34,441</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20,283</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26,370</w:t>
            </w: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earnings</w:t>
            </w:r>
          </w:p>
        </w:tc>
        <w:tc>
          <w:tcPr>
            <w:tcW w:w="1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11,363</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12,983</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6,383</w:t>
            </w:r>
          </w:p>
        </w:tc>
      </w:tr>
      <w:tr>
        <w:trPr>
          <w:trHeight w:val="257"/>
        </w:trPr>
        <w:tc>
          <w:tcPr>
            <w:tcW w:w="5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2,280</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1,509</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Net foreign exchange loss</w:t>
            </w:r>
          </w:p>
        </w:tc>
        <w:tc>
          <w:tcPr>
            <w:tcW w:w="154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5,614</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3,006</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Earnings before income tax expense</w:t>
            </w:r>
          </w:p>
        </w:tc>
        <w:tc>
          <w:tcPr>
            <w:tcW w:w="154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3,398</w:t>
            </w:r>
          </w:p>
        </w:tc>
        <w:tc>
          <w:tcPr>
            <w:tcW w:w="38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8,426</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5,197</w:t>
            </w:r>
          </w:p>
        </w:tc>
      </w:tr>
      <w:tr>
        <w:trPr>
          <w:trHeight w:val="230"/>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544</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54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4,622</w:t>
            </w:r>
          </w:p>
        </w:tc>
        <w:tc>
          <w:tcPr>
            <w:tcW w:w="38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7,882</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5,687</w:t>
            </w:r>
          </w:p>
        </w:tc>
      </w:tr>
      <w:tr>
        <w:trPr>
          <w:trHeight w:val="230"/>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earnings attributable to noncontrolling interest</w:t>
            </w:r>
          </w:p>
        </w:tc>
        <w:tc>
          <w:tcPr>
            <w:tcW w:w="1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earnings attributable to AbbVie Inc.</w:t>
            </w:r>
          </w:p>
        </w:tc>
        <w:tc>
          <w:tcPr>
            <w:tcW w:w="1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4,616</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7,882</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5,687</w:t>
            </w: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5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 share data</w:t>
            </w:r>
          </w:p>
        </w:tc>
        <w:tc>
          <w:tcPr>
            <w:tcW w:w="1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 attributable to AbbVie Inc.</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2.73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29"/>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earnings per share attributable to AbbVie Inc.</w:t>
            </w:r>
          </w:p>
        </w:tc>
        <w:tc>
          <w:tcPr>
            <w:tcW w:w="1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2.72</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5.28</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r>
      <w:tr>
        <w:trPr>
          <w:trHeight w:val="237"/>
        </w:trPr>
        <w:tc>
          <w:tcPr>
            <w:tcW w:w="54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Weighted-average basic shares outstanding</w:t>
            </w:r>
          </w:p>
        </w:tc>
        <w:tc>
          <w:tcPr>
            <w:tcW w:w="154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1,667</w:t>
            </w:r>
          </w:p>
        </w:tc>
        <w:tc>
          <w:tcPr>
            <w:tcW w:w="38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1,481</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1,541</w:t>
            </w:r>
          </w:p>
        </w:tc>
      </w:tr>
      <w:tr>
        <w:trPr>
          <w:trHeight w:val="229"/>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Weighted-average diluted shares outstanding</w:t>
            </w:r>
          </w:p>
        </w:tc>
        <w:tc>
          <w:tcPr>
            <w:tcW w:w="1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1,673</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1,484</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r>
    </w:tbl>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49</w:t>
      </w:r>
      <w:r>
        <w:rPr>
          <w:sz w:val="20"/>
          <w:szCs w:val="20"/>
          <w:color w:val="auto"/>
        </w:rPr>
        <w:tab/>
      </w:r>
      <w:r>
        <w:rPr>
          <w:sz w:val="1"/>
          <w:szCs w:val="1"/>
          <w:color w:val="auto"/>
        </w:rPr>
        <w:drawing>
          <wp:inline distT="0" distB="0" distL="0" distR="0">
            <wp:extent cx="600075" cy="11112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52" w:name="page53"/>
    <w:bookmarkEnd w:id="52"/>
    <w:p>
      <w:pPr>
        <w:spacing w:after="0"/>
        <w:rPr>
          <w:sz w:val="20"/>
          <w:szCs w:val="20"/>
          <w:color w:val="auto"/>
        </w:rPr>
      </w:pPr>
      <w:r>
        <w:rPr>
          <w:rFonts w:ascii="Arial" w:cs="Arial" w:eastAsia="Arial" w:hAnsi="Arial"/>
          <w:sz w:val="22"/>
          <w:szCs w:val="22"/>
          <w:b w:val="1"/>
          <w:bCs w:val="1"/>
          <w:color w:val="444867"/>
        </w:rPr>
        <w:t>AbbVie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Consolidated Statements of Comprehensive Income</w:t>
      </w: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 (in millions)</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4,622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7,882</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w:t>
            </w:r>
          </w:p>
        </w:tc>
      </w:tr>
      <w:tr>
        <w:trPr>
          <w:trHeight w:val="257"/>
        </w:trPr>
        <w:tc>
          <w:tcPr>
            <w:tcW w:w="6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188"/>
        </w:trPr>
        <w:tc>
          <w:tcPr>
            <w:tcW w:w="65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Foreign currency translation adjustments, net of tax expense (benefit) of $28 in</w:t>
            </w:r>
          </w:p>
        </w:tc>
        <w:tc>
          <w:tcPr>
            <w:tcW w:w="4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7"/>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$(4) in 2019 and $(18) in 2018</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1,511</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188"/>
        </w:trPr>
        <w:tc>
          <w:tcPr>
            <w:tcW w:w="6560" w:type="dxa"/>
            <w:vAlign w:val="bottom"/>
          </w:tcPr>
          <w:p>
            <w:pPr>
              <w:ind w:left="20"/>
              <w:spacing w:after="0" w:line="189" w:lineRule="exact"/>
              <w:rPr>
                <w:sz w:val="20"/>
                <w:szCs w:val="20"/>
                <w:color w:val="auto"/>
              </w:rPr>
            </w:pPr>
            <w:r>
              <w:rPr>
                <w:rFonts w:ascii="Arial" w:cs="Arial" w:eastAsia="Arial" w:hAnsi="Arial"/>
                <w:sz w:val="18"/>
                <w:szCs w:val="18"/>
                <w:color w:val="auto"/>
              </w:rPr>
              <w:t>Net investment hedging activities, net of tax expense (benefit) of $(221) in 2020,</w:t>
            </w: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6560" w:type="dxa"/>
            <w:vAlign w:val="bottom"/>
          </w:tcPr>
          <w:p>
            <w:pPr>
              <w:ind w:left="20"/>
              <w:spacing w:after="0"/>
              <w:rPr>
                <w:sz w:val="20"/>
                <w:szCs w:val="20"/>
                <w:color w:val="auto"/>
              </w:rPr>
            </w:pPr>
            <w:r>
              <w:rPr>
                <w:rFonts w:ascii="Arial" w:cs="Arial" w:eastAsia="Arial" w:hAnsi="Arial"/>
                <w:sz w:val="18"/>
                <w:szCs w:val="18"/>
                <w:color w:val="auto"/>
              </w:rPr>
              <w:t>$22 in 2019 and $40 in 2018</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(799)</w:t>
            </w:r>
          </w:p>
        </w:tc>
        <w:tc>
          <w:tcPr>
            <w:tcW w:w="38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188"/>
        </w:trPr>
        <w:tc>
          <w:tcPr>
            <w:tcW w:w="65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Pension and post-employment benefits, net of tax expense (benefit) of $(47) in</w:t>
            </w:r>
          </w:p>
        </w:tc>
        <w:tc>
          <w:tcPr>
            <w:tcW w:w="4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7"/>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$(323) in 2019 and $35 in 2018</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188"/>
        </w:trPr>
        <w:tc>
          <w:tcPr>
            <w:tcW w:w="6560" w:type="dxa"/>
            <w:vAlign w:val="bottom"/>
          </w:tcPr>
          <w:p>
            <w:pPr>
              <w:ind w:left="20"/>
              <w:spacing w:after="0" w:line="189" w:lineRule="exact"/>
              <w:rPr>
                <w:sz w:val="20"/>
                <w:szCs w:val="20"/>
                <w:color w:val="auto"/>
              </w:rPr>
            </w:pPr>
            <w:r>
              <w:rPr>
                <w:rFonts w:ascii="Arial" w:cs="Arial" w:eastAsia="Arial" w:hAnsi="Arial"/>
                <w:sz w:val="18"/>
                <w:szCs w:val="18"/>
                <w:color w:val="auto"/>
              </w:rPr>
              <w:t>Marketable security activities, net of tax expense (benefit) of $— in 2020, $— in</w:t>
            </w: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6560" w:type="dxa"/>
            <w:vAlign w:val="bottom"/>
          </w:tcPr>
          <w:p>
            <w:pPr>
              <w:ind w:left="20"/>
              <w:spacing w:after="0"/>
              <w:rPr>
                <w:sz w:val="20"/>
                <w:szCs w:val="20"/>
                <w:color w:val="auto"/>
              </w:rPr>
            </w:pPr>
            <w:r>
              <w:rPr>
                <w:rFonts w:ascii="Arial" w:cs="Arial" w:eastAsia="Arial" w:hAnsi="Arial"/>
                <w:sz w:val="18"/>
                <w:szCs w:val="18"/>
                <w:color w:val="auto"/>
              </w:rPr>
              <w:t>2019 and $— in 2018</w:t>
            </w:r>
          </w:p>
        </w:tc>
        <w:tc>
          <w:tcPr>
            <w:tcW w:w="44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88"/>
        </w:trPr>
        <w:tc>
          <w:tcPr>
            <w:tcW w:w="65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Cash flow hedging activities, net of tax expense (benefit) of $(23) in 2020, $70 in</w:t>
            </w:r>
          </w:p>
        </w:tc>
        <w:tc>
          <w:tcPr>
            <w:tcW w:w="4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7"/>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2019 and $23 in 2018</w:t>
            </w: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141</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2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479</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5,101</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6,766</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w:t>
            </w:r>
          </w:p>
        </w:tc>
      </w:tr>
      <w:tr>
        <w:trPr>
          <w:trHeight w:val="229"/>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Comprehensive income attributable to noncontrolling interest</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attributable to AbbVie Inc.</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5,095</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6,766</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5,934</w:t>
            </w:r>
          </w:p>
        </w:tc>
      </w:tr>
      <w:tr>
        <w:trPr>
          <w:trHeight w:val="20"/>
        </w:trPr>
        <w:tc>
          <w:tcPr>
            <w:tcW w:w="65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50</w:t>
            </w:r>
          </w:p>
        </w:tc>
      </w:tr>
      <w:tr>
        <w:trPr>
          <w:trHeight w:val="201"/>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-334010</wp:posOffset>
            </wp:positionV>
            <wp:extent cx="600075" cy="1111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0075" cy="11112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3" w:name="page54"/>
    <w:bookmarkEnd w:id="53"/>
    <w:p>
      <w:pPr>
        <w:spacing w:after="0"/>
        <w:rPr>
          <w:sz w:val="20"/>
          <w:szCs w:val="20"/>
          <w:color w:val="auto"/>
        </w:rPr>
      </w:pPr>
      <w:r>
        <w:rPr>
          <w:rFonts w:ascii="Arial" w:cs="Arial" w:eastAsia="Arial" w:hAnsi="Arial"/>
          <w:sz w:val="22"/>
          <w:szCs w:val="22"/>
          <w:b w:val="1"/>
          <w:bCs w:val="1"/>
          <w:color w:val="444867"/>
        </w:rPr>
        <w:t>AbbVie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Consolidated Balance Sheets</w:t>
      </w: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(in millions, except share data)</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214"/>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9"/>
        </w:trPr>
        <w:tc>
          <w:tcPr>
            <w:tcW w:w="8140" w:type="dxa"/>
            <w:vAlign w:val="bottom"/>
          </w:tcPr>
          <w:p>
            <w:pPr>
              <w:ind w:left="120"/>
              <w:spacing w:after="0"/>
              <w:rPr>
                <w:sz w:val="20"/>
                <w:szCs w:val="20"/>
                <w:color w:val="auto"/>
              </w:rPr>
            </w:pPr>
            <w:r>
              <w:rPr>
                <w:rFonts w:ascii="Arial" w:cs="Arial" w:eastAsia="Arial" w:hAnsi="Arial"/>
                <w:sz w:val="18"/>
                <w:szCs w:val="18"/>
                <w:b w:val="1"/>
                <w:bCs w:val="1"/>
                <w:color w:val="auto"/>
              </w:rPr>
              <w:t>Current assets</w:t>
            </w: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equivalents</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8,449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39,924</w:t>
            </w:r>
          </w:p>
        </w:tc>
      </w:tr>
      <w:tr>
        <w:trPr>
          <w:trHeight w:val="230"/>
        </w:trPr>
        <w:tc>
          <w:tcPr>
            <w:tcW w:w="8140" w:type="dxa"/>
            <w:vAlign w:val="bottom"/>
          </w:tcPr>
          <w:p>
            <w:pPr>
              <w:ind w:left="120"/>
              <w:spacing w:after="0"/>
              <w:rPr>
                <w:sz w:val="20"/>
                <w:szCs w:val="20"/>
                <w:color w:val="auto"/>
              </w:rPr>
            </w:pPr>
            <w:r>
              <w:rPr>
                <w:rFonts w:ascii="Arial" w:cs="Arial" w:eastAsia="Arial" w:hAnsi="Arial"/>
                <w:sz w:val="18"/>
                <w:szCs w:val="18"/>
                <w:color w:val="auto"/>
              </w:rPr>
              <w:t>Short-term investments</w:t>
            </w:r>
          </w:p>
        </w:tc>
        <w:tc>
          <w:tcPr>
            <w:tcW w:w="40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8,822</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w:t>
            </w:r>
          </w:p>
        </w:tc>
      </w:tr>
      <w:tr>
        <w:trPr>
          <w:trHeight w:val="230"/>
        </w:trPr>
        <w:tc>
          <w:tcPr>
            <w:tcW w:w="814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3,310</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1,813</w:t>
            </w:r>
          </w:p>
        </w:tc>
      </w:tr>
      <w:tr>
        <w:trPr>
          <w:trHeight w:val="229"/>
        </w:trPr>
        <w:tc>
          <w:tcPr>
            <w:tcW w:w="81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Prepaid expenses and other</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3,562</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r>
      <w:tr>
        <w:trPr>
          <w:trHeight w:val="223"/>
        </w:trPr>
        <w:tc>
          <w:tcPr>
            <w:tcW w:w="8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Total current assets</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24,173</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49,519</w:t>
            </w:r>
          </w:p>
        </w:tc>
      </w:tr>
      <w:tr>
        <w:trPr>
          <w:trHeight w:val="183"/>
        </w:trPr>
        <w:tc>
          <w:tcPr>
            <w:tcW w:w="8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30"/>
        </w:trPr>
        <w:tc>
          <w:tcPr>
            <w:tcW w:w="814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40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293</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8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5,248</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r>
      <w:tr>
        <w:trPr>
          <w:trHeight w:val="230"/>
        </w:trPr>
        <w:tc>
          <w:tcPr>
            <w:tcW w:w="814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40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82,876</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18,649</w:t>
            </w:r>
          </w:p>
        </w:tc>
      </w:tr>
      <w:tr>
        <w:trPr>
          <w:trHeight w:val="229"/>
        </w:trPr>
        <w:tc>
          <w:tcPr>
            <w:tcW w:w="8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33,124</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15,604</w:t>
            </w:r>
          </w:p>
        </w:tc>
      </w:tr>
      <w:tr>
        <w:trPr>
          <w:trHeight w:val="229"/>
        </w:trPr>
        <w:tc>
          <w:tcPr>
            <w:tcW w:w="81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4,851</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w:t>
            </w:r>
          </w:p>
        </w:tc>
      </w:tr>
      <w:tr>
        <w:trPr>
          <w:trHeight w:val="248"/>
        </w:trPr>
        <w:tc>
          <w:tcPr>
            <w:tcW w:w="81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assets</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150,565</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89,115</w:t>
            </w:r>
          </w:p>
        </w:tc>
      </w:tr>
      <w:tr>
        <w:trPr>
          <w:trHeight w:val="20"/>
        </w:trPr>
        <w:tc>
          <w:tcPr>
            <w:tcW w:w="8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8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140" w:type="dxa"/>
            <w:vAlign w:val="bottom"/>
          </w:tcPr>
          <w:p>
            <w:pPr>
              <w:ind w:left="120"/>
              <w:spacing w:after="0"/>
              <w:rPr>
                <w:sz w:val="20"/>
                <w:szCs w:val="20"/>
                <w:color w:val="auto"/>
              </w:rPr>
            </w:pPr>
            <w:r>
              <w:rPr>
                <w:rFonts w:ascii="Arial" w:cs="Arial" w:eastAsia="Arial" w:hAnsi="Arial"/>
                <w:sz w:val="18"/>
                <w:szCs w:val="18"/>
                <w:b w:val="1"/>
                <w:bCs w:val="1"/>
                <w:color w:val="auto"/>
              </w:rPr>
              <w:t>Current liabilities</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borrowings</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tcPr>
          <w:p>
            <w:pPr>
              <w:ind w:left="120"/>
              <w:spacing w:after="0"/>
              <w:rPr>
                <w:sz w:val="20"/>
                <w:szCs w:val="20"/>
                <w:color w:val="auto"/>
              </w:rPr>
            </w:pPr>
            <w:r>
              <w:rPr>
                <w:rFonts w:ascii="Arial" w:cs="Arial" w:eastAsia="Arial" w:hAnsi="Arial"/>
                <w:sz w:val="18"/>
                <w:szCs w:val="18"/>
                <w:color w:val="auto"/>
              </w:rPr>
              <w:t>Current portion of long-term debt and finance lease obligations</w:t>
            </w:r>
          </w:p>
        </w:tc>
        <w:tc>
          <w:tcPr>
            <w:tcW w:w="40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8,468</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3,753</w:t>
            </w:r>
          </w:p>
        </w:tc>
      </w:tr>
      <w:tr>
        <w:trPr>
          <w:trHeight w:val="229"/>
        </w:trPr>
        <w:tc>
          <w:tcPr>
            <w:tcW w:w="81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Accounts payable and accrued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20,159</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11,832</w:t>
            </w:r>
          </w:p>
        </w:tc>
      </w:tr>
      <w:tr>
        <w:trPr>
          <w:trHeight w:val="223"/>
        </w:trPr>
        <w:tc>
          <w:tcPr>
            <w:tcW w:w="8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Total current liabilities</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28,661</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15,585</w:t>
            </w:r>
          </w:p>
        </w:tc>
      </w:tr>
      <w:tr>
        <w:trPr>
          <w:trHeight w:val="182"/>
        </w:trPr>
        <w:tc>
          <w:tcPr>
            <w:tcW w:w="8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30"/>
        </w:trPr>
        <w:tc>
          <w:tcPr>
            <w:tcW w:w="8140" w:type="dxa"/>
            <w:vAlign w:val="bottom"/>
          </w:tcPr>
          <w:p>
            <w:pPr>
              <w:ind w:left="120"/>
              <w:spacing w:after="0"/>
              <w:rPr>
                <w:sz w:val="20"/>
                <w:szCs w:val="20"/>
                <w:color w:val="auto"/>
              </w:rPr>
            </w:pPr>
            <w:r>
              <w:rPr>
                <w:rFonts w:ascii="Arial" w:cs="Arial" w:eastAsia="Arial" w:hAnsi="Arial"/>
                <w:sz w:val="18"/>
                <w:szCs w:val="18"/>
                <w:color w:val="auto"/>
              </w:rPr>
              <w:t>Long-term debt and finance lease obligations</w:t>
            </w:r>
          </w:p>
        </w:tc>
        <w:tc>
          <w:tcPr>
            <w:tcW w:w="40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77,554</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62,975</w:t>
            </w:r>
          </w:p>
        </w:tc>
      </w:tr>
      <w:tr>
        <w:trPr>
          <w:trHeight w:val="230"/>
        </w:trPr>
        <w:tc>
          <w:tcPr>
            <w:tcW w:w="8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3,646</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r>
      <w:tr>
        <w:trPr>
          <w:trHeight w:val="230"/>
        </w:trPr>
        <w:tc>
          <w:tcPr>
            <w:tcW w:w="8140" w:type="dxa"/>
            <w:vAlign w:val="bottom"/>
          </w:tcPr>
          <w:p>
            <w:pPr>
              <w:ind w:left="120"/>
              <w:spacing w:after="0"/>
              <w:rPr>
                <w:sz w:val="20"/>
                <w:szCs w:val="20"/>
                <w:color w:val="auto"/>
              </w:rPr>
            </w:pPr>
            <w:r>
              <w:rPr>
                <w:rFonts w:ascii="Arial" w:cs="Arial" w:eastAsia="Arial" w:hAnsi="Arial"/>
                <w:sz w:val="18"/>
                <w:szCs w:val="18"/>
                <w:color w:val="auto"/>
              </w:rPr>
              <w:t>Other long-term liabilities</w:t>
            </w:r>
          </w:p>
        </w:tc>
        <w:tc>
          <w:tcPr>
            <w:tcW w:w="40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27,607</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17,597</w:t>
            </w:r>
          </w:p>
        </w:tc>
      </w:tr>
      <w:tr>
        <w:trPr>
          <w:trHeight w:val="203"/>
        </w:trPr>
        <w:tc>
          <w:tcPr>
            <w:tcW w:w="8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8140" w:type="dxa"/>
            <w:vAlign w:val="bottom"/>
          </w:tcPr>
          <w:p>
            <w:pPr>
              <w:ind w:left="120"/>
              <w:spacing w:after="0"/>
              <w:rPr>
                <w:sz w:val="20"/>
                <w:szCs w:val="20"/>
                <w:color w:val="auto"/>
              </w:rPr>
            </w:pPr>
            <w:r>
              <w:rPr>
                <w:rFonts w:ascii="Arial" w:cs="Arial" w:eastAsia="Arial" w:hAnsi="Arial"/>
                <w:sz w:val="18"/>
                <w:szCs w:val="18"/>
                <w:color w:val="auto"/>
              </w:rPr>
              <w:t>Commitments and contingencies</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3"/>
        </w:trPr>
        <w:tc>
          <w:tcPr>
            <w:tcW w:w="8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140" w:type="dxa"/>
            <w:vAlign w:val="bottom"/>
          </w:tcPr>
          <w:p>
            <w:pPr>
              <w:ind w:left="120"/>
              <w:spacing w:after="0"/>
              <w:rPr>
                <w:sz w:val="20"/>
                <w:szCs w:val="20"/>
                <w:color w:val="auto"/>
              </w:rPr>
            </w:pPr>
            <w:r>
              <w:rPr>
                <w:rFonts w:ascii="Arial" w:cs="Arial" w:eastAsia="Arial" w:hAnsi="Arial"/>
                <w:sz w:val="18"/>
                <w:szCs w:val="18"/>
                <w:b w:val="1"/>
                <w:bCs w:val="1"/>
                <w:color w:val="auto"/>
              </w:rPr>
              <w:t>Stockholders’ equity (deficit)</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88"/>
        </w:trPr>
        <w:tc>
          <w:tcPr>
            <w:tcW w:w="81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Common stock, $0.01 par value, 4,000,000,000 shares authorized, 1,792,140,764 shares issued as</w:t>
            </w: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7"/>
        </w:trPr>
        <w:tc>
          <w:tcPr>
            <w:tcW w:w="8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 December 31, 2020 and 1,781,582,608 as of December 31, 2019</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188"/>
        </w:trPr>
        <w:tc>
          <w:tcPr>
            <w:tcW w:w="8140" w:type="dxa"/>
            <w:vAlign w:val="bottom"/>
          </w:tcPr>
          <w:p>
            <w:pPr>
              <w:ind w:left="120"/>
              <w:spacing w:after="0" w:line="189" w:lineRule="exact"/>
              <w:rPr>
                <w:sz w:val="20"/>
                <w:szCs w:val="20"/>
                <w:color w:val="auto"/>
              </w:rPr>
            </w:pPr>
            <w:r>
              <w:rPr>
                <w:rFonts w:ascii="Arial" w:cs="Arial" w:eastAsia="Arial" w:hAnsi="Arial"/>
                <w:sz w:val="18"/>
                <w:szCs w:val="18"/>
                <w:color w:val="auto"/>
              </w:rPr>
              <w:t>Common stock held in treasury, at cost, 27,007,945 shares as of December 31, 2020 and</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8140" w:type="dxa"/>
            <w:vAlign w:val="bottom"/>
          </w:tcPr>
          <w:p>
            <w:pPr>
              <w:ind w:left="120"/>
              <w:spacing w:after="0"/>
              <w:rPr>
                <w:sz w:val="20"/>
                <w:szCs w:val="20"/>
                <w:color w:val="auto"/>
              </w:rPr>
            </w:pPr>
            <w:r>
              <w:rPr>
                <w:rFonts w:ascii="Arial" w:cs="Arial" w:eastAsia="Arial" w:hAnsi="Arial"/>
                <w:sz w:val="18"/>
                <w:szCs w:val="18"/>
                <w:color w:val="auto"/>
              </w:rPr>
              <w:t>302,671,146 as of December 31, 2019</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(2,264)</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(24,504)</w:t>
            </w:r>
          </w:p>
        </w:tc>
      </w:tr>
      <w:tr>
        <w:trPr>
          <w:trHeight w:val="230"/>
        </w:trPr>
        <w:tc>
          <w:tcPr>
            <w:tcW w:w="8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17,384</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15,193</w:t>
            </w:r>
          </w:p>
        </w:tc>
      </w:tr>
      <w:tr>
        <w:trPr>
          <w:trHeight w:val="230"/>
        </w:trPr>
        <w:tc>
          <w:tcPr>
            <w:tcW w:w="814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40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1,055</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4,717</w:t>
            </w:r>
          </w:p>
        </w:tc>
      </w:tr>
      <w:tr>
        <w:trPr>
          <w:trHeight w:val="229"/>
        </w:trPr>
        <w:tc>
          <w:tcPr>
            <w:tcW w:w="81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r>
      <w:tr>
        <w:trPr>
          <w:trHeight w:val="223"/>
        </w:trPr>
        <w:tc>
          <w:tcPr>
            <w:tcW w:w="8140" w:type="dxa"/>
            <w:vAlign w:val="bottom"/>
          </w:tcPr>
          <w:p>
            <w:pPr>
              <w:ind w:left="120"/>
              <w:spacing w:after="0"/>
              <w:rPr>
                <w:sz w:val="20"/>
                <w:szCs w:val="20"/>
                <w:color w:val="auto"/>
              </w:rPr>
            </w:pPr>
            <w:r>
              <w:rPr>
                <w:rFonts w:ascii="Arial" w:cs="Arial" w:eastAsia="Arial" w:hAnsi="Arial"/>
                <w:sz w:val="18"/>
                <w:szCs w:val="18"/>
                <w:b w:val="1"/>
                <w:bCs w:val="1"/>
                <w:color w:val="auto"/>
              </w:rPr>
              <w:t>Total stockholders' equity (deficit)</w:t>
            </w:r>
          </w:p>
        </w:tc>
        <w:tc>
          <w:tcPr>
            <w:tcW w:w="40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13,076</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(8,172)</w:t>
            </w:r>
          </w:p>
        </w:tc>
      </w:tr>
      <w:tr>
        <w:trPr>
          <w:trHeight w:val="230"/>
        </w:trPr>
        <w:tc>
          <w:tcPr>
            <w:tcW w:w="81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Noncontrolling interest</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Total equity (deficit)</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13,097</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(8,172)</w:t>
            </w:r>
          </w:p>
        </w:tc>
      </w:tr>
      <w:tr>
        <w:trPr>
          <w:trHeight w:val="183"/>
        </w:trPr>
        <w:tc>
          <w:tcPr>
            <w:tcW w:w="8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30"/>
        </w:trPr>
        <w:tc>
          <w:tcPr>
            <w:tcW w:w="8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Total liabilities and equity</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150,565</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89,115</w:t>
            </w:r>
          </w:p>
        </w:tc>
      </w:tr>
      <w:tr>
        <w:trPr>
          <w:trHeight w:val="20"/>
        </w:trPr>
        <w:tc>
          <w:tcPr>
            <w:tcW w:w="8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33"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51</w:t>
      </w:r>
      <w:r>
        <w:rPr>
          <w:sz w:val="20"/>
          <w:szCs w:val="20"/>
          <w:color w:val="auto"/>
        </w:rPr>
        <w:tab/>
      </w:r>
      <w:r>
        <w:rPr>
          <w:sz w:val="1"/>
          <w:szCs w:val="1"/>
          <w:color w:val="auto"/>
        </w:rPr>
        <w:drawing>
          <wp:inline distT="0" distB="0" distL="0" distR="0">
            <wp:extent cx="600075" cy="11176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0075" cy="11176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54" w:name="page55"/>
    <w:bookmarkEnd w:id="54"/>
    <w:p>
      <w:pPr>
        <w:spacing w:after="0"/>
        <w:rPr>
          <w:sz w:val="20"/>
          <w:szCs w:val="20"/>
          <w:color w:val="auto"/>
        </w:rPr>
      </w:pPr>
      <w:r>
        <w:rPr>
          <w:rFonts w:ascii="Arial" w:cs="Arial" w:eastAsia="Arial" w:hAnsi="Arial"/>
          <w:sz w:val="22"/>
          <w:szCs w:val="22"/>
          <w:b w:val="1"/>
          <w:bCs w:val="1"/>
          <w:color w:val="444867"/>
        </w:rPr>
        <w:t>AbbVie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Consolidated Statements of Equity</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Common</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Additional</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90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2"/>
            <w:vMerge w:val="restart"/>
          </w:tcPr>
          <w:p>
            <w:pPr>
              <w:jc w:val="right"/>
              <w:ind w:right="68"/>
              <w:spacing w:after="0"/>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900" w:type="dxa"/>
            <w:vAlign w:val="bottom"/>
            <w:gridSpan w:val="2"/>
            <w:vMerge w:val="restart"/>
          </w:tcPr>
          <w:p>
            <w:pPr>
              <w:jc w:val="right"/>
              <w:ind w:right="68"/>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116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1"/>
                <w:szCs w:val="11"/>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Noncontrolling</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ended December 31 (in millions)</w:t>
            </w: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shares</w:t>
            </w:r>
          </w:p>
        </w:tc>
        <w:tc>
          <w:tcPr>
            <w:tcW w:w="90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rPr>
              <w:t>paid-in</w:t>
            </w:r>
          </w:p>
        </w:tc>
        <w:tc>
          <w:tcPr>
            <w:tcW w:w="900" w:type="dxa"/>
            <w:vAlign w:val="bottom"/>
            <w:gridSpan w:val="2"/>
            <w:vMerge w:val="continue"/>
          </w:tcPr>
          <w:p>
            <w:pPr>
              <w:spacing w:after="0"/>
              <w:rPr>
                <w:sz w:val="11"/>
                <w:szCs w:val="11"/>
                <w:color w:val="auto"/>
              </w:rPr>
            </w:pPr>
          </w:p>
        </w:tc>
        <w:tc>
          <w:tcPr>
            <w:tcW w:w="13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92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stock</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stock</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capital</w:t>
            </w:r>
          </w:p>
        </w:tc>
        <w:tc>
          <w:tcPr>
            <w:tcW w:w="9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9"/>
              </w:rPr>
              <w:t>loss</w:t>
            </w: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interest</w:t>
            </w: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2017</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1,592</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(11,923)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14,270</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5,459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(2,727)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5,097</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line="189" w:lineRule="exact"/>
              <w:rPr>
                <w:sz w:val="20"/>
                <w:szCs w:val="20"/>
                <w:color w:val="auto"/>
              </w:rPr>
            </w:pPr>
            <w:r>
              <w:rPr>
                <w:rFonts w:ascii="Arial" w:cs="Arial" w:eastAsia="Arial" w:hAnsi="Arial"/>
                <w:sz w:val="14"/>
                <w:szCs w:val="14"/>
                <w:color w:val="auto"/>
              </w:rPr>
              <w:t>Adoption of new accounting standards</w:t>
            </w:r>
            <w:r>
              <w:rPr>
                <w:rFonts w:ascii="Arial" w:cs="Arial" w:eastAsia="Arial" w:hAnsi="Arial"/>
                <w:sz w:val="18"/>
                <w:szCs w:val="18"/>
                <w:color w:val="auto"/>
                <w:vertAlign w:val="superscript"/>
              </w:rPr>
              <w:t>(a)</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(1,733)</w:t>
            </w:r>
          </w:p>
        </w:tc>
        <w:tc>
          <w:tcPr>
            <w:tcW w:w="20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(1,733)</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attributable to AbbVie Inc.</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5,687</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5,687</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Other comprehensive income, net of tax</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247</w:t>
            </w:r>
          </w:p>
        </w:tc>
        <w:tc>
          <w:tcPr>
            <w:tcW w:w="16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(6,045)</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(6,045)</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Purchases of treasury stock</w:t>
            </w:r>
          </w:p>
        </w:tc>
        <w:tc>
          <w:tcPr>
            <w:tcW w:w="1100" w:type="dxa"/>
            <w:vAlign w:val="bottom"/>
          </w:tcPr>
          <w:p>
            <w:pPr>
              <w:jc w:val="right"/>
              <w:spacing w:after="0"/>
              <w:rPr>
                <w:sz w:val="20"/>
                <w:szCs w:val="20"/>
                <w:color w:val="auto"/>
              </w:rPr>
            </w:pPr>
            <w:r>
              <w:rPr>
                <w:rFonts w:ascii="Arial" w:cs="Arial" w:eastAsia="Arial" w:hAnsi="Arial"/>
                <w:sz w:val="14"/>
                <w:szCs w:val="14"/>
                <w:color w:val="auto"/>
              </w:rPr>
              <w:t>(121)</w:t>
            </w:r>
          </w:p>
        </w:tc>
        <w:tc>
          <w:tcPr>
            <w:tcW w:w="2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(12,215)</w:t>
            </w:r>
          </w:p>
        </w:tc>
        <w:tc>
          <w:tcPr>
            <w:tcW w:w="16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(12,215)</w:t>
            </w:r>
          </w:p>
        </w:tc>
        <w:tc>
          <w:tcPr>
            <w:tcW w:w="0" w:type="dxa"/>
            <w:vAlign w:val="bottom"/>
          </w:tcPr>
          <w:p>
            <w:pPr>
              <w:spacing w:after="0"/>
              <w:rPr>
                <w:sz w:val="1"/>
                <w:szCs w:val="1"/>
                <w:color w:val="auto"/>
              </w:rPr>
            </w:pPr>
          </w:p>
        </w:tc>
      </w:tr>
      <w:tr>
        <w:trPr>
          <w:trHeight w:val="189"/>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plans and other</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486</w:t>
            </w:r>
          </w:p>
        </w:tc>
        <w:tc>
          <w:tcPr>
            <w:tcW w:w="2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183"/>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1,479</w:t>
            </w:r>
          </w:p>
        </w:tc>
        <w:tc>
          <w:tcPr>
            <w:tcW w:w="22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(24,108)</w:t>
            </w:r>
          </w:p>
        </w:tc>
        <w:tc>
          <w:tcPr>
            <w:tcW w:w="16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14,756</w:t>
            </w:r>
          </w:p>
        </w:tc>
        <w:tc>
          <w:tcPr>
            <w:tcW w:w="28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3,368</w:t>
            </w:r>
          </w:p>
        </w:tc>
        <w:tc>
          <w:tcPr>
            <w:tcW w:w="20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(2,480)</w:t>
            </w:r>
          </w:p>
        </w:tc>
        <w:tc>
          <w:tcPr>
            <w:tcW w:w="16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(8,446)</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attributable to AbbVie Inc.</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7,882</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7,882</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Other comprehensive loss, net of tax</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(1,116)</w:t>
            </w:r>
          </w:p>
        </w:tc>
        <w:tc>
          <w:tcPr>
            <w:tcW w:w="16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(1,116)</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(6,533)</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(6,533)</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Purchases of treasury stock</w:t>
            </w:r>
          </w:p>
        </w:tc>
        <w:tc>
          <w:tcPr>
            <w:tcW w:w="1100" w:type="dxa"/>
            <w:vAlign w:val="bottom"/>
          </w:tcPr>
          <w:p>
            <w:pPr>
              <w:jc w:val="right"/>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(428)</w:t>
            </w:r>
          </w:p>
        </w:tc>
        <w:tc>
          <w:tcPr>
            <w:tcW w:w="16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189"/>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plans and other</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437</w:t>
            </w:r>
          </w:p>
        </w:tc>
        <w:tc>
          <w:tcPr>
            <w:tcW w:w="2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83"/>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1,479</w:t>
            </w:r>
          </w:p>
        </w:tc>
        <w:tc>
          <w:tcPr>
            <w:tcW w:w="22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(24,504)</w:t>
            </w:r>
          </w:p>
        </w:tc>
        <w:tc>
          <w:tcPr>
            <w:tcW w:w="16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15,193</w:t>
            </w:r>
          </w:p>
        </w:tc>
        <w:tc>
          <w:tcPr>
            <w:tcW w:w="28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4,717</w:t>
            </w:r>
          </w:p>
        </w:tc>
        <w:tc>
          <w:tcPr>
            <w:tcW w:w="20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(3,596)</w:t>
            </w:r>
          </w:p>
        </w:tc>
        <w:tc>
          <w:tcPr>
            <w:tcW w:w="16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(8,172)</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attributable to AbbVie Inc.</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4,616</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4,616</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Other comprehensive income, net of tax</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479</w:t>
            </w:r>
          </w:p>
        </w:tc>
        <w:tc>
          <w:tcPr>
            <w:tcW w:w="16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479</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(8,278)</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(8,278)</w:t>
            </w:r>
          </w:p>
        </w:tc>
        <w:tc>
          <w:tcPr>
            <w:tcW w:w="0" w:type="dxa"/>
            <w:vAlign w:val="bottom"/>
          </w:tcPr>
          <w:p>
            <w:pPr>
              <w:spacing w:after="0"/>
              <w:rPr>
                <w:sz w:val="1"/>
                <w:szCs w:val="1"/>
                <w:color w:val="auto"/>
              </w:rPr>
            </w:pPr>
          </w:p>
        </w:tc>
      </w:tr>
      <w:tr>
        <w:trPr>
          <w:trHeight w:val="153"/>
        </w:trPr>
        <w:tc>
          <w:tcPr>
            <w:tcW w:w="2920" w:type="dxa"/>
            <w:vAlign w:val="bottom"/>
          </w:tcPr>
          <w:p>
            <w:pPr>
              <w:ind w:left="20"/>
              <w:spacing w:after="0" w:line="153" w:lineRule="exact"/>
              <w:rPr>
                <w:sz w:val="20"/>
                <w:szCs w:val="20"/>
                <w:color w:val="auto"/>
              </w:rPr>
            </w:pPr>
            <w:r>
              <w:rPr>
                <w:rFonts w:ascii="Arial" w:cs="Arial" w:eastAsia="Arial" w:hAnsi="Arial"/>
                <w:sz w:val="14"/>
                <w:szCs w:val="14"/>
                <w:color w:val="auto"/>
              </w:rPr>
              <w:t>Common shares and equity awards issued</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286</w:t>
            </w:r>
          </w:p>
        </w:tc>
        <w:tc>
          <w:tcPr>
            <w:tcW w:w="220" w:type="dxa"/>
            <w:vAlign w:val="bottom"/>
          </w:tcPr>
          <w:p>
            <w:pPr>
              <w:spacing w:after="0"/>
              <w:rPr>
                <w:sz w:val="13"/>
                <w:szCs w:val="13"/>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23,166</w:t>
            </w:r>
          </w:p>
        </w:tc>
        <w:tc>
          <w:tcPr>
            <w:tcW w:w="160" w:type="dxa"/>
            <w:vAlign w:val="bottom"/>
          </w:tcPr>
          <w:p>
            <w:pPr>
              <w:spacing w:after="0"/>
              <w:rPr>
                <w:sz w:val="13"/>
                <w:szCs w:val="13"/>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1,243</w:t>
            </w:r>
          </w:p>
        </w:tc>
        <w:tc>
          <w:tcPr>
            <w:tcW w:w="280" w:type="dxa"/>
            <w:vAlign w:val="bottom"/>
          </w:tcPr>
          <w:p>
            <w:pPr>
              <w:spacing w:after="0"/>
              <w:rPr>
                <w:sz w:val="13"/>
                <w:szCs w:val="13"/>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24,409</w:t>
            </w:r>
          </w:p>
        </w:tc>
        <w:tc>
          <w:tcPr>
            <w:tcW w:w="0" w:type="dxa"/>
            <w:vAlign w:val="bottom"/>
          </w:tcPr>
          <w:p>
            <w:pPr>
              <w:spacing w:after="0"/>
              <w:rPr>
                <w:sz w:val="1"/>
                <w:szCs w:val="1"/>
                <w:color w:val="auto"/>
              </w:rPr>
            </w:pPr>
          </w:p>
        </w:tc>
      </w:tr>
      <w:tr>
        <w:trPr>
          <w:trHeight w:val="171"/>
        </w:trPr>
        <w:tc>
          <w:tcPr>
            <w:tcW w:w="2920" w:type="dxa"/>
            <w:vAlign w:val="bottom"/>
          </w:tcPr>
          <w:p>
            <w:pPr>
              <w:ind w:left="20"/>
              <w:spacing w:after="0"/>
              <w:rPr>
                <w:sz w:val="20"/>
                <w:szCs w:val="20"/>
                <w:color w:val="auto"/>
              </w:rPr>
            </w:pPr>
            <w:r>
              <w:rPr>
                <w:rFonts w:ascii="Arial" w:cs="Arial" w:eastAsia="Arial" w:hAnsi="Arial"/>
                <w:sz w:val="14"/>
                <w:szCs w:val="14"/>
                <w:color w:val="auto"/>
              </w:rPr>
              <w:t>for acquisition of Allergan plc</w:t>
            </w: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treasury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(978)</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Stock-based compensation plans and other</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6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948</w:t>
            </w: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Change in noncontrolling interest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2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3"/>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1,765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(2,264)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17,384</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(3,117)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13,097</w:t>
            </w:r>
          </w:p>
        </w:tc>
        <w:tc>
          <w:tcPr>
            <w:tcW w:w="0" w:type="dxa"/>
            <w:vAlign w:val="bottom"/>
          </w:tcPr>
          <w:p>
            <w:pPr>
              <w:spacing w:after="0"/>
              <w:rPr>
                <w:sz w:val="1"/>
                <w:szCs w:val="1"/>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60" w:right="260" w:hanging="652"/>
        <w:spacing w:after="0" w:line="261" w:lineRule="auto"/>
        <w:tabs>
          <w:tab w:leader="none" w:pos="677"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Adoption of new accounting standards primarily includes the cumulative-effect adjustment of Accounting Standards Update (ASU) No.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52</w:t>
            </w:r>
          </w:p>
        </w:tc>
      </w:tr>
      <w:tr>
        <w:trPr>
          <w:trHeight w:val="201"/>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-334010</wp:posOffset>
            </wp:positionV>
            <wp:extent cx="600075" cy="1111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0075" cy="11112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5" w:name="page56"/>
    <w:bookmarkEnd w:id="55"/>
    <w:p>
      <w:pPr>
        <w:spacing w:after="0"/>
        <w:rPr>
          <w:sz w:val="20"/>
          <w:szCs w:val="20"/>
          <w:color w:val="auto"/>
        </w:rPr>
      </w:pPr>
      <w:r>
        <w:rPr>
          <w:rFonts w:ascii="Arial" w:cs="Arial" w:eastAsia="Arial" w:hAnsi="Arial"/>
          <w:sz w:val="22"/>
          <w:szCs w:val="22"/>
          <w:b w:val="1"/>
          <w:bCs w:val="1"/>
          <w:color w:val="444867"/>
        </w:rPr>
        <w:t>AbbVie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Consolidated Statements of Cash Flows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 (in millions) (brackets denote cash outflows)</w:t>
            </w:r>
          </w:p>
        </w:tc>
        <w:tc>
          <w:tcPr>
            <w:tcW w:w="1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r>
      <w:tr>
        <w:trPr>
          <w:trHeight w:val="183"/>
        </w:trPr>
        <w:tc>
          <w:tcPr>
            <w:tcW w:w="580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9"/>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w:t>
            </w:r>
          </w:p>
        </w:tc>
        <w:tc>
          <w:tcPr>
            <w:tcW w:w="12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4,622</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7,882</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5,687</w:t>
            </w:r>
          </w:p>
        </w:tc>
      </w:tr>
      <w:tr>
        <w:trPr>
          <w:trHeight w:val="189"/>
        </w:trPr>
        <w:tc>
          <w:tcPr>
            <w:tcW w:w="5800" w:type="dxa"/>
            <w:vAlign w:val="bottom"/>
          </w:tcPr>
          <w:p>
            <w:pPr>
              <w:ind w:left="20"/>
              <w:spacing w:after="0"/>
              <w:rPr>
                <w:sz w:val="20"/>
                <w:szCs w:val="20"/>
                <w:color w:val="auto"/>
              </w:rPr>
            </w:pPr>
            <w:r>
              <w:rPr>
                <w:rFonts w:ascii="Arial" w:cs="Arial" w:eastAsia="Arial" w:hAnsi="Arial"/>
                <w:sz w:val="14"/>
                <w:szCs w:val="14"/>
                <w:color w:val="auto"/>
              </w:rPr>
              <w:t>Adjustments to reconcile net earnings to net cash from operating activities:</w:t>
            </w: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5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w:t>
            </w:r>
          </w:p>
        </w:tc>
        <w:tc>
          <w:tcPr>
            <w:tcW w:w="1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666</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464</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r>
      <w:tr>
        <w:trPr>
          <w:trHeight w:val="189"/>
        </w:trPr>
        <w:tc>
          <w:tcPr>
            <w:tcW w:w="5800" w:type="dxa"/>
            <w:vAlign w:val="bottom"/>
          </w:tcPr>
          <w:p>
            <w:pPr>
              <w:ind w:left="140"/>
              <w:spacing w:after="0"/>
              <w:rPr>
                <w:sz w:val="20"/>
                <w:szCs w:val="20"/>
                <w:color w:val="auto"/>
              </w:rPr>
            </w:pPr>
            <w:r>
              <w:rPr>
                <w:rFonts w:ascii="Arial" w:cs="Arial" w:eastAsia="Arial" w:hAnsi="Arial"/>
                <w:sz w:val="14"/>
                <w:szCs w:val="14"/>
                <w:color w:val="auto"/>
              </w:rPr>
              <w:t>Amortization of intangible assets</w:t>
            </w:r>
          </w:p>
        </w:tc>
        <w:tc>
          <w:tcPr>
            <w:tcW w:w="12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5,805</w:t>
            </w:r>
          </w:p>
        </w:tc>
        <w:tc>
          <w:tcPr>
            <w:tcW w:w="38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1,553</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1,294</w:t>
            </w:r>
          </w:p>
        </w:tc>
      </w:tr>
      <w:tr>
        <w:trPr>
          <w:trHeight w:val="189"/>
        </w:trPr>
        <w:tc>
          <w:tcPr>
            <w:tcW w:w="5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taxes</w:t>
            </w:r>
          </w:p>
        </w:tc>
        <w:tc>
          <w:tcPr>
            <w:tcW w:w="1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(2,325)</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(1,517)</w:t>
            </w:r>
          </w:p>
        </w:tc>
      </w:tr>
      <w:tr>
        <w:trPr>
          <w:trHeight w:val="189"/>
        </w:trPr>
        <w:tc>
          <w:tcPr>
            <w:tcW w:w="5800" w:type="dxa"/>
            <w:vAlign w:val="bottom"/>
          </w:tcPr>
          <w:p>
            <w:pPr>
              <w:ind w:left="140"/>
              <w:spacing w:after="0"/>
              <w:rPr>
                <w:sz w:val="20"/>
                <w:szCs w:val="20"/>
                <w:color w:val="auto"/>
              </w:rPr>
            </w:pPr>
            <w:r>
              <w:rPr>
                <w:rFonts w:ascii="Arial" w:cs="Arial" w:eastAsia="Arial" w:hAnsi="Arial"/>
                <w:sz w:val="14"/>
                <w:szCs w:val="14"/>
                <w:color w:val="auto"/>
              </w:rPr>
              <w:t>Change in fair value of contingent consideration liabilities</w:t>
            </w:r>
          </w:p>
        </w:tc>
        <w:tc>
          <w:tcPr>
            <w:tcW w:w="12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5,753</w:t>
            </w:r>
          </w:p>
        </w:tc>
        <w:tc>
          <w:tcPr>
            <w:tcW w:w="38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3,091</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89"/>
        </w:trPr>
        <w:tc>
          <w:tcPr>
            <w:tcW w:w="5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1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753</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430</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w:t>
            </w:r>
          </w:p>
        </w:tc>
      </w:tr>
      <w:tr>
        <w:trPr>
          <w:trHeight w:val="189"/>
        </w:trPr>
        <w:tc>
          <w:tcPr>
            <w:tcW w:w="5800" w:type="dxa"/>
            <w:vAlign w:val="bottom"/>
          </w:tcPr>
          <w:p>
            <w:pPr>
              <w:ind w:left="140"/>
              <w:spacing w:after="0"/>
              <w:rPr>
                <w:sz w:val="20"/>
                <w:szCs w:val="20"/>
                <w:color w:val="auto"/>
              </w:rPr>
            </w:pPr>
            <w:r>
              <w:rPr>
                <w:rFonts w:ascii="Arial" w:cs="Arial" w:eastAsia="Arial" w:hAnsi="Arial"/>
                <w:sz w:val="14"/>
                <w:szCs w:val="14"/>
                <w:color w:val="auto"/>
              </w:rPr>
              <w:t>Upfront costs and milestones related to collaborations</w:t>
            </w:r>
          </w:p>
        </w:tc>
        <w:tc>
          <w:tcPr>
            <w:tcW w:w="12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1,376</w:t>
            </w:r>
          </w:p>
        </w:tc>
        <w:tc>
          <w:tcPr>
            <w:tcW w:w="38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490</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1,061</w:t>
            </w:r>
          </w:p>
        </w:tc>
      </w:tr>
      <w:tr>
        <w:trPr>
          <w:trHeight w:val="189"/>
        </w:trPr>
        <w:tc>
          <w:tcPr>
            <w:tcW w:w="5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 on divestitures</w:t>
            </w:r>
          </w:p>
        </w:tc>
        <w:tc>
          <w:tcPr>
            <w:tcW w:w="1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(330)</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800" w:type="dxa"/>
            <w:vAlign w:val="bottom"/>
          </w:tcPr>
          <w:p>
            <w:pPr>
              <w:ind w:left="140"/>
              <w:spacing w:after="0"/>
              <w:rPr>
                <w:sz w:val="20"/>
                <w:szCs w:val="20"/>
                <w:color w:val="auto"/>
              </w:rPr>
            </w:pPr>
            <w:r>
              <w:rPr>
                <w:rFonts w:ascii="Arial" w:cs="Arial" w:eastAsia="Arial" w:hAnsi="Arial"/>
                <w:sz w:val="14"/>
                <w:szCs w:val="14"/>
                <w:color w:val="auto"/>
              </w:rPr>
              <w:t>Intangible asset impairment</w:t>
            </w:r>
          </w:p>
        </w:tc>
        <w:tc>
          <w:tcPr>
            <w:tcW w:w="12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1,030</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5,070</w:t>
            </w:r>
          </w:p>
        </w:tc>
      </w:tr>
      <w:tr>
        <w:trPr>
          <w:trHeight w:val="189"/>
        </w:trPr>
        <w:tc>
          <w:tcPr>
            <w:tcW w:w="5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Impacts related to U.S. tax reform</w:t>
            </w:r>
          </w:p>
        </w:tc>
        <w:tc>
          <w:tcPr>
            <w:tcW w:w="1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w:t>
            </w:r>
          </w:p>
        </w:tc>
      </w:tr>
      <w:tr>
        <w:trPr>
          <w:trHeight w:val="189"/>
        </w:trPr>
        <w:tc>
          <w:tcPr>
            <w:tcW w:w="580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12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832</w:t>
            </w:r>
          </w:p>
        </w:tc>
        <w:tc>
          <w:tcPr>
            <w:tcW w:w="38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189"/>
        </w:trPr>
        <w:tc>
          <w:tcPr>
            <w:tcW w:w="5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 operating assets and liabilities, net of acquisitions:</w:t>
            </w:r>
          </w:p>
        </w:tc>
        <w:tc>
          <w:tcPr>
            <w:tcW w:w="1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5800" w:type="dxa"/>
            <w:vAlign w:val="bottom"/>
          </w:tcPr>
          <w:p>
            <w:pPr>
              <w:ind w:left="220"/>
              <w:spacing w:after="0"/>
              <w:rPr>
                <w:sz w:val="20"/>
                <w:szCs w:val="20"/>
                <w:color w:val="auto"/>
              </w:rPr>
            </w:pPr>
            <w:r>
              <w:rPr>
                <w:rFonts w:ascii="Arial" w:cs="Arial" w:eastAsia="Arial" w:hAnsi="Arial"/>
                <w:sz w:val="14"/>
                <w:szCs w:val="14"/>
                <w:color w:val="auto"/>
              </w:rPr>
              <w:t>Accounts receivable</w:t>
            </w:r>
          </w:p>
        </w:tc>
        <w:tc>
          <w:tcPr>
            <w:tcW w:w="12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(929)</w:t>
            </w:r>
          </w:p>
        </w:tc>
        <w:tc>
          <w:tcPr>
            <w:tcW w:w="3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(591)</w:t>
            </w:r>
          </w:p>
        </w:tc>
      </w:tr>
      <w:tr>
        <w:trPr>
          <w:trHeight w:val="189"/>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Inventories</w:t>
            </w:r>
          </w:p>
        </w:tc>
        <w:tc>
          <w:tcPr>
            <w:tcW w:w="1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r>
      <w:tr>
        <w:trPr>
          <w:trHeight w:val="189"/>
        </w:trPr>
        <w:tc>
          <w:tcPr>
            <w:tcW w:w="5800" w:type="dxa"/>
            <w:vAlign w:val="bottom"/>
          </w:tcPr>
          <w:p>
            <w:pPr>
              <w:ind w:left="220"/>
              <w:spacing w:after="0"/>
              <w:rPr>
                <w:sz w:val="20"/>
                <w:szCs w:val="20"/>
                <w:color w:val="auto"/>
              </w:rPr>
            </w:pPr>
            <w:r>
              <w:rPr>
                <w:rFonts w:ascii="Arial" w:cs="Arial" w:eastAsia="Arial" w:hAnsi="Arial"/>
                <w:sz w:val="14"/>
                <w:szCs w:val="14"/>
                <w:color w:val="auto"/>
              </w:rPr>
              <w:t>Prepaid expenses and other assets</w:t>
            </w:r>
          </w:p>
        </w:tc>
        <w:tc>
          <w:tcPr>
            <w:tcW w:w="12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3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(225)</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189"/>
        </w:trPr>
        <w:tc>
          <w:tcPr>
            <w:tcW w:w="5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 and other liabilities</w:t>
            </w:r>
          </w:p>
        </w:tc>
        <w:tc>
          <w:tcPr>
            <w:tcW w:w="1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1,514</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w:t>
            </w:r>
          </w:p>
        </w:tc>
      </w:tr>
      <w:tr>
        <w:trPr>
          <w:trHeight w:val="189"/>
        </w:trPr>
        <w:tc>
          <w:tcPr>
            <w:tcW w:w="5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Income tax assets and liabilities, net</w:t>
            </w:r>
          </w:p>
        </w:tc>
        <w:tc>
          <w:tcPr>
            <w:tcW w:w="1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(573)</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(1,018)</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w:t>
            </w:r>
          </w:p>
        </w:tc>
      </w:tr>
      <w:tr>
        <w:trPr>
          <w:trHeight w:val="183"/>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17,588</w:t>
            </w: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13,324</w:t>
            </w: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13,427</w:t>
            </w:r>
          </w:p>
        </w:tc>
      </w:tr>
      <w:tr>
        <w:trPr>
          <w:trHeight w:val="148"/>
        </w:trPr>
        <w:tc>
          <w:tcPr>
            <w:tcW w:w="5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9"/>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5800" w:type="dxa"/>
            <w:vAlign w:val="bottom"/>
          </w:tcPr>
          <w:p>
            <w:pPr>
              <w:ind w:left="20"/>
              <w:spacing w:after="0"/>
              <w:rPr>
                <w:sz w:val="20"/>
                <w:szCs w:val="20"/>
                <w:color w:val="auto"/>
              </w:rPr>
            </w:pPr>
            <w:r>
              <w:rPr>
                <w:rFonts w:ascii="Arial" w:cs="Arial" w:eastAsia="Arial" w:hAnsi="Arial"/>
                <w:sz w:val="14"/>
                <w:szCs w:val="14"/>
                <w:color w:val="auto"/>
              </w:rPr>
              <w:t>Acquisition of businesses, net of cash acquired</w:t>
            </w:r>
          </w:p>
        </w:tc>
        <w:tc>
          <w:tcPr>
            <w:tcW w:w="12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(38,260)</w:t>
            </w:r>
          </w:p>
        </w:tc>
        <w:tc>
          <w:tcPr>
            <w:tcW w:w="38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acquisitions and investments</w:t>
            </w:r>
          </w:p>
        </w:tc>
        <w:tc>
          <w:tcPr>
            <w:tcW w:w="1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(1,350)</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(1,135)</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w:t>
            </w:r>
          </w:p>
        </w:tc>
      </w:tr>
      <w:tr>
        <w:trPr>
          <w:trHeight w:val="189"/>
        </w:trPr>
        <w:tc>
          <w:tcPr>
            <w:tcW w:w="5800" w:type="dxa"/>
            <w:vAlign w:val="bottom"/>
          </w:tcPr>
          <w:p>
            <w:pPr>
              <w:ind w:left="20"/>
              <w:spacing w:after="0"/>
              <w:rPr>
                <w:sz w:val="20"/>
                <w:szCs w:val="20"/>
                <w:color w:val="auto"/>
              </w:rPr>
            </w:pPr>
            <w:r>
              <w:rPr>
                <w:rFonts w:ascii="Arial" w:cs="Arial" w:eastAsia="Arial" w:hAnsi="Arial"/>
                <w:sz w:val="14"/>
                <w:szCs w:val="14"/>
                <w:color w:val="auto"/>
              </w:rPr>
              <w:t>Acquisitions of property and equipment</w:t>
            </w:r>
          </w:p>
        </w:tc>
        <w:tc>
          <w:tcPr>
            <w:tcW w:w="12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(798)</w:t>
            </w:r>
          </w:p>
        </w:tc>
        <w:tc>
          <w:tcPr>
            <w:tcW w:w="3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(552)</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(638)</w:t>
            </w:r>
          </w:p>
        </w:tc>
      </w:tr>
      <w:tr>
        <w:trPr>
          <w:trHeight w:val="189"/>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investment securities</w:t>
            </w:r>
          </w:p>
        </w:tc>
        <w:tc>
          <w:tcPr>
            <w:tcW w:w="1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(583)</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(1,792)</w:t>
            </w:r>
          </w:p>
        </w:tc>
      </w:tr>
      <w:tr>
        <w:trPr>
          <w:trHeight w:val="189"/>
        </w:trPr>
        <w:tc>
          <w:tcPr>
            <w:tcW w:w="5800" w:type="dxa"/>
            <w:vAlign w:val="bottom"/>
          </w:tcPr>
          <w:p>
            <w:pPr>
              <w:ind w:left="20"/>
              <w:spacing w:after="0"/>
              <w:rPr>
                <w:sz w:val="20"/>
                <w:szCs w:val="20"/>
                <w:color w:val="auto"/>
              </w:rPr>
            </w:pPr>
            <w:r>
              <w:rPr>
                <w:rFonts w:ascii="Arial" w:cs="Arial" w:eastAsia="Arial" w:hAnsi="Arial"/>
                <w:sz w:val="14"/>
                <w:szCs w:val="14"/>
                <w:color w:val="auto"/>
              </w:rPr>
              <w:t>Sales and maturities of investment securities</w:t>
            </w:r>
          </w:p>
        </w:tc>
        <w:tc>
          <w:tcPr>
            <w:tcW w:w="12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1,525</w:t>
            </w:r>
          </w:p>
        </w:tc>
        <w:tc>
          <w:tcPr>
            <w:tcW w:w="38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2,699</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2,160</w:t>
            </w:r>
          </w:p>
        </w:tc>
      </w:tr>
      <w:tr>
        <w:trPr>
          <w:trHeight w:val="189"/>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1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1,387</w:t>
            </w:r>
          </w:p>
        </w:tc>
        <w:tc>
          <w:tcPr>
            <w:tcW w:w="3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3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580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22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(37,557)</w:t>
            </w:r>
          </w:p>
        </w:tc>
        <w:tc>
          <w:tcPr>
            <w:tcW w:w="38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596</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(1,006)</w:t>
            </w:r>
          </w:p>
        </w:tc>
      </w:tr>
      <w:tr>
        <w:trPr>
          <w:trHeight w:val="149"/>
        </w:trPr>
        <w:tc>
          <w:tcPr>
            <w:tcW w:w="58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89"/>
        </w:trPr>
        <w:tc>
          <w:tcPr>
            <w:tcW w:w="58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commercial paper borrowings</w:t>
            </w:r>
          </w:p>
        </w:tc>
        <w:tc>
          <w:tcPr>
            <w:tcW w:w="1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(699)</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r>
      <w:tr>
        <w:trPr>
          <w:trHeight w:val="189"/>
        </w:trPr>
        <w:tc>
          <w:tcPr>
            <w:tcW w:w="5800" w:type="dxa"/>
            <w:vAlign w:val="bottom"/>
          </w:tcPr>
          <w:p>
            <w:pPr>
              <w:ind w:left="20"/>
              <w:spacing w:after="0"/>
              <w:rPr>
                <w:sz w:val="20"/>
                <w:szCs w:val="20"/>
                <w:color w:val="auto"/>
              </w:rPr>
            </w:pPr>
            <w:r>
              <w:rPr>
                <w:rFonts w:ascii="Arial" w:cs="Arial" w:eastAsia="Arial" w:hAnsi="Arial"/>
                <w:sz w:val="14"/>
                <w:szCs w:val="14"/>
                <w:color w:val="auto"/>
              </w:rPr>
              <w:t>Proceeds from issuance of other short-term borrowings</w:t>
            </w:r>
          </w:p>
        </w:tc>
        <w:tc>
          <w:tcPr>
            <w:tcW w:w="12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3,002</w:t>
            </w:r>
          </w:p>
        </w:tc>
      </w:tr>
      <w:tr>
        <w:trPr>
          <w:trHeight w:val="189"/>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Repayments of other short-term borrowings</w:t>
            </w:r>
          </w:p>
        </w:tc>
        <w:tc>
          <w:tcPr>
            <w:tcW w:w="1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(3,000)</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800" w:type="dxa"/>
            <w:vAlign w:val="bottom"/>
          </w:tcPr>
          <w:p>
            <w:pPr>
              <w:ind w:left="20"/>
              <w:spacing w:after="0"/>
              <w:rPr>
                <w:sz w:val="20"/>
                <w:szCs w:val="20"/>
                <w:color w:val="auto"/>
              </w:rPr>
            </w:pPr>
            <w:r>
              <w:rPr>
                <w:rFonts w:ascii="Arial" w:cs="Arial" w:eastAsia="Arial" w:hAnsi="Arial"/>
                <w:sz w:val="14"/>
                <w:szCs w:val="14"/>
                <w:color w:val="auto"/>
              </w:rPr>
              <w:t>Proceeds from issuance of long-term debt</w:t>
            </w:r>
          </w:p>
        </w:tc>
        <w:tc>
          <w:tcPr>
            <w:tcW w:w="12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3,000</w:t>
            </w:r>
          </w:p>
        </w:tc>
        <w:tc>
          <w:tcPr>
            <w:tcW w:w="38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31,482</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5,963</w:t>
            </w:r>
          </w:p>
        </w:tc>
      </w:tr>
      <w:tr>
        <w:trPr>
          <w:trHeight w:val="189"/>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Repayments of long-term debt and finance lease obligations</w:t>
            </w:r>
          </w:p>
        </w:tc>
        <w:tc>
          <w:tcPr>
            <w:tcW w:w="1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(5,683)</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(1,536)</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(6,035)</w:t>
            </w:r>
          </w:p>
        </w:tc>
      </w:tr>
      <w:tr>
        <w:trPr>
          <w:trHeight w:val="189"/>
        </w:trPr>
        <w:tc>
          <w:tcPr>
            <w:tcW w:w="5800" w:type="dxa"/>
            <w:vAlign w:val="bottom"/>
          </w:tcPr>
          <w:p>
            <w:pPr>
              <w:ind w:left="20"/>
              <w:spacing w:after="0"/>
              <w:rPr>
                <w:sz w:val="20"/>
                <w:szCs w:val="20"/>
                <w:color w:val="auto"/>
              </w:rPr>
            </w:pPr>
            <w:r>
              <w:rPr>
                <w:rFonts w:ascii="Arial" w:cs="Arial" w:eastAsia="Arial" w:hAnsi="Arial"/>
                <w:sz w:val="14"/>
                <w:szCs w:val="14"/>
                <w:color w:val="auto"/>
              </w:rPr>
              <w:t>Debt issuance costs</w:t>
            </w:r>
          </w:p>
        </w:tc>
        <w:tc>
          <w:tcPr>
            <w:tcW w:w="12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3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(424)</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89"/>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paid</w:t>
            </w:r>
          </w:p>
        </w:tc>
        <w:tc>
          <w:tcPr>
            <w:tcW w:w="1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(7,716)</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(6,366)</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(5,580)</w:t>
            </w:r>
          </w:p>
        </w:tc>
      </w:tr>
      <w:tr>
        <w:trPr>
          <w:trHeight w:val="189"/>
        </w:trPr>
        <w:tc>
          <w:tcPr>
            <w:tcW w:w="5800" w:type="dxa"/>
            <w:vAlign w:val="bottom"/>
          </w:tcPr>
          <w:p>
            <w:pPr>
              <w:ind w:left="20"/>
              <w:spacing w:after="0"/>
              <w:rPr>
                <w:sz w:val="20"/>
                <w:szCs w:val="20"/>
                <w:color w:val="auto"/>
              </w:rPr>
            </w:pPr>
            <w:r>
              <w:rPr>
                <w:rFonts w:ascii="Arial" w:cs="Arial" w:eastAsia="Arial" w:hAnsi="Arial"/>
                <w:sz w:val="14"/>
                <w:szCs w:val="14"/>
                <w:color w:val="auto"/>
              </w:rPr>
              <w:t>Purchases of treasury stock</w:t>
            </w:r>
          </w:p>
        </w:tc>
        <w:tc>
          <w:tcPr>
            <w:tcW w:w="12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(978)</w:t>
            </w:r>
          </w:p>
        </w:tc>
        <w:tc>
          <w:tcPr>
            <w:tcW w:w="3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(629)</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(12,014)</w:t>
            </w:r>
          </w:p>
        </w:tc>
      </w:tr>
      <w:tr>
        <w:trPr>
          <w:trHeight w:val="189"/>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exercise of stock options</w:t>
            </w:r>
          </w:p>
        </w:tc>
        <w:tc>
          <w:tcPr>
            <w:tcW w:w="1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189"/>
        </w:trPr>
        <w:tc>
          <w:tcPr>
            <w:tcW w:w="5800" w:type="dxa"/>
            <w:vAlign w:val="bottom"/>
          </w:tcPr>
          <w:p>
            <w:pPr>
              <w:ind w:left="20"/>
              <w:spacing w:after="0"/>
              <w:rPr>
                <w:sz w:val="20"/>
                <w:szCs w:val="20"/>
                <w:color w:val="auto"/>
              </w:rPr>
            </w:pPr>
            <w:r>
              <w:rPr>
                <w:rFonts w:ascii="Arial" w:cs="Arial" w:eastAsia="Arial" w:hAnsi="Arial"/>
                <w:sz w:val="14"/>
                <w:szCs w:val="14"/>
                <w:color w:val="auto"/>
              </w:rPr>
              <w:t>Payments of contingent consideration liabilities</w:t>
            </w:r>
          </w:p>
        </w:tc>
        <w:tc>
          <w:tcPr>
            <w:tcW w:w="12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(321)</w:t>
            </w:r>
          </w:p>
        </w:tc>
        <w:tc>
          <w:tcPr>
            <w:tcW w:w="3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(163)</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189"/>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1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3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3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3"/>
        </w:trPr>
        <w:tc>
          <w:tcPr>
            <w:tcW w:w="58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22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(11,501)</w:t>
            </w:r>
          </w:p>
        </w:tc>
        <w:tc>
          <w:tcPr>
            <w:tcW w:w="38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18,708</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(14,396)</w:t>
            </w:r>
          </w:p>
        </w:tc>
      </w:tr>
      <w:tr>
        <w:trPr>
          <w:trHeight w:val="189"/>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equivalents</w:t>
            </w:r>
          </w:p>
        </w:tc>
        <w:tc>
          <w:tcPr>
            <w:tcW w:w="1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3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3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83"/>
        </w:trPr>
        <w:tc>
          <w:tcPr>
            <w:tcW w:w="5800" w:type="dxa"/>
            <w:vAlign w:val="bottom"/>
          </w:tcPr>
          <w:p>
            <w:pPr>
              <w:ind w:left="20"/>
              <w:spacing w:after="0"/>
              <w:rPr>
                <w:sz w:val="20"/>
                <w:szCs w:val="20"/>
                <w:color w:val="auto"/>
              </w:rPr>
            </w:pPr>
            <w:r>
              <w:rPr>
                <w:rFonts w:ascii="Arial" w:cs="Arial" w:eastAsia="Arial" w:hAnsi="Arial"/>
                <w:sz w:val="14"/>
                <w:szCs w:val="14"/>
                <w:color w:val="auto"/>
              </w:rPr>
              <w:t>Net change in cash and equivalents</w:t>
            </w:r>
          </w:p>
        </w:tc>
        <w:tc>
          <w:tcPr>
            <w:tcW w:w="122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(31,475)</w:t>
            </w:r>
          </w:p>
        </w:tc>
        <w:tc>
          <w:tcPr>
            <w:tcW w:w="38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32,635</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(2,014)</w:t>
            </w:r>
          </w:p>
        </w:tc>
      </w:tr>
      <w:tr>
        <w:trPr>
          <w:trHeight w:val="189"/>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Cash and equivalents, beginning of year</w:t>
            </w:r>
          </w:p>
        </w:tc>
        <w:tc>
          <w:tcPr>
            <w:tcW w:w="1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39,924</w:t>
            </w:r>
          </w:p>
        </w:tc>
        <w:tc>
          <w:tcPr>
            <w:tcW w:w="3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7,289</w:t>
            </w:r>
          </w:p>
        </w:tc>
        <w:tc>
          <w:tcPr>
            <w:tcW w:w="3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9,303</w:t>
            </w:r>
          </w:p>
        </w:tc>
      </w:tr>
      <w:tr>
        <w:trPr>
          <w:trHeight w:val="129"/>
        </w:trPr>
        <w:tc>
          <w:tcPr>
            <w:tcW w:w="58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r>
      <w:tr>
        <w:trPr>
          <w:trHeight w:val="208"/>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equivalents, end of year</w:t>
            </w:r>
          </w:p>
        </w:tc>
        <w:tc>
          <w:tcPr>
            <w:tcW w:w="12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8,449</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39,924</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7,289</w:t>
            </w:r>
          </w:p>
        </w:tc>
      </w:tr>
      <w:tr>
        <w:trPr>
          <w:trHeight w:val="20"/>
        </w:trPr>
        <w:tc>
          <w:tcPr>
            <w:tcW w:w="58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58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89"/>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supplemental information</w:t>
            </w:r>
          </w:p>
        </w:tc>
        <w:tc>
          <w:tcPr>
            <w:tcW w:w="1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5800" w:type="dxa"/>
            <w:vAlign w:val="bottom"/>
          </w:tcPr>
          <w:p>
            <w:pPr>
              <w:ind w:left="20"/>
              <w:spacing w:after="0"/>
              <w:rPr>
                <w:sz w:val="20"/>
                <w:szCs w:val="20"/>
                <w:color w:val="auto"/>
              </w:rPr>
            </w:pPr>
            <w:r>
              <w:rPr>
                <w:rFonts w:ascii="Arial" w:cs="Arial" w:eastAsia="Arial" w:hAnsi="Arial"/>
                <w:sz w:val="14"/>
                <w:szCs w:val="14"/>
                <w:color w:val="auto"/>
              </w:rPr>
              <w:t>Interest paid, net of portion capitalized</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2,619</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1,794</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1,215</w:t>
            </w:r>
          </w:p>
        </w:tc>
      </w:tr>
      <w:tr>
        <w:trPr>
          <w:trHeight w:val="189"/>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taxes paid (received)</w:t>
            </w:r>
          </w:p>
        </w:tc>
        <w:tc>
          <w:tcPr>
            <w:tcW w:w="1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1,674</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1,447</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89"/>
        </w:trPr>
        <w:tc>
          <w:tcPr>
            <w:tcW w:w="5800" w:type="dxa"/>
            <w:vAlign w:val="bottom"/>
          </w:tcPr>
          <w:p>
            <w:pPr>
              <w:ind w:left="20"/>
              <w:spacing w:after="0"/>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Issuance of common shares associated with acquisitions of businesses</w:t>
            </w:r>
          </w:p>
        </w:tc>
        <w:tc>
          <w:tcPr>
            <w:tcW w:w="1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23,979</w:t>
            </w:r>
          </w:p>
        </w:tc>
        <w:tc>
          <w:tcPr>
            <w:tcW w:w="3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84"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53</w:t>
      </w:r>
      <w:r>
        <w:rPr>
          <w:sz w:val="20"/>
          <w:szCs w:val="20"/>
          <w:color w:val="auto"/>
        </w:rPr>
        <w:tab/>
      </w:r>
      <w:r>
        <w:rPr>
          <w:sz w:val="1"/>
          <w:szCs w:val="1"/>
          <w:color w:val="auto"/>
        </w:rPr>
        <w:drawing>
          <wp:inline distT="0" distB="0" distL="0" distR="0">
            <wp:extent cx="600075" cy="111125"/>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56" w:name="page57"/>
    <w:bookmarkEnd w:id="56"/>
    <w:p>
      <w:pPr>
        <w:spacing w:after="0"/>
        <w:rPr>
          <w:sz w:val="20"/>
          <w:szCs w:val="20"/>
          <w:color w:val="auto"/>
        </w:rPr>
      </w:pPr>
      <w:r>
        <w:rPr>
          <w:rFonts w:ascii="Arial" w:cs="Arial" w:eastAsia="Arial" w:hAnsi="Arial"/>
          <w:sz w:val="22"/>
          <w:szCs w:val="22"/>
          <w:b w:val="1"/>
          <w:bCs w:val="1"/>
          <w:color w:val="444867"/>
        </w:rPr>
        <w:t>AbbVie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Notes to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1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Background</w:t>
      </w:r>
    </w:p>
    <w:p>
      <w:pPr>
        <w:spacing w:after="0" w:line="166"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The principal business of AbbVie Inc. (AbbVie or the company) is the discovery, development, manufacture and sale of a broad line of pharmaceutical products. AbbVie's products are generally sold worldwide directly to wholesalers, distributors, government agencies, health care facilities, specialty pharmacies and independent retailers from AbbVie-owned distribution centers and public warehouses. Certain products (including aesthetic products and devices) are also sold directly to physicians and other licensed healthcare providers. In the United States, AbbVie distributes pharmaceutical products principally through independent wholesale distributors, with some sales directly to retailers, pharmacies and patients. Outside the United States, AbbVie sells products primarily to customers or through distributors, depending on the market served.</w:t>
      </w:r>
    </w:p>
    <w:p>
      <w:pPr>
        <w:spacing w:after="0" w:line="139" w:lineRule="exact"/>
        <w:rPr>
          <w:sz w:val="20"/>
          <w:szCs w:val="20"/>
          <w:color w:val="auto"/>
        </w:rPr>
      </w:pPr>
    </w:p>
    <w:p>
      <w:pPr>
        <w:ind w:right="520" w:firstLine="445"/>
        <w:spacing w:after="0" w:line="256" w:lineRule="auto"/>
        <w:rPr>
          <w:sz w:val="20"/>
          <w:szCs w:val="20"/>
          <w:color w:val="auto"/>
        </w:rPr>
      </w:pPr>
      <w:r>
        <w:rPr>
          <w:rFonts w:ascii="Arial" w:cs="Arial" w:eastAsia="Arial" w:hAnsi="Arial"/>
          <w:sz w:val="18"/>
          <w:szCs w:val="18"/>
          <w:color w:val="auto"/>
        </w:rPr>
        <w:t>AbbVie was incorporated in Delaware on April 10, 2012. On January 1, 2013, AbbVie became an independent, publicly-traded company as a result of the distribution by Abbott Laboratories (Abbott) of 100% of the outstanding common stock of AbbVie to Abbott's shareholders.</w:t>
      </w:r>
    </w:p>
    <w:p>
      <w:pPr>
        <w:spacing w:after="0" w:line="134" w:lineRule="exact"/>
        <w:rPr>
          <w:sz w:val="20"/>
          <w:szCs w:val="20"/>
          <w:color w:val="auto"/>
        </w:rPr>
      </w:pPr>
    </w:p>
    <w:p>
      <w:pPr>
        <w:ind w:right="600" w:firstLine="445"/>
        <w:spacing w:after="0" w:line="261" w:lineRule="auto"/>
        <w:rPr>
          <w:sz w:val="20"/>
          <w:szCs w:val="20"/>
          <w:color w:val="auto"/>
        </w:rPr>
      </w:pPr>
      <w:r>
        <w:rPr>
          <w:rFonts w:ascii="Arial" w:cs="Arial" w:eastAsia="Arial" w:hAnsi="Arial"/>
          <w:sz w:val="18"/>
          <w:szCs w:val="18"/>
          <w:color w:val="auto"/>
        </w:rPr>
        <w:t>On May 8, 2020, AbbVie completed its previously announced acquisition of Allergan plc (Allergan). Refer to Note 5 for additional information regarding this acquisition.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2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Use of Estimates</w:t>
      </w:r>
    </w:p>
    <w:p>
      <w:pPr>
        <w:spacing w:after="0" w:line="180"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The consolidated financial statements have been prepared in accordance with U.S. generally accepted accounting principles (GAAP) and necessarily include amounts based on estimates and assumptions by management. Actual results could differ from those amounts. Significant estimates include amounts for rebates, pension and other post-employment benefits, income taxes, litigation, valuation of goodwill and intangible assets, contingent consideration liabilities, financial instruments and inventory and accounts receivable exposures.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Basis of Consolidation</w:t>
      </w:r>
    </w:p>
    <w:p>
      <w:pPr>
        <w:spacing w:after="0" w:line="166"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The consolidated financial statements include the accounts of AbbVie and all of its subsidiaries in which a controlling interest is maintained. Controlling interest is determined by majority ownership interest and the absence of substantive third-party participating rights or, in the case of variable interest entities, where AbbVie is determined to be the primary beneficiary. Investments in companies over which AbbVie has a significant influence but not a controlling interest are accounted for using the equity method with AbbVie's share of earnings or losses reported in other expense, net in the consolidated statements of earnings. Intercompany balances and transactions are eliminated.</w:t>
      </w:r>
    </w:p>
    <w:p>
      <w:pPr>
        <w:spacing w:after="0" w:line="138" w:lineRule="exact"/>
        <w:rPr>
          <w:sz w:val="20"/>
          <w:szCs w:val="20"/>
          <w:color w:val="auto"/>
        </w:rPr>
      </w:pPr>
    </w:p>
    <w:p>
      <w:pPr>
        <w:ind w:right="980" w:firstLine="445"/>
        <w:spacing w:after="0" w:line="261" w:lineRule="auto"/>
        <w:rPr>
          <w:sz w:val="20"/>
          <w:szCs w:val="20"/>
          <w:color w:val="auto"/>
        </w:rPr>
      </w:pPr>
      <w:r>
        <w:rPr>
          <w:rFonts w:ascii="Arial" w:cs="Arial" w:eastAsia="Arial" w:hAnsi="Arial"/>
          <w:sz w:val="18"/>
          <w:szCs w:val="18"/>
          <w:color w:val="auto"/>
        </w:rPr>
        <w:t>Certain reclassifications have been made to conform the prior period consolidated financial statements to the current period presentation.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Revenue Recognition</w:t>
      </w:r>
    </w:p>
    <w:p>
      <w:pPr>
        <w:spacing w:after="0" w:line="166"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AbbVie recognizes revenue when control of promised goods or services is transferred to the company’s customers, in an amount that reflects the consideration AbbVie expects to be entitled to in exchange for those goods or services. Sales, value add and other taxes collected concurrent with revenue-producing activities are excluded from revenue. AbbVie generates revenue primarily from product sales. For the majority of sales, the company transfers control, invoices the customer and recognizes revenue upon shipment to the customer. The company recognizes shipping and handling costs as an expense in cost of products sold when the company transfers control to the customer. Payment terms vary depending on the type and location of the customer, are based on customary commercial terms and are generally less than one year. AbbVie does not adjust revenue for the effects of a significant financing component for contracts where AbbVie expects the period between the transfer of the good or service and collection to be one year or less.</w:t>
      </w:r>
    </w:p>
    <w:p>
      <w:pPr>
        <w:spacing w:after="0" w:line="138"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Discounts, rebates, sales incentives to customers, returns and certain other adjustments are accounted for as variable consideration. Provisions for variable consideration are based on current pricing, executed contracts, government pricing legislation and historical data and are provided for in the period the related revenues are recorded. Rebate amounts are typically based upon the volume of purchases using contractual or statutory prices, which may vary by product and by payer.</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8180"/>
        <w:spacing w:after="0"/>
        <w:tabs>
          <w:tab w:leader="none" w:pos="9620" w:val="left"/>
        </w:tabs>
        <w:rPr>
          <w:sz w:val="20"/>
          <w:szCs w:val="20"/>
          <w:color w:val="auto"/>
        </w:rPr>
      </w:pPr>
      <w:r>
        <w:rPr>
          <w:rFonts w:ascii="Arial" w:cs="Arial" w:eastAsia="Arial" w:hAnsi="Arial"/>
          <w:sz w:val="18"/>
          <w:szCs w:val="18"/>
          <w:i w:val="1"/>
          <w:iCs w:val="1"/>
          <w:color w:val="auto"/>
        </w:rPr>
        <w:t>2020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600075" cy="11176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0075" cy="11176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57" w:name="page58"/>
    <w:bookmarkEnd w:id="57"/>
    <w:p>
      <w:pPr>
        <w:jc w:val="both"/>
        <w:ind w:right="460"/>
        <w:spacing w:after="0" w:line="256" w:lineRule="auto"/>
        <w:rPr>
          <w:sz w:val="20"/>
          <w:szCs w:val="20"/>
          <w:color w:val="auto"/>
        </w:rPr>
      </w:pPr>
      <w:r>
        <w:rPr>
          <w:rFonts w:ascii="Arial" w:cs="Arial" w:eastAsia="Arial" w:hAnsi="Arial"/>
          <w:sz w:val="18"/>
          <w:szCs w:val="18"/>
          <w:color w:val="auto"/>
        </w:rPr>
        <w:t>For each type of rebate, factors used in the calculation of the accrual include the identification of the products subject to the rebate, the applicable price terms and the estimated lag time between sale and payment of the rebate, which can be significant. Sales incentives to customers are insignificant.</w:t>
      </w:r>
    </w:p>
    <w:p>
      <w:pPr>
        <w:spacing w:after="0" w:line="121" w:lineRule="exact"/>
        <w:rPr>
          <w:sz w:val="20"/>
          <w:szCs w:val="20"/>
          <w:color w:val="auto"/>
        </w:rPr>
      </w:pPr>
    </w:p>
    <w:p>
      <w:pPr>
        <w:ind w:right="480" w:firstLine="445"/>
        <w:spacing w:after="0" w:line="256" w:lineRule="auto"/>
        <w:rPr>
          <w:sz w:val="20"/>
          <w:szCs w:val="20"/>
          <w:color w:val="auto"/>
        </w:rPr>
      </w:pPr>
      <w:r>
        <w:rPr>
          <w:rFonts w:ascii="Arial" w:cs="Arial" w:eastAsia="Arial" w:hAnsi="Arial"/>
          <w:sz w:val="18"/>
          <w:szCs w:val="18"/>
          <w:color w:val="auto"/>
        </w:rPr>
        <w:t>In addition to revenue from contracts with customers, the company also recognizes certain collaboration revenues. See Note 6 for additional information related to the collaborations with Janssen Biotech, Inc. and Genentech, Inc. Additionally, see Note 16 for disaggregation of revenue by product and geography.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Research and Development Expenses</w:t>
      </w:r>
    </w:p>
    <w:p>
      <w:pPr>
        <w:spacing w:after="0" w:line="180"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Internal research and development (R&amp;D) costs are expensed as incurred. Clinical trial costs incurred by third parties are expensed as the contracted work is performed. Where contingent milestone payments are due to third parties under research and development collaborations, prior to regulatory approval, the payment obligations are expensed when the milestone results are achieved. Payments made to third parties subsequent to regulatory approval are capitalized as intangible assets and amortized to cost of products sold over the remaining useful life of the related product.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Collaborations and Other Arrangements</w:t>
      </w:r>
    </w:p>
    <w:p>
      <w:pPr>
        <w:spacing w:after="0" w:line="180" w:lineRule="exact"/>
        <w:rPr>
          <w:sz w:val="20"/>
          <w:szCs w:val="20"/>
          <w:color w:val="auto"/>
        </w:rPr>
      </w:pPr>
    </w:p>
    <w:p>
      <w:pPr>
        <w:ind w:right="140" w:firstLine="445"/>
        <w:spacing w:after="0" w:line="251" w:lineRule="auto"/>
        <w:rPr>
          <w:sz w:val="20"/>
          <w:szCs w:val="20"/>
          <w:color w:val="auto"/>
        </w:rPr>
      </w:pPr>
      <w:r>
        <w:rPr>
          <w:rFonts w:ascii="Arial" w:cs="Arial" w:eastAsia="Arial" w:hAnsi="Arial"/>
          <w:sz w:val="18"/>
          <w:szCs w:val="18"/>
          <w:color w:val="auto"/>
        </w:rPr>
        <w:t>The company enters into collaborative agreements with third parties to develop and commercialize drug candidates. Collaborative activities may include joint research and development and commercialization of new products. AbbVie generally receives certain licensing rights under these arrangements. These collaborations often require upfront payments and may include additional milestone, research and development cost sharing, royalty or profit share payments, contingent upon the occurrence of certain future events linked to the success of the asset in development and commercialization. Upfront payments associated with collaborative arrangements during the development stage are expensed to acquired in-process research and development (IPR&amp;D) expenses in the consolidated statements of earnings. Subsequent payments made to the partner for the achievement of milestones during the development stage are expensed to R&amp;D expense in the consolidated statements of earnings when the milestone is achieved. Milestone payments made to the partner subsequent to regulatory approval are capitalized as intangible assets and amortized to cost of products sold over the estimated useful life of the related asset. Royalties are expensed to cost of products sold in the consolidated statements of earnings when incurred.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Advertising</w:t>
      </w:r>
    </w:p>
    <w:p>
      <w:pPr>
        <w:spacing w:after="0" w:line="166"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Costs associated with advertising are expensed as incurred and are included in selling, general and administrative (SG&amp;A) expense in the consolidated statements of earnings. Advertising expenses were $1.8 billion in 2020, $1.1 billion in 2019 and $1.1 billion in 2018.</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Pension and Other Post-Employment Benefits</w:t>
      </w:r>
    </w:p>
    <w:p>
      <w:pPr>
        <w:spacing w:after="0" w:line="180"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AbbVie records annual expenses relating to its defined benefit pension and other post-employment benefit plans based on calculations which utilize various actuarial assumptions, including discount rates, rates of return on assets, compensation increases, turnover rates and health care cost trend rates. AbbVie reviews its actuarial assumptions on an annual basis and makes modifications to the assumptions based on current rates and trends. Actuarial gains and losses are deferred in accumulated other comprehensive income (loss) (AOCI), net of tax and are amortized over the remaining service attribution periods of the employees under the corridor method. Differences between the expected long-term return on plan assets and the actual annual return are amortized to net periodic benefit cost over a five-year period.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Income Taxes</w:t>
      </w:r>
    </w:p>
    <w:p>
      <w:pPr>
        <w:spacing w:after="0" w:line="180" w:lineRule="exact"/>
        <w:rPr>
          <w:sz w:val="20"/>
          <w:szCs w:val="20"/>
          <w:color w:val="auto"/>
        </w:rPr>
      </w:pPr>
    </w:p>
    <w:p>
      <w:pPr>
        <w:ind w:right="120" w:firstLine="445"/>
        <w:spacing w:after="0" w:line="253" w:lineRule="auto"/>
        <w:rPr>
          <w:sz w:val="20"/>
          <w:szCs w:val="20"/>
          <w:color w:val="auto"/>
        </w:rPr>
      </w:pPr>
      <w:r>
        <w:rPr>
          <w:rFonts w:ascii="Arial" w:cs="Arial" w:eastAsia="Arial" w:hAnsi="Arial"/>
          <w:sz w:val="18"/>
          <w:szCs w:val="18"/>
          <w:color w:val="auto"/>
        </w:rPr>
        <w:t>Income taxes are accounted for under the asset and liability method. Provisions for federal, state and foreign income taxes are calculated on reported pretax earnings based on current tax laws. Deferred taxes are provided using enacted tax rates on the future tax consequences of temporary differences, which are the differences between the financial statement carrying amounts of assets and liabilities and their respective tax bases and the tax benefits of carryforwards. A valuation allowance is established or maintained when, based on currently available information, it is more likely than not that all or a portion of a deferred tax asset will not be realized.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Cash and Equivalents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equivalents include money market funds and time deposits with original maturities of three months or less.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Investments</w:t>
      </w:r>
    </w:p>
    <w:p>
      <w:pPr>
        <w:spacing w:after="0" w:line="180" w:lineRule="exact"/>
        <w:rPr>
          <w:sz w:val="20"/>
          <w:szCs w:val="20"/>
          <w:color w:val="auto"/>
        </w:rPr>
      </w:pPr>
    </w:p>
    <w:p>
      <w:pPr>
        <w:ind w:right="660" w:firstLine="445"/>
        <w:spacing w:after="0" w:line="261" w:lineRule="auto"/>
        <w:rPr>
          <w:sz w:val="20"/>
          <w:szCs w:val="20"/>
          <w:color w:val="auto"/>
        </w:rPr>
      </w:pPr>
      <w:r>
        <w:rPr>
          <w:rFonts w:ascii="Arial" w:cs="Arial" w:eastAsia="Arial" w:hAnsi="Arial"/>
          <w:sz w:val="18"/>
          <w:szCs w:val="18"/>
          <w:color w:val="auto"/>
        </w:rPr>
        <w:t>Investments consist primarily of equity securities, held-to-maturity debt securities, marketable debt securities and time deposits. Investments in equity securities that have readily determinable fair values are recorded at fair value. Investments in</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55</w:t>
      </w:r>
      <w:r>
        <w:rPr>
          <w:sz w:val="20"/>
          <w:szCs w:val="20"/>
          <w:color w:val="auto"/>
        </w:rPr>
        <w:tab/>
      </w:r>
      <w:r>
        <w:rPr>
          <w:sz w:val="1"/>
          <w:szCs w:val="1"/>
          <w:color w:val="auto"/>
        </w:rPr>
        <w:drawing>
          <wp:inline distT="0" distB="0" distL="0" distR="0">
            <wp:extent cx="600075" cy="11176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0075" cy="11176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58" w:name="page59"/>
    <w:bookmarkEnd w:id="58"/>
    <w:p>
      <w:pPr>
        <w:ind w:right="120"/>
        <w:spacing w:after="0" w:line="253" w:lineRule="auto"/>
        <w:rPr>
          <w:sz w:val="20"/>
          <w:szCs w:val="20"/>
          <w:color w:val="auto"/>
        </w:rPr>
      </w:pPr>
      <w:r>
        <w:rPr>
          <w:rFonts w:ascii="Arial" w:cs="Arial" w:eastAsia="Arial" w:hAnsi="Arial"/>
          <w:sz w:val="18"/>
          <w:szCs w:val="18"/>
          <w:color w:val="auto"/>
        </w:rPr>
        <w:t>equity securities that do not have readily determinable fair values are recorded at cost and are remeasured to fair value based on certain observable price changes or impairment events as they occur. Held-to-maturity debt securities are recorded at cost. Gains or losses on investments are included in other expense, net in the consolidated statements of earnings. Investments in marketable debt securities are classified as available-for-sale and are recorded at fair value with any unrealized holding gains or losses, net of tax, included in AOCI on the consolidated balance sheets until realized, at which time the gains or losses are recognized in earnings.</w:t>
      </w:r>
    </w:p>
    <w:p>
      <w:pPr>
        <w:spacing w:after="0" w:line="124"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AbbVie periodically assesses its marketable debt securities for impairment and credit losses. When a decline in fair value of marketable debt security is due to credit related factors, an allowance for credit losses is recorded with a corresponding charge to other expense in the consolidated statements of earnings. When AbbVie determines that a non-credit related impairment has occurred, the amortized cost basis of the investment, net of allowance for credit losses, is written down with a charge to other expense, net in the consolidated statements of earnings and an available-for-sale investment's unrealized loss is reclassified from AOCI to other expense, net in the consolidated statements of earnings. Realized gains and losses on sales of investments are computed using the first-in, first-out method adjusted for any impairments and credit losses that were recorded in net earnings.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Accounts Receivable</w:t>
      </w:r>
    </w:p>
    <w:p>
      <w:pPr>
        <w:spacing w:after="0" w:line="180"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Accounts receivable are stated at amortized cost less allowance for credit losses. The allowance for credit losses reflects the best estimate of future losses over the contractual life of outstanding accounts receivable and is determined on the basis of historical experience, specific allowances for known troubled accounts, other currently available information including customer financial condition, and both current and forecasted economic conditions.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Inventories</w:t>
      </w:r>
    </w:p>
    <w:p>
      <w:pPr>
        <w:spacing w:after="0" w:line="180" w:lineRule="exact"/>
        <w:rPr>
          <w:sz w:val="20"/>
          <w:szCs w:val="20"/>
          <w:color w:val="auto"/>
        </w:rPr>
      </w:pPr>
    </w:p>
    <w:p>
      <w:pPr>
        <w:ind w:right="220" w:firstLine="445"/>
        <w:spacing w:after="0" w:line="261" w:lineRule="auto"/>
        <w:rPr>
          <w:sz w:val="20"/>
          <w:szCs w:val="20"/>
          <w:color w:val="auto"/>
        </w:rPr>
      </w:pPr>
      <w:r>
        <w:rPr>
          <w:rFonts w:ascii="Arial" w:cs="Arial" w:eastAsia="Arial" w:hAnsi="Arial"/>
          <w:sz w:val="18"/>
          <w:szCs w:val="18"/>
          <w:color w:val="auto"/>
        </w:rPr>
        <w:t>Inventories are valued at the lower of cost (first-in, first-out basis) or market. Cost includes material and conversion costs. Inventories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(in millions)</w:t>
            </w:r>
          </w:p>
        </w:tc>
        <w:tc>
          <w:tcPr>
            <w:tcW w:w="3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23"/>
        </w:trPr>
        <w:tc>
          <w:tcPr>
            <w:tcW w:w="20" w:type="dxa"/>
            <w:vAlign w:val="bottom"/>
          </w:tcPr>
          <w:p>
            <w:pPr>
              <w:spacing w:after="0"/>
              <w:rPr>
                <w:sz w:val="19"/>
                <w:szCs w:val="19"/>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1,318</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30"/>
        </w:trPr>
        <w:tc>
          <w:tcPr>
            <w:tcW w:w="2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18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1,201</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942</w:t>
            </w:r>
          </w:p>
        </w:tc>
      </w:tr>
      <w:tr>
        <w:trPr>
          <w:trHeight w:val="229"/>
        </w:trPr>
        <w:tc>
          <w:tcPr>
            <w:tcW w:w="20" w:type="dxa"/>
            <w:vAlign w:val="bottom"/>
          </w:tcPr>
          <w:p>
            <w:pPr>
              <w:spacing w:after="0"/>
              <w:rPr>
                <w:sz w:val="19"/>
                <w:szCs w:val="19"/>
                <w:color w:val="auto"/>
              </w:rPr>
            </w:pPr>
          </w:p>
        </w:tc>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791</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23"/>
        </w:trPr>
        <w:tc>
          <w:tcPr>
            <w:tcW w:w="20" w:type="dxa"/>
            <w:vAlign w:val="bottom"/>
          </w:tcPr>
          <w:p>
            <w:pPr>
              <w:spacing w:after="0"/>
              <w:rPr>
                <w:sz w:val="19"/>
                <w:szCs w:val="19"/>
                <w:color w:val="auto"/>
              </w:rPr>
            </w:pP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Inventories</w:t>
            </w:r>
          </w:p>
        </w:tc>
        <w:tc>
          <w:tcPr>
            <w:tcW w:w="3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3,310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r>
      <w:tr>
        <w:trPr>
          <w:trHeight w:val="20"/>
        </w:trPr>
        <w:tc>
          <w:tcPr>
            <w:tcW w:w="20" w:type="dxa"/>
            <w:vAlign w:val="bottom"/>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45"/>
        </w:trPr>
        <w:tc>
          <w:tcPr>
            <w:tcW w:w="5380" w:type="dxa"/>
            <w:vAlign w:val="bottom"/>
            <w:gridSpan w:val="2"/>
          </w:tcPr>
          <w:p>
            <w:pPr>
              <w:spacing w:after="0"/>
              <w:rPr>
                <w:sz w:val="20"/>
                <w:szCs w:val="20"/>
                <w:color w:val="auto"/>
              </w:rPr>
            </w:pPr>
            <w:r>
              <w:rPr>
                <w:rFonts w:ascii="Arial" w:cs="Arial" w:eastAsia="Arial" w:hAnsi="Arial"/>
                <w:sz w:val="18"/>
                <w:szCs w:val="18"/>
                <w:b w:val="1"/>
                <w:bCs w:val="1"/>
                <w:color w:val="444867"/>
              </w:rPr>
              <w:t>Property and Equipment</w:t>
            </w:r>
          </w:p>
        </w:tc>
        <w:tc>
          <w:tcPr>
            <w:tcW w:w="3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(in millions)</w:t>
            </w:r>
          </w:p>
        </w:tc>
        <w:tc>
          <w:tcPr>
            <w:tcW w:w="3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23"/>
        </w:trPr>
        <w:tc>
          <w:tcPr>
            <w:tcW w:w="20" w:type="dxa"/>
            <w:vAlign w:val="bottom"/>
          </w:tcPr>
          <w:p>
            <w:pPr>
              <w:spacing w:after="0"/>
              <w:rPr>
                <w:sz w:val="19"/>
                <w:szCs w:val="19"/>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288</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2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Buildings</w:t>
            </w:r>
          </w:p>
        </w:tc>
        <w:tc>
          <w:tcPr>
            <w:tcW w:w="318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2,555</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1,613</w:t>
            </w: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3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6,976</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6,012</w:t>
            </w:r>
          </w:p>
        </w:tc>
      </w:tr>
      <w:tr>
        <w:trPr>
          <w:trHeight w:val="230"/>
        </w:trPr>
        <w:tc>
          <w:tcPr>
            <w:tcW w:w="20" w:type="dxa"/>
            <w:vAlign w:val="bottom"/>
          </w:tcPr>
          <w:p>
            <w:pPr>
              <w:spacing w:after="0"/>
              <w:rPr>
                <w:sz w:val="19"/>
                <w:szCs w:val="19"/>
                <w:color w:val="auto"/>
              </w:rPr>
            </w:pP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Construction in progress</w:t>
            </w:r>
          </w:p>
        </w:tc>
        <w:tc>
          <w:tcPr>
            <w:tcW w:w="3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1,040</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r>
      <w:tr>
        <w:trPr>
          <w:trHeight w:val="223"/>
        </w:trPr>
        <w:tc>
          <w:tcPr>
            <w:tcW w:w="20" w:type="dxa"/>
            <w:vAlign w:val="bottom"/>
          </w:tcPr>
          <w:p>
            <w:pPr>
              <w:spacing w:after="0"/>
              <w:rPr>
                <w:sz w:val="19"/>
                <w:szCs w:val="19"/>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3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10,859</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8,188</w:t>
            </w:r>
          </w:p>
        </w:tc>
      </w:tr>
      <w:tr>
        <w:trPr>
          <w:trHeight w:val="230"/>
        </w:trPr>
        <w:tc>
          <w:tcPr>
            <w:tcW w:w="20" w:type="dxa"/>
            <w:vAlign w:val="bottom"/>
          </w:tcPr>
          <w:p>
            <w:pPr>
              <w:spacing w:after="0"/>
              <w:rPr>
                <w:sz w:val="19"/>
                <w:szCs w:val="19"/>
                <w:color w:val="auto"/>
              </w:rPr>
            </w:pP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(5,611)</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(5,226)</w:t>
            </w:r>
          </w:p>
        </w:tc>
      </w:tr>
      <w:tr>
        <w:trPr>
          <w:trHeight w:val="248"/>
        </w:trPr>
        <w:tc>
          <w:tcPr>
            <w:tcW w:w="20" w:type="dxa"/>
            <w:vAlign w:val="bottom"/>
          </w:tcPr>
          <w:p>
            <w:pPr>
              <w:spacing w:after="0"/>
              <w:rPr>
                <w:sz w:val="21"/>
                <w:szCs w:val="21"/>
                <w:color w:val="auto"/>
              </w:rPr>
            </w:pPr>
          </w:p>
        </w:tc>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5,248</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w:t>
            </w: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bottom w:val="single" w:sz="8" w:color="auto"/>
            </w:tcBorders>
          </w:tcPr>
          <w:p>
            <w:pPr>
              <w:spacing w:after="0" w:line="20" w:lineRule="exact"/>
              <w:rPr>
                <w:sz w:val="1"/>
                <w:szCs w:val="1"/>
                <w:color w:val="auto"/>
              </w:rPr>
            </w:pPr>
          </w:p>
        </w:tc>
        <w:tc>
          <w:tcPr>
            <w:tcW w:w="3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Depreciation for property and equipment is recorded on a straight-line basis over the estimated useful lives of the assets. The estimated useful life for buildings ranges from 10 to 50 years. Buildings include leasehold improvements which are amortized over the life of the related facility lease (including any renewal periods, if appropriate) or the asset, whichever is shorter. The estimated useful life for equipment ranges from 2 to 25 years. Equipment includes certain computer software and software development costs incurred in connection with developing or obtaining software for internal use and is amortized over 3 to 10 years. Depreciation expense was $666 million in 2020, $464 million in 2019 and $471 million in 2018.</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Leases</w:t>
      </w:r>
    </w:p>
    <w:p>
      <w:pPr>
        <w:spacing w:after="0" w:line="180" w:lineRule="exact"/>
        <w:rPr>
          <w:sz w:val="20"/>
          <w:szCs w:val="20"/>
          <w:color w:val="auto"/>
        </w:rPr>
      </w:pPr>
    </w:p>
    <w:p>
      <w:pPr>
        <w:ind w:right="80" w:firstLine="445"/>
        <w:spacing w:after="0" w:line="261" w:lineRule="auto"/>
        <w:rPr>
          <w:sz w:val="20"/>
          <w:szCs w:val="20"/>
          <w:color w:val="auto"/>
        </w:rPr>
      </w:pPr>
      <w:r>
        <w:rPr>
          <w:rFonts w:ascii="Arial" w:cs="Arial" w:eastAsia="Arial" w:hAnsi="Arial"/>
          <w:sz w:val="18"/>
          <w:szCs w:val="18"/>
          <w:color w:val="auto"/>
        </w:rPr>
        <w:t>Short-term leases with a term of 12 months or less are not recorded on the balance sheet. For leases commencing or modified in 2019 or later, AbbVie does not separate lease components from non-lease components.</w:t>
      </w:r>
    </w:p>
    <w:p>
      <w:pPr>
        <w:spacing w:after="0" w:line="130" w:lineRule="exact"/>
        <w:rPr>
          <w:sz w:val="20"/>
          <w:szCs w:val="20"/>
          <w:color w:val="auto"/>
        </w:rPr>
      </w:pPr>
    </w:p>
    <w:p>
      <w:pPr>
        <w:ind w:right="380" w:firstLine="445"/>
        <w:spacing w:after="0" w:line="261" w:lineRule="auto"/>
        <w:rPr>
          <w:sz w:val="20"/>
          <w:szCs w:val="20"/>
          <w:color w:val="auto"/>
        </w:rPr>
      </w:pPr>
      <w:r>
        <w:rPr>
          <w:rFonts w:ascii="Arial" w:cs="Arial" w:eastAsia="Arial" w:hAnsi="Arial"/>
          <w:sz w:val="18"/>
          <w:szCs w:val="18"/>
          <w:color w:val="auto"/>
        </w:rPr>
        <w:t>The company records lease liabilities based on the present value of lease payments over the lease term. AbbVie generally uses an incremental borrowing rate to discount its lease liabilities, as the rate implicit in the lease is typically not</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8180"/>
        <w:spacing w:after="0"/>
        <w:tabs>
          <w:tab w:leader="none" w:pos="9620" w:val="left"/>
        </w:tabs>
        <w:rPr>
          <w:sz w:val="20"/>
          <w:szCs w:val="20"/>
          <w:color w:val="auto"/>
        </w:rPr>
      </w:pPr>
      <w:r>
        <w:rPr>
          <w:rFonts w:ascii="Arial" w:cs="Arial" w:eastAsia="Arial" w:hAnsi="Arial"/>
          <w:sz w:val="18"/>
          <w:szCs w:val="18"/>
          <w:i w:val="1"/>
          <w:iCs w:val="1"/>
          <w:color w:val="auto"/>
        </w:rPr>
        <w:t>2020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600075" cy="11112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59" w:name="page60"/>
    <w:bookmarkEnd w:id="59"/>
    <w:p>
      <w:pPr>
        <w:ind w:right="460"/>
        <w:spacing w:after="0" w:line="261" w:lineRule="auto"/>
        <w:rPr>
          <w:sz w:val="20"/>
          <w:szCs w:val="20"/>
          <w:color w:val="auto"/>
        </w:rPr>
      </w:pPr>
      <w:r>
        <w:rPr>
          <w:rFonts w:ascii="Arial" w:cs="Arial" w:eastAsia="Arial" w:hAnsi="Arial"/>
          <w:sz w:val="18"/>
          <w:szCs w:val="18"/>
          <w:color w:val="auto"/>
        </w:rPr>
        <w:t>readily determinable. Certain lease agreements include renewal options that are under the company's control. AbbVie includes optional renewal periods in the lease term only when it is reasonably certain that AbbVie will exercise its option.</w:t>
      </w:r>
    </w:p>
    <w:p>
      <w:pPr>
        <w:spacing w:after="0" w:line="117"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Variable lease payments include payments to lessors for taxes, maintenance, insurance and other operating costs as well as payments that are adjusted based on an index or rate. The company's lease agreements do not contain any significant residual value guarantees or restrictive covenants.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Litigation and Contingencies</w:t>
      </w:r>
    </w:p>
    <w:p>
      <w:pPr>
        <w:spacing w:after="0" w:line="180" w:lineRule="exact"/>
        <w:rPr>
          <w:sz w:val="20"/>
          <w:szCs w:val="20"/>
          <w:color w:val="auto"/>
        </w:rPr>
      </w:pPr>
    </w:p>
    <w:p>
      <w:pPr>
        <w:ind w:right="140" w:firstLine="445"/>
        <w:spacing w:after="0" w:line="252" w:lineRule="auto"/>
        <w:rPr>
          <w:sz w:val="20"/>
          <w:szCs w:val="20"/>
          <w:color w:val="auto"/>
        </w:rPr>
      </w:pPr>
      <w:r>
        <w:rPr>
          <w:rFonts w:ascii="Arial" w:cs="Arial" w:eastAsia="Arial" w:hAnsi="Arial"/>
          <w:sz w:val="18"/>
          <w:szCs w:val="18"/>
          <w:color w:val="auto"/>
        </w:rPr>
        <w:t>Loss contingency provisions are recorded when it is probable that a liability has been incurred and the amount of the liability can be reasonably estimated based on existing information. When a best estimate cannot be made, the minimum loss contingency amount in a probable range is recorded. Legal fees are expensed as incurred. AbbVie accrues for product liability claims on an undiscounted basis. The liabilities are evaluated quarterly and adjusted if necessary as additional information becomes available. Receivables for insurance recoveries for product liability claims, if any, are recorded as assets on an undiscounted basis when it is probable that a recovery will be realized.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Business Combinations</w:t>
      </w:r>
    </w:p>
    <w:p>
      <w:pPr>
        <w:spacing w:after="0" w:line="180"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AbbVie utilizes the acquisition method of accounting for business combinations. This method requires, among other things, that results of operations of acquired companies are included in AbbVie's results of operations beginning on the respective acquisition dates and that assets acquired and liabilities assumed are recognized at fair value as of the acquisition date. Any excess of the fair value of consideration transferred over the fair values of the net assets acquired is recognized as goodwill. Contingent consideration liabilities are recognized at the estimated fair value on the acquisition date. Subsequent changes to the fair value of contingent consideration liabilities are recognized in other expense, net in the consolidated statements of earnings. The fair value of assets acquired and liabilities assumed in certain cases may be subject to revision based on the final determination of fair value during a period of time not to exceed 12 months from the acquisition date. Legal costs, due diligence costs, business valuation costs and all other business acquisition costs are expensed when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Goodwill and Intangible Assets</w:t>
      </w:r>
    </w:p>
    <w:p>
      <w:pPr>
        <w:spacing w:after="0" w:line="166"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Intangible assets acquired in a business combination are recorded at fair value using a discounted cash flow model. The discounted cash flow model requires assumptions about the timing and amount of future net cash flows, risk, the cost of capital and terminal values of market participants. Definite-lived intangibles are amortized over their estimated useful lives using the estimated pattern of economic benefit. AbbVie reviews the recoverability of definite-lived intangible assets whenever events or changes in circumstances indicate the carrying value of an asset may not be recoverable. AbbVie first compares the projected undiscounted cash flows to be generated by the asset to its carrying value. If the undiscounted cash flows of an intangible asset are less than the carrying value, the intangible asset is written down to its fair value. Where cash flows cannot be identified for an individual asset, the review is applied at the lowest level for which cash flows are largely independent of the cash flows of other assets and liabilities.</w:t>
      </w:r>
    </w:p>
    <w:p>
      <w:pPr>
        <w:spacing w:after="0" w:line="138"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Goodwill and indefinite-lived assets are not amortized, but are subject to an impairment review annually and more frequently when indicators of impairment exist. An impairment of goodwill could occur if the carrying amount of a reporting unit exceeded the fair value of that reporting unit. An impairment of indefinite-lived intangible assets would occur if the fair value of the intangible asset is less than the carrying value.</w:t>
      </w:r>
    </w:p>
    <w:p>
      <w:pPr>
        <w:spacing w:after="0" w:line="136"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The company tests its goodwill for impairment by first assessing qualitative factors to determine whether it is more likely than not that the fair value is less than its carrying amount. If the company concludes it is more likely than not that the fair value of the reporting unit is less than its carrying amount, a quantitative impairment test is performed. AbbVie tests indefinite-lived intangible assets for impairment by first assessing qualitative factors to determine whether it is more likely than not that the fair value is less than its carrying amount. If the company concludes it is more likely than not that the fair value is less than its carrying amount, a quantitative impairment test is performed. For its quantitative impairment tests, the company uses an estimated future cash flow approach that requires significant judgment with respect to future volume, revenue and expense growth rates, changes in working capital use, the selection of an appropriate discount rate, asset groupings and other assumptions and estimates. The estimates and assumptions used are consistent with the company's business plans and a market participant's views. The use of alternative estimates and assumptions could increase or decrease the estimated fair value of the assets and potentially result in different impacts to the company's results of operations. Actual results may differ from the company's estimates.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Acquired In-Process Research and Development</w:t>
      </w:r>
    </w:p>
    <w:p>
      <w:pPr>
        <w:spacing w:after="0" w:line="180" w:lineRule="exact"/>
        <w:rPr>
          <w:sz w:val="20"/>
          <w:szCs w:val="20"/>
          <w:color w:val="auto"/>
        </w:rPr>
      </w:pPr>
    </w:p>
    <w:p>
      <w:pPr>
        <w:ind w:right="140" w:firstLine="445"/>
        <w:spacing w:after="0" w:line="261" w:lineRule="auto"/>
        <w:rPr>
          <w:sz w:val="20"/>
          <w:szCs w:val="20"/>
          <w:color w:val="auto"/>
        </w:rPr>
      </w:pPr>
      <w:r>
        <w:rPr>
          <w:rFonts w:ascii="Arial" w:cs="Arial" w:eastAsia="Arial" w:hAnsi="Arial"/>
          <w:sz w:val="18"/>
          <w:szCs w:val="18"/>
          <w:color w:val="auto"/>
        </w:rPr>
        <w:t>In an asset acquisition, the initial costs of rights to IPR&amp;D projects acquired are expensed as IPR&amp;D in the consolidated statements of earnings unless the project has an alternative future use. These costs include initial payments incurred prior to</w:t>
      </w:r>
    </w:p>
    <w:p>
      <w:pPr>
        <w:sectPr>
          <w:pgSz w:w="11900" w:h="16838" w:orient="portrait"/>
          <w:cols w:equalWidth="0" w:num="1">
            <w:col w:w="11220"/>
          </w:cols>
          <w:pgMar w:left="320" w:top="1097" w:right="359" w:bottom="1440" w:gutter="0" w:footer="0" w:header="0"/>
        </w:sectPr>
      </w:pPr>
    </w:p>
    <w:p>
      <w:pPr>
        <w:spacing w:after="0" w:line="371"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57</w:t>
      </w:r>
      <w:r>
        <w:rPr>
          <w:sz w:val="20"/>
          <w:szCs w:val="20"/>
          <w:color w:val="auto"/>
        </w:rPr>
        <w:tab/>
      </w:r>
      <w:r>
        <w:rPr>
          <w:sz w:val="1"/>
          <w:szCs w:val="1"/>
          <w:color w:val="auto"/>
        </w:rPr>
        <w:drawing>
          <wp:inline distT="0" distB="0" distL="0" distR="0">
            <wp:extent cx="600075" cy="11176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0075" cy="11176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type w:val="continuous"/>
        </w:sectPr>
      </w:pPr>
    </w:p>
    <w:bookmarkStart w:id="60" w:name="page61"/>
    <w:bookmarkEnd w:id="60"/>
    <w:p>
      <w:pPr>
        <w:ind w:right="40"/>
        <w:spacing w:after="0" w:line="253" w:lineRule="auto"/>
        <w:rPr>
          <w:sz w:val="20"/>
          <w:szCs w:val="20"/>
          <w:color w:val="auto"/>
        </w:rPr>
      </w:pPr>
      <w:r>
        <w:rPr>
          <w:rFonts w:ascii="Arial" w:cs="Arial" w:eastAsia="Arial" w:hAnsi="Arial"/>
          <w:sz w:val="18"/>
          <w:szCs w:val="18"/>
          <w:color w:val="auto"/>
        </w:rPr>
        <w:t>regulatory approval in connection with research and development collaboration agreements that provide rights to develop, manufacture, market and/or sell pharmaceutical products. In a business combination, the fair value of IPR&amp;D projects acquired are capitalized and accounted for as indefinite-lived intangible assets until the underlying project receives regulatory approval, at which point the intangible asset will be accounted for as a definite-lived intangible asset, or discontinuation, at which point the intangible asset will be written off. R&amp;D costs incurred after the acquisition are expensed as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Foreign Currency Translation</w:t>
      </w:r>
    </w:p>
    <w:p>
      <w:pPr>
        <w:spacing w:after="0" w:line="166"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Foreign subsidiary earnings are translated into U.S. dollars using average exchange rates. The net assets of foreign subsidiaries are translated into U.S. dollars using period-end exchange rates. The U.S. dollar effects that arise from translating the net assets of these subsidiaries at changing rates are recognized in other comprehensive income (loss) (OCI) in the consolidated statements of comprehensive income. The net assets of subsidiaries in highly inflationary economies are remeasured as if the functional currency were the reporting currency. The remeasurement is recognized in net foreign exchange loss in the consolidated statements of earnings.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Derivatives</w:t>
      </w:r>
    </w:p>
    <w:p>
      <w:pPr>
        <w:spacing w:after="0" w:line="180" w:lineRule="exact"/>
        <w:rPr>
          <w:sz w:val="20"/>
          <w:szCs w:val="20"/>
          <w:color w:val="auto"/>
        </w:rPr>
      </w:pPr>
    </w:p>
    <w:p>
      <w:pPr>
        <w:ind w:right="780" w:firstLine="445"/>
        <w:spacing w:after="0" w:line="261" w:lineRule="auto"/>
        <w:rPr>
          <w:sz w:val="20"/>
          <w:szCs w:val="20"/>
          <w:color w:val="auto"/>
        </w:rPr>
      </w:pPr>
      <w:r>
        <w:rPr>
          <w:rFonts w:ascii="Arial" w:cs="Arial" w:eastAsia="Arial" w:hAnsi="Arial"/>
          <w:sz w:val="18"/>
          <w:szCs w:val="18"/>
          <w:color w:val="auto"/>
        </w:rPr>
        <w:t>All derivative instruments are recognized as either assets or liabilities at fair value on the consolidated balance sheets and are classified as current or long-term based on the scheduled maturity of the instrument.</w:t>
      </w:r>
    </w:p>
    <w:p>
      <w:pPr>
        <w:spacing w:after="0" w:line="117"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For derivatives formally designated as hedges, the company assesses at inception and quarterly thereafter whether the hedging derivatives are highly effective in offsetting changes in the fair value or cash flows of the hedged item. The changes in fair value of a derivative designated as a fair value hedge and of the hedged item attributable to the hedged risk are recognized in earnings immediately. The effective portions of changes in the fair value of a derivative designated as a cash flow hedge are reported in AOCI and are subsequently recognized in earnings consistent with the underlying hedged item. If it is determined that a derivative is no longer highly effective as a hedge, the company discontinues hedge accounting prospectively. If a hedged forecasted transaction becomes probable of not occurring, any gains or losses are reclassified from AOCI to earnings. Derivatives that are not designated as hedges are adjusted to fair value through current earnings.</w:t>
      </w:r>
    </w:p>
    <w:p>
      <w:pPr>
        <w:spacing w:after="0" w:line="138" w:lineRule="exact"/>
        <w:rPr>
          <w:sz w:val="20"/>
          <w:szCs w:val="20"/>
          <w:color w:val="auto"/>
        </w:rPr>
      </w:pPr>
    </w:p>
    <w:p>
      <w:pPr>
        <w:ind w:right="380" w:firstLine="445"/>
        <w:spacing w:after="0" w:line="261" w:lineRule="auto"/>
        <w:rPr>
          <w:sz w:val="20"/>
          <w:szCs w:val="20"/>
          <w:color w:val="auto"/>
        </w:rPr>
      </w:pPr>
      <w:r>
        <w:rPr>
          <w:rFonts w:ascii="Arial" w:cs="Arial" w:eastAsia="Arial" w:hAnsi="Arial"/>
          <w:sz w:val="18"/>
          <w:szCs w:val="18"/>
          <w:color w:val="auto"/>
        </w:rPr>
        <w:t>The company also uses derivative instruments or foreign currency denominated debt to hedge its net investments in certain foreign subsidiaries and affiliates. Realized and unrealized gains and losses from these hedges are included in AOCI.</w:t>
      </w:r>
    </w:p>
    <w:p>
      <w:pPr>
        <w:spacing w:after="0" w:line="130"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Derivative cash flows, with the exception of net investment hedges, are principally classified in the operating section of the consolidated statements of cash flows, consistent with the underlying hedged item. Cash flows related to net investment hedges are classified in the investing section of the consolidated statements of cash flows.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Recent Accounting Pronouncements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ASU No. 2016-13</w:t>
      </w:r>
    </w:p>
    <w:p>
      <w:pPr>
        <w:spacing w:after="0" w:line="126"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No.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 Credit Losses (Topic 326)</w:t>
      </w:r>
      <w:r>
        <w:rPr>
          <w:rFonts w:ascii="Arial" w:cs="Arial" w:eastAsia="Arial" w:hAnsi="Arial"/>
          <w:sz w:val="18"/>
          <w:szCs w:val="18"/>
          <w:color w:val="auto"/>
        </w:rPr>
        <w:t>. The standard changes how credit losses are measured for most financial assets and certain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For trade and other receivables, held-to-maturity debt securities, loans and other financial instruments, the standard requires the use of a new forward-looking "expected credit loss" model that generally will result in the earlier recognition of allowances for losses. For available-for-sale debt securities with unrealized losses, the standard now requires allowances to be recorded instead of reducing the amortized cost of the investment. AbbVie adopted the standard in the first quarter of 2020.</w:t>
      </w:r>
    </w:p>
    <w:p>
      <w:pPr>
        <w:spacing w:after="0" w:line="138" w:lineRule="exact"/>
        <w:rPr>
          <w:sz w:val="20"/>
          <w:szCs w:val="20"/>
          <w:color w:val="auto"/>
        </w:rPr>
      </w:pPr>
    </w:p>
    <w:p>
      <w:pPr>
        <w:ind w:right="160" w:firstLine="445"/>
        <w:spacing w:after="0" w:line="252" w:lineRule="auto"/>
        <w:rPr>
          <w:sz w:val="20"/>
          <w:szCs w:val="20"/>
          <w:color w:val="auto"/>
        </w:rPr>
      </w:pPr>
      <w:r>
        <w:rPr>
          <w:rFonts w:ascii="Arial" w:cs="Arial" w:eastAsia="Arial" w:hAnsi="Arial"/>
          <w:sz w:val="18"/>
          <w:szCs w:val="18"/>
          <w:color w:val="auto"/>
        </w:rPr>
        <w:t>Upon adoption of the standard, accounts receivable are stated at amortized cost less allowance for credit losses. The allowance for credit losses reflects the best estimate of future losses over the contractual life of outstanding accounts receivable and is determined on the basis of historical experience, specific allowances for known troubled accounts, other currently available information including customer financial condition, and both current and forecasted economic conditions. The adoption did not have a material impact on the company's consolidated financial statements. The allowance for credit losses was $262 million at December 31, 2020. There were no significant changes in credit loss risk factors that impacted the company's recorded allowance during 2020.</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58</w:t>
            </w:r>
          </w:p>
        </w:tc>
      </w:tr>
      <w:tr>
        <w:trPr>
          <w:trHeight w:val="201"/>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-334010</wp:posOffset>
            </wp:positionV>
            <wp:extent cx="600075" cy="1117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0075" cy="111760"/>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ASU No. 2019-12</w:t>
      </w:r>
    </w:p>
    <w:p>
      <w:pPr>
        <w:spacing w:after="0" w:line="140" w:lineRule="exact"/>
        <w:rPr>
          <w:sz w:val="20"/>
          <w:szCs w:val="20"/>
          <w:color w:val="auto"/>
        </w:rPr>
      </w:pPr>
    </w:p>
    <w:p>
      <w:pPr>
        <w:ind w:firstLine="445"/>
        <w:spacing w:after="0" w:line="258"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w:t>
      </w:r>
      <w:r>
        <w:rPr>
          <w:rFonts w:ascii="Arial" w:cs="Arial" w:eastAsia="Arial" w:hAnsi="Arial"/>
          <w:sz w:val="18"/>
          <w:szCs w:val="18"/>
          <w:color w:val="auto"/>
        </w:rPr>
        <w:t>. The standard includes simplifications related to accounting for income taxes including removing certain exceptions related to the approach for intraperiod tax allocation and the recognition of deferred tax liabilities for outside basis differences. The standard also clarifies the accounting for transactions that result in a step-up in the tax basis of goodwill. The standard will be effective for AbbVie starting with the first quarter of 2021. AbbVie has completed its assessment of the new standard and concluded that the adoption will not have a material impact on its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3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Interest Expense, Net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years ended December 31 (in millions)</w:t>
            </w:r>
          </w:p>
        </w:tc>
        <w:tc>
          <w:tcPr>
            <w:tcW w:w="18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7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2,454</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1,784</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income</w:t>
            </w:r>
          </w:p>
        </w:tc>
        <w:tc>
          <w:tcPr>
            <w:tcW w:w="37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5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8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2,280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1,509</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bottom w:val="single" w:sz="8" w:color="auto"/>
            </w:tcBorders>
            <w:gridSpan w:val="2"/>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9"/>
        </w:trPr>
        <w:tc>
          <w:tcPr>
            <w:tcW w:w="5160" w:type="dxa"/>
            <w:vAlign w:val="bottom"/>
            <w:gridSpan w:val="3"/>
          </w:tcPr>
          <w:p>
            <w:pPr>
              <w:spacing w:after="0"/>
              <w:rPr>
                <w:sz w:val="20"/>
                <w:szCs w:val="20"/>
                <w:color w:val="auto"/>
              </w:rPr>
            </w:pPr>
            <w:r>
              <w:rPr>
                <w:rFonts w:ascii="Arial" w:cs="Arial" w:eastAsia="Arial" w:hAnsi="Arial"/>
                <w:sz w:val="18"/>
                <w:szCs w:val="18"/>
                <w:b w:val="1"/>
                <w:bCs w:val="1"/>
                <w:color w:val="444867"/>
              </w:rPr>
              <w:t>Accounts Payable and Accrued Liabilities</w:t>
            </w:r>
          </w:p>
        </w:tc>
        <w:tc>
          <w:tcPr>
            <w:tcW w:w="1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5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 December 31 (in millions)</w:t>
            </w:r>
          </w:p>
        </w:tc>
        <w:tc>
          <w:tcPr>
            <w:tcW w:w="18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rebates</w:t>
            </w:r>
          </w:p>
        </w:tc>
        <w:tc>
          <w:tcPr>
            <w:tcW w:w="37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7,188</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Dividends payable</w:t>
            </w:r>
          </w:p>
        </w:tc>
        <w:tc>
          <w:tcPr>
            <w:tcW w:w="1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2,335</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1,771</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Accounts payable</w:t>
            </w:r>
          </w:p>
        </w:tc>
        <w:tc>
          <w:tcPr>
            <w:tcW w:w="37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2,276</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Salaries, wages and commissions</w:t>
            </w:r>
          </w:p>
        </w:tc>
        <w:tc>
          <w:tcPr>
            <w:tcW w:w="1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1,669</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Royalty and license arrangements</w:t>
            </w:r>
          </w:p>
        </w:tc>
        <w:tc>
          <w:tcPr>
            <w:tcW w:w="18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483</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7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6,208</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5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8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20,159</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11,832</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bottom w:val="single" w:sz="8" w:color="auto"/>
            </w:tcBorders>
            <w:gridSpan w:val="2"/>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5"/>
        </w:trPr>
        <w:tc>
          <w:tcPr>
            <w:tcW w:w="5160" w:type="dxa"/>
            <w:vAlign w:val="bottom"/>
            <w:gridSpan w:val="3"/>
          </w:tcPr>
          <w:p>
            <w:pPr>
              <w:spacing w:after="0"/>
              <w:rPr>
                <w:sz w:val="20"/>
                <w:szCs w:val="20"/>
                <w:color w:val="auto"/>
              </w:rPr>
            </w:pPr>
            <w:r>
              <w:rPr>
                <w:rFonts w:ascii="Arial" w:cs="Arial" w:eastAsia="Arial" w:hAnsi="Arial"/>
                <w:sz w:val="18"/>
                <w:szCs w:val="18"/>
                <w:b w:val="1"/>
                <w:bCs w:val="1"/>
                <w:color w:val="444867"/>
              </w:rPr>
              <w:t>Other Long-Term Liabilities</w:t>
            </w:r>
          </w:p>
        </w:tc>
        <w:tc>
          <w:tcPr>
            <w:tcW w:w="1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5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 December 31 (in millions)</w:t>
            </w:r>
          </w:p>
        </w:tc>
        <w:tc>
          <w:tcPr>
            <w:tcW w:w="18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Contingent consideration liabilities</w:t>
            </w:r>
          </w:p>
        </w:tc>
        <w:tc>
          <w:tcPr>
            <w:tcW w:w="18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12,289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Liabilities for unrecognized tax benefits</w:t>
            </w:r>
          </w:p>
        </w:tc>
        <w:tc>
          <w:tcPr>
            <w:tcW w:w="1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5,680</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18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3,847</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Pension and other post-employment benefits</w:t>
            </w:r>
          </w:p>
        </w:tc>
        <w:tc>
          <w:tcPr>
            <w:tcW w:w="1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3,413</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7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2,378</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27,607</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17,597</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60"/>
        </w:trPr>
        <w:tc>
          <w:tcPr>
            <w:tcW w:w="146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59</w:t>
            </w:r>
          </w:p>
        </w:tc>
        <w:tc>
          <w:tcPr>
            <w:tcW w:w="3700" w:type="dxa"/>
            <w:vAlign w:val="bottom"/>
          </w:tcPr>
          <w:p>
            <w:pPr>
              <w:ind w:left="20"/>
              <w:spacing w:after="0"/>
              <w:rPr>
                <w:sz w:val="20"/>
                <w:szCs w:val="20"/>
                <w:color w:val="auto"/>
              </w:rPr>
            </w:pPr>
            <w:r>
              <w:rPr>
                <w:rFonts w:ascii="Arial" w:cs="Arial" w:eastAsia="Arial" w:hAnsi="Arial"/>
                <w:sz w:val="25"/>
                <w:szCs w:val="25"/>
                <w:b w:val="1"/>
                <w:bCs w:val="1"/>
                <w:color w:val="444867"/>
              </w:rPr>
              <w:t xml:space="preserve">| </w:t>
            </w:r>
            <w:r>
              <w:rPr>
                <w:rFonts w:ascii="Arial" w:cs="Arial" w:eastAsia="Arial" w:hAnsi="Arial"/>
                <w:sz w:val="17"/>
                <w:szCs w:val="17"/>
                <w:i w:val="1"/>
                <w:iCs w:val="1"/>
                <w:color w:val="000000"/>
              </w:rPr>
              <w:t>2020 Form 10-K</w:t>
            </w:r>
          </w:p>
        </w:tc>
        <w:tc>
          <w:tcPr>
            <w:tcW w:w="1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1"/>
        </w:trPr>
        <w:tc>
          <w:tcPr>
            <w:tcW w:w="2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3700" w:type="dxa"/>
            <w:vAlign w:val="bottom"/>
            <w:tcBorders>
              <w:bottom w:val="single" w:sz="8" w:color="9A9A9A"/>
            </w:tcBorders>
          </w:tcPr>
          <w:p>
            <w:pPr>
              <w:spacing w:after="0"/>
              <w:rPr>
                <w:sz w:val="17"/>
                <w:szCs w:val="17"/>
                <w:color w:val="auto"/>
              </w:rPr>
            </w:pPr>
          </w:p>
        </w:tc>
        <w:tc>
          <w:tcPr>
            <w:tcW w:w="186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-334010</wp:posOffset>
            </wp:positionV>
            <wp:extent cx="600075" cy="1111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0075" cy="11112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62" w:name="page63"/>
    <w:bookmarkEnd w:id="62"/>
    <w:p>
      <w:pPr>
        <w:spacing w:after="0"/>
        <w:rPr>
          <w:sz w:val="20"/>
          <w:szCs w:val="20"/>
          <w:color w:val="auto"/>
        </w:rPr>
      </w:pPr>
      <w:r>
        <w:rPr>
          <w:rFonts w:ascii="Arial" w:cs="Arial" w:eastAsia="Arial" w:hAnsi="Arial"/>
          <w:sz w:val="22"/>
          <w:szCs w:val="22"/>
          <w:b w:val="1"/>
          <w:bCs w:val="1"/>
          <w:color w:val="444867"/>
        </w:rPr>
        <w:t>Note 4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5" w:lineRule="exact"/>
        <w:rPr>
          <w:sz w:val="20"/>
          <w:szCs w:val="20"/>
          <w:color w:val="auto"/>
        </w:rPr>
      </w:pPr>
    </w:p>
    <w:p>
      <w:pPr>
        <w:ind w:right="320" w:firstLine="445"/>
        <w:spacing w:after="0" w:line="256" w:lineRule="auto"/>
        <w:rPr>
          <w:sz w:val="20"/>
          <w:szCs w:val="20"/>
          <w:color w:val="auto"/>
        </w:rPr>
      </w:pPr>
      <w:r>
        <w:rPr>
          <w:rFonts w:ascii="Arial" w:cs="Arial" w:eastAsia="Arial" w:hAnsi="Arial"/>
          <w:sz w:val="18"/>
          <w:szCs w:val="18"/>
          <w:color w:val="auto"/>
        </w:rPr>
        <w:t>AbbVie grants certain restricted stock units (RSUs) that are considered to be participating securities. Due to the presence of participating securities, AbbVie calculates earnings per share (EPS) using the more dilutive of the treasury stock or the two-class method. For all periods presented, the two-class method was more dilutive.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impact of the two-class method:</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1040" w:type="dxa"/>
            <w:vAlign w:val="bottom"/>
            <w:tcBorders>
              <w:bottom w:val="single" w:sz="8" w:color="auto"/>
            </w:tcBorders>
          </w:tcPr>
          <w:p>
            <w:pPr>
              <w:spacing w:after="0"/>
              <w:rPr>
                <w:sz w:val="16"/>
                <w:szCs w:val="16"/>
                <w:color w:val="auto"/>
              </w:rPr>
            </w:pPr>
          </w:p>
        </w:tc>
      </w:tr>
      <w:tr>
        <w:trPr>
          <w:trHeight w:val="183"/>
        </w:trPr>
        <w:tc>
          <w:tcPr>
            <w:tcW w:w="6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r>
      <w:tr>
        <w:trPr>
          <w:trHeight w:val="223"/>
        </w:trPr>
        <w:tc>
          <w:tcPr>
            <w:tcW w:w="6900" w:type="dxa"/>
            <w:vAlign w:val="bottom"/>
          </w:tcPr>
          <w:p>
            <w:pPr>
              <w:spacing w:after="0"/>
              <w:rPr>
                <w:sz w:val="20"/>
                <w:szCs w:val="20"/>
                <w:color w:val="auto"/>
              </w:rPr>
            </w:pPr>
            <w:r>
              <w:rPr>
                <w:rFonts w:ascii="Arial" w:cs="Arial" w:eastAsia="Arial" w:hAnsi="Arial"/>
                <w:sz w:val="18"/>
                <w:szCs w:val="18"/>
                <w:b w:val="1"/>
                <w:bCs w:val="1"/>
                <w:color w:val="auto"/>
              </w:rPr>
              <w:t>Basic EPS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attributable to AbbVie Inc.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4,616</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7,882</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w:t>
            </w:r>
          </w:p>
        </w:tc>
      </w:tr>
      <w:tr>
        <w:trPr>
          <w:trHeight w:val="229"/>
        </w:trPr>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allocated to participating securities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48"/>
        </w:trPr>
        <w:tc>
          <w:tcPr>
            <w:tcW w:w="6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Earnings available to common shareholders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4,556</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7,842</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Weighted average basic shares of common stock outstanding</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3"/>
              <w:spacing w:after="0" w:line="203" w:lineRule="exact"/>
              <w:rPr>
                <w:sz w:val="20"/>
                <w:szCs w:val="20"/>
                <w:color w:val="auto"/>
              </w:rPr>
            </w:pPr>
            <w:r>
              <w:rPr>
                <w:rFonts w:ascii="Arial" w:cs="Arial" w:eastAsia="Arial" w:hAnsi="Arial"/>
                <w:sz w:val="18"/>
                <w:szCs w:val="18"/>
                <w:color w:val="auto"/>
              </w:rPr>
              <w:t>1,667</w:t>
            </w: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1"/>
              <w:spacing w:after="0" w:line="203" w:lineRule="exact"/>
              <w:rPr>
                <w:sz w:val="20"/>
                <w:szCs w:val="20"/>
                <w:color w:val="auto"/>
              </w:rPr>
            </w:pPr>
            <w:r>
              <w:rPr>
                <w:rFonts w:ascii="Arial" w:cs="Arial" w:eastAsia="Arial" w:hAnsi="Arial"/>
                <w:sz w:val="18"/>
                <w:szCs w:val="18"/>
                <w:color w:val="auto"/>
              </w:rPr>
              <w:t>1,481</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1,541</w:t>
            </w:r>
          </w:p>
        </w:tc>
      </w:tr>
      <w:tr>
        <w:trPr>
          <w:trHeight w:val="248"/>
        </w:trPr>
        <w:tc>
          <w:tcPr>
            <w:tcW w:w="6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earnings per share attributable to AbbVie Inc.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2.73</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5.30</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Net earnings attributable to AbbVie Inc.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4,616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7,882</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5,687</w:t>
            </w:r>
          </w:p>
        </w:tc>
      </w:tr>
      <w:tr>
        <w:trPr>
          <w:trHeight w:val="229"/>
        </w:trPr>
        <w:tc>
          <w:tcPr>
            <w:tcW w:w="6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Earnings allocated to participating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available to common shareholders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4,556</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7,842</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5,657</w:t>
            </w: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1,667</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1,481</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r>
      <w:tr>
        <w:trPr>
          <w:trHeight w:val="229"/>
        </w:trPr>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dilutive securities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diluted shares of common stock outstanding</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1,673</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1,484</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r>
      <w:tr>
        <w:trPr>
          <w:trHeight w:val="223"/>
        </w:trPr>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 attributable to AbbVie Inc.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2.72</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5.28</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Certain shares issuable under stock-based compensation plans were excluded from the computation of EPS because the effect would have been antidilutive. The number of common shares excluded was insignificant for all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5 Licensing, Acquisitions and Other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Acquisition of Allergan</w:t>
      </w:r>
    </w:p>
    <w:p>
      <w:pPr>
        <w:spacing w:after="0" w:line="180" w:lineRule="exact"/>
        <w:rPr>
          <w:sz w:val="20"/>
          <w:szCs w:val="20"/>
          <w:color w:val="auto"/>
        </w:rPr>
      </w:pPr>
    </w:p>
    <w:p>
      <w:pPr>
        <w:ind w:right="160" w:firstLine="445"/>
        <w:spacing w:after="0" w:line="252" w:lineRule="auto"/>
        <w:rPr>
          <w:sz w:val="20"/>
          <w:szCs w:val="20"/>
          <w:color w:val="auto"/>
        </w:rPr>
      </w:pPr>
      <w:r>
        <w:rPr>
          <w:rFonts w:ascii="Arial" w:cs="Arial" w:eastAsia="Arial" w:hAnsi="Arial"/>
          <w:sz w:val="18"/>
          <w:szCs w:val="18"/>
          <w:color w:val="auto"/>
        </w:rPr>
        <w:t>On May 8, 2020, AbbVie completed its previously announced acquisition of all outstanding equity interests in Allergan in a cash and stock transaction. Allergan is a global pharmaceutical leader focused on developing, manufacturing and commercializing branded pharmaceutical, device, biologic, surgical and regenerative medicine products for patients around the world. The combination creates a diverse entity with leadership positions across immunology, hematologic oncology, aesthetics, neuroscience, eye care and women's health. AbbVie's existing product portfolio and pipeline is enhanced with numerous Allergan assets and Allergan's product portfolio benefits from AbbVie's commercial strength, expertise and international infrastructure. Under the terms of the acquisition, each ordinary share of Allergan common stock was converted into the right to receive (i) $120.30 in cash and (ii) 0.8660 of a share of AbbVie common stock.</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consideration for the acquisition of Allergan is summarized as follows:</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Cash consideration paid to Allergan shareholders </w:t>
            </w:r>
            <w:r>
              <w:rPr>
                <w:rFonts w:ascii="Arial" w:cs="Arial" w:eastAsia="Arial" w:hAnsi="Arial"/>
                <w:sz w:val="23"/>
                <w:szCs w:val="23"/>
                <w:color w:val="auto"/>
                <w:vertAlign w:val="superscript"/>
              </w:rPr>
              <w:t>(a)</w:t>
            </w:r>
          </w:p>
        </w:tc>
        <w:tc>
          <w:tcPr>
            <w:tcW w:w="22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39,675</w:t>
            </w:r>
          </w:p>
        </w:tc>
      </w:tr>
      <w:tr>
        <w:trPr>
          <w:trHeight w:val="229"/>
        </w:trPr>
        <w:tc>
          <w:tcPr>
            <w:tcW w:w="8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Fair value of AbbVie common stock issued to Allergan shareholders </w:t>
            </w:r>
            <w:r>
              <w:rPr>
                <w:rFonts w:ascii="Arial" w:cs="Arial" w:eastAsia="Arial" w:hAnsi="Arial"/>
                <w:sz w:val="23"/>
                <w:szCs w:val="23"/>
                <w:color w:val="auto"/>
                <w:vertAlign w:val="superscript"/>
              </w:rPr>
              <w:t>(b)</w:t>
            </w:r>
          </w:p>
        </w:tc>
        <w:tc>
          <w:tcPr>
            <w:tcW w:w="2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23,979</w:t>
            </w:r>
          </w:p>
        </w:tc>
      </w:tr>
      <w:tr>
        <w:trPr>
          <w:trHeight w:val="230"/>
        </w:trPr>
        <w:tc>
          <w:tcPr>
            <w:tcW w:w="800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Fair value of AbbVie equity awards issued to Allergan equity award holders </w:t>
            </w:r>
            <w:r>
              <w:rPr>
                <w:rFonts w:ascii="Arial" w:cs="Arial" w:eastAsia="Arial" w:hAnsi="Arial"/>
                <w:sz w:val="23"/>
                <w:szCs w:val="23"/>
                <w:color w:val="auto"/>
                <w:vertAlign w:val="superscript"/>
              </w:rPr>
              <w:t>(c)</w:t>
            </w:r>
          </w:p>
        </w:tc>
        <w:tc>
          <w:tcPr>
            <w:tcW w:w="2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23"/>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consideration</w:t>
            </w:r>
          </w:p>
        </w:tc>
        <w:tc>
          <w:tcPr>
            <w:tcW w:w="2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64,084</w:t>
            </w:r>
          </w:p>
        </w:tc>
      </w:tr>
      <w:tr>
        <w:trPr>
          <w:trHeight w:val="21"/>
        </w:trPr>
        <w:tc>
          <w:tcPr>
            <w:tcW w:w="80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right="160" w:hanging="452"/>
        <w:spacing w:after="0" w:line="261" w:lineRule="auto"/>
        <w:tabs>
          <w:tab w:leader="none" w:pos="477"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cash consideration transferred of $120.30 per outstanding Allergan ordinary share based on 330 million Allergan ordinary shares outstanding at closing.</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60</w:t>
            </w:r>
          </w:p>
        </w:tc>
      </w:tr>
      <w:tr>
        <w:trPr>
          <w:trHeight w:val="196"/>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-325120</wp:posOffset>
            </wp:positionV>
            <wp:extent cx="600075" cy="1111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0075" cy="11112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3" w:name="page64"/>
    <w:bookmarkEnd w:id="63"/>
    <w:p>
      <w:pPr>
        <w:ind w:left="460" w:right="80" w:hanging="452"/>
        <w:spacing w:after="0" w:line="256" w:lineRule="auto"/>
        <w:tabs>
          <w:tab w:leader="none" w:pos="4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acquisition date fair value of 286 million shares of AbbVie common stock issued to Allergan shareholders based on the exchange ratio of 0.8660 AbbVie shares for each outstanding Allergan ordinary share at the May 8, 2020 closing price of $83.96 per share.</w:t>
      </w:r>
    </w:p>
    <w:p>
      <w:pPr>
        <w:spacing w:after="0" w:line="120" w:lineRule="exact"/>
        <w:rPr>
          <w:rFonts w:ascii="Arial" w:cs="Arial" w:eastAsia="Arial" w:hAnsi="Arial"/>
          <w:sz w:val="18"/>
          <w:szCs w:val="18"/>
          <w:color w:val="auto"/>
        </w:rPr>
      </w:pPr>
    </w:p>
    <w:p>
      <w:pPr>
        <w:ind w:left="460" w:right="20" w:hanging="452"/>
        <w:spacing w:after="0" w:line="261" w:lineRule="auto"/>
        <w:tabs>
          <w:tab w:leader="none" w:pos="481"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pre-acquisition service portion of the fair value of 11 million AbbVie stock options and 8 million RSUs issued to Allergan equity award holders.</w:t>
      </w:r>
    </w:p>
    <w:p>
      <w:pPr>
        <w:spacing w:after="0" w:line="130" w:lineRule="exact"/>
        <w:rPr>
          <w:sz w:val="20"/>
          <w:szCs w:val="20"/>
          <w:color w:val="auto"/>
        </w:rPr>
      </w:pPr>
    </w:p>
    <w:p>
      <w:pPr>
        <w:ind w:firstLine="445"/>
        <w:spacing w:after="0" w:line="235" w:lineRule="auto"/>
        <w:rPr>
          <w:sz w:val="20"/>
          <w:szCs w:val="20"/>
          <w:color w:val="auto"/>
        </w:rPr>
      </w:pPr>
      <w:r>
        <w:rPr>
          <w:rFonts w:ascii="Arial" w:cs="Arial" w:eastAsia="Arial" w:hAnsi="Arial"/>
          <w:sz w:val="18"/>
          <w:szCs w:val="18"/>
          <w:color w:val="auto"/>
        </w:rPr>
        <w:t>The acquisition of Allergan has been accounted for as a business combination using the acquisition method of accounting. The acquisition method requires, among other things, that assets acquired and liabilities assumed in a business combination be recognized at their fair values as of the acquisition date. The valuation of assets acquired and liabilities assumed has not yet been finalized as of December 31, 2020. As a result, AbbVie recorded preliminary estimates for the fair value of assets acquired and liabilities assumed as of the acquisition date. Subsequent to the acquisition date, the company made certain measurement period adjustments to the preliminary purchase price allocation, including: (i) an increase to developed product rights intangible assets of $9.1 billion; (ii) an increase to IPR&amp;D intangible assets of $710 million; (iii) an increase to property and equipment of $215 million; (iv) other individually insignificant adjustments for a net increase to identifiable net assets of $73 million; and (v) a corresponding decrease to goodwill of $10.0 billion. The measurement period adjustments primarily resulted from revised future cash flow estimates for certain intangible assets and completing valuations of property and equipment. These measurement period adjustments have been reflected in the table below. The company made these measurement period adjustments to reflect facts and circumstances that existed as of the acquisition date and did not result from intervening events subsequent to such date. These adjustments did not have a significant impact on AbbVie's results of operations. Finalization of the valuation during the measurement period could result in a change in the amounts recorded for the acquisition date fair value of intangible assets, goodwill and income taxes among other items. The completion of the valuation will occur no later than one year from the acquisition date.</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preliminary fair value of assets acquired and liabilities assumed as of the acquisition date:</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 acquired and liabilities assumed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equivalents</w:t>
            </w:r>
          </w:p>
        </w:tc>
        <w:tc>
          <w:tcPr>
            <w:tcW w:w="28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1,421</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8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2,340</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8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2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28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8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product rights</w:t>
            </w:r>
          </w:p>
        </w:tc>
        <w:tc>
          <w:tcPr>
            <w:tcW w:w="28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67,330</w:t>
            </w:r>
          </w:p>
        </w:tc>
      </w:tr>
      <w:tr>
        <w:trPr>
          <w:trHeight w:val="230"/>
        </w:trPr>
        <w:tc>
          <w:tcPr>
            <w:tcW w:w="7420" w:type="dxa"/>
            <w:vAlign w:val="bottom"/>
          </w:tcPr>
          <w:p>
            <w:pPr>
              <w:ind w:left="220"/>
              <w:spacing w:after="0"/>
              <w:rPr>
                <w:sz w:val="20"/>
                <w:szCs w:val="20"/>
                <w:color w:val="auto"/>
              </w:rPr>
            </w:pPr>
            <w:r>
              <w:rPr>
                <w:rFonts w:ascii="Arial" w:cs="Arial" w:eastAsia="Arial" w:hAnsi="Arial"/>
                <w:sz w:val="18"/>
                <w:szCs w:val="18"/>
                <w:color w:val="auto"/>
              </w:rPr>
              <w:t>In-process research and development</w:t>
            </w:r>
          </w:p>
        </w:tc>
        <w:tc>
          <w:tcPr>
            <w:tcW w:w="2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1,750</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Short-term borrowings</w:t>
            </w:r>
          </w:p>
        </w:tc>
        <w:tc>
          <w:tcPr>
            <w:tcW w:w="2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 and finance lease obligations</w:t>
            </w:r>
          </w:p>
        </w:tc>
        <w:tc>
          <w:tcPr>
            <w:tcW w:w="28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2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(5,852)</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obligations</w:t>
            </w:r>
          </w:p>
        </w:tc>
        <w:tc>
          <w:tcPr>
            <w:tcW w:w="28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(18,937)</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(3,792)</w:t>
            </w:r>
          </w:p>
        </w:tc>
      </w:tr>
      <w:tr>
        <w:trPr>
          <w:trHeight w:val="230"/>
        </w:trPr>
        <w:tc>
          <w:tcPr>
            <w:tcW w:w="7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8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(4,765)</w:t>
            </w: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color w:val="auto"/>
              </w:rPr>
              <w:t>Total identifiable net assets</w:t>
            </w:r>
          </w:p>
        </w:tc>
        <w:tc>
          <w:tcPr>
            <w:tcW w:w="2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47,088</w:t>
            </w:r>
          </w:p>
        </w:tc>
      </w:tr>
      <w:tr>
        <w:trPr>
          <w:trHeight w:val="230"/>
        </w:trPr>
        <w:tc>
          <w:tcPr>
            <w:tcW w:w="7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16,996</w:t>
            </w:r>
          </w:p>
        </w:tc>
      </w:tr>
      <w:tr>
        <w:trPr>
          <w:trHeight w:val="223"/>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 acquired and liabilities assumed</w:t>
            </w:r>
          </w:p>
        </w:tc>
        <w:tc>
          <w:tcPr>
            <w:tcW w:w="2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64,084</w:t>
            </w: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firstLine="445"/>
        <w:spacing w:after="0" w:line="261" w:lineRule="auto"/>
        <w:rPr>
          <w:sz w:val="20"/>
          <w:szCs w:val="20"/>
          <w:color w:val="auto"/>
        </w:rPr>
      </w:pPr>
      <w:r>
        <w:rPr>
          <w:rFonts w:ascii="Arial" w:cs="Arial" w:eastAsia="Arial" w:hAnsi="Arial"/>
          <w:sz w:val="18"/>
          <w:szCs w:val="18"/>
          <w:color w:val="auto"/>
        </w:rPr>
        <w:t>The fair value step-up adjustment to inventories of $1.2 billion is being amortized to cost of products sold when the inventory is sold to customers, which is expected to be within approximately one year from the acquisition date.</w:t>
      </w:r>
    </w:p>
    <w:p>
      <w:pPr>
        <w:spacing w:after="0" w:line="130" w:lineRule="exact"/>
        <w:rPr>
          <w:sz w:val="20"/>
          <w:szCs w:val="20"/>
          <w:color w:val="auto"/>
        </w:rPr>
      </w:pPr>
    </w:p>
    <w:p>
      <w:pPr>
        <w:ind w:right="420" w:firstLine="445"/>
        <w:spacing w:after="0" w:line="254" w:lineRule="auto"/>
        <w:rPr>
          <w:sz w:val="20"/>
          <w:szCs w:val="20"/>
          <w:color w:val="auto"/>
        </w:rPr>
      </w:pPr>
      <w:r>
        <w:rPr>
          <w:rFonts w:ascii="Arial" w:cs="Arial" w:eastAsia="Arial" w:hAnsi="Arial"/>
          <w:sz w:val="18"/>
          <w:szCs w:val="18"/>
          <w:color w:val="auto"/>
        </w:rPr>
        <w:t>Intangible assets relate to $67.3 billion of developed product rights and $1.8 billion of IPR&amp;D. The acquired definite-lived intangible assets are being amortized over a weighted-average estimated useful life of approximately twelve years using the estimated pattern of economic benefit. The estimated fair values of identifiable intangible assets were determined using the "income approach" which is a valuation technique that provides an estimate of the fair value of an asset based on market</w:t>
      </w: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61</w:t>
      </w:r>
      <w:r>
        <w:rPr>
          <w:sz w:val="20"/>
          <w:szCs w:val="20"/>
          <w:color w:val="auto"/>
        </w:rPr>
        <w:tab/>
      </w:r>
      <w:r>
        <w:rPr>
          <w:sz w:val="1"/>
          <w:szCs w:val="1"/>
          <w:color w:val="auto"/>
        </w:rPr>
        <w:drawing>
          <wp:inline distT="0" distB="0" distL="0" distR="0">
            <wp:extent cx="600075" cy="11112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4" w:name="page65"/>
    <w:bookmarkEnd w:id="64"/>
    <w:p>
      <w:pPr>
        <w:ind w:right="220"/>
        <w:spacing w:after="0" w:line="254" w:lineRule="auto"/>
        <w:rPr>
          <w:sz w:val="20"/>
          <w:szCs w:val="20"/>
          <w:color w:val="auto"/>
        </w:rPr>
      </w:pPr>
      <w:r>
        <w:rPr>
          <w:rFonts w:ascii="Arial" w:cs="Arial" w:eastAsia="Arial" w:hAnsi="Arial"/>
          <w:sz w:val="18"/>
          <w:szCs w:val="18"/>
          <w:color w:val="auto"/>
        </w:rPr>
        <w:t>participant expectations of the cash flows an asset would generate over its remaining useful life. Some of the more significant assumptions inherent in the development of these asset valuations include the estimated net cash flows for each year for each asset or product, the appropriate discount rate necessary to measure the risk inherent in each future cash flow stream, the life cycle of each asset, the potential regulatory and commercial success risk, competitive trends impacting the asset and each cash flow stream, as well as other factors.</w:t>
      </w:r>
    </w:p>
    <w:p>
      <w:pPr>
        <w:spacing w:after="0" w:line="123" w:lineRule="exact"/>
        <w:rPr>
          <w:sz w:val="20"/>
          <w:szCs w:val="20"/>
          <w:color w:val="auto"/>
        </w:rPr>
      </w:pPr>
    </w:p>
    <w:p>
      <w:pPr>
        <w:ind w:right="680" w:firstLine="445"/>
        <w:spacing w:after="0" w:line="261" w:lineRule="auto"/>
        <w:rPr>
          <w:sz w:val="20"/>
          <w:szCs w:val="20"/>
          <w:color w:val="auto"/>
        </w:rPr>
      </w:pPr>
      <w:r>
        <w:rPr>
          <w:rFonts w:ascii="Arial" w:cs="Arial" w:eastAsia="Arial" w:hAnsi="Arial"/>
          <w:sz w:val="18"/>
          <w:szCs w:val="18"/>
          <w:color w:val="auto"/>
        </w:rPr>
        <w:t>The fair value of long-term debt was determined by quoted market prices as of the acquisition date and the total purchase price adjustment of $1.3 billion is being amortized as a reduction to interest expense, net over the lives of the related debt.</w:t>
      </w:r>
    </w:p>
    <w:p>
      <w:pPr>
        <w:spacing w:after="0" w:line="130"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Goodwill was calculated as the excess of the consideration transferred over the net assets recognized and represents the future economic benefits arising from the other assets acquired that could not be individually identified and separately recognized. Specifically, the goodwill recognized from the acquisition of Allergan represents the value of additional growth platforms and an expanded revenue base as well as anticipated operational synergies and cost savings from the creation of a single combined global organization. The goodwill is not deductible for tax purposes.</w:t>
      </w:r>
    </w:p>
    <w:p>
      <w:pPr>
        <w:spacing w:after="0" w:line="138" w:lineRule="exact"/>
        <w:rPr>
          <w:sz w:val="20"/>
          <w:szCs w:val="20"/>
          <w:color w:val="auto"/>
        </w:rPr>
      </w:pPr>
    </w:p>
    <w:p>
      <w:pPr>
        <w:ind w:right="180" w:firstLine="445"/>
        <w:spacing w:after="0" w:line="254" w:lineRule="auto"/>
        <w:rPr>
          <w:sz w:val="20"/>
          <w:szCs w:val="20"/>
          <w:color w:val="auto"/>
        </w:rPr>
      </w:pPr>
      <w:r>
        <w:rPr>
          <w:rFonts w:ascii="Arial" w:cs="Arial" w:eastAsia="Arial" w:hAnsi="Arial"/>
          <w:sz w:val="18"/>
          <w:szCs w:val="18"/>
          <w:color w:val="auto"/>
        </w:rPr>
        <w:t>Following the acquisition date, the operating results of Allergan have been included in the consolidated financial statements. For the period from the acquisition date through December 31, 2020, net revenues attributable to Allergan were $10.3 billion and operating losses attributable to Allergan were $1.1 billion, inclusive of $4.0 billion of intangible asset amortization and $1.2 billion of inventory fair value step-up amortization.</w:t>
      </w:r>
    </w:p>
    <w:p>
      <w:pPr>
        <w:spacing w:after="0" w:line="123" w:lineRule="exact"/>
        <w:rPr>
          <w:sz w:val="20"/>
          <w:szCs w:val="20"/>
          <w:color w:val="auto"/>
        </w:rPr>
      </w:pPr>
    </w:p>
    <w:p>
      <w:pPr>
        <w:ind w:right="180" w:firstLine="445"/>
        <w:spacing w:after="0" w:line="256" w:lineRule="auto"/>
        <w:rPr>
          <w:sz w:val="20"/>
          <w:szCs w:val="20"/>
          <w:color w:val="auto"/>
        </w:rPr>
      </w:pPr>
      <w:r>
        <w:rPr>
          <w:rFonts w:ascii="Arial" w:cs="Arial" w:eastAsia="Arial" w:hAnsi="Arial"/>
          <w:sz w:val="18"/>
          <w:szCs w:val="18"/>
          <w:color w:val="auto"/>
        </w:rPr>
        <w:t>Acquisition-related expenses, which were comprised primarily of regulatory, financial advisory and legal fees, totaled $781 million for the year ended December 31, 2020 and $103 million for the year ended December 31, 2019 which were included in SG&amp;A expenses in the consolidated statements of earnings.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176" w:lineRule="exact"/>
        <w:rPr>
          <w:sz w:val="20"/>
          <w:szCs w:val="20"/>
          <w:color w:val="auto"/>
        </w:rPr>
      </w:pPr>
    </w:p>
    <w:p>
      <w:pPr>
        <w:ind w:right="200" w:firstLine="445"/>
        <w:spacing w:after="0" w:line="261" w:lineRule="auto"/>
        <w:rPr>
          <w:sz w:val="20"/>
          <w:szCs w:val="20"/>
          <w:color w:val="auto"/>
        </w:rPr>
      </w:pPr>
      <w:r>
        <w:rPr>
          <w:rFonts w:ascii="Arial" w:cs="Arial" w:eastAsia="Arial" w:hAnsi="Arial"/>
          <w:sz w:val="18"/>
          <w:szCs w:val="18"/>
          <w:color w:val="auto"/>
        </w:rPr>
        <w:t>The following table presents the unaudited pro forma combined results of AbbVie and Allergan for 2020 and 2019 as if the acquisition of Allergan had occurred on January 1,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 (in millions)</w:t>
            </w:r>
          </w:p>
        </w:tc>
        <w:tc>
          <w:tcPr>
            <w:tcW w:w="3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50,521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49,028</w:t>
            </w:r>
          </w:p>
        </w:tc>
      </w:tr>
      <w:tr>
        <w:trPr>
          <w:trHeight w:val="229"/>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earnings (loss)</w:t>
            </w:r>
          </w:p>
        </w:tc>
        <w:tc>
          <w:tcPr>
            <w:tcW w:w="3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6,746</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bl>
    <w:p>
      <w:pPr>
        <w:spacing w:after="0" w:line="148"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The unaudited pro forma combined financial information was prepared using the acquisition method of accounting and was based on the historical financial information of AbbVie and Allergan. In order to reflect the occurrence of the acquisition on January 1, 2019 as required, the unaudited pro forma financial information includes adjustments to reflect incremental amortization expense to be incurred based on the current preliminary fair values of the identifiable intangible assets acquired; the incremental cost of products sold related to the fair value adjustments associated with acquisition date inventory; the additional interest expense associated with the issuance of debt to finance the acquisition; and the reclassification of acquisition-related costs incurred during the year ended December 31, 2020 to the year ended December 31, 2019. The unaudited pro forma financial information is not necessarily indicative of what the consolidated results of operations would have been had the acquisition been completed on January 1, 2019. In addition, the unaudited pro forma financial information is not a projection of future results of operations of the combined company nor does it reflect the expected realization of any synergies or cost savings associated with the acquisition.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Other Licensing &amp; Acquisitions Activity</w:t>
      </w:r>
    </w:p>
    <w:p>
      <w:pPr>
        <w:spacing w:after="0" w:line="166" w:lineRule="exact"/>
        <w:rPr>
          <w:sz w:val="20"/>
          <w:szCs w:val="20"/>
          <w:color w:val="auto"/>
        </w:rPr>
      </w:pPr>
    </w:p>
    <w:p>
      <w:pPr>
        <w:jc w:val="both"/>
        <w:ind w:right="260" w:firstLine="445"/>
        <w:spacing w:after="0" w:line="256" w:lineRule="auto"/>
        <w:rPr>
          <w:sz w:val="20"/>
          <w:szCs w:val="20"/>
          <w:color w:val="auto"/>
        </w:rPr>
      </w:pPr>
      <w:r>
        <w:rPr>
          <w:rFonts w:ascii="Arial" w:cs="Arial" w:eastAsia="Arial" w:hAnsi="Arial"/>
          <w:sz w:val="18"/>
          <w:szCs w:val="18"/>
          <w:color w:val="auto"/>
        </w:rPr>
        <w:t>Cash outflows related to other acquisitions and investments totaled $1.4 billion in 2020, $1.1 billion in 2019 and $736 million in 2018. AbbVie recorded acquired IPR&amp;D charges of $1.2 billion in 2020, $385 million in 2019 and $ 424 million in 2018. Significant arrangements impacting 2020, 2019 and 2018, some of which require contingent milestone payments, are summarized below.</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Luminera</w:t>
      </w:r>
    </w:p>
    <w:p>
      <w:pPr>
        <w:spacing w:after="0" w:line="176"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In October 2020, AbbVie entered into an agreement with Luminera, a privately held aesthetics company based in Israel, to acquire Luminera's full dermal filler portfolio and R&amp;D pipeline including HArmonyCa, a dermal filler intended for facial soft tissue augmentation. The aggregate accounting purchase price of $186 million was comprised of a $122 million upfront cash payment and $64 million for the acquisition date fair value of contingent consideration liabilities, for which AbbVie may owe up to $ 90 million in future payments upon achievement of certain commercial milestones. HArmonyCa is currently commercially available in Israel and Brazil and AbbVie will continue to develop this product for its international and U.S. markets. The agreement was accounted for as a business combination using the acquisition method of accounting. As of the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8180"/>
        <w:spacing w:after="0"/>
        <w:tabs>
          <w:tab w:leader="none" w:pos="9620" w:val="left"/>
        </w:tabs>
        <w:rPr>
          <w:sz w:val="20"/>
          <w:szCs w:val="20"/>
          <w:color w:val="auto"/>
        </w:rPr>
      </w:pPr>
      <w:r>
        <w:rPr>
          <w:rFonts w:ascii="Arial" w:cs="Arial" w:eastAsia="Arial" w:hAnsi="Arial"/>
          <w:sz w:val="18"/>
          <w:szCs w:val="18"/>
          <w:i w:val="1"/>
          <w:iCs w:val="1"/>
          <w:color w:val="auto"/>
        </w:rPr>
        <w:t>2020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600075" cy="11176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0075" cy="11176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65" w:name="page66"/>
    <w:bookmarkEnd w:id="65"/>
    <w:p>
      <w:pPr>
        <w:jc w:val="both"/>
        <w:ind w:right="360"/>
        <w:spacing w:after="0" w:line="256" w:lineRule="auto"/>
        <w:rPr>
          <w:sz w:val="20"/>
          <w:szCs w:val="20"/>
          <w:color w:val="auto"/>
        </w:rPr>
      </w:pPr>
      <w:r>
        <w:rPr>
          <w:rFonts w:ascii="Arial" w:cs="Arial" w:eastAsia="Arial" w:hAnsi="Arial"/>
          <w:sz w:val="18"/>
          <w:szCs w:val="18"/>
          <w:color w:val="auto"/>
        </w:rPr>
        <w:t>acquisition date, AbbVie acquired $127 million of intangible assets for in-process research and development and $33 million of intangible assets for developed product rights. Other assets and liabilities assumed were insignificant. The acquisition resulted in the recognition of $12 million of goodwill which is not deductible for tax purposes.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I-Mab Biopharma</w:t>
      </w:r>
    </w:p>
    <w:p>
      <w:pPr>
        <w:spacing w:after="0" w:line="176" w:lineRule="exact"/>
        <w:rPr>
          <w:sz w:val="20"/>
          <w:szCs w:val="20"/>
          <w:color w:val="auto"/>
        </w:rPr>
      </w:pPr>
    </w:p>
    <w:p>
      <w:pPr>
        <w:ind w:right="60" w:firstLine="445"/>
        <w:spacing w:after="0" w:line="251" w:lineRule="auto"/>
        <w:rPr>
          <w:sz w:val="20"/>
          <w:szCs w:val="20"/>
          <w:color w:val="auto"/>
        </w:rPr>
      </w:pPr>
      <w:r>
        <w:rPr>
          <w:rFonts w:ascii="Arial" w:cs="Arial" w:eastAsia="Arial" w:hAnsi="Arial"/>
          <w:sz w:val="18"/>
          <w:szCs w:val="18"/>
          <w:color w:val="auto"/>
        </w:rPr>
        <w:t>In September 2020, AbbVie and I-Mab Biopharma (I-Mab) entered into a collaboration agreement for the development and commercialization of lemzoparlimab, an anti-CD47 monoclonal antibody internally discovered and developed by I-Mab for the treatment of multiple cancers. Both companies will collaborate to design and conduct further global clinical trials to evaluate lemzoparlimab. The collaboration provides AbbVie an exclusive global license, excluding greater China, to develop and commercialize lemzoparlimab. The companies will share manufacturing responsibilities with AbbVie being the primary manufacturer for global supply. The agreement also allows for potential collaboration on future CD47-related therapeutic agents, subject to further licenses to explore each other's related programs in their respective territories. The terms of the arrangement include an initial upfront payment of $180 million to exclusively license lemzoparlimab along with a milestone payment of $20 million based on the Phase I results, for a total of $200 million, which was recorded to IPR&amp;D in the consolidated statements of earnings in the fourth quarter of 2020 after regulatory approval of the transaction. In addition, I-Mab will be eligible to receive up to $1.7 billion upon the achievement of certain clinical development, regulatory and commercial milestones, and AbbVie will pay tiered royalties from low-to-mid teen percentages on global net revenues outside of greater China.</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Genmab A/S</w:t>
      </w:r>
    </w:p>
    <w:p>
      <w:pPr>
        <w:spacing w:after="0" w:line="162"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In June 2020, AbbVie and Genmab A/S (Genmab) entered into a collaboration agreement to jointly develop and commercialize three of Genmab's early-stage investigational bispecific antibody therapeutics and entered into a discovery research collaboration for future differentiated antibody therapeutics for the treatment of cancer. Under the terms of the agreement, Genmab granted to AbbVie an exclusive license to its epcoritamab (DuoBody-CD3xCD20), DuoHexaBody-CD37 and DuoBody-CD3x5T4 programs. For epcoritamab, the companies will share commercial responsibilities in the U.S. and Japan, with AbbVie responsible for further global commercialization. Genmab will record net revenues in the U.S. and Japan, and the parties will share equally in pre-tax profits from these sales. Genmab will receive tiered royalties on remaining global sales. For the discovery research partnership, Genmab will conduct Phase 1 studies for these programs and AbbVie retains the right to opt-in to program development. During 2020, AbbVie made an upfront payment of $750 million, which was recorded to IPR&amp;D in the consolidated statements of earnings. AbbVie could make additional payments of up to $3.2 billion upon the achievement of certain development, regulatory and commercial milestones for all programs.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Reata Pharmaceuticals, Inc.</w:t>
      </w:r>
    </w:p>
    <w:p>
      <w:pPr>
        <w:spacing w:after="0" w:line="176"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In October 2019, AbbVie and Reata Pharmaceuticals, Inc. (Reata) entered into an amended and restated license agreement. Under the terms of the agreement, Reata reacquired exclusive development, manufacturing and commercialization rights concerning its proprietary Nrf2 activator product platform originally licensed to AbbVie for territories outside of the United States with respect to bardoxolone methyl and worldwide with respect to omaveloxolone and other next-generation Nrf2 activators. As consideration for the rights reacquired by Reata, AbbVie received a total of $250 million as of December 31, 2020 and will receive $80 million in cash in 2021. Total consideration of $330 million was recognized in other operating (income) expense in the consolidated statements of earnings in 2019. In addition, AbbVie will receive low single-digit, tiered royalties from worldwide sales of omaveloxolone and certain next-generation Nrf2 activators.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Calico Life Sciences LLC</w:t>
      </w:r>
    </w:p>
    <w:p>
      <w:pPr>
        <w:spacing w:after="0" w:line="176" w:lineRule="exact"/>
        <w:rPr>
          <w:sz w:val="20"/>
          <w:szCs w:val="20"/>
          <w:color w:val="auto"/>
        </w:rPr>
      </w:pPr>
    </w:p>
    <w:p>
      <w:pPr>
        <w:jc w:val="both"/>
        <w:ind w:right="60" w:firstLine="445"/>
        <w:spacing w:after="0" w:line="265" w:lineRule="auto"/>
        <w:rPr>
          <w:sz w:val="20"/>
          <w:szCs w:val="20"/>
          <w:color w:val="auto"/>
        </w:rPr>
      </w:pPr>
      <w:r>
        <w:rPr>
          <w:rFonts w:ascii="Arial" w:cs="Arial" w:eastAsia="Arial" w:hAnsi="Arial"/>
          <w:sz w:val="17"/>
          <w:szCs w:val="17"/>
          <w:color w:val="auto"/>
        </w:rPr>
        <w:t>In June 2018, AbbVie and Calico Life Sciences LLC (Calico) entered into an extension of a collaboration to discover, develop and bring to market new therapies for patients with age-related diseases, including neurodegeneration and cancer. Under the terms of the agreement, AbbVie and Calico will each contribute an additional $500 million to the collaboration and the term is extended for an additional three years.</w:t>
      </w:r>
    </w:p>
    <w:p>
      <w:pPr>
        <w:ind w:right="240"/>
        <w:spacing w:after="0" w:line="253" w:lineRule="auto"/>
        <w:rPr>
          <w:sz w:val="20"/>
          <w:szCs w:val="20"/>
          <w:color w:val="auto"/>
        </w:rPr>
      </w:pPr>
      <w:r>
        <w:rPr>
          <w:rFonts w:ascii="Arial" w:cs="Arial" w:eastAsia="Arial" w:hAnsi="Arial"/>
          <w:sz w:val="18"/>
          <w:szCs w:val="18"/>
          <w:color w:val="auto"/>
        </w:rPr>
        <w:t>Calico will be responsible for research and early development until 2022 and will advance collaboration projects through Phase 2a through 2027. Following completion of Phase 2a, AbbVie will have the option to exclusively license collaboration compounds. AbbVie will support Calico in its early research and development efforts and, upon exercise, would be responsible for late-stage development and commercial activities. Collaboration costs and profits will be shared equally by both parties post option exercise. During 2018, AbbVie recorded $500 million in other operating (income) expense in the consolidated statements of earnings related to its commitments under the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Arrangements</w:t>
      </w:r>
    </w:p>
    <w:p>
      <w:pPr>
        <w:spacing w:after="0" w:line="162" w:lineRule="exact"/>
        <w:rPr>
          <w:sz w:val="20"/>
          <w:szCs w:val="20"/>
          <w:color w:val="auto"/>
        </w:rPr>
      </w:pPr>
    </w:p>
    <w:p>
      <w:pPr>
        <w:ind w:right="340" w:firstLine="445"/>
        <w:spacing w:after="0" w:line="261" w:lineRule="auto"/>
        <w:rPr>
          <w:sz w:val="20"/>
          <w:szCs w:val="20"/>
          <w:color w:val="auto"/>
        </w:rPr>
      </w:pPr>
      <w:r>
        <w:rPr>
          <w:rFonts w:ascii="Arial" w:cs="Arial" w:eastAsia="Arial" w:hAnsi="Arial"/>
          <w:sz w:val="18"/>
          <w:szCs w:val="18"/>
          <w:color w:val="auto"/>
        </w:rPr>
        <w:t>In addition to the significant arrangements described above, AbbVie entered into several other arrangements resulting in charges to IPR&amp;D of $248 million in 2020, $385 million in 2019 and $424 million in 2018. In connection with the other</w:t>
      </w:r>
    </w:p>
    <w:p>
      <w:pPr>
        <w:spacing w:after="0" w:line="200" w:lineRule="exact"/>
        <w:rPr>
          <w:sz w:val="20"/>
          <w:szCs w:val="20"/>
          <w:color w:val="auto"/>
        </w:rPr>
      </w:pPr>
    </w:p>
    <w:p>
      <w:pPr>
        <w:spacing w:after="0" w:line="319"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63</w:t>
      </w:r>
      <w:r>
        <w:rPr>
          <w:sz w:val="20"/>
          <w:szCs w:val="20"/>
          <w:color w:val="auto"/>
        </w:rPr>
        <w:tab/>
      </w:r>
      <w:r>
        <w:rPr>
          <w:sz w:val="1"/>
          <w:szCs w:val="1"/>
          <w:color w:val="auto"/>
        </w:rPr>
        <w:drawing>
          <wp:inline distT="0" distB="0" distL="0" distR="0">
            <wp:extent cx="600075" cy="11112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6" w:name="page67"/>
    <w:bookmarkEnd w:id="66"/>
    <w:p>
      <w:pPr>
        <w:ind w:right="20"/>
        <w:spacing w:after="0" w:line="261" w:lineRule="auto"/>
        <w:rPr>
          <w:sz w:val="20"/>
          <w:szCs w:val="20"/>
          <w:color w:val="auto"/>
        </w:rPr>
      </w:pPr>
      <w:r>
        <w:rPr>
          <w:rFonts w:ascii="Arial" w:cs="Arial" w:eastAsia="Arial" w:hAnsi="Arial"/>
          <w:sz w:val="18"/>
          <w:szCs w:val="18"/>
          <w:color w:val="auto"/>
        </w:rPr>
        <w:t>individually insignificant early-stage arrangements entered into in 2020, AbbVie could make additional payments of up to $5.1 billion upon the achievement of certain development, regulatory and commercial milestones.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6 Collaborations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1517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26" w:lineRule="exact"/>
        <w:rPr>
          <w:sz w:val="20"/>
          <w:szCs w:val="20"/>
          <w:color w:val="auto"/>
        </w:rPr>
      </w:pPr>
    </w:p>
    <w:p>
      <w:pPr>
        <w:ind w:right="340" w:firstLine="445"/>
        <w:spacing w:after="0" w:line="261" w:lineRule="auto"/>
        <w:rPr>
          <w:sz w:val="20"/>
          <w:szCs w:val="20"/>
          <w:color w:val="auto"/>
        </w:rPr>
      </w:pPr>
      <w:r>
        <w:rPr>
          <w:rFonts w:ascii="Arial" w:cs="Arial" w:eastAsia="Arial" w:hAnsi="Arial"/>
          <w:sz w:val="18"/>
          <w:szCs w:val="18"/>
          <w:color w:val="auto"/>
        </w:rPr>
        <w:t>The company has ongoing transactions with other entities through collaboration agreements. The following represent the significant collaboration agreements impacting 2020, 2019 and 2018.</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Collaboration with Janssen Biotech, Inc.</w:t>
      </w:r>
    </w:p>
    <w:p>
      <w:pPr>
        <w:spacing w:after="0" w:line="180"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In December 2011, Pharmacyclics, a wholly-owned subsidiary of AbbVie, entered into a worldwide collaboration and license agreement with Janssen Biotech, Inc. and its affiliates (Janssen), one of the Janssen Pharmaceutical companies of Johnson &amp; Johnson, for the joint development and commercialization of Imbruvica, a novel, orally active, selective covalent inhibitor of Bruton's tyrosine kinase (BTK) and certain compounds structurally related to Imbruvica, for oncology and other indications, excluding all immune and inflammatory mediated diseases or conditions and all psychiatric or psychological diseases or conditions, in the United States and outside the United States.</w:t>
      </w:r>
    </w:p>
    <w:p>
      <w:pPr>
        <w:spacing w:after="0" w:line="124"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The collaboration provides Janssen with an exclusive license to commercialize Imbruvica outside of the United States and co-exclusively with AbbVie in the United States. Both parties are responsible for the development, manufacturing and marketing of any products generated as a result of the collaboration. The collaboration has no set duration or specific expiration date and provides for potential future development, regulatory and approval milestone payments of up to $ 200 million to AbbVie. The collaboration also includes a cost sharing arrangement for associated collaboration activities. Except in certain cases, Janssen is responsible for approximately 60% of collaboration development costs and AbbVie is responsible for the remaining 40% of collaboration development costs.</w:t>
      </w:r>
    </w:p>
    <w:p>
      <w:pPr>
        <w:spacing w:after="0" w:line="140" w:lineRule="exact"/>
        <w:rPr>
          <w:sz w:val="20"/>
          <w:szCs w:val="20"/>
          <w:color w:val="auto"/>
        </w:rPr>
      </w:pPr>
    </w:p>
    <w:p>
      <w:pPr>
        <w:ind w:right="200" w:firstLine="445"/>
        <w:spacing w:after="0" w:line="254" w:lineRule="auto"/>
        <w:rPr>
          <w:sz w:val="20"/>
          <w:szCs w:val="20"/>
          <w:color w:val="auto"/>
        </w:rPr>
      </w:pPr>
      <w:r>
        <w:rPr>
          <w:rFonts w:ascii="Arial" w:cs="Arial" w:eastAsia="Arial" w:hAnsi="Arial"/>
          <w:sz w:val="18"/>
          <w:szCs w:val="18"/>
          <w:color w:val="auto"/>
        </w:rPr>
        <w:t>In the United States, both parties have co-exclusive rights to commercialize the products; however, AbbVie is the principal in the end-customer product sales. AbbVie and Janssen share pre-tax profits and losses equally from the commercialization of products. Sales of Imbruvica are included in AbbVie's net revenues. Janssen's share of profits is included in AbbVie's cost of products sold. Other costs incurred under the collaboration are reported in their respective expense line items, net of Janssen's share.</w:t>
      </w:r>
    </w:p>
    <w:p>
      <w:pPr>
        <w:spacing w:after="0" w:line="136"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Outside the United States, Janssen is responsible for and has exclusive rights to commercialize Imbruvica. AbbVie and Janssen share pre-tax profits and losses equally from the commercialization of products. AbbVie's share of profits is included in AbbVie's net revenues. Other costs incurred under the collaboration are reported in their respective expense line items, net of Janssen's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profit and cost sharing relationship between Janssen and AbbVie: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 (in millions)</w:t>
            </w:r>
          </w:p>
        </w:tc>
        <w:tc>
          <w:tcPr>
            <w:tcW w:w="9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2018</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 Janssen's share of profits (included in cost of products sold)</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2,012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1,803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International - AbbVie's share of profits (included in net revenues)</w:t>
            </w:r>
          </w:p>
        </w:tc>
        <w:tc>
          <w:tcPr>
            <w:tcW w:w="94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1,009</w:t>
            </w:r>
          </w:p>
        </w:tc>
        <w:tc>
          <w:tcPr>
            <w:tcW w:w="36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844</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622</w:t>
            </w:r>
          </w:p>
        </w:tc>
      </w:tr>
      <w:tr>
        <w:trPr>
          <w:trHeight w:val="229"/>
        </w:trPr>
        <w:tc>
          <w:tcPr>
            <w:tcW w:w="6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Global - AbbVie's share of other costs (included in respective line items)</w:t>
            </w:r>
          </w:p>
        </w:tc>
        <w:tc>
          <w:tcPr>
            <w:tcW w:w="9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295</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321</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bl>
    <w:p>
      <w:pPr>
        <w:spacing w:after="0" w:line="148" w:lineRule="exact"/>
        <w:rPr>
          <w:sz w:val="20"/>
          <w:szCs w:val="20"/>
          <w:color w:val="auto"/>
        </w:rPr>
      </w:pPr>
    </w:p>
    <w:p>
      <w:pPr>
        <w:jc w:val="both"/>
        <w:ind w:right="260" w:firstLine="445"/>
        <w:spacing w:after="0" w:line="256" w:lineRule="auto"/>
        <w:rPr>
          <w:sz w:val="20"/>
          <w:szCs w:val="20"/>
          <w:color w:val="auto"/>
        </w:rPr>
      </w:pPr>
      <w:r>
        <w:rPr>
          <w:rFonts w:ascii="Arial" w:cs="Arial" w:eastAsia="Arial" w:hAnsi="Arial"/>
          <w:sz w:val="18"/>
          <w:szCs w:val="18"/>
          <w:color w:val="auto"/>
        </w:rPr>
        <w:t>AbbVie’s receivable from Janssen, included in accounts receivable, net, was $283 million at December 31, 2020 and $235 million at December 31, 2019. AbbVie’s payable to Janssen, included in accounts payable and accrued liabilities, was $562 million at December 31, 2020 and $455 million at December 31,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Collaboration with Genentech, Inc.</w:t>
      </w:r>
    </w:p>
    <w:p>
      <w:pPr>
        <w:spacing w:after="0" w:line="180" w:lineRule="exact"/>
        <w:rPr>
          <w:sz w:val="20"/>
          <w:szCs w:val="20"/>
          <w:color w:val="auto"/>
        </w:rPr>
      </w:pPr>
    </w:p>
    <w:p>
      <w:pPr>
        <w:ind w:right="240" w:firstLine="445"/>
        <w:spacing w:after="0" w:line="253" w:lineRule="auto"/>
        <w:rPr>
          <w:sz w:val="20"/>
          <w:szCs w:val="20"/>
          <w:color w:val="auto"/>
        </w:rPr>
      </w:pPr>
      <w:r>
        <w:rPr>
          <w:rFonts w:ascii="Arial" w:cs="Arial" w:eastAsia="Arial" w:hAnsi="Arial"/>
          <w:sz w:val="18"/>
          <w:szCs w:val="18"/>
          <w:color w:val="auto"/>
        </w:rPr>
        <w:t>AbbVie and Genentech, Inc. (Genentech), a member of the Roche Group, are parties to a collaboration and license agreement executed in 2007 to jointly research, develop and commercialize human therapeutic products containing BCL-2 inhibitors and certain other compound inhibitors which includes Venclexta, a BCL-2 inhibitor used to treat certain hematological malignancies. AbbVie shares equally with Genentech all pre-tax profits and losses from the development and commercialization of Venclexta in the United States. AbbVie pays royalties on Venclexta net revenues outside the United States.</w:t>
      </w:r>
    </w:p>
    <w:p>
      <w:pPr>
        <w:spacing w:after="0" w:line="138" w:lineRule="exact"/>
        <w:rPr>
          <w:sz w:val="20"/>
          <w:szCs w:val="20"/>
          <w:color w:val="auto"/>
        </w:rPr>
      </w:pPr>
    </w:p>
    <w:p>
      <w:pPr>
        <w:jc w:val="both"/>
        <w:ind w:right="160" w:firstLine="445"/>
        <w:spacing w:after="0" w:line="256" w:lineRule="auto"/>
        <w:rPr>
          <w:sz w:val="20"/>
          <w:szCs w:val="20"/>
          <w:color w:val="auto"/>
        </w:rPr>
      </w:pPr>
      <w:r>
        <w:rPr>
          <w:rFonts w:ascii="Arial" w:cs="Arial" w:eastAsia="Arial" w:hAnsi="Arial"/>
          <w:sz w:val="18"/>
          <w:szCs w:val="18"/>
          <w:color w:val="auto"/>
        </w:rPr>
        <w:t>AbbVie manufactures and distributes Venclexta globally and is the principal in the end-customer product sales. Sales of Venclexta are included in AbbVie's net revenues. Genentech's share of United States profits is included in AbbVie's cost of products sold. AbbVie records sales and marketing costs associated with the United States collaboration as part of SG&amp;A</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64</w:t>
            </w:r>
          </w:p>
        </w:tc>
      </w:tr>
      <w:tr>
        <w:trPr>
          <w:trHeight w:val="196"/>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-325120</wp:posOffset>
            </wp:positionV>
            <wp:extent cx="600075" cy="1111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0075" cy="11112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7" w:name="page68"/>
    <w:bookmarkEnd w:id="67"/>
    <w:p>
      <w:pPr>
        <w:ind w:right="140"/>
        <w:spacing w:after="0" w:line="261" w:lineRule="auto"/>
        <w:rPr>
          <w:sz w:val="20"/>
          <w:szCs w:val="20"/>
          <w:color w:val="auto"/>
        </w:rPr>
      </w:pPr>
      <w:r>
        <w:rPr>
          <w:rFonts w:ascii="Arial" w:cs="Arial" w:eastAsia="Arial" w:hAnsi="Arial"/>
          <w:sz w:val="18"/>
          <w:szCs w:val="18"/>
          <w:color w:val="auto"/>
        </w:rPr>
        <w:t>expenses and global development costs as part of R&amp;D expenses, net of Genentech’s share. Royalties paid for Venclexta revenues outside the United States are also included in AbbVie’s cost of products sold.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profit and cost sharing relationship between Genentech and AbbVie: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years ended December 31 (in millions)</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6"/>
                <w:szCs w:val="16"/>
                <w:color w:val="auto"/>
              </w:rPr>
            </w:pPr>
          </w:p>
        </w:tc>
      </w:tr>
      <w:tr>
        <w:trPr>
          <w:trHeight w:val="223"/>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Genentech's share of profits, including royalties (included in cost of products sold)</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533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shd w:val="clear" w:color="auto" w:fill="CCEEFF"/>
          </w:tcPr>
          <w:p>
            <w:pPr>
              <w:spacing w:after="0"/>
              <w:rPr>
                <w:sz w:val="19"/>
                <w:szCs w:val="19"/>
                <w:color w:val="auto"/>
              </w:rPr>
            </w:pPr>
          </w:p>
        </w:tc>
      </w:tr>
      <w:tr>
        <w:trPr>
          <w:trHeight w:val="229"/>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AbbVie's share of sales and marketing costs from U.S. collaboration (included in SG&amp;A)</w:t>
            </w:r>
          </w:p>
        </w:tc>
        <w:tc>
          <w:tcPr>
            <w:tcW w:w="46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r>
      <w:tr>
        <w:trPr>
          <w:trHeight w:val="229"/>
        </w:trPr>
        <w:tc>
          <w:tcPr>
            <w:tcW w:w="7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AbbVie's share of development costs (included in R&amp;D)</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129</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tcBorders>
              <w:bottom w:val="single" w:sz="8" w:color="auto"/>
            </w:tcBorders>
            <w:shd w:val="clear" w:color="auto" w:fill="CCEEFF"/>
          </w:tcPr>
          <w:p>
            <w:pPr>
              <w:spacing w:after="0"/>
              <w:rPr>
                <w:sz w:val="19"/>
                <w:szCs w:val="19"/>
                <w:color w:val="auto"/>
              </w:rPr>
            </w:pPr>
          </w:p>
        </w:tc>
      </w:tr>
      <w:tr>
        <w:trPr>
          <w:trHeight w:val="476"/>
        </w:trPr>
        <w:tc>
          <w:tcPr>
            <w:tcW w:w="7200" w:type="dxa"/>
            <w:vAlign w:val="bottom"/>
            <w:gridSpan w:val="2"/>
          </w:tcPr>
          <w:p>
            <w:pPr>
              <w:spacing w:after="0"/>
              <w:rPr>
                <w:sz w:val="20"/>
                <w:szCs w:val="20"/>
                <w:color w:val="auto"/>
              </w:rPr>
            </w:pPr>
            <w:r>
              <w:rPr>
                <w:rFonts w:ascii="Arial" w:cs="Arial" w:eastAsia="Arial" w:hAnsi="Arial"/>
                <w:sz w:val="22"/>
                <w:szCs w:val="22"/>
                <w:b w:val="1"/>
                <w:bCs w:val="1"/>
                <w:color w:val="444867"/>
              </w:rPr>
              <w:t>Note 7 Goodwill and Intangible Assets</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1"/>
        </w:trPr>
        <w:tc>
          <w:tcPr>
            <w:tcW w:w="40" w:type="dxa"/>
            <w:vAlign w:val="bottom"/>
            <w:tcBorders>
              <w:bottom w:val="single" w:sz="8" w:color="auto"/>
            </w:tcBorders>
          </w:tcPr>
          <w:p>
            <w:pPr>
              <w:spacing w:after="0"/>
              <w:rPr>
                <w:sz w:val="6"/>
                <w:szCs w:val="6"/>
                <w:color w:val="auto"/>
              </w:rPr>
            </w:pPr>
          </w:p>
        </w:tc>
        <w:tc>
          <w:tcPr>
            <w:tcW w:w="71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398"/>
        </w:trPr>
        <w:tc>
          <w:tcPr>
            <w:tcW w:w="7200" w:type="dxa"/>
            <w:vAlign w:val="bottom"/>
            <w:gridSpan w:val="2"/>
          </w:tcPr>
          <w:p>
            <w:pPr>
              <w:spacing w:after="0"/>
              <w:rPr>
                <w:sz w:val="20"/>
                <w:szCs w:val="20"/>
                <w:color w:val="auto"/>
              </w:rPr>
            </w:pPr>
            <w:r>
              <w:rPr>
                <w:rFonts w:ascii="Arial" w:cs="Arial" w:eastAsia="Arial" w:hAnsi="Arial"/>
                <w:sz w:val="18"/>
                <w:szCs w:val="18"/>
                <w:b w:val="1"/>
                <w:bCs w:val="1"/>
                <w:color w:val="444867"/>
              </w:rPr>
              <w:t>Goodwill</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40" w:type="dxa"/>
            <w:vAlign w:val="bottom"/>
          </w:tcPr>
          <w:p>
            <w:pPr>
              <w:spacing w:after="0"/>
              <w:rPr>
                <w:sz w:val="24"/>
                <w:szCs w:val="24"/>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The following table summarizes the changes in the carrying amount of goodwill:</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4"/>
        </w:trPr>
        <w:tc>
          <w:tcPr>
            <w:tcW w:w="40" w:type="dxa"/>
            <w:vAlign w:val="bottom"/>
          </w:tcPr>
          <w:p>
            <w:pPr>
              <w:spacing w:after="0"/>
              <w:rPr>
                <w:sz w:val="24"/>
                <w:szCs w:val="24"/>
                <w:color w:val="auto"/>
              </w:rPr>
            </w:pPr>
          </w:p>
        </w:tc>
        <w:tc>
          <w:tcPr>
            <w:tcW w:w="7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translation adjustments</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15,604</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160" w:type="dxa"/>
            <w:vAlign w:val="bottom"/>
          </w:tcPr>
          <w:p>
            <w:pPr>
              <w:spacing w:after="0" w:line="230" w:lineRule="exact"/>
              <w:rPr>
                <w:sz w:val="20"/>
                <w:szCs w:val="20"/>
                <w:color w:val="auto"/>
              </w:rPr>
            </w:pPr>
            <w:r>
              <w:rPr>
                <w:rFonts w:ascii="Arial" w:cs="Arial" w:eastAsia="Arial" w:hAnsi="Arial"/>
                <w:sz w:val="18"/>
                <w:szCs w:val="18"/>
                <w:color w:val="auto"/>
              </w:rPr>
              <w:t>Additions</w:t>
            </w:r>
            <w:r>
              <w:rPr>
                <w:rFonts w:ascii="Arial" w:cs="Arial" w:eastAsia="Arial" w:hAnsi="Arial"/>
                <w:sz w:val="23"/>
                <w:szCs w:val="23"/>
                <w:color w:val="auto"/>
                <w:vertAlign w:val="superscript"/>
              </w:rPr>
              <w:t>(a)</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17,008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as of December 31, 2020</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33,124</w:t>
            </w:r>
          </w:p>
        </w:tc>
        <w:tc>
          <w:tcPr>
            <w:tcW w:w="2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7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right="460" w:hanging="452"/>
        <w:spacing w:after="0" w:line="261" w:lineRule="auto"/>
        <w:tabs>
          <w:tab w:leader="none" w:pos="477" w:val="left"/>
        </w:tabs>
        <w:numPr>
          <w:ilvl w:val="0"/>
          <w:numId w:val="34"/>
        </w:numPr>
        <w:rPr>
          <w:rFonts w:ascii="Arial" w:cs="Arial" w:eastAsia="Arial" w:hAnsi="Arial"/>
          <w:sz w:val="18"/>
          <w:szCs w:val="18"/>
          <w:color w:val="auto"/>
        </w:rPr>
      </w:pPr>
      <w:r>
        <w:rPr>
          <w:rFonts w:ascii="Arial" w:cs="Arial" w:eastAsia="Arial" w:hAnsi="Arial"/>
          <w:sz w:val="18"/>
          <w:szCs w:val="18"/>
          <w:color w:val="auto"/>
        </w:rPr>
        <w:t>Goodwill additions related to the acquisition of Allergan in the second quarter of 2020 and the acquisition of Luminera in the fourth quarter of 2020 (see Note 5).</w:t>
      </w:r>
    </w:p>
    <w:p>
      <w:pPr>
        <w:spacing w:after="0" w:line="117" w:lineRule="exact"/>
        <w:rPr>
          <w:sz w:val="20"/>
          <w:szCs w:val="20"/>
          <w:color w:val="auto"/>
        </w:rPr>
      </w:pPr>
    </w:p>
    <w:p>
      <w:pPr>
        <w:ind w:right="320" w:firstLine="445"/>
        <w:spacing w:after="0" w:line="261" w:lineRule="auto"/>
        <w:rPr>
          <w:sz w:val="20"/>
          <w:szCs w:val="20"/>
          <w:color w:val="auto"/>
        </w:rPr>
      </w:pPr>
      <w:r>
        <w:rPr>
          <w:rFonts w:ascii="Arial" w:cs="Arial" w:eastAsia="Arial" w:hAnsi="Arial"/>
          <w:sz w:val="18"/>
          <w:szCs w:val="18"/>
          <w:color w:val="auto"/>
        </w:rPr>
        <w:t>The company performs its annual goodwill impairment assessment in the third quarter, or earlier if impairment indicators exist. As of December 31, 2020, there were no accumulated goodwill impairment losses.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Intangible Assets, Net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intangible assets: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37"/>
              <w:spacing w:after="0" w:line="142"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1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2"/>
                <w:szCs w:val="12"/>
                <w:color w:val="auto"/>
              </w:rPr>
            </w:pPr>
          </w:p>
        </w:tc>
        <w:tc>
          <w:tcPr>
            <w:tcW w:w="1020" w:type="dxa"/>
            <w:vAlign w:val="bottom"/>
          </w:tcPr>
          <w:p>
            <w:pPr>
              <w:jc w:val="center"/>
              <w:ind w:right="157"/>
              <w:spacing w:after="0" w:line="142"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12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860" w:type="dxa"/>
            <w:vAlign w:val="bottom"/>
          </w:tcPr>
          <w:p>
            <w:pPr>
              <w:jc w:val="center"/>
              <w:ind w:right="97"/>
              <w:spacing w:after="0" w:line="142"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35"/>
        </w:trPr>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(in millions)</w:t>
            </w:r>
          </w:p>
        </w:tc>
        <w:tc>
          <w:tcPr>
            <w:tcW w:w="200" w:type="dxa"/>
            <w:vAlign w:val="bottom"/>
          </w:tcPr>
          <w:p>
            <w:pPr>
              <w:spacing w:after="0"/>
              <w:rPr>
                <w:sz w:val="11"/>
                <w:szCs w:val="11"/>
                <w:color w:val="auto"/>
              </w:rPr>
            </w:pPr>
          </w:p>
        </w:tc>
        <w:tc>
          <w:tcPr>
            <w:tcW w:w="100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1"/>
                <w:szCs w:val="11"/>
                <w:color w:val="auto"/>
              </w:rPr>
            </w:pPr>
          </w:p>
        </w:tc>
        <w:tc>
          <w:tcPr>
            <w:tcW w:w="102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5"/>
        </w:trPr>
        <w:tc>
          <w:tcPr>
            <w:tcW w:w="38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Definite-lived intangible assets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Developed product rights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87,707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19,547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13,142</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License agreements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7,828</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4,912</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7,798</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5,507</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definite-lived intangible assets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95,535</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(14,536)</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27,345</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(8,696)</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18,649</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Indefinite-lived research and development</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1,877</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97,412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82,876</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27,345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Definite-Lived Intangible Assets</w:t>
      </w:r>
    </w:p>
    <w:p>
      <w:pPr>
        <w:spacing w:after="0" w:line="176" w:lineRule="exact"/>
        <w:rPr>
          <w:sz w:val="20"/>
          <w:szCs w:val="20"/>
          <w:color w:val="auto"/>
        </w:rPr>
      </w:pPr>
    </w:p>
    <w:p>
      <w:pPr>
        <w:jc w:val="both"/>
        <w:ind w:right="400" w:firstLine="445"/>
        <w:spacing w:after="0" w:line="256" w:lineRule="auto"/>
        <w:rPr>
          <w:sz w:val="20"/>
          <w:szCs w:val="20"/>
          <w:color w:val="auto"/>
        </w:rPr>
      </w:pPr>
      <w:r>
        <w:rPr>
          <w:rFonts w:ascii="Arial" w:cs="Arial" w:eastAsia="Arial" w:hAnsi="Arial"/>
          <w:sz w:val="18"/>
          <w:szCs w:val="18"/>
          <w:color w:val="auto"/>
        </w:rPr>
        <w:t>The increase in definite-lived intangible assets during 2020 was primarily due to the acquisition of Allergan in the second quarter of 2020. The intangible assets will be amortized using the estimated pattern of economic benefit. Refer to Note 5 for additional information regarding this acquisition.</w:t>
      </w:r>
    </w:p>
    <w:p>
      <w:pPr>
        <w:spacing w:after="0" w:line="200" w:lineRule="exact"/>
        <w:rPr>
          <w:sz w:val="20"/>
          <w:szCs w:val="20"/>
          <w:color w:val="auto"/>
        </w:rPr>
      </w:pPr>
    </w:p>
    <w:p>
      <w:pPr>
        <w:spacing w:after="0" w:line="310"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65</w:t>
      </w:r>
      <w:r>
        <w:rPr>
          <w:sz w:val="20"/>
          <w:szCs w:val="20"/>
          <w:color w:val="auto"/>
        </w:rPr>
        <w:tab/>
      </w:r>
      <w:r>
        <w:rPr>
          <w:sz w:val="1"/>
          <w:szCs w:val="1"/>
          <w:color w:val="auto"/>
        </w:rPr>
        <w:drawing>
          <wp:inline distT="0" distB="0" distL="0" distR="0">
            <wp:extent cx="600075" cy="11112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8" w:name="page69"/>
    <w:bookmarkEnd w:id="68"/>
    <w:p>
      <w:pPr>
        <w:ind w:right="220" w:firstLine="445"/>
        <w:spacing w:after="0" w:line="254" w:lineRule="auto"/>
        <w:rPr>
          <w:sz w:val="20"/>
          <w:szCs w:val="20"/>
          <w:color w:val="auto"/>
        </w:rPr>
      </w:pPr>
      <w:r>
        <w:rPr>
          <w:rFonts w:ascii="Arial" w:cs="Arial" w:eastAsia="Arial" w:hAnsi="Arial"/>
          <w:sz w:val="18"/>
          <w:szCs w:val="18"/>
          <w:color w:val="auto"/>
        </w:rPr>
        <w:t>Definite-lived intangible assets are amortized over their estimated useful lives, which range between 1 to 16 years with an average of 12 years for developed product rights and 11 years for license agreements. Amortization expense was $5.8 billion in 2020, $1.6 billion in 2019 and $1.3 billion in 2018 and was included in cost of products sold in the consolidated statements of earnings. The anticipated annual amortization expense for definite-lived intangible assets recorded as of December 31, 2020 is as follows: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billions)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2025</w:t>
            </w:r>
          </w:p>
        </w:tc>
      </w:tr>
      <w:tr>
        <w:trPr>
          <w:trHeight w:val="223"/>
        </w:trPr>
        <w:tc>
          <w:tcPr>
            <w:tcW w:w="4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Anticipated annual amortization expense</w:t>
            </w:r>
          </w:p>
        </w:tc>
        <w:tc>
          <w:tcPr>
            <w:tcW w:w="18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7.7</w:t>
            </w:r>
          </w:p>
        </w:tc>
        <w:tc>
          <w:tcPr>
            <w:tcW w:w="7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7.2</w:t>
            </w:r>
          </w:p>
        </w:tc>
        <w:tc>
          <w:tcPr>
            <w:tcW w:w="7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7.5</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8.0</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definite-lived intangible asset impairment charges were recorded in 2020, 2019 or 2018.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62"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Indefinite-lived intangible assets represent acquired IPR&amp;D associated with products that have not yet received regulatory approval. The increase in indefinite-lived research and development assets during 2020 was due to the acquisition of Allergan in the second quarter of 2020 and the acquisition of Luminera in the fourth quarter of 2020. Refer to Note 5 for additional information regarding these acquisitions.</w:t>
      </w:r>
    </w:p>
    <w:p>
      <w:pPr>
        <w:spacing w:after="0" w:line="134"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The company performs its annual impairment assessment of indefinite-lived intangible assets in the third quarter, or earlier if impairment indicators exist. No indefinite-lived intangible asset impairment charges were recorded in 2020. In 2019, following the announcement of the decision to terminate the rovalpituzumab tesirine (Rova-T) R&amp;D program, the company recorded an impairment charge of $1.0 billion which represented the remaining value of the IPR&amp;D acquired as part of the 2016 Stemcentrx acquisition. This termination was subsequent to the decision to stop enrollment for the TAHOE trial, which resulted in an impairment charge of $5.1 billion in 2018. These impairment charges were recorded to R&amp;D expense in the consolidated statements of earnings in 2019 and 2018.</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8 Integration and Restructuring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Allergan Integration Plan</w:t>
      </w:r>
    </w:p>
    <w:p>
      <w:pPr>
        <w:spacing w:after="0" w:line="166" w:lineRule="exact"/>
        <w:rPr>
          <w:sz w:val="20"/>
          <w:szCs w:val="20"/>
          <w:color w:val="auto"/>
        </w:rPr>
      </w:pPr>
    </w:p>
    <w:p>
      <w:pPr>
        <w:ind w:right="400" w:firstLine="445"/>
        <w:spacing w:after="0" w:line="254" w:lineRule="auto"/>
        <w:rPr>
          <w:sz w:val="20"/>
          <w:szCs w:val="20"/>
          <w:color w:val="auto"/>
        </w:rPr>
      </w:pPr>
      <w:r>
        <w:rPr>
          <w:rFonts w:ascii="Arial" w:cs="Arial" w:eastAsia="Arial" w:hAnsi="Arial"/>
          <w:sz w:val="18"/>
          <w:szCs w:val="18"/>
          <w:color w:val="auto"/>
        </w:rPr>
        <w:t>Following the closing of the Allergan acquisition, AbbVie implemented an integration plan designed to reduce costs, integrate and optimize the combined organization. To achieve these integration objectives, AbbVie expects to incur approximately $2 billion of charges through 2022. These costs will consist of severance and employee benefit costs (cash severance, non-cash severance, including accelerated equity award compensation expense, retention and other termination benefits) and other integration expenses.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charges associated with the Allergan acquisition integration plan: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680" w:type="dxa"/>
            <w:vAlign w:val="bottom"/>
          </w:tcPr>
          <w:p>
            <w:pPr>
              <w:spacing w:after="0"/>
              <w:rPr>
                <w:sz w:val="12"/>
                <w:szCs w:val="12"/>
                <w:color w:val="auto"/>
              </w:rPr>
            </w:pPr>
          </w:p>
        </w:tc>
        <w:tc>
          <w:tcPr>
            <w:tcW w:w="12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Severance and</w:t>
            </w: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 (in millions)</w:t>
            </w:r>
          </w:p>
        </w:tc>
        <w:tc>
          <w:tcPr>
            <w:tcW w:w="180" w:type="dxa"/>
            <w:vAlign w:val="bottom"/>
          </w:tcPr>
          <w:p>
            <w:pPr>
              <w:spacing w:after="0"/>
              <w:rPr>
                <w:sz w:val="11"/>
                <w:szCs w:val="11"/>
                <w:color w:val="auto"/>
              </w:rPr>
            </w:pPr>
          </w:p>
        </w:tc>
        <w:tc>
          <w:tcPr>
            <w:tcW w:w="1040" w:type="dxa"/>
            <w:vAlign w:val="bottom"/>
          </w:tcPr>
          <w:p>
            <w:pPr>
              <w:jc w:val="center"/>
              <w:ind w:right="138"/>
              <w:spacing w:after="0" w:line="135" w:lineRule="exact"/>
              <w:rPr>
                <w:sz w:val="20"/>
                <w:szCs w:val="20"/>
                <w:color w:val="auto"/>
              </w:rPr>
            </w:pPr>
            <w:r>
              <w:rPr>
                <w:rFonts w:ascii="Arial" w:cs="Arial" w:eastAsia="Arial" w:hAnsi="Arial"/>
                <w:sz w:val="14"/>
                <w:szCs w:val="14"/>
                <w:b w:val="1"/>
                <w:bCs w:val="1"/>
                <w:color w:val="auto"/>
              </w:rPr>
              <w:t>employee</w:t>
            </w: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Other integration</w:t>
            </w:r>
          </w:p>
        </w:tc>
        <w:tc>
          <w:tcPr>
            <w:tcW w:w="0" w:type="dxa"/>
            <w:vAlign w:val="bottom"/>
          </w:tcPr>
          <w:p>
            <w:pPr>
              <w:spacing w:after="0"/>
              <w:rPr>
                <w:sz w:val="1"/>
                <w:szCs w:val="1"/>
                <w:color w:val="auto"/>
              </w:rPr>
            </w:pPr>
          </w:p>
        </w:tc>
      </w:tr>
      <w:tr>
        <w:trPr>
          <w:trHeight w:val="175"/>
        </w:trPr>
        <w:tc>
          <w:tcPr>
            <w:tcW w:w="86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benefits</w:t>
            </w:r>
          </w:p>
        </w:tc>
        <w:tc>
          <w:tcPr>
            <w:tcW w:w="13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109</w:t>
            </w:r>
          </w:p>
        </w:tc>
        <w:tc>
          <w:tcPr>
            <w:tcW w:w="6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199</w:t>
            </w:r>
          </w:p>
        </w:tc>
        <w:tc>
          <w:tcPr>
            <w:tcW w:w="6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8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388</w:t>
            </w:r>
          </w:p>
        </w:tc>
        <w:tc>
          <w:tcPr>
            <w:tcW w:w="6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charges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696</w:t>
            </w:r>
          </w:p>
        </w:tc>
        <w:tc>
          <w:tcPr>
            <w:tcW w:w="60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8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cash activity in the recorded liability associated with the integration plan: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3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Severance and</w:t>
            </w: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 (in millions)</w:t>
            </w:r>
          </w:p>
        </w:tc>
        <w:tc>
          <w:tcPr>
            <w:tcW w:w="2800" w:type="dxa"/>
            <w:vAlign w:val="bottom"/>
          </w:tcPr>
          <w:p>
            <w:pPr>
              <w:spacing w:after="0"/>
              <w:rPr>
                <w:sz w:val="11"/>
                <w:szCs w:val="11"/>
                <w:color w:val="auto"/>
              </w:rPr>
            </w:pPr>
          </w:p>
        </w:tc>
        <w:tc>
          <w:tcPr>
            <w:tcW w:w="13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employee</w:t>
            </w: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Other integration</w:t>
            </w:r>
          </w:p>
        </w:tc>
        <w:tc>
          <w:tcPr>
            <w:tcW w:w="0" w:type="dxa"/>
            <w:vAlign w:val="bottom"/>
          </w:tcPr>
          <w:p>
            <w:pPr>
              <w:spacing w:after="0"/>
              <w:rPr>
                <w:sz w:val="1"/>
                <w:szCs w:val="1"/>
                <w:color w:val="auto"/>
              </w:rPr>
            </w:pPr>
          </w:p>
        </w:tc>
      </w:tr>
      <w:tr>
        <w:trPr>
          <w:trHeight w:val="176"/>
        </w:trPr>
        <w:tc>
          <w:tcPr>
            <w:tcW w:w="5820" w:type="dxa"/>
            <w:vAlign w:val="bottom"/>
            <w:tcBorders>
              <w:bottom w:val="single" w:sz="8" w:color="auto"/>
            </w:tcBorders>
            <w:vMerge w:val="continue"/>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benefits</w:t>
            </w:r>
          </w:p>
        </w:tc>
        <w:tc>
          <w:tcPr>
            <w:tcW w:w="13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Charges</w:t>
            </w:r>
          </w:p>
        </w:tc>
        <w:tc>
          <w:tcPr>
            <w:tcW w:w="36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center"/>
              <w:ind w:right="26"/>
              <w:spacing w:after="0"/>
              <w:rPr>
                <w:sz w:val="20"/>
                <w:szCs w:val="20"/>
                <w:color w:val="auto"/>
              </w:rPr>
            </w:pPr>
            <w:r>
              <w:rPr>
                <w:rFonts w:ascii="Arial" w:cs="Arial" w:eastAsia="Arial" w:hAnsi="Arial"/>
                <w:sz w:val="18"/>
                <w:szCs w:val="18"/>
                <w:color w:val="auto"/>
                <w:w w:val="99"/>
              </w:rPr>
              <w:t>594</w:t>
            </w:r>
          </w:p>
        </w:tc>
        <w:tc>
          <w:tcPr>
            <w:tcW w:w="5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Payments and other adjustments</w:t>
            </w:r>
          </w:p>
        </w:tc>
        <w:tc>
          <w:tcPr>
            <w:tcW w:w="4100" w:type="dxa"/>
            <w:vAlign w:val="bottom"/>
            <w:tcBorders>
              <w:bottom w:val="single" w:sz="8" w:color="auto"/>
            </w:tcBorders>
            <w:gridSpan w:val="3"/>
          </w:tcPr>
          <w:p>
            <w:pPr>
              <w:jc w:val="center"/>
              <w:ind w:left="3430"/>
              <w:spacing w:after="0"/>
              <w:rPr>
                <w:sz w:val="20"/>
                <w:szCs w:val="20"/>
                <w:color w:val="auto"/>
              </w:rPr>
            </w:pPr>
            <w:r>
              <w:rPr>
                <w:rFonts w:ascii="Arial" w:cs="Arial" w:eastAsia="Arial" w:hAnsi="Arial"/>
                <w:sz w:val="18"/>
                <w:szCs w:val="18"/>
                <w:color w:val="auto"/>
                <w:w w:val="99"/>
              </w:rPr>
              <w:t>(227)</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balance as of December 31, 2020</w:t>
            </w:r>
          </w:p>
        </w:tc>
        <w:tc>
          <w:tcPr>
            <w:tcW w:w="3680" w:type="dxa"/>
            <w:vAlign w:val="bottom"/>
            <w:tcBorders>
              <w:bottom w:val="single" w:sz="8" w:color="auto"/>
            </w:tcBorders>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center"/>
              <w:ind w:right="26"/>
              <w:spacing w:after="0"/>
              <w:rPr>
                <w:sz w:val="20"/>
                <w:szCs w:val="20"/>
                <w:color w:val="auto"/>
              </w:rPr>
            </w:pPr>
            <w:r>
              <w:rPr>
                <w:rFonts w:ascii="Arial" w:cs="Arial" w:eastAsia="Arial" w:hAnsi="Arial"/>
                <w:sz w:val="18"/>
                <w:szCs w:val="18"/>
                <w:color w:val="auto"/>
                <w:w w:val="99"/>
              </w:rPr>
              <w:t>367</w:t>
            </w:r>
          </w:p>
        </w:tc>
        <w:tc>
          <w:tcPr>
            <w:tcW w:w="5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auto"/>
            </w:tcBorders>
          </w:tcPr>
          <w:p>
            <w:pPr>
              <w:spacing w:after="0" w:line="20" w:lineRule="exact"/>
              <w:rPr>
                <w:sz w:val="1"/>
                <w:szCs w:val="1"/>
                <w:color w:val="auto"/>
              </w:rPr>
            </w:pPr>
          </w:p>
        </w:tc>
        <w:tc>
          <w:tcPr>
            <w:tcW w:w="28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6"/>
        </w:trPr>
        <w:tc>
          <w:tcPr>
            <w:tcW w:w="5820" w:type="dxa"/>
            <w:vAlign w:val="bottom"/>
          </w:tcPr>
          <w:p>
            <w:pPr>
              <w:spacing w:after="0"/>
              <w:rPr>
                <w:sz w:val="24"/>
                <w:szCs w:val="24"/>
                <w:color w:val="auto"/>
              </w:rPr>
            </w:pPr>
          </w:p>
        </w:tc>
        <w:tc>
          <w:tcPr>
            <w:tcW w:w="3680" w:type="dxa"/>
            <w:vAlign w:val="bottom"/>
            <w:gridSpan w:val="2"/>
          </w:tcPr>
          <w:p>
            <w:pPr>
              <w:jc w:val="right"/>
              <w:spacing w:after="0"/>
              <w:rPr>
                <w:sz w:val="20"/>
                <w:szCs w:val="20"/>
                <w:color w:val="auto"/>
              </w:rPr>
            </w:pPr>
            <w:r>
              <w:rPr>
                <w:rFonts w:ascii="Arial" w:cs="Arial" w:eastAsia="Arial" w:hAnsi="Arial"/>
                <w:sz w:val="18"/>
                <w:szCs w:val="18"/>
                <w:i w:val="1"/>
                <w:iCs w:val="1"/>
                <w:color w:val="auto"/>
              </w:rPr>
              <w:t>2020 Form 10-K</w:t>
            </w:r>
          </w:p>
        </w:tc>
        <w:tc>
          <w:tcPr>
            <w:tcW w:w="420" w:type="dxa"/>
            <w:vAlign w:val="bottom"/>
          </w:tcPr>
          <w:p>
            <w:pPr>
              <w:jc w:val="right"/>
              <w:ind w:right="126"/>
              <w:spacing w:after="0"/>
              <w:rPr>
                <w:sz w:val="20"/>
                <w:szCs w:val="20"/>
                <w:color w:val="auto"/>
              </w:rPr>
            </w:pPr>
            <w:r>
              <w:rPr>
                <w:rFonts w:ascii="Arial" w:cs="Arial" w:eastAsia="Arial" w:hAnsi="Arial"/>
                <w:sz w:val="25"/>
                <w:szCs w:val="25"/>
                <w:b w:val="1"/>
                <w:bCs w:val="1"/>
                <w:color w:val="444867"/>
              </w:rPr>
              <w:t>|</w:t>
            </w:r>
          </w:p>
        </w:tc>
        <w:tc>
          <w:tcPr>
            <w:tcW w:w="5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66</w:t>
            </w:r>
          </w:p>
        </w:tc>
        <w:tc>
          <w:tcPr>
            <w:tcW w:w="0" w:type="dxa"/>
            <w:vAlign w:val="bottom"/>
          </w:tcPr>
          <w:p>
            <w:pPr>
              <w:spacing w:after="0"/>
              <w:rPr>
                <w:sz w:val="1"/>
                <w:szCs w:val="1"/>
                <w:color w:val="auto"/>
              </w:rPr>
            </w:pPr>
          </w:p>
        </w:tc>
      </w:tr>
      <w:tr>
        <w:trPr>
          <w:trHeight w:val="201"/>
        </w:trPr>
        <w:tc>
          <w:tcPr>
            <w:tcW w:w="5820" w:type="dxa"/>
            <w:vAlign w:val="bottom"/>
            <w:tcBorders>
              <w:bottom w:val="single" w:sz="8" w:color="9A9A9A"/>
            </w:tcBorders>
          </w:tcPr>
          <w:p>
            <w:pPr>
              <w:spacing w:after="0"/>
              <w:rPr>
                <w:sz w:val="17"/>
                <w:szCs w:val="17"/>
                <w:color w:val="auto"/>
              </w:rPr>
            </w:pPr>
          </w:p>
        </w:tc>
        <w:tc>
          <w:tcPr>
            <w:tcW w:w="280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-334010</wp:posOffset>
            </wp:positionV>
            <wp:extent cx="600075" cy="1111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0075" cy="11112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444867"/>
        </w:rPr>
        <w:t>Other Restructuring</w:t>
      </w:r>
    </w:p>
    <w:p>
      <w:pPr>
        <w:spacing w:after="0" w:line="166"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AbbVie continuously evaluates its operations to identify opportunities to optimize its manufacturing and R&amp;D operations, commercial infrastructure and administrative costs and to respond to changes in its business environment. As a result, AbbVie management periodically approves individual restructuring plans to achieve these objectives. In 2020, 2019 and 2018, no such plans were individually significant. Restructuring charges recorded were $60 million in 2020, $234 million in 2019 and $70 million in 2018 and were primarily related to employee severance and contractual obligations. These charges were recorded in cost of products sold, R&amp;D expense and SG&amp;A expenses in the consolidated statements of earnings based on the classification of the affected employees or operations.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cash activity in the restructuring reserve for 2020, 2019 and 2018:</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balance as of December 31, 2017</w:t>
            </w:r>
          </w:p>
        </w:tc>
        <w:tc>
          <w:tcPr>
            <w:tcW w:w="372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2018 restructuring charges</w:t>
            </w:r>
          </w:p>
        </w:tc>
        <w:tc>
          <w:tcPr>
            <w:tcW w:w="37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Payments and other adjustments</w:t>
            </w:r>
          </w:p>
        </w:tc>
        <w:tc>
          <w:tcPr>
            <w:tcW w:w="37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Accrued balance as of December 31, 2018</w:t>
            </w:r>
          </w:p>
        </w:tc>
        <w:tc>
          <w:tcPr>
            <w:tcW w:w="37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 restructuring charges</w:t>
            </w:r>
          </w:p>
        </w:tc>
        <w:tc>
          <w:tcPr>
            <w:tcW w:w="37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29"/>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Payments and other adjustments</w:t>
            </w:r>
          </w:p>
        </w:tc>
        <w:tc>
          <w:tcPr>
            <w:tcW w:w="37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2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balance as of December 31, 2019</w:t>
            </w:r>
          </w:p>
        </w:tc>
        <w:tc>
          <w:tcPr>
            <w:tcW w:w="37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2020 restructuring charges</w:t>
            </w:r>
          </w:p>
        </w:tc>
        <w:tc>
          <w:tcPr>
            <w:tcW w:w="37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Payments and other adjustments</w:t>
            </w:r>
          </w:p>
        </w:tc>
        <w:tc>
          <w:tcPr>
            <w:tcW w:w="37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3"/>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Accrued balance as of December 31, 2020</w:t>
            </w:r>
          </w:p>
        </w:tc>
        <w:tc>
          <w:tcPr>
            <w:tcW w:w="37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660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9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2" w:lineRule="exact"/>
        <w:rPr>
          <w:sz w:val="20"/>
          <w:szCs w:val="20"/>
          <w:color w:val="auto"/>
        </w:rPr>
      </w:pPr>
    </w:p>
    <w:p>
      <w:pPr>
        <w:ind w:right="640" w:firstLine="445"/>
        <w:spacing w:after="0" w:line="261" w:lineRule="auto"/>
        <w:rPr>
          <w:sz w:val="20"/>
          <w:szCs w:val="20"/>
          <w:color w:val="auto"/>
        </w:rPr>
      </w:pPr>
      <w:r>
        <w:rPr>
          <w:rFonts w:ascii="Arial" w:cs="Arial" w:eastAsia="Arial" w:hAnsi="Arial"/>
          <w:sz w:val="18"/>
          <w:szCs w:val="18"/>
          <w:color w:val="auto"/>
        </w:rPr>
        <w:t>AbbVie's lease portfolio primarily consists of real estate properties, vehicles and equipment. The following table summarizes the amounts and location of operating and finance leases on the consolidated balance sheets: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 December 31 (in millions)</w:t>
            </w:r>
          </w:p>
        </w:tc>
        <w:tc>
          <w:tcPr>
            <w:tcW w:w="56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Balance sheet caption</w:t>
            </w:r>
          </w:p>
        </w:tc>
        <w:tc>
          <w:tcPr>
            <w:tcW w:w="7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23"/>
        </w:trPr>
        <w:tc>
          <w:tcPr>
            <w:tcW w:w="14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80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w:t>
            </w:r>
          </w:p>
        </w:tc>
        <w:tc>
          <w:tcPr>
            <w:tcW w:w="800" w:type="dxa"/>
            <w:vAlign w:val="bottom"/>
            <w:shd w:val="clear" w:color="auto" w:fill="CCEEFF"/>
          </w:tcPr>
          <w:p>
            <w:pPr>
              <w:spacing w:after="0"/>
              <w:rPr>
                <w:sz w:val="19"/>
                <w:szCs w:val="19"/>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assets</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30"/>
        </w:trPr>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Finance</w:t>
            </w:r>
          </w:p>
        </w:tc>
        <w:tc>
          <w:tcPr>
            <w:tcW w:w="800" w:type="dxa"/>
            <w:vAlign w:val="bottom"/>
            <w:tcBorders>
              <w:bottom w:val="single" w:sz="8" w:color="auto"/>
            </w:tcBorders>
          </w:tcPr>
          <w:p>
            <w:pPr>
              <w:spacing w:after="0"/>
              <w:rPr>
                <w:sz w:val="19"/>
                <w:szCs w:val="19"/>
                <w:color w:val="auto"/>
              </w:rPr>
            </w:pPr>
          </w:p>
        </w:tc>
        <w:tc>
          <w:tcPr>
            <w:tcW w:w="56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Property and equipment, net</w:t>
            </w: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48"/>
        </w:trPr>
        <w:tc>
          <w:tcPr>
            <w:tcW w:w="1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7"/>
              </w:rPr>
              <w:t>Total lease assets</w:t>
            </w:r>
          </w:p>
        </w:tc>
        <w:tc>
          <w:tcPr>
            <w:tcW w:w="800" w:type="dxa"/>
            <w:vAlign w:val="bottom"/>
            <w:tcBorders>
              <w:bottom w:val="single" w:sz="8" w:color="auto"/>
            </w:tcBorders>
            <w:shd w:val="clear" w:color="auto" w:fill="CCEEFF"/>
          </w:tcPr>
          <w:p>
            <w:pPr>
              <w:spacing w:after="0"/>
              <w:rPr>
                <w:sz w:val="21"/>
                <w:szCs w:val="21"/>
                <w:color w:val="auto"/>
              </w:rPr>
            </w:pPr>
          </w:p>
        </w:tc>
        <w:tc>
          <w:tcPr>
            <w:tcW w:w="56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922</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0"/>
        </w:trPr>
        <w:tc>
          <w:tcPr>
            <w:tcW w:w="1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6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46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Liabilities</w:t>
            </w:r>
          </w:p>
        </w:tc>
        <w:tc>
          <w:tcPr>
            <w:tcW w:w="80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w:t>
            </w:r>
          </w:p>
        </w:tc>
        <w:tc>
          <w:tcPr>
            <w:tcW w:w="800" w:type="dxa"/>
            <w:vAlign w:val="bottom"/>
            <w:shd w:val="clear" w:color="auto" w:fill="CCEEFF"/>
          </w:tcPr>
          <w:p>
            <w:pPr>
              <w:spacing w:after="0"/>
              <w:rPr>
                <w:sz w:val="19"/>
                <w:szCs w:val="19"/>
                <w:color w:val="auto"/>
              </w:rPr>
            </w:pPr>
          </w:p>
        </w:tc>
        <w:tc>
          <w:tcPr>
            <w:tcW w:w="56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1460" w:type="dxa"/>
            <w:vAlign w:val="bottom"/>
          </w:tcPr>
          <w:p>
            <w:pPr>
              <w:ind w:left="220"/>
              <w:spacing w:after="0"/>
              <w:rPr>
                <w:sz w:val="20"/>
                <w:szCs w:val="20"/>
                <w:color w:val="auto"/>
              </w:rPr>
            </w:pPr>
            <w:r>
              <w:rPr>
                <w:rFonts w:ascii="Arial" w:cs="Arial" w:eastAsia="Arial" w:hAnsi="Arial"/>
                <w:sz w:val="18"/>
                <w:szCs w:val="18"/>
                <w:color w:val="auto"/>
              </w:rPr>
              <w:t>Current</w:t>
            </w:r>
          </w:p>
        </w:tc>
        <w:tc>
          <w:tcPr>
            <w:tcW w:w="800" w:type="dxa"/>
            <w:vAlign w:val="bottom"/>
          </w:tcPr>
          <w:p>
            <w:pPr>
              <w:spacing w:after="0"/>
              <w:rPr>
                <w:sz w:val="19"/>
                <w:szCs w:val="19"/>
                <w:color w:val="auto"/>
              </w:rPr>
            </w:pPr>
          </w:p>
        </w:tc>
        <w:tc>
          <w:tcPr>
            <w:tcW w:w="5600" w:type="dxa"/>
            <w:vAlign w:val="bottom"/>
          </w:tcPr>
          <w:p>
            <w:pPr>
              <w:ind w:left="300"/>
              <w:spacing w:after="0"/>
              <w:rPr>
                <w:sz w:val="20"/>
                <w:szCs w:val="20"/>
                <w:color w:val="auto"/>
              </w:rPr>
            </w:pPr>
            <w:r>
              <w:rPr>
                <w:rFonts w:ascii="Arial" w:cs="Arial" w:eastAsia="Arial" w:hAnsi="Arial"/>
                <w:sz w:val="18"/>
                <w:szCs w:val="18"/>
                <w:color w:val="auto"/>
              </w:rPr>
              <w:t>Accounts payable and accrued liabilities</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175</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1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800" w:type="dxa"/>
            <w:vAlign w:val="bottom"/>
            <w:shd w:val="clear" w:color="auto" w:fill="CCEEFF"/>
          </w:tcPr>
          <w:p>
            <w:pPr>
              <w:spacing w:after="0"/>
              <w:rPr>
                <w:sz w:val="19"/>
                <w:szCs w:val="19"/>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long-term liabilities</w:t>
            </w: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832</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30"/>
        </w:trPr>
        <w:tc>
          <w:tcPr>
            <w:tcW w:w="1460" w:type="dxa"/>
            <w:vAlign w:val="bottom"/>
          </w:tcPr>
          <w:p>
            <w:pPr>
              <w:ind w:left="20"/>
              <w:spacing w:after="0"/>
              <w:rPr>
                <w:sz w:val="20"/>
                <w:szCs w:val="20"/>
                <w:color w:val="auto"/>
              </w:rPr>
            </w:pPr>
            <w:r>
              <w:rPr>
                <w:rFonts w:ascii="Arial" w:cs="Arial" w:eastAsia="Arial" w:hAnsi="Arial"/>
                <w:sz w:val="18"/>
                <w:szCs w:val="18"/>
                <w:color w:val="auto"/>
              </w:rPr>
              <w:t>Finance</w:t>
            </w:r>
          </w:p>
        </w:tc>
        <w:tc>
          <w:tcPr>
            <w:tcW w:w="80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1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800" w:type="dxa"/>
            <w:vAlign w:val="bottom"/>
            <w:shd w:val="clear" w:color="auto" w:fill="CCEEFF"/>
          </w:tcPr>
          <w:p>
            <w:pPr>
              <w:spacing w:after="0"/>
              <w:rPr>
                <w:sz w:val="19"/>
                <w:szCs w:val="19"/>
                <w:color w:val="auto"/>
              </w:rPr>
            </w:pPr>
          </w:p>
        </w:tc>
        <w:tc>
          <w:tcPr>
            <w:tcW w:w="5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portion of long-term debt and finance lease obligations</w:t>
            </w: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Noncurrent</w:t>
            </w:r>
          </w:p>
        </w:tc>
        <w:tc>
          <w:tcPr>
            <w:tcW w:w="800" w:type="dxa"/>
            <w:vAlign w:val="bottom"/>
            <w:tcBorders>
              <w:bottom w:val="single" w:sz="8" w:color="auto"/>
            </w:tcBorders>
          </w:tcPr>
          <w:p>
            <w:pPr>
              <w:spacing w:after="0"/>
              <w:rPr>
                <w:sz w:val="19"/>
                <w:szCs w:val="19"/>
                <w:color w:val="auto"/>
              </w:rPr>
            </w:pPr>
          </w:p>
        </w:tc>
        <w:tc>
          <w:tcPr>
            <w:tcW w:w="5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Long-term debt and finance lease obligations</w:t>
            </w: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48"/>
        </w:trPr>
        <w:tc>
          <w:tcPr>
            <w:tcW w:w="2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56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1,036</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0"/>
        </w:trPr>
        <w:tc>
          <w:tcPr>
            <w:tcW w:w="1460" w:type="dxa"/>
            <w:vAlign w:val="bottom"/>
            <w:tcBorders>
              <w:top w:val="single" w:sz="8" w:color="CCEEFF"/>
              <w:bottom w:val="single" w:sz="8" w:color="auto"/>
            </w:tcBorders>
          </w:tcPr>
          <w:p>
            <w:pPr>
              <w:spacing w:after="0" w:line="20" w:lineRule="exact"/>
              <w:rPr>
                <w:sz w:val="1"/>
                <w:szCs w:val="1"/>
                <w:color w:val="auto"/>
              </w:rPr>
            </w:pPr>
          </w:p>
        </w:tc>
        <w:tc>
          <w:tcPr>
            <w:tcW w:w="6400" w:type="dxa"/>
            <w:vAlign w:val="bottom"/>
            <w:tcBorders>
              <w:top w:val="single" w:sz="8" w:color="CCEEFF"/>
              <w:bottom w:val="single" w:sz="8" w:color="auto"/>
            </w:tcBorders>
            <w:gridSpan w:val="2"/>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46"/>
        </w:trPr>
        <w:tc>
          <w:tcPr>
            <w:tcW w:w="14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67</w:t>
            </w:r>
          </w:p>
        </w:tc>
        <w:tc>
          <w:tcPr>
            <w:tcW w:w="6400" w:type="dxa"/>
            <w:vAlign w:val="bottom"/>
            <w:gridSpan w:val="2"/>
          </w:tcPr>
          <w:p>
            <w:pPr>
              <w:ind w:left="20"/>
              <w:spacing w:after="0"/>
              <w:rPr>
                <w:sz w:val="20"/>
                <w:szCs w:val="20"/>
                <w:color w:val="auto"/>
              </w:rPr>
            </w:pPr>
            <w:r>
              <w:rPr>
                <w:rFonts w:ascii="Arial" w:cs="Arial" w:eastAsia="Arial" w:hAnsi="Arial"/>
                <w:sz w:val="25"/>
                <w:szCs w:val="25"/>
                <w:b w:val="1"/>
                <w:bCs w:val="1"/>
                <w:color w:val="444867"/>
              </w:rPr>
              <w:t xml:space="preserve">| </w:t>
            </w:r>
            <w:r>
              <w:rPr>
                <w:rFonts w:ascii="Arial" w:cs="Arial" w:eastAsia="Arial" w:hAnsi="Arial"/>
                <w:sz w:val="17"/>
                <w:szCs w:val="17"/>
                <w:i w:val="1"/>
                <w:iCs w:val="1"/>
                <w:color w:val="000000"/>
              </w:rPr>
              <w:t>2020 Form 10-K</w:t>
            </w: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1"/>
        </w:trPr>
        <w:tc>
          <w:tcPr>
            <w:tcW w:w="146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560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-334010</wp:posOffset>
            </wp:positionV>
            <wp:extent cx="600075" cy="1111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0075" cy="11112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70" w:name="page71"/>
    <w:bookmarkEnd w:id="70"/>
    <w:p>
      <w:pPr>
        <w:ind w:left="460"/>
        <w:spacing w:after="0"/>
        <w:rPr>
          <w:sz w:val="20"/>
          <w:szCs w:val="20"/>
          <w:color w:val="auto"/>
        </w:rPr>
      </w:pPr>
      <w:r>
        <w:rPr>
          <w:rFonts w:ascii="Arial" w:cs="Arial" w:eastAsia="Arial" w:hAnsi="Arial"/>
          <w:sz w:val="18"/>
          <w:szCs w:val="18"/>
          <w:color w:val="auto"/>
        </w:rPr>
        <w:t>The following table summarizes the lease costs recognized in the consolidated statements of earnings: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 (in millions)</w:t>
            </w:r>
          </w:p>
        </w:tc>
        <w:tc>
          <w:tcPr>
            <w:tcW w:w="30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192</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3080" w:type="dxa"/>
            <w:vAlign w:val="bottom"/>
          </w:tcPr>
          <w:p>
            <w:pPr>
              <w:spacing w:after="0"/>
              <w:rPr>
                <w:sz w:val="19"/>
                <w:szCs w:val="19"/>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59</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5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30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lease cost</w:t>
            </w:r>
          </w:p>
        </w:tc>
        <w:tc>
          <w:tcPr>
            <w:tcW w:w="3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311</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445"/>
        <w:spacing w:after="0" w:line="261" w:lineRule="auto"/>
        <w:rPr>
          <w:sz w:val="20"/>
          <w:szCs w:val="20"/>
          <w:color w:val="auto"/>
        </w:rPr>
      </w:pPr>
      <w:r>
        <w:rPr>
          <w:rFonts w:ascii="Arial" w:cs="Arial" w:eastAsia="Arial" w:hAnsi="Arial"/>
          <w:sz w:val="18"/>
          <w:szCs w:val="18"/>
          <w:color w:val="auto"/>
        </w:rPr>
        <w:t>Sublease income and finance lease costs were insignificant in 2020 and 2019. Lease expense prior to the adoption of ASU No. 2016-02 was $161 million in 2018.</w:t>
      </w:r>
    </w:p>
    <w:p>
      <w:pPr>
        <w:spacing w:after="0" w:line="130" w:lineRule="exact"/>
        <w:rPr>
          <w:sz w:val="20"/>
          <w:szCs w:val="20"/>
          <w:color w:val="auto"/>
        </w:rPr>
      </w:pPr>
    </w:p>
    <w:p>
      <w:pPr>
        <w:ind w:right="80" w:firstLine="445"/>
        <w:spacing w:after="0" w:line="261" w:lineRule="auto"/>
        <w:rPr>
          <w:sz w:val="20"/>
          <w:szCs w:val="20"/>
          <w:color w:val="auto"/>
        </w:rPr>
      </w:pPr>
      <w:r>
        <w:rPr>
          <w:rFonts w:ascii="Arial" w:cs="Arial" w:eastAsia="Arial" w:hAnsi="Arial"/>
          <w:sz w:val="18"/>
          <w:szCs w:val="18"/>
          <w:color w:val="auto"/>
        </w:rPr>
        <w:t>The following table presents the weighted-average remaining lease term and weighted-average discount rate for operating and finance leases: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3700" w:type="dxa"/>
            <w:vAlign w:val="bottom"/>
          </w:tcPr>
          <w:p>
            <w:pPr>
              <w:jc w:val="right"/>
              <w:ind w:right="496"/>
              <w:spacing w:after="0"/>
              <w:rPr>
                <w:sz w:val="20"/>
                <w:szCs w:val="20"/>
                <w:color w:val="auto"/>
              </w:rPr>
            </w:pPr>
            <w:r>
              <w:rPr>
                <w:rFonts w:ascii="Arial" w:cs="Arial" w:eastAsia="Arial" w:hAnsi="Arial"/>
                <w:sz w:val="14"/>
                <w:szCs w:val="14"/>
                <w:b w:val="1"/>
                <w:bCs w:val="1"/>
                <w:color w:val="auto"/>
              </w:rPr>
              <w:t>December 31,</w:t>
            </w:r>
          </w:p>
        </w:tc>
        <w:tc>
          <w:tcPr>
            <w:tcW w:w="1520" w:type="dxa"/>
            <w:vAlign w:val="bottom"/>
          </w:tcPr>
          <w:p>
            <w:pPr>
              <w:jc w:val="right"/>
              <w:ind w:right="256"/>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602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2020</w:t>
            </w:r>
          </w:p>
        </w:tc>
        <w:tc>
          <w:tcPr>
            <w:tcW w:w="15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37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37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8</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Finance</w:t>
            </w:r>
          </w:p>
        </w:tc>
        <w:tc>
          <w:tcPr>
            <w:tcW w:w="3700" w:type="dxa"/>
            <w:vAlign w:val="bottom"/>
          </w:tcPr>
          <w:p>
            <w:pPr>
              <w:jc w:val="right"/>
              <w:ind w:right="156"/>
              <w:spacing w:after="0"/>
              <w:rPr>
                <w:sz w:val="20"/>
                <w:szCs w:val="20"/>
                <w:color w:val="auto"/>
              </w:rPr>
            </w:pPr>
            <w:r>
              <w:rPr>
                <w:rFonts w:ascii="Arial" w:cs="Arial" w:eastAsia="Arial" w:hAnsi="Arial"/>
                <w:sz w:val="18"/>
                <w:szCs w:val="18"/>
                <w:color w:val="auto"/>
              </w:rPr>
              <w:t>3</w:t>
            </w:r>
          </w:p>
        </w:tc>
        <w:tc>
          <w:tcPr>
            <w:tcW w:w="1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37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3700" w:type="dxa"/>
            <w:vAlign w:val="bottom"/>
          </w:tcPr>
          <w:p>
            <w:pPr>
              <w:jc w:val="right"/>
              <w:ind w:right="156"/>
              <w:spacing w:after="0"/>
              <w:rPr>
                <w:sz w:val="20"/>
                <w:szCs w:val="20"/>
                <w:color w:val="auto"/>
              </w:rPr>
            </w:pPr>
            <w:r>
              <w:rPr>
                <w:rFonts w:ascii="Arial" w:cs="Arial" w:eastAsia="Arial" w:hAnsi="Arial"/>
                <w:sz w:val="18"/>
                <w:szCs w:val="18"/>
                <w:color w:val="auto"/>
              </w:rPr>
              <w:t>2.5 %</w:t>
            </w:r>
          </w:p>
        </w:tc>
        <w:tc>
          <w:tcPr>
            <w:tcW w:w="152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29"/>
        </w:trPr>
        <w:tc>
          <w:tcPr>
            <w:tcW w:w="6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Finance</w:t>
            </w:r>
          </w:p>
        </w:tc>
        <w:tc>
          <w:tcPr>
            <w:tcW w:w="37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1.4 %</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3.9 %</w:t>
            </w: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supplementary cash flow information regarding the company's leases: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 (in millions)</w:t>
            </w:r>
          </w:p>
        </w:tc>
        <w:tc>
          <w:tcPr>
            <w:tcW w:w="1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185</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692</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bl>
    <w:p>
      <w:pPr>
        <w:spacing w:after="0" w:line="134" w:lineRule="exact"/>
        <w:rPr>
          <w:sz w:val="20"/>
          <w:szCs w:val="20"/>
          <w:color w:val="auto"/>
        </w:rPr>
      </w:pPr>
    </w:p>
    <w:p>
      <w:pPr>
        <w:ind w:right="580" w:firstLine="445"/>
        <w:spacing w:after="0" w:line="261" w:lineRule="auto"/>
        <w:rPr>
          <w:sz w:val="20"/>
          <w:szCs w:val="20"/>
          <w:color w:val="auto"/>
        </w:rPr>
      </w:pPr>
      <w:r>
        <w:rPr>
          <w:rFonts w:ascii="Arial" w:cs="Arial" w:eastAsia="Arial" w:hAnsi="Arial"/>
          <w:sz w:val="18"/>
          <w:szCs w:val="18"/>
          <w:color w:val="auto"/>
        </w:rPr>
        <w:t>Finance lease cash flows were insignificant in 2020 and 2019. Right-of-use assets obtained in exchange for new operating lease liabilities included $453 million of right-of-use assets acquired in the Allergan acquisition.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future maturities of AbbVie's operating and finance lease liabilities as of December 31, 2020: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320" w:type="dxa"/>
            <w:vAlign w:val="bottom"/>
          </w:tcPr>
          <w:p>
            <w:pPr>
              <w:spacing w:after="0"/>
              <w:rPr>
                <w:sz w:val="14"/>
                <w:szCs w:val="14"/>
                <w:color w:val="auto"/>
              </w:rPr>
            </w:pPr>
          </w:p>
        </w:tc>
        <w:tc>
          <w:tcPr>
            <w:tcW w:w="1220" w:type="dxa"/>
            <w:vAlign w:val="bottom"/>
          </w:tcPr>
          <w:p>
            <w:pPr>
              <w:jc w:val="right"/>
              <w:ind w:right="333"/>
              <w:spacing w:after="0"/>
              <w:rPr>
                <w:sz w:val="20"/>
                <w:szCs w:val="20"/>
                <w:color w:val="auto"/>
              </w:rPr>
            </w:pPr>
            <w:r>
              <w:rPr>
                <w:rFonts w:ascii="Arial" w:cs="Arial" w:eastAsia="Arial" w:hAnsi="Arial"/>
                <w:sz w:val="14"/>
                <w:szCs w:val="14"/>
                <w:b w:val="1"/>
                <w:bCs w:val="1"/>
                <w:color w:val="auto"/>
              </w:rPr>
              <w:t>Operating</w:t>
            </w:r>
          </w:p>
        </w:tc>
        <w:tc>
          <w:tcPr>
            <w:tcW w:w="360" w:type="dxa"/>
            <w:vAlign w:val="bottom"/>
          </w:tcPr>
          <w:p>
            <w:pPr>
              <w:spacing w:after="0"/>
              <w:rPr>
                <w:sz w:val="14"/>
                <w:szCs w:val="14"/>
                <w:color w:val="auto"/>
              </w:rPr>
            </w:pPr>
          </w:p>
        </w:tc>
        <w:tc>
          <w:tcPr>
            <w:tcW w:w="1180" w:type="dxa"/>
            <w:vAlign w:val="bottom"/>
          </w:tcPr>
          <w:p>
            <w:pPr>
              <w:jc w:val="right"/>
              <w:ind w:right="373"/>
              <w:spacing w:after="0"/>
              <w:rPr>
                <w:sz w:val="20"/>
                <w:szCs w:val="20"/>
                <w:color w:val="auto"/>
              </w:rPr>
            </w:pPr>
            <w:r>
              <w:rPr>
                <w:rFonts w:ascii="Arial" w:cs="Arial" w:eastAsia="Arial" w:hAnsi="Arial"/>
                <w:sz w:val="14"/>
                <w:szCs w:val="14"/>
                <w:b w:val="1"/>
                <w:bCs w:val="1"/>
                <w:color w:val="auto"/>
              </w:rPr>
              <w:t>Finance</w:t>
            </w:r>
          </w:p>
        </w:tc>
        <w:tc>
          <w:tcPr>
            <w:tcW w:w="380" w:type="dxa"/>
            <w:vAlign w:val="bottom"/>
          </w:tcPr>
          <w:p>
            <w:pPr>
              <w:spacing w:after="0"/>
              <w:rPr>
                <w:sz w:val="14"/>
                <w:szCs w:val="14"/>
                <w:color w:val="auto"/>
              </w:rPr>
            </w:pPr>
          </w:p>
        </w:tc>
        <w:tc>
          <w:tcPr>
            <w:tcW w:w="11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(a)</w:t>
            </w:r>
          </w:p>
        </w:tc>
        <w:tc>
          <w:tcPr>
            <w:tcW w:w="0" w:type="dxa"/>
            <w:vAlign w:val="bottom"/>
          </w:tcPr>
          <w:p>
            <w:pPr>
              <w:spacing w:after="0"/>
              <w:rPr>
                <w:sz w:val="1"/>
                <w:szCs w:val="1"/>
                <w:color w:val="auto"/>
              </w:rPr>
            </w:pPr>
          </w:p>
        </w:tc>
      </w:tr>
      <w:tr>
        <w:trPr>
          <w:trHeight w:val="175"/>
        </w:trPr>
        <w:tc>
          <w:tcPr>
            <w:tcW w:w="4600" w:type="dxa"/>
            <w:vAlign w:val="bottom"/>
            <w:tcBorders>
              <w:bottom w:val="single" w:sz="8" w:color="auto"/>
            </w:tcBorders>
            <w:vMerge w:val="continue"/>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leases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leases</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2022</w:t>
            </w:r>
          </w:p>
        </w:tc>
        <w:tc>
          <w:tcPr>
            <w:tcW w:w="2320" w:type="dxa"/>
            <w:vAlign w:val="bottom"/>
          </w:tcPr>
          <w:p>
            <w:pPr>
              <w:spacing w:after="0"/>
              <w:rPr>
                <w:sz w:val="19"/>
                <w:szCs w:val="19"/>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178</w:t>
            </w:r>
          </w:p>
        </w:tc>
        <w:tc>
          <w:tcPr>
            <w:tcW w:w="3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140</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2024</w:t>
            </w:r>
          </w:p>
        </w:tc>
        <w:tc>
          <w:tcPr>
            <w:tcW w:w="2320" w:type="dxa"/>
            <w:vAlign w:val="bottom"/>
          </w:tcPr>
          <w:p>
            <w:pPr>
              <w:spacing w:after="0"/>
              <w:rPr>
                <w:sz w:val="19"/>
                <w:szCs w:val="19"/>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111</w:t>
            </w:r>
          </w:p>
        </w:tc>
        <w:tc>
          <w:tcPr>
            <w:tcW w:w="3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2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394</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1,121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Interest</w:t>
            </w:r>
          </w:p>
        </w:tc>
        <w:tc>
          <w:tcPr>
            <w:tcW w:w="2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114</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1,007</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480" w:hanging="472"/>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Lease payments recognized as part of lease liabilities for optional renewal periods are insignificant.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68</w:t>
            </w:r>
          </w:p>
        </w:tc>
      </w:tr>
      <w:tr>
        <w:trPr>
          <w:trHeight w:val="196"/>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-325120</wp:posOffset>
            </wp:positionV>
            <wp:extent cx="600075" cy="1117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0075" cy="11176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1" w:name="page72"/>
    <w:bookmarkEnd w:id="71"/>
    <w:p>
      <w:pPr>
        <w:spacing w:after="0"/>
        <w:rPr>
          <w:sz w:val="20"/>
          <w:szCs w:val="20"/>
          <w:color w:val="auto"/>
        </w:rPr>
      </w:pPr>
      <w:r>
        <w:rPr>
          <w:rFonts w:ascii="Arial" w:cs="Arial" w:eastAsia="Arial" w:hAnsi="Arial"/>
          <w:sz w:val="22"/>
          <w:szCs w:val="22"/>
          <w:b w:val="1"/>
          <w:bCs w:val="1"/>
          <w:color w:val="444867"/>
        </w:rPr>
        <w:t>Note 10 Debt, Credit Facilities and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long-term debt:</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940" w:type="dxa"/>
            <w:vAlign w:val="bottom"/>
          </w:tcPr>
          <w:p>
            <w:pPr>
              <w:jc w:val="center"/>
              <w:ind w:right="348"/>
              <w:spacing w:after="0"/>
              <w:rPr>
                <w:sz w:val="20"/>
                <w:szCs w:val="20"/>
                <w:color w:val="auto"/>
              </w:rPr>
            </w:pPr>
            <w:r>
              <w:rPr>
                <w:rFonts w:ascii="Arial" w:cs="Arial" w:eastAsia="Arial" w:hAnsi="Arial"/>
                <w:sz w:val="14"/>
                <w:szCs w:val="14"/>
                <w:b w:val="1"/>
                <w:bCs w:val="1"/>
                <w:color w:val="auto"/>
              </w:rPr>
              <w:t>Effective</w:t>
            </w:r>
          </w:p>
        </w:tc>
        <w:tc>
          <w:tcPr>
            <w:tcW w:w="1280" w:type="dxa"/>
            <w:vAlign w:val="bottom"/>
          </w:tcPr>
          <w:p>
            <w:pPr>
              <w:spacing w:after="0"/>
              <w:rPr>
                <w:sz w:val="14"/>
                <w:szCs w:val="14"/>
                <w:color w:val="auto"/>
              </w:rPr>
            </w:pPr>
          </w:p>
        </w:tc>
        <w:tc>
          <w:tcPr>
            <w:tcW w:w="1860" w:type="dxa"/>
            <w:vAlign w:val="bottom"/>
          </w:tcPr>
          <w:p>
            <w:pPr>
              <w:jc w:val="center"/>
              <w:ind w:right="428"/>
              <w:spacing w:after="0"/>
              <w:rPr>
                <w:sz w:val="20"/>
                <w:szCs w:val="20"/>
                <w:color w:val="auto"/>
              </w:rPr>
            </w:pPr>
            <w:r>
              <w:rPr>
                <w:rFonts w:ascii="Arial" w:cs="Arial" w:eastAsia="Arial" w:hAnsi="Arial"/>
                <w:sz w:val="14"/>
                <w:szCs w:val="14"/>
                <w:b w:val="1"/>
                <w:bCs w:val="1"/>
                <w:color w:val="auto"/>
              </w:rPr>
              <w:t>Effective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(dollars in millions)</w:t>
            </w:r>
          </w:p>
        </w:tc>
        <w:tc>
          <w:tcPr>
            <w:tcW w:w="1940" w:type="dxa"/>
            <w:vAlign w:val="bottom"/>
          </w:tcPr>
          <w:p>
            <w:pPr>
              <w:jc w:val="center"/>
              <w:ind w:right="348"/>
              <w:spacing w:after="0" w:line="135" w:lineRule="exact"/>
              <w:rPr>
                <w:sz w:val="20"/>
                <w:szCs w:val="20"/>
                <w:color w:val="auto"/>
              </w:rPr>
            </w:pPr>
            <w:r>
              <w:rPr>
                <w:rFonts w:ascii="Arial" w:cs="Arial" w:eastAsia="Arial" w:hAnsi="Arial"/>
                <w:sz w:val="14"/>
                <w:szCs w:val="14"/>
                <w:b w:val="1"/>
                <w:bCs w:val="1"/>
                <w:color w:val="auto"/>
              </w:rPr>
              <w:t>interest rate</w:t>
            </w:r>
          </w:p>
        </w:tc>
        <w:tc>
          <w:tcPr>
            <w:tcW w:w="1280" w:type="dxa"/>
            <w:vAlign w:val="bottom"/>
            <w:vMerge w:val="restart"/>
          </w:tcPr>
          <w:p>
            <w:pPr>
              <w:jc w:val="right"/>
              <w:ind w:right="668"/>
              <w:spacing w:after="0"/>
              <w:rPr>
                <w:sz w:val="20"/>
                <w:szCs w:val="20"/>
                <w:color w:val="auto"/>
              </w:rPr>
            </w:pPr>
            <w:r>
              <w:rPr>
                <w:rFonts w:ascii="Arial" w:cs="Arial" w:eastAsia="Arial" w:hAnsi="Arial"/>
                <w:sz w:val="14"/>
                <w:szCs w:val="14"/>
                <w:b w:val="1"/>
                <w:bCs w:val="1"/>
                <w:color w:val="auto"/>
              </w:rPr>
              <w:t>2020</w:t>
            </w:r>
          </w:p>
        </w:tc>
        <w:tc>
          <w:tcPr>
            <w:tcW w:w="1860" w:type="dxa"/>
            <w:vAlign w:val="bottom"/>
          </w:tcPr>
          <w:p>
            <w:pPr>
              <w:jc w:val="center"/>
              <w:ind w:right="448"/>
              <w:spacing w:after="0" w:line="135" w:lineRule="exact"/>
              <w:rPr>
                <w:sz w:val="20"/>
                <w:szCs w:val="20"/>
                <w:color w:val="auto"/>
              </w:rPr>
            </w:pPr>
            <w:r>
              <w:rPr>
                <w:rFonts w:ascii="Arial" w:cs="Arial" w:eastAsia="Arial" w:hAnsi="Arial"/>
                <w:sz w:val="14"/>
                <w:szCs w:val="14"/>
                <w:b w:val="1"/>
                <w:bCs w:val="1"/>
                <w:color w:val="auto"/>
              </w:rPr>
              <w:t>interest rate</w:t>
            </w:r>
          </w:p>
        </w:tc>
        <w:tc>
          <w:tcPr>
            <w:tcW w:w="108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6"/>
        </w:trPr>
        <w:tc>
          <w:tcPr>
            <w:tcW w:w="5040" w:type="dxa"/>
            <w:vAlign w:val="bottom"/>
            <w:vMerge w:val="continue"/>
          </w:tcPr>
          <w:p>
            <w:pPr>
              <w:spacing w:after="0"/>
              <w:rPr>
                <w:sz w:val="15"/>
                <w:szCs w:val="15"/>
                <w:color w:val="auto"/>
              </w:rPr>
            </w:pPr>
          </w:p>
        </w:tc>
        <w:tc>
          <w:tcPr>
            <w:tcW w:w="1940" w:type="dxa"/>
            <w:vAlign w:val="bottom"/>
            <w:tcBorders>
              <w:bottom w:val="single" w:sz="8" w:color="auto"/>
            </w:tcBorders>
          </w:tcPr>
          <w:p>
            <w:pPr>
              <w:jc w:val="center"/>
              <w:ind w:right="348"/>
              <w:spacing w:after="0"/>
              <w:rPr>
                <w:sz w:val="20"/>
                <w:szCs w:val="20"/>
                <w:color w:val="auto"/>
              </w:rPr>
            </w:pPr>
            <w:r>
              <w:rPr>
                <w:rFonts w:ascii="Arial" w:cs="Arial" w:eastAsia="Arial" w:hAnsi="Arial"/>
                <w:sz w:val="14"/>
                <w:szCs w:val="14"/>
                <w:b w:val="1"/>
                <w:bCs w:val="1"/>
                <w:color w:val="auto"/>
              </w:rPr>
              <w:t>in 2020</w:t>
            </w:r>
            <w:r>
              <w:rPr>
                <w:rFonts w:ascii="Arial" w:cs="Arial" w:eastAsia="Arial" w:hAnsi="Arial"/>
                <w:sz w:val="9"/>
                <w:szCs w:val="9"/>
                <w:b w:val="1"/>
                <w:bCs w:val="1"/>
                <w:color w:val="auto"/>
              </w:rPr>
              <w:t>(a)</w:t>
            </w:r>
          </w:p>
        </w:tc>
        <w:tc>
          <w:tcPr>
            <w:tcW w:w="1280" w:type="dxa"/>
            <w:vAlign w:val="bottom"/>
            <w:tcBorders>
              <w:bottom w:val="single" w:sz="8" w:color="auto"/>
            </w:tcBorders>
            <w:vMerge w:val="continue"/>
          </w:tcPr>
          <w:p>
            <w:pPr>
              <w:spacing w:after="0"/>
              <w:rPr>
                <w:sz w:val="15"/>
                <w:szCs w:val="15"/>
                <w:color w:val="auto"/>
              </w:rPr>
            </w:pPr>
          </w:p>
        </w:tc>
        <w:tc>
          <w:tcPr>
            <w:tcW w:w="1860" w:type="dxa"/>
            <w:vAlign w:val="bottom"/>
            <w:tcBorders>
              <w:bottom w:val="single" w:sz="8" w:color="auto"/>
            </w:tcBorders>
          </w:tcPr>
          <w:p>
            <w:pPr>
              <w:jc w:val="center"/>
              <w:ind w:right="428"/>
              <w:spacing w:after="0"/>
              <w:rPr>
                <w:sz w:val="20"/>
                <w:szCs w:val="20"/>
                <w:color w:val="auto"/>
              </w:rPr>
            </w:pPr>
            <w:r>
              <w:rPr>
                <w:rFonts w:ascii="Arial" w:cs="Arial" w:eastAsia="Arial" w:hAnsi="Arial"/>
                <w:sz w:val="14"/>
                <w:szCs w:val="14"/>
                <w:b w:val="1"/>
                <w:bCs w:val="1"/>
                <w:color w:val="auto"/>
              </w:rPr>
              <w:t>in 2019</w:t>
            </w:r>
            <w:r>
              <w:rPr>
                <w:rFonts w:ascii="Arial" w:cs="Arial" w:eastAsia="Arial" w:hAnsi="Arial"/>
                <w:sz w:val="9"/>
                <w:szCs w:val="9"/>
                <w:b w:val="1"/>
                <w:bCs w:val="1"/>
                <w:color w:val="auto"/>
              </w:rPr>
              <w:t>(a)</w:t>
            </w: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Senior notes issued in 2012</w:t>
            </w:r>
          </w:p>
        </w:tc>
        <w:tc>
          <w:tcPr>
            <w:tcW w:w="1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2.90% notes due 2022</w:t>
            </w:r>
          </w:p>
        </w:tc>
        <w:tc>
          <w:tcPr>
            <w:tcW w:w="194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2.97 %  $</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3,100</w:t>
            </w:r>
          </w:p>
        </w:tc>
        <w:tc>
          <w:tcPr>
            <w:tcW w:w="1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2.97 %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w:t>
            </w:r>
          </w:p>
        </w:tc>
        <w:tc>
          <w:tcPr>
            <w:tcW w:w="0" w:type="dxa"/>
            <w:vAlign w:val="bottom"/>
          </w:tcPr>
          <w:p>
            <w:pPr>
              <w:spacing w:after="0"/>
              <w:rPr>
                <w:sz w:val="1"/>
                <w:szCs w:val="1"/>
                <w:color w:val="auto"/>
              </w:rPr>
            </w:pPr>
          </w:p>
        </w:tc>
      </w:tr>
      <w:tr>
        <w:trPr>
          <w:trHeight w:val="189"/>
        </w:trPr>
        <w:tc>
          <w:tcPr>
            <w:tcW w:w="5040" w:type="dxa"/>
            <w:vAlign w:val="bottom"/>
          </w:tcPr>
          <w:p>
            <w:pPr>
              <w:ind w:left="240"/>
              <w:spacing w:after="0"/>
              <w:rPr>
                <w:sz w:val="20"/>
                <w:szCs w:val="20"/>
                <w:color w:val="auto"/>
              </w:rPr>
            </w:pPr>
            <w:r>
              <w:rPr>
                <w:rFonts w:ascii="Arial" w:cs="Arial" w:eastAsia="Arial" w:hAnsi="Arial"/>
                <w:sz w:val="14"/>
                <w:szCs w:val="14"/>
                <w:color w:val="auto"/>
              </w:rPr>
              <w:t>4.40% notes due 2042</w:t>
            </w:r>
          </w:p>
        </w:tc>
        <w:tc>
          <w:tcPr>
            <w:tcW w:w="1940" w:type="dxa"/>
            <w:vAlign w:val="bottom"/>
          </w:tcPr>
          <w:p>
            <w:pPr>
              <w:ind w:left="1060"/>
              <w:spacing w:after="0"/>
              <w:rPr>
                <w:sz w:val="20"/>
                <w:szCs w:val="20"/>
                <w:color w:val="auto"/>
              </w:rPr>
            </w:pPr>
            <w:r>
              <w:rPr>
                <w:rFonts w:ascii="Arial" w:cs="Arial" w:eastAsia="Arial" w:hAnsi="Arial"/>
                <w:sz w:val="14"/>
                <w:szCs w:val="14"/>
                <w:color w:val="auto"/>
              </w:rPr>
              <w:t>4.46 %</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2,600</w:t>
            </w:r>
          </w:p>
        </w:tc>
        <w:tc>
          <w:tcPr>
            <w:tcW w:w="1860" w:type="dxa"/>
            <w:vAlign w:val="bottom"/>
          </w:tcPr>
          <w:p>
            <w:pPr>
              <w:jc w:val="right"/>
              <w:ind w:right="368"/>
              <w:spacing w:after="0"/>
              <w:rPr>
                <w:sz w:val="20"/>
                <w:szCs w:val="20"/>
                <w:color w:val="auto"/>
              </w:rPr>
            </w:pPr>
            <w:r>
              <w:rPr>
                <w:rFonts w:ascii="Arial" w:cs="Arial" w:eastAsia="Arial" w:hAnsi="Arial"/>
                <w:sz w:val="14"/>
                <w:szCs w:val="14"/>
                <w:color w:val="auto"/>
              </w:rPr>
              <w:t>4.46 %</w:t>
            </w:r>
          </w:p>
        </w:tc>
        <w:tc>
          <w:tcPr>
            <w:tcW w:w="1080" w:type="dxa"/>
            <w:vAlign w:val="bottom"/>
          </w:tcPr>
          <w:p>
            <w:pPr>
              <w:jc w:val="right"/>
              <w:spacing w:after="0"/>
              <w:rPr>
                <w:sz w:val="20"/>
                <w:szCs w:val="20"/>
                <w:color w:val="auto"/>
              </w:rPr>
            </w:pPr>
            <w:r>
              <w:rPr>
                <w:rFonts w:ascii="Arial" w:cs="Arial" w:eastAsia="Arial" w:hAnsi="Arial"/>
                <w:sz w:val="14"/>
                <w:szCs w:val="14"/>
                <w:color w:val="auto"/>
              </w:rPr>
              <w:t>2,600</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Senior notes issued in 2015</w:t>
            </w:r>
          </w:p>
        </w:tc>
        <w:tc>
          <w:tcPr>
            <w:tcW w:w="19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tcPr>
          <w:p>
            <w:pPr>
              <w:ind w:left="240"/>
              <w:spacing w:after="0"/>
              <w:rPr>
                <w:sz w:val="20"/>
                <w:szCs w:val="20"/>
                <w:color w:val="auto"/>
              </w:rPr>
            </w:pPr>
            <w:r>
              <w:rPr>
                <w:rFonts w:ascii="Arial" w:cs="Arial" w:eastAsia="Arial" w:hAnsi="Arial"/>
                <w:sz w:val="14"/>
                <w:szCs w:val="14"/>
                <w:color w:val="auto"/>
              </w:rPr>
              <w:t>2.50% notes due 2020</w:t>
            </w:r>
          </w:p>
        </w:tc>
        <w:tc>
          <w:tcPr>
            <w:tcW w:w="1940" w:type="dxa"/>
            <w:vAlign w:val="bottom"/>
          </w:tcPr>
          <w:p>
            <w:pPr>
              <w:ind w:left="1060"/>
              <w:spacing w:after="0"/>
              <w:rPr>
                <w:sz w:val="20"/>
                <w:szCs w:val="20"/>
                <w:color w:val="auto"/>
              </w:rPr>
            </w:pPr>
            <w:r>
              <w:rPr>
                <w:rFonts w:ascii="Arial" w:cs="Arial" w:eastAsia="Arial" w:hAnsi="Arial"/>
                <w:sz w:val="14"/>
                <w:szCs w:val="14"/>
                <w:color w:val="auto"/>
              </w:rPr>
              <w:t>2.65 %</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368"/>
              <w:spacing w:after="0"/>
              <w:rPr>
                <w:sz w:val="20"/>
                <w:szCs w:val="20"/>
                <w:color w:val="auto"/>
              </w:rPr>
            </w:pPr>
            <w:r>
              <w:rPr>
                <w:rFonts w:ascii="Arial" w:cs="Arial" w:eastAsia="Arial" w:hAnsi="Arial"/>
                <w:sz w:val="14"/>
                <w:szCs w:val="14"/>
                <w:color w:val="auto"/>
              </w:rPr>
              <w:t>2.65 %</w:t>
            </w:r>
          </w:p>
        </w:tc>
        <w:tc>
          <w:tcPr>
            <w:tcW w:w="1080" w:type="dxa"/>
            <w:vAlign w:val="bottom"/>
          </w:tcPr>
          <w:p>
            <w:pPr>
              <w:jc w:val="right"/>
              <w:spacing w:after="0"/>
              <w:rPr>
                <w:sz w:val="20"/>
                <w:szCs w:val="20"/>
                <w:color w:val="auto"/>
              </w:rPr>
            </w:pPr>
            <w:r>
              <w:rPr>
                <w:rFonts w:ascii="Arial" w:cs="Arial" w:eastAsia="Arial" w:hAnsi="Arial"/>
                <w:sz w:val="14"/>
                <w:szCs w:val="14"/>
                <w:color w:val="auto"/>
              </w:rPr>
              <w:t>3,750</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3.20% notes due 2022</w:t>
            </w:r>
          </w:p>
        </w:tc>
        <w:tc>
          <w:tcPr>
            <w:tcW w:w="194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3.28 %</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1,000</w:t>
            </w:r>
          </w:p>
        </w:tc>
        <w:tc>
          <w:tcPr>
            <w:tcW w:w="18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3.28 %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5040" w:type="dxa"/>
            <w:vAlign w:val="bottom"/>
          </w:tcPr>
          <w:p>
            <w:pPr>
              <w:ind w:left="240"/>
              <w:spacing w:after="0"/>
              <w:rPr>
                <w:sz w:val="20"/>
                <w:szCs w:val="20"/>
                <w:color w:val="auto"/>
              </w:rPr>
            </w:pPr>
            <w:r>
              <w:rPr>
                <w:rFonts w:ascii="Arial" w:cs="Arial" w:eastAsia="Arial" w:hAnsi="Arial"/>
                <w:sz w:val="14"/>
                <w:szCs w:val="14"/>
                <w:color w:val="auto"/>
              </w:rPr>
              <w:t>3.60% notes due 2025</w:t>
            </w:r>
          </w:p>
        </w:tc>
        <w:tc>
          <w:tcPr>
            <w:tcW w:w="1940" w:type="dxa"/>
            <w:vAlign w:val="bottom"/>
          </w:tcPr>
          <w:p>
            <w:pPr>
              <w:ind w:left="1060"/>
              <w:spacing w:after="0"/>
              <w:rPr>
                <w:sz w:val="20"/>
                <w:szCs w:val="20"/>
                <w:color w:val="auto"/>
              </w:rPr>
            </w:pPr>
            <w:r>
              <w:rPr>
                <w:rFonts w:ascii="Arial" w:cs="Arial" w:eastAsia="Arial" w:hAnsi="Arial"/>
                <w:sz w:val="14"/>
                <w:szCs w:val="14"/>
                <w:color w:val="auto"/>
              </w:rPr>
              <w:t>3.66 %</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3,750</w:t>
            </w:r>
          </w:p>
        </w:tc>
        <w:tc>
          <w:tcPr>
            <w:tcW w:w="1860" w:type="dxa"/>
            <w:vAlign w:val="bottom"/>
          </w:tcPr>
          <w:p>
            <w:pPr>
              <w:jc w:val="right"/>
              <w:ind w:right="368"/>
              <w:spacing w:after="0"/>
              <w:rPr>
                <w:sz w:val="20"/>
                <w:szCs w:val="20"/>
                <w:color w:val="auto"/>
              </w:rPr>
            </w:pPr>
            <w:r>
              <w:rPr>
                <w:rFonts w:ascii="Arial" w:cs="Arial" w:eastAsia="Arial" w:hAnsi="Arial"/>
                <w:sz w:val="14"/>
                <w:szCs w:val="14"/>
                <w:color w:val="auto"/>
              </w:rPr>
              <w:t>3.66 %</w:t>
            </w:r>
          </w:p>
        </w:tc>
        <w:tc>
          <w:tcPr>
            <w:tcW w:w="1080" w:type="dxa"/>
            <w:vAlign w:val="bottom"/>
          </w:tcPr>
          <w:p>
            <w:pPr>
              <w:jc w:val="right"/>
              <w:spacing w:after="0"/>
              <w:rPr>
                <w:sz w:val="20"/>
                <w:szCs w:val="20"/>
                <w:color w:val="auto"/>
              </w:rPr>
            </w:pPr>
            <w:r>
              <w:rPr>
                <w:rFonts w:ascii="Arial" w:cs="Arial" w:eastAsia="Arial" w:hAnsi="Arial"/>
                <w:sz w:val="14"/>
                <w:szCs w:val="14"/>
                <w:color w:val="auto"/>
              </w:rPr>
              <w:t>3,750</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4.50% notes due 2035</w:t>
            </w:r>
          </w:p>
        </w:tc>
        <w:tc>
          <w:tcPr>
            <w:tcW w:w="194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4.58 %</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2,500</w:t>
            </w:r>
          </w:p>
        </w:tc>
        <w:tc>
          <w:tcPr>
            <w:tcW w:w="18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4.58 %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89"/>
        </w:trPr>
        <w:tc>
          <w:tcPr>
            <w:tcW w:w="5040" w:type="dxa"/>
            <w:vAlign w:val="bottom"/>
          </w:tcPr>
          <w:p>
            <w:pPr>
              <w:ind w:left="240"/>
              <w:spacing w:after="0"/>
              <w:rPr>
                <w:sz w:val="20"/>
                <w:szCs w:val="20"/>
                <w:color w:val="auto"/>
              </w:rPr>
            </w:pPr>
            <w:r>
              <w:rPr>
                <w:rFonts w:ascii="Arial" w:cs="Arial" w:eastAsia="Arial" w:hAnsi="Arial"/>
                <w:sz w:val="14"/>
                <w:szCs w:val="14"/>
                <w:color w:val="auto"/>
              </w:rPr>
              <w:t>4.70% notes due 2045</w:t>
            </w:r>
          </w:p>
        </w:tc>
        <w:tc>
          <w:tcPr>
            <w:tcW w:w="1940" w:type="dxa"/>
            <w:vAlign w:val="bottom"/>
          </w:tcPr>
          <w:p>
            <w:pPr>
              <w:ind w:left="1060"/>
              <w:spacing w:after="0"/>
              <w:rPr>
                <w:sz w:val="20"/>
                <w:szCs w:val="20"/>
                <w:color w:val="auto"/>
              </w:rPr>
            </w:pPr>
            <w:r>
              <w:rPr>
                <w:rFonts w:ascii="Arial" w:cs="Arial" w:eastAsia="Arial" w:hAnsi="Arial"/>
                <w:sz w:val="14"/>
                <w:szCs w:val="14"/>
                <w:color w:val="auto"/>
              </w:rPr>
              <w:t>4.73 %</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2,700</w:t>
            </w:r>
          </w:p>
        </w:tc>
        <w:tc>
          <w:tcPr>
            <w:tcW w:w="1860" w:type="dxa"/>
            <w:vAlign w:val="bottom"/>
          </w:tcPr>
          <w:p>
            <w:pPr>
              <w:jc w:val="right"/>
              <w:ind w:right="368"/>
              <w:spacing w:after="0"/>
              <w:rPr>
                <w:sz w:val="20"/>
                <w:szCs w:val="20"/>
                <w:color w:val="auto"/>
              </w:rPr>
            </w:pPr>
            <w:r>
              <w:rPr>
                <w:rFonts w:ascii="Arial" w:cs="Arial" w:eastAsia="Arial" w:hAnsi="Arial"/>
                <w:sz w:val="14"/>
                <w:szCs w:val="14"/>
                <w:color w:val="auto"/>
              </w:rPr>
              <w:t>4.73 %</w:t>
            </w:r>
          </w:p>
        </w:tc>
        <w:tc>
          <w:tcPr>
            <w:tcW w:w="1080" w:type="dxa"/>
            <w:vAlign w:val="bottom"/>
          </w:tcPr>
          <w:p>
            <w:pPr>
              <w:jc w:val="right"/>
              <w:spacing w:after="0"/>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Senior notes issued in 2016</w:t>
            </w:r>
          </w:p>
        </w:tc>
        <w:tc>
          <w:tcPr>
            <w:tcW w:w="19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tcPr>
          <w:p>
            <w:pPr>
              <w:ind w:left="240"/>
              <w:spacing w:after="0"/>
              <w:rPr>
                <w:sz w:val="20"/>
                <w:szCs w:val="20"/>
                <w:color w:val="auto"/>
              </w:rPr>
            </w:pPr>
            <w:r>
              <w:rPr>
                <w:rFonts w:ascii="Arial" w:cs="Arial" w:eastAsia="Arial" w:hAnsi="Arial"/>
                <w:sz w:val="14"/>
                <w:szCs w:val="14"/>
                <w:color w:val="auto"/>
              </w:rPr>
              <w:t>2.30% notes due 2021</w:t>
            </w:r>
          </w:p>
        </w:tc>
        <w:tc>
          <w:tcPr>
            <w:tcW w:w="1940" w:type="dxa"/>
            <w:vAlign w:val="bottom"/>
          </w:tcPr>
          <w:p>
            <w:pPr>
              <w:ind w:left="1060"/>
              <w:spacing w:after="0"/>
              <w:rPr>
                <w:sz w:val="20"/>
                <w:szCs w:val="20"/>
                <w:color w:val="auto"/>
              </w:rPr>
            </w:pPr>
            <w:r>
              <w:rPr>
                <w:rFonts w:ascii="Arial" w:cs="Arial" w:eastAsia="Arial" w:hAnsi="Arial"/>
                <w:sz w:val="14"/>
                <w:szCs w:val="14"/>
                <w:color w:val="auto"/>
              </w:rPr>
              <w:t>2.40 %</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1,800</w:t>
            </w:r>
          </w:p>
        </w:tc>
        <w:tc>
          <w:tcPr>
            <w:tcW w:w="1860" w:type="dxa"/>
            <w:vAlign w:val="bottom"/>
          </w:tcPr>
          <w:p>
            <w:pPr>
              <w:jc w:val="right"/>
              <w:ind w:right="368"/>
              <w:spacing w:after="0"/>
              <w:rPr>
                <w:sz w:val="20"/>
                <w:szCs w:val="20"/>
                <w:color w:val="auto"/>
              </w:rPr>
            </w:pPr>
            <w:r>
              <w:rPr>
                <w:rFonts w:ascii="Arial" w:cs="Arial" w:eastAsia="Arial" w:hAnsi="Arial"/>
                <w:sz w:val="14"/>
                <w:szCs w:val="14"/>
                <w:color w:val="auto"/>
              </w:rPr>
              <w:t>2.40 %</w:t>
            </w:r>
          </w:p>
        </w:tc>
        <w:tc>
          <w:tcPr>
            <w:tcW w:w="1080" w:type="dxa"/>
            <w:vAlign w:val="bottom"/>
          </w:tcPr>
          <w:p>
            <w:pPr>
              <w:jc w:val="right"/>
              <w:spacing w:after="0"/>
              <w:rPr>
                <w:sz w:val="20"/>
                <w:szCs w:val="20"/>
                <w:color w:val="auto"/>
              </w:rPr>
            </w:pPr>
            <w:r>
              <w:rPr>
                <w:rFonts w:ascii="Arial" w:cs="Arial" w:eastAsia="Arial" w:hAnsi="Arial"/>
                <w:sz w:val="14"/>
                <w:szCs w:val="14"/>
                <w:color w:val="auto"/>
              </w:rPr>
              <w:t>1,800</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2.85% notes due 2023</w:t>
            </w:r>
          </w:p>
        </w:tc>
        <w:tc>
          <w:tcPr>
            <w:tcW w:w="194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2.91 %</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1,000</w:t>
            </w:r>
          </w:p>
        </w:tc>
        <w:tc>
          <w:tcPr>
            <w:tcW w:w="18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2.91 %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5040" w:type="dxa"/>
            <w:vAlign w:val="bottom"/>
          </w:tcPr>
          <w:p>
            <w:pPr>
              <w:ind w:left="240"/>
              <w:spacing w:after="0"/>
              <w:rPr>
                <w:sz w:val="20"/>
                <w:szCs w:val="20"/>
                <w:color w:val="auto"/>
              </w:rPr>
            </w:pPr>
            <w:r>
              <w:rPr>
                <w:rFonts w:ascii="Arial" w:cs="Arial" w:eastAsia="Arial" w:hAnsi="Arial"/>
                <w:sz w:val="14"/>
                <w:szCs w:val="14"/>
                <w:color w:val="auto"/>
              </w:rPr>
              <w:t>3.20% notes due 2026</w:t>
            </w:r>
          </w:p>
        </w:tc>
        <w:tc>
          <w:tcPr>
            <w:tcW w:w="1940" w:type="dxa"/>
            <w:vAlign w:val="bottom"/>
          </w:tcPr>
          <w:p>
            <w:pPr>
              <w:ind w:left="1060"/>
              <w:spacing w:after="0"/>
              <w:rPr>
                <w:sz w:val="20"/>
                <w:szCs w:val="20"/>
                <w:color w:val="auto"/>
              </w:rPr>
            </w:pPr>
            <w:r>
              <w:rPr>
                <w:rFonts w:ascii="Arial" w:cs="Arial" w:eastAsia="Arial" w:hAnsi="Arial"/>
                <w:sz w:val="14"/>
                <w:szCs w:val="14"/>
                <w:color w:val="auto"/>
              </w:rPr>
              <w:t>3.28 %</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2,000</w:t>
            </w:r>
          </w:p>
        </w:tc>
        <w:tc>
          <w:tcPr>
            <w:tcW w:w="1860" w:type="dxa"/>
            <w:vAlign w:val="bottom"/>
          </w:tcPr>
          <w:p>
            <w:pPr>
              <w:jc w:val="right"/>
              <w:ind w:right="368"/>
              <w:spacing w:after="0"/>
              <w:rPr>
                <w:sz w:val="20"/>
                <w:szCs w:val="20"/>
                <w:color w:val="auto"/>
              </w:rPr>
            </w:pPr>
            <w:r>
              <w:rPr>
                <w:rFonts w:ascii="Arial" w:cs="Arial" w:eastAsia="Arial" w:hAnsi="Arial"/>
                <w:sz w:val="14"/>
                <w:szCs w:val="14"/>
                <w:color w:val="auto"/>
              </w:rPr>
              <w:t>3.28 %</w:t>
            </w:r>
          </w:p>
        </w:tc>
        <w:tc>
          <w:tcPr>
            <w:tcW w:w="1080" w:type="dxa"/>
            <w:vAlign w:val="bottom"/>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4.30% notes due 2036</w:t>
            </w:r>
          </w:p>
        </w:tc>
        <w:tc>
          <w:tcPr>
            <w:tcW w:w="194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4.37 %</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1,000</w:t>
            </w:r>
          </w:p>
        </w:tc>
        <w:tc>
          <w:tcPr>
            <w:tcW w:w="18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4.37 %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5040" w:type="dxa"/>
            <w:vAlign w:val="bottom"/>
          </w:tcPr>
          <w:p>
            <w:pPr>
              <w:ind w:left="240"/>
              <w:spacing w:after="0"/>
              <w:rPr>
                <w:sz w:val="20"/>
                <w:szCs w:val="20"/>
                <w:color w:val="auto"/>
              </w:rPr>
            </w:pPr>
            <w:r>
              <w:rPr>
                <w:rFonts w:ascii="Arial" w:cs="Arial" w:eastAsia="Arial" w:hAnsi="Arial"/>
                <w:sz w:val="14"/>
                <w:szCs w:val="14"/>
                <w:color w:val="auto"/>
              </w:rPr>
              <w:t>4.45% notes due 2046</w:t>
            </w:r>
          </w:p>
        </w:tc>
        <w:tc>
          <w:tcPr>
            <w:tcW w:w="1940" w:type="dxa"/>
            <w:vAlign w:val="bottom"/>
          </w:tcPr>
          <w:p>
            <w:pPr>
              <w:ind w:left="1060"/>
              <w:spacing w:after="0"/>
              <w:rPr>
                <w:sz w:val="20"/>
                <w:szCs w:val="20"/>
                <w:color w:val="auto"/>
              </w:rPr>
            </w:pPr>
            <w:r>
              <w:rPr>
                <w:rFonts w:ascii="Arial" w:cs="Arial" w:eastAsia="Arial" w:hAnsi="Arial"/>
                <w:sz w:val="14"/>
                <w:szCs w:val="14"/>
                <w:color w:val="auto"/>
              </w:rPr>
              <w:t>4.50 %</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2,000</w:t>
            </w:r>
          </w:p>
        </w:tc>
        <w:tc>
          <w:tcPr>
            <w:tcW w:w="1860" w:type="dxa"/>
            <w:vAlign w:val="bottom"/>
          </w:tcPr>
          <w:p>
            <w:pPr>
              <w:jc w:val="right"/>
              <w:ind w:right="368"/>
              <w:spacing w:after="0"/>
              <w:rPr>
                <w:sz w:val="20"/>
                <w:szCs w:val="20"/>
                <w:color w:val="auto"/>
              </w:rPr>
            </w:pPr>
            <w:r>
              <w:rPr>
                <w:rFonts w:ascii="Arial" w:cs="Arial" w:eastAsia="Arial" w:hAnsi="Arial"/>
                <w:sz w:val="14"/>
                <w:szCs w:val="14"/>
                <w:color w:val="auto"/>
              </w:rPr>
              <w:t>4.50 %</w:t>
            </w:r>
          </w:p>
        </w:tc>
        <w:tc>
          <w:tcPr>
            <w:tcW w:w="1080" w:type="dxa"/>
            <w:vAlign w:val="bottom"/>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Senior Euro notes issued in 2016</w:t>
            </w:r>
          </w:p>
        </w:tc>
        <w:tc>
          <w:tcPr>
            <w:tcW w:w="19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tcPr>
          <w:p>
            <w:pPr>
              <w:ind w:left="240"/>
              <w:spacing w:after="0"/>
              <w:rPr>
                <w:sz w:val="20"/>
                <w:szCs w:val="20"/>
                <w:color w:val="auto"/>
              </w:rPr>
            </w:pPr>
            <w:r>
              <w:rPr>
                <w:rFonts w:ascii="Arial" w:cs="Arial" w:eastAsia="Arial" w:hAnsi="Arial"/>
                <w:sz w:val="14"/>
                <w:szCs w:val="14"/>
                <w:color w:val="auto"/>
              </w:rPr>
              <w:t>1.375% notes due 2024 (€1,450 principal)</w:t>
            </w:r>
          </w:p>
        </w:tc>
        <w:tc>
          <w:tcPr>
            <w:tcW w:w="1940" w:type="dxa"/>
            <w:vAlign w:val="bottom"/>
          </w:tcPr>
          <w:p>
            <w:pPr>
              <w:ind w:left="1060"/>
              <w:spacing w:after="0"/>
              <w:rPr>
                <w:sz w:val="20"/>
                <w:szCs w:val="20"/>
                <w:color w:val="auto"/>
              </w:rPr>
            </w:pPr>
            <w:r>
              <w:rPr>
                <w:rFonts w:ascii="Arial" w:cs="Arial" w:eastAsia="Arial" w:hAnsi="Arial"/>
                <w:sz w:val="14"/>
                <w:szCs w:val="14"/>
                <w:color w:val="auto"/>
              </w:rPr>
              <w:t>1.46 %</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1,783</w:t>
            </w:r>
          </w:p>
        </w:tc>
        <w:tc>
          <w:tcPr>
            <w:tcW w:w="1860" w:type="dxa"/>
            <w:vAlign w:val="bottom"/>
          </w:tcPr>
          <w:p>
            <w:pPr>
              <w:jc w:val="right"/>
              <w:ind w:right="368"/>
              <w:spacing w:after="0"/>
              <w:rPr>
                <w:sz w:val="20"/>
                <w:szCs w:val="20"/>
                <w:color w:val="auto"/>
              </w:rPr>
            </w:pPr>
            <w:r>
              <w:rPr>
                <w:rFonts w:ascii="Arial" w:cs="Arial" w:eastAsia="Arial" w:hAnsi="Arial"/>
                <w:sz w:val="14"/>
                <w:szCs w:val="14"/>
                <w:color w:val="auto"/>
              </w:rPr>
              <w:t>1.46 %</w:t>
            </w:r>
          </w:p>
        </w:tc>
        <w:tc>
          <w:tcPr>
            <w:tcW w:w="1080" w:type="dxa"/>
            <w:vAlign w:val="bottom"/>
          </w:tcPr>
          <w:p>
            <w:pPr>
              <w:jc w:val="right"/>
              <w:spacing w:after="0"/>
              <w:rPr>
                <w:sz w:val="20"/>
                <w:szCs w:val="20"/>
                <w:color w:val="auto"/>
              </w:rPr>
            </w:pPr>
            <w:r>
              <w:rPr>
                <w:rFonts w:ascii="Arial" w:cs="Arial" w:eastAsia="Arial" w:hAnsi="Arial"/>
                <w:sz w:val="14"/>
                <w:szCs w:val="14"/>
                <w:color w:val="auto"/>
              </w:rPr>
              <w:t>1,625</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2.125% notes due 2028 (€750 principal)</w:t>
            </w:r>
          </w:p>
        </w:tc>
        <w:tc>
          <w:tcPr>
            <w:tcW w:w="194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2.18 %</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922</w:t>
            </w:r>
          </w:p>
        </w:tc>
        <w:tc>
          <w:tcPr>
            <w:tcW w:w="18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2.18 %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189"/>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Senior notes issued in 2018</w:t>
            </w:r>
          </w:p>
        </w:tc>
        <w:tc>
          <w:tcPr>
            <w:tcW w:w="1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3.375% notes due 2021</w:t>
            </w:r>
          </w:p>
        </w:tc>
        <w:tc>
          <w:tcPr>
            <w:tcW w:w="194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3.51 %</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1,250</w:t>
            </w:r>
          </w:p>
        </w:tc>
        <w:tc>
          <w:tcPr>
            <w:tcW w:w="18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3.51 %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189"/>
        </w:trPr>
        <w:tc>
          <w:tcPr>
            <w:tcW w:w="5040" w:type="dxa"/>
            <w:vAlign w:val="bottom"/>
          </w:tcPr>
          <w:p>
            <w:pPr>
              <w:ind w:left="240"/>
              <w:spacing w:after="0"/>
              <w:rPr>
                <w:sz w:val="20"/>
                <w:szCs w:val="20"/>
                <w:color w:val="auto"/>
              </w:rPr>
            </w:pPr>
            <w:r>
              <w:rPr>
                <w:rFonts w:ascii="Arial" w:cs="Arial" w:eastAsia="Arial" w:hAnsi="Arial"/>
                <w:sz w:val="14"/>
                <w:szCs w:val="14"/>
                <w:color w:val="auto"/>
              </w:rPr>
              <w:t>3.75% notes due 2023</w:t>
            </w:r>
          </w:p>
        </w:tc>
        <w:tc>
          <w:tcPr>
            <w:tcW w:w="1940" w:type="dxa"/>
            <w:vAlign w:val="bottom"/>
          </w:tcPr>
          <w:p>
            <w:pPr>
              <w:ind w:left="1060"/>
              <w:spacing w:after="0"/>
              <w:rPr>
                <w:sz w:val="20"/>
                <w:szCs w:val="20"/>
                <w:color w:val="auto"/>
              </w:rPr>
            </w:pPr>
            <w:r>
              <w:rPr>
                <w:rFonts w:ascii="Arial" w:cs="Arial" w:eastAsia="Arial" w:hAnsi="Arial"/>
                <w:sz w:val="14"/>
                <w:szCs w:val="14"/>
                <w:color w:val="auto"/>
              </w:rPr>
              <w:t>3.84 %</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1,250</w:t>
            </w:r>
          </w:p>
        </w:tc>
        <w:tc>
          <w:tcPr>
            <w:tcW w:w="1860" w:type="dxa"/>
            <w:vAlign w:val="bottom"/>
          </w:tcPr>
          <w:p>
            <w:pPr>
              <w:jc w:val="right"/>
              <w:ind w:right="368"/>
              <w:spacing w:after="0"/>
              <w:rPr>
                <w:sz w:val="20"/>
                <w:szCs w:val="20"/>
                <w:color w:val="auto"/>
              </w:rPr>
            </w:pPr>
            <w:r>
              <w:rPr>
                <w:rFonts w:ascii="Arial" w:cs="Arial" w:eastAsia="Arial" w:hAnsi="Arial"/>
                <w:sz w:val="14"/>
                <w:szCs w:val="14"/>
                <w:color w:val="auto"/>
              </w:rPr>
              <w:t>3.84 %</w:t>
            </w:r>
          </w:p>
        </w:tc>
        <w:tc>
          <w:tcPr>
            <w:tcW w:w="1080" w:type="dxa"/>
            <w:vAlign w:val="bottom"/>
          </w:tcPr>
          <w:p>
            <w:pPr>
              <w:jc w:val="right"/>
              <w:spacing w:after="0"/>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4.25% notes due 2028</w:t>
            </w:r>
          </w:p>
        </w:tc>
        <w:tc>
          <w:tcPr>
            <w:tcW w:w="194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4.38 %</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1,750</w:t>
            </w:r>
          </w:p>
        </w:tc>
        <w:tc>
          <w:tcPr>
            <w:tcW w:w="18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4.38 %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w:t>
            </w:r>
          </w:p>
        </w:tc>
        <w:tc>
          <w:tcPr>
            <w:tcW w:w="0" w:type="dxa"/>
            <w:vAlign w:val="bottom"/>
          </w:tcPr>
          <w:p>
            <w:pPr>
              <w:spacing w:after="0"/>
              <w:rPr>
                <w:sz w:val="1"/>
                <w:szCs w:val="1"/>
                <w:color w:val="auto"/>
              </w:rPr>
            </w:pPr>
          </w:p>
        </w:tc>
      </w:tr>
      <w:tr>
        <w:trPr>
          <w:trHeight w:val="189"/>
        </w:trPr>
        <w:tc>
          <w:tcPr>
            <w:tcW w:w="5040" w:type="dxa"/>
            <w:vAlign w:val="bottom"/>
          </w:tcPr>
          <w:p>
            <w:pPr>
              <w:ind w:left="240"/>
              <w:spacing w:after="0"/>
              <w:rPr>
                <w:sz w:val="20"/>
                <w:szCs w:val="20"/>
                <w:color w:val="auto"/>
              </w:rPr>
            </w:pPr>
            <w:r>
              <w:rPr>
                <w:rFonts w:ascii="Arial" w:cs="Arial" w:eastAsia="Arial" w:hAnsi="Arial"/>
                <w:sz w:val="14"/>
                <w:szCs w:val="14"/>
                <w:color w:val="auto"/>
              </w:rPr>
              <w:t>4.875% notes due 2048</w:t>
            </w:r>
          </w:p>
        </w:tc>
        <w:tc>
          <w:tcPr>
            <w:tcW w:w="1940" w:type="dxa"/>
            <w:vAlign w:val="bottom"/>
          </w:tcPr>
          <w:p>
            <w:pPr>
              <w:ind w:left="1060"/>
              <w:spacing w:after="0"/>
              <w:rPr>
                <w:sz w:val="20"/>
                <w:szCs w:val="20"/>
                <w:color w:val="auto"/>
              </w:rPr>
            </w:pPr>
            <w:r>
              <w:rPr>
                <w:rFonts w:ascii="Arial" w:cs="Arial" w:eastAsia="Arial" w:hAnsi="Arial"/>
                <w:sz w:val="14"/>
                <w:szCs w:val="14"/>
                <w:color w:val="auto"/>
              </w:rPr>
              <w:t>4.94 %</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1,750</w:t>
            </w:r>
          </w:p>
        </w:tc>
        <w:tc>
          <w:tcPr>
            <w:tcW w:w="1860" w:type="dxa"/>
            <w:vAlign w:val="bottom"/>
          </w:tcPr>
          <w:p>
            <w:pPr>
              <w:jc w:val="right"/>
              <w:ind w:right="368"/>
              <w:spacing w:after="0"/>
              <w:rPr>
                <w:sz w:val="20"/>
                <w:szCs w:val="20"/>
                <w:color w:val="auto"/>
              </w:rPr>
            </w:pPr>
            <w:r>
              <w:rPr>
                <w:rFonts w:ascii="Arial" w:cs="Arial" w:eastAsia="Arial" w:hAnsi="Arial"/>
                <w:sz w:val="14"/>
                <w:szCs w:val="14"/>
                <w:color w:val="auto"/>
              </w:rPr>
              <w:t>4.94 %</w:t>
            </w:r>
          </w:p>
        </w:tc>
        <w:tc>
          <w:tcPr>
            <w:tcW w:w="1080" w:type="dxa"/>
            <w:vAlign w:val="bottom"/>
          </w:tcPr>
          <w:p>
            <w:pPr>
              <w:jc w:val="right"/>
              <w:spacing w:after="0"/>
              <w:rPr>
                <w:sz w:val="20"/>
                <w:szCs w:val="20"/>
                <w:color w:val="auto"/>
              </w:rPr>
            </w:pPr>
            <w:r>
              <w:rPr>
                <w:rFonts w:ascii="Arial" w:cs="Arial" w:eastAsia="Arial" w:hAnsi="Arial"/>
                <w:sz w:val="14"/>
                <w:szCs w:val="14"/>
                <w:color w:val="auto"/>
              </w:rPr>
              <w:t>1,750</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Senior Euro notes issued in 2019</w:t>
            </w:r>
          </w:p>
        </w:tc>
        <w:tc>
          <w:tcPr>
            <w:tcW w:w="19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tcPr>
          <w:p>
            <w:pPr>
              <w:ind w:left="220"/>
              <w:spacing w:after="0"/>
              <w:rPr>
                <w:sz w:val="20"/>
                <w:szCs w:val="20"/>
                <w:color w:val="auto"/>
              </w:rPr>
            </w:pPr>
            <w:r>
              <w:rPr>
                <w:rFonts w:ascii="Arial" w:cs="Arial" w:eastAsia="Arial" w:hAnsi="Arial"/>
                <w:sz w:val="14"/>
                <w:szCs w:val="14"/>
                <w:color w:val="auto"/>
              </w:rPr>
              <w:t>0.75% notes due 2027 (€750 principal)</w:t>
            </w:r>
          </w:p>
        </w:tc>
        <w:tc>
          <w:tcPr>
            <w:tcW w:w="1940" w:type="dxa"/>
            <w:vAlign w:val="bottom"/>
          </w:tcPr>
          <w:p>
            <w:pPr>
              <w:ind w:left="1060"/>
              <w:spacing w:after="0"/>
              <w:rPr>
                <w:sz w:val="20"/>
                <w:szCs w:val="20"/>
                <w:color w:val="auto"/>
              </w:rPr>
            </w:pPr>
            <w:r>
              <w:rPr>
                <w:rFonts w:ascii="Arial" w:cs="Arial" w:eastAsia="Arial" w:hAnsi="Arial"/>
                <w:sz w:val="14"/>
                <w:szCs w:val="14"/>
                <w:color w:val="auto"/>
              </w:rPr>
              <w:t>0.86 %</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922</w:t>
            </w:r>
          </w:p>
        </w:tc>
        <w:tc>
          <w:tcPr>
            <w:tcW w:w="1860" w:type="dxa"/>
            <w:vAlign w:val="bottom"/>
          </w:tcPr>
          <w:p>
            <w:pPr>
              <w:jc w:val="right"/>
              <w:ind w:right="368"/>
              <w:spacing w:after="0"/>
              <w:rPr>
                <w:sz w:val="20"/>
                <w:szCs w:val="20"/>
                <w:color w:val="auto"/>
              </w:rPr>
            </w:pPr>
            <w:r>
              <w:rPr>
                <w:rFonts w:ascii="Arial" w:cs="Arial" w:eastAsia="Arial" w:hAnsi="Arial"/>
                <w:sz w:val="14"/>
                <w:szCs w:val="14"/>
                <w:color w:val="auto"/>
              </w:rPr>
              <w:t>0.86 %</w:t>
            </w:r>
          </w:p>
        </w:tc>
        <w:tc>
          <w:tcPr>
            <w:tcW w:w="1080" w:type="dxa"/>
            <w:vAlign w:val="bottom"/>
          </w:tcPr>
          <w:p>
            <w:pPr>
              <w:jc w:val="right"/>
              <w:spacing w:after="0"/>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1.25% notes due 2031 (€650 principal)</w:t>
            </w:r>
          </w:p>
        </w:tc>
        <w:tc>
          <w:tcPr>
            <w:tcW w:w="194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1.30 %</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799</w:t>
            </w:r>
          </w:p>
        </w:tc>
        <w:tc>
          <w:tcPr>
            <w:tcW w:w="18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1.30 %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189"/>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Senior notes issued in 2019</w:t>
            </w:r>
          </w:p>
        </w:tc>
        <w:tc>
          <w:tcPr>
            <w:tcW w:w="1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Floating rate notes due May 2021</w:t>
            </w:r>
          </w:p>
        </w:tc>
        <w:tc>
          <w:tcPr>
            <w:tcW w:w="194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1.33 %</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750</w:t>
            </w:r>
          </w:p>
        </w:tc>
        <w:tc>
          <w:tcPr>
            <w:tcW w:w="18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2.08 %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89"/>
        </w:trPr>
        <w:tc>
          <w:tcPr>
            <w:tcW w:w="5040" w:type="dxa"/>
            <w:vAlign w:val="bottom"/>
          </w:tcPr>
          <w:p>
            <w:pPr>
              <w:ind w:left="220"/>
              <w:spacing w:after="0"/>
              <w:rPr>
                <w:sz w:val="20"/>
                <w:szCs w:val="20"/>
                <w:color w:val="auto"/>
              </w:rPr>
            </w:pPr>
            <w:r>
              <w:rPr>
                <w:rFonts w:ascii="Arial" w:cs="Arial" w:eastAsia="Arial" w:hAnsi="Arial"/>
                <w:sz w:val="14"/>
                <w:szCs w:val="14"/>
                <w:color w:val="auto"/>
              </w:rPr>
              <w:t>Floating rate notes due November 2021</w:t>
            </w:r>
          </w:p>
        </w:tc>
        <w:tc>
          <w:tcPr>
            <w:tcW w:w="1940" w:type="dxa"/>
            <w:vAlign w:val="bottom"/>
          </w:tcPr>
          <w:p>
            <w:pPr>
              <w:ind w:left="1060"/>
              <w:spacing w:after="0"/>
              <w:rPr>
                <w:sz w:val="20"/>
                <w:szCs w:val="20"/>
                <w:color w:val="auto"/>
              </w:rPr>
            </w:pPr>
            <w:r>
              <w:rPr>
                <w:rFonts w:ascii="Arial" w:cs="Arial" w:eastAsia="Arial" w:hAnsi="Arial"/>
                <w:sz w:val="14"/>
                <w:szCs w:val="14"/>
                <w:color w:val="auto"/>
              </w:rPr>
              <w:t>1.42 %</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750</w:t>
            </w:r>
          </w:p>
        </w:tc>
        <w:tc>
          <w:tcPr>
            <w:tcW w:w="1860" w:type="dxa"/>
            <w:vAlign w:val="bottom"/>
          </w:tcPr>
          <w:p>
            <w:pPr>
              <w:jc w:val="right"/>
              <w:ind w:right="368"/>
              <w:spacing w:after="0"/>
              <w:rPr>
                <w:sz w:val="20"/>
                <w:szCs w:val="20"/>
                <w:color w:val="auto"/>
              </w:rPr>
            </w:pPr>
            <w:r>
              <w:rPr>
                <w:rFonts w:ascii="Arial" w:cs="Arial" w:eastAsia="Arial" w:hAnsi="Arial"/>
                <w:sz w:val="14"/>
                <w:szCs w:val="14"/>
                <w:color w:val="auto"/>
              </w:rPr>
              <w:t>2.12 %</w:t>
            </w:r>
          </w:p>
        </w:tc>
        <w:tc>
          <w:tcPr>
            <w:tcW w:w="1080" w:type="dxa"/>
            <w:vAlign w:val="bottom"/>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Floating rate notes due 2022</w:t>
            </w:r>
          </w:p>
        </w:tc>
        <w:tc>
          <w:tcPr>
            <w:tcW w:w="194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1.62 %</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750</w:t>
            </w:r>
          </w:p>
        </w:tc>
        <w:tc>
          <w:tcPr>
            <w:tcW w:w="18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2.29 %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89"/>
        </w:trPr>
        <w:tc>
          <w:tcPr>
            <w:tcW w:w="5040" w:type="dxa"/>
            <w:vAlign w:val="bottom"/>
          </w:tcPr>
          <w:p>
            <w:pPr>
              <w:ind w:left="220"/>
              <w:spacing w:after="0"/>
              <w:rPr>
                <w:sz w:val="20"/>
                <w:szCs w:val="20"/>
                <w:color w:val="auto"/>
              </w:rPr>
            </w:pPr>
            <w:r>
              <w:rPr>
                <w:rFonts w:ascii="Arial" w:cs="Arial" w:eastAsia="Arial" w:hAnsi="Arial"/>
                <w:sz w:val="14"/>
                <w:szCs w:val="14"/>
                <w:color w:val="auto"/>
              </w:rPr>
              <w:t>2.15% notes due 2021</w:t>
            </w:r>
          </w:p>
        </w:tc>
        <w:tc>
          <w:tcPr>
            <w:tcW w:w="1940" w:type="dxa"/>
            <w:vAlign w:val="bottom"/>
          </w:tcPr>
          <w:p>
            <w:pPr>
              <w:ind w:left="1060"/>
              <w:spacing w:after="0"/>
              <w:rPr>
                <w:sz w:val="20"/>
                <w:szCs w:val="20"/>
                <w:color w:val="auto"/>
              </w:rPr>
            </w:pPr>
            <w:r>
              <w:rPr>
                <w:rFonts w:ascii="Arial" w:cs="Arial" w:eastAsia="Arial" w:hAnsi="Arial"/>
                <w:sz w:val="14"/>
                <w:szCs w:val="14"/>
                <w:color w:val="auto"/>
              </w:rPr>
              <w:t>2.23 %</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1,750</w:t>
            </w:r>
          </w:p>
        </w:tc>
        <w:tc>
          <w:tcPr>
            <w:tcW w:w="1860" w:type="dxa"/>
            <w:vAlign w:val="bottom"/>
          </w:tcPr>
          <w:p>
            <w:pPr>
              <w:jc w:val="right"/>
              <w:ind w:right="368"/>
              <w:spacing w:after="0"/>
              <w:rPr>
                <w:sz w:val="20"/>
                <w:szCs w:val="20"/>
                <w:color w:val="auto"/>
              </w:rPr>
            </w:pPr>
            <w:r>
              <w:rPr>
                <w:rFonts w:ascii="Arial" w:cs="Arial" w:eastAsia="Arial" w:hAnsi="Arial"/>
                <w:sz w:val="14"/>
                <w:szCs w:val="14"/>
                <w:color w:val="auto"/>
              </w:rPr>
              <w:t>2.23 %</w:t>
            </w:r>
          </w:p>
        </w:tc>
        <w:tc>
          <w:tcPr>
            <w:tcW w:w="1080" w:type="dxa"/>
            <w:vAlign w:val="bottom"/>
          </w:tcPr>
          <w:p>
            <w:pPr>
              <w:jc w:val="right"/>
              <w:spacing w:after="0"/>
              <w:rPr>
                <w:sz w:val="20"/>
                <w:szCs w:val="20"/>
                <w:color w:val="auto"/>
              </w:rPr>
            </w:pPr>
            <w:r>
              <w:rPr>
                <w:rFonts w:ascii="Arial" w:cs="Arial" w:eastAsia="Arial" w:hAnsi="Arial"/>
                <w:sz w:val="14"/>
                <w:szCs w:val="14"/>
                <w:color w:val="auto"/>
              </w:rPr>
              <w:t>1,750</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2.30% notes due 2022</w:t>
            </w:r>
          </w:p>
        </w:tc>
        <w:tc>
          <w:tcPr>
            <w:tcW w:w="194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2.42 %</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3,000</w:t>
            </w:r>
          </w:p>
        </w:tc>
        <w:tc>
          <w:tcPr>
            <w:tcW w:w="18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2.42 %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89"/>
        </w:trPr>
        <w:tc>
          <w:tcPr>
            <w:tcW w:w="5040" w:type="dxa"/>
            <w:vAlign w:val="bottom"/>
          </w:tcPr>
          <w:p>
            <w:pPr>
              <w:ind w:left="220"/>
              <w:spacing w:after="0"/>
              <w:rPr>
                <w:sz w:val="20"/>
                <w:szCs w:val="20"/>
                <w:color w:val="auto"/>
              </w:rPr>
            </w:pPr>
            <w:r>
              <w:rPr>
                <w:rFonts w:ascii="Arial" w:cs="Arial" w:eastAsia="Arial" w:hAnsi="Arial"/>
                <w:sz w:val="14"/>
                <w:szCs w:val="14"/>
                <w:color w:val="auto"/>
              </w:rPr>
              <w:t>2.60% notes due 2024</w:t>
            </w:r>
          </w:p>
        </w:tc>
        <w:tc>
          <w:tcPr>
            <w:tcW w:w="1940" w:type="dxa"/>
            <w:vAlign w:val="bottom"/>
          </w:tcPr>
          <w:p>
            <w:pPr>
              <w:ind w:left="1060"/>
              <w:spacing w:after="0"/>
              <w:rPr>
                <w:sz w:val="20"/>
                <w:szCs w:val="20"/>
                <w:color w:val="auto"/>
              </w:rPr>
            </w:pPr>
            <w:r>
              <w:rPr>
                <w:rFonts w:ascii="Arial" w:cs="Arial" w:eastAsia="Arial" w:hAnsi="Arial"/>
                <w:sz w:val="14"/>
                <w:szCs w:val="14"/>
                <w:color w:val="auto"/>
              </w:rPr>
              <w:t>2.69 %</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3,750</w:t>
            </w:r>
          </w:p>
        </w:tc>
        <w:tc>
          <w:tcPr>
            <w:tcW w:w="1860" w:type="dxa"/>
            <w:vAlign w:val="bottom"/>
          </w:tcPr>
          <w:p>
            <w:pPr>
              <w:jc w:val="right"/>
              <w:ind w:right="368"/>
              <w:spacing w:after="0"/>
              <w:rPr>
                <w:sz w:val="20"/>
                <w:szCs w:val="20"/>
                <w:color w:val="auto"/>
              </w:rPr>
            </w:pPr>
            <w:r>
              <w:rPr>
                <w:rFonts w:ascii="Arial" w:cs="Arial" w:eastAsia="Arial" w:hAnsi="Arial"/>
                <w:sz w:val="14"/>
                <w:szCs w:val="14"/>
                <w:color w:val="auto"/>
              </w:rPr>
              <w:t>2.69 %</w:t>
            </w:r>
          </w:p>
        </w:tc>
        <w:tc>
          <w:tcPr>
            <w:tcW w:w="1080" w:type="dxa"/>
            <w:vAlign w:val="bottom"/>
          </w:tcPr>
          <w:p>
            <w:pPr>
              <w:jc w:val="right"/>
              <w:spacing w:after="0"/>
              <w:rPr>
                <w:sz w:val="20"/>
                <w:szCs w:val="20"/>
                <w:color w:val="auto"/>
              </w:rPr>
            </w:pPr>
            <w:r>
              <w:rPr>
                <w:rFonts w:ascii="Arial" w:cs="Arial" w:eastAsia="Arial" w:hAnsi="Arial"/>
                <w:sz w:val="14"/>
                <w:szCs w:val="14"/>
                <w:color w:val="auto"/>
              </w:rPr>
              <w:t>3,750</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2.95% notes due 2026</w:t>
            </w:r>
          </w:p>
        </w:tc>
        <w:tc>
          <w:tcPr>
            <w:tcW w:w="194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3.02 %</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4,000</w:t>
            </w:r>
          </w:p>
        </w:tc>
        <w:tc>
          <w:tcPr>
            <w:tcW w:w="18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3.02 %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89"/>
        </w:trPr>
        <w:tc>
          <w:tcPr>
            <w:tcW w:w="5040" w:type="dxa"/>
            <w:vAlign w:val="bottom"/>
          </w:tcPr>
          <w:p>
            <w:pPr>
              <w:ind w:left="220"/>
              <w:spacing w:after="0"/>
              <w:rPr>
                <w:sz w:val="20"/>
                <w:szCs w:val="20"/>
                <w:color w:val="auto"/>
              </w:rPr>
            </w:pPr>
            <w:r>
              <w:rPr>
                <w:rFonts w:ascii="Arial" w:cs="Arial" w:eastAsia="Arial" w:hAnsi="Arial"/>
                <w:sz w:val="14"/>
                <w:szCs w:val="14"/>
                <w:color w:val="auto"/>
              </w:rPr>
              <w:t>3.20% notes due 2029</w:t>
            </w:r>
          </w:p>
        </w:tc>
        <w:tc>
          <w:tcPr>
            <w:tcW w:w="1940" w:type="dxa"/>
            <w:vAlign w:val="bottom"/>
          </w:tcPr>
          <w:p>
            <w:pPr>
              <w:ind w:left="1060"/>
              <w:spacing w:after="0"/>
              <w:rPr>
                <w:sz w:val="20"/>
                <w:szCs w:val="20"/>
                <w:color w:val="auto"/>
              </w:rPr>
            </w:pPr>
            <w:r>
              <w:rPr>
                <w:rFonts w:ascii="Arial" w:cs="Arial" w:eastAsia="Arial" w:hAnsi="Arial"/>
                <w:sz w:val="14"/>
                <w:szCs w:val="14"/>
                <w:color w:val="auto"/>
              </w:rPr>
              <w:t>3.25 %</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5,500</w:t>
            </w:r>
          </w:p>
        </w:tc>
        <w:tc>
          <w:tcPr>
            <w:tcW w:w="1860" w:type="dxa"/>
            <w:vAlign w:val="bottom"/>
          </w:tcPr>
          <w:p>
            <w:pPr>
              <w:jc w:val="right"/>
              <w:ind w:right="368"/>
              <w:spacing w:after="0"/>
              <w:rPr>
                <w:sz w:val="20"/>
                <w:szCs w:val="20"/>
                <w:color w:val="auto"/>
              </w:rPr>
            </w:pPr>
            <w:r>
              <w:rPr>
                <w:rFonts w:ascii="Arial" w:cs="Arial" w:eastAsia="Arial" w:hAnsi="Arial"/>
                <w:sz w:val="14"/>
                <w:szCs w:val="14"/>
                <w:color w:val="auto"/>
              </w:rPr>
              <w:t>3.25 %</w:t>
            </w:r>
          </w:p>
        </w:tc>
        <w:tc>
          <w:tcPr>
            <w:tcW w:w="1080" w:type="dxa"/>
            <w:vAlign w:val="bottom"/>
          </w:tcPr>
          <w:p>
            <w:pPr>
              <w:jc w:val="right"/>
              <w:spacing w:after="0"/>
              <w:rPr>
                <w:sz w:val="20"/>
                <w:szCs w:val="20"/>
                <w:color w:val="auto"/>
              </w:rPr>
            </w:pPr>
            <w:r>
              <w:rPr>
                <w:rFonts w:ascii="Arial" w:cs="Arial" w:eastAsia="Arial" w:hAnsi="Arial"/>
                <w:sz w:val="14"/>
                <w:szCs w:val="14"/>
                <w:color w:val="auto"/>
              </w:rPr>
              <w:t>5,500</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4.05% notes due 2039</w:t>
            </w:r>
          </w:p>
        </w:tc>
        <w:tc>
          <w:tcPr>
            <w:tcW w:w="194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4.11 %</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4,000</w:t>
            </w:r>
          </w:p>
        </w:tc>
        <w:tc>
          <w:tcPr>
            <w:tcW w:w="18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4.11 %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89"/>
        </w:trPr>
        <w:tc>
          <w:tcPr>
            <w:tcW w:w="5040" w:type="dxa"/>
            <w:vAlign w:val="bottom"/>
          </w:tcPr>
          <w:p>
            <w:pPr>
              <w:ind w:left="220"/>
              <w:spacing w:after="0"/>
              <w:rPr>
                <w:sz w:val="20"/>
                <w:szCs w:val="20"/>
                <w:color w:val="auto"/>
              </w:rPr>
            </w:pPr>
            <w:r>
              <w:rPr>
                <w:rFonts w:ascii="Arial" w:cs="Arial" w:eastAsia="Arial" w:hAnsi="Arial"/>
                <w:sz w:val="14"/>
                <w:szCs w:val="14"/>
                <w:color w:val="auto"/>
              </w:rPr>
              <w:t>4.25% notes due 2049</w:t>
            </w:r>
          </w:p>
        </w:tc>
        <w:tc>
          <w:tcPr>
            <w:tcW w:w="1940" w:type="dxa"/>
            <w:vAlign w:val="bottom"/>
          </w:tcPr>
          <w:p>
            <w:pPr>
              <w:ind w:left="1060"/>
              <w:spacing w:after="0"/>
              <w:rPr>
                <w:sz w:val="20"/>
                <w:szCs w:val="20"/>
                <w:color w:val="auto"/>
              </w:rPr>
            </w:pPr>
            <w:r>
              <w:rPr>
                <w:rFonts w:ascii="Arial" w:cs="Arial" w:eastAsia="Arial" w:hAnsi="Arial"/>
                <w:sz w:val="14"/>
                <w:szCs w:val="14"/>
                <w:color w:val="auto"/>
              </w:rPr>
              <w:t>4.29 %</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5,750</w:t>
            </w:r>
          </w:p>
        </w:tc>
        <w:tc>
          <w:tcPr>
            <w:tcW w:w="1860" w:type="dxa"/>
            <w:vAlign w:val="bottom"/>
          </w:tcPr>
          <w:p>
            <w:pPr>
              <w:jc w:val="right"/>
              <w:ind w:right="368"/>
              <w:spacing w:after="0"/>
              <w:rPr>
                <w:sz w:val="20"/>
                <w:szCs w:val="20"/>
                <w:color w:val="auto"/>
              </w:rPr>
            </w:pPr>
            <w:r>
              <w:rPr>
                <w:rFonts w:ascii="Arial" w:cs="Arial" w:eastAsia="Arial" w:hAnsi="Arial"/>
                <w:sz w:val="14"/>
                <w:szCs w:val="14"/>
                <w:color w:val="auto"/>
              </w:rPr>
              <w:t>4.29 %</w:t>
            </w:r>
          </w:p>
        </w:tc>
        <w:tc>
          <w:tcPr>
            <w:tcW w:w="1080" w:type="dxa"/>
            <w:vAlign w:val="bottom"/>
          </w:tcPr>
          <w:p>
            <w:pPr>
              <w:jc w:val="right"/>
              <w:spacing w:after="0"/>
              <w:rPr>
                <w:sz w:val="20"/>
                <w:szCs w:val="20"/>
                <w:color w:val="auto"/>
              </w:rPr>
            </w:pPr>
            <w:r>
              <w:rPr>
                <w:rFonts w:ascii="Arial" w:cs="Arial" w:eastAsia="Arial" w:hAnsi="Arial"/>
                <w:sz w:val="14"/>
                <w:szCs w:val="14"/>
                <w:color w:val="auto"/>
              </w:rPr>
              <w:t>5,750</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Term loan facilities</w:t>
            </w:r>
          </w:p>
        </w:tc>
        <w:tc>
          <w:tcPr>
            <w:tcW w:w="19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tcPr>
          <w:p>
            <w:pPr>
              <w:ind w:left="220"/>
              <w:spacing w:after="0"/>
              <w:rPr>
                <w:sz w:val="20"/>
                <w:szCs w:val="20"/>
                <w:color w:val="auto"/>
              </w:rPr>
            </w:pPr>
            <w:r>
              <w:rPr>
                <w:rFonts w:ascii="Arial" w:cs="Arial" w:eastAsia="Arial" w:hAnsi="Arial"/>
                <w:sz w:val="14"/>
                <w:szCs w:val="14"/>
                <w:color w:val="auto"/>
              </w:rPr>
              <w:t>Floating rate notes due 2023</w:t>
            </w:r>
          </w:p>
        </w:tc>
        <w:tc>
          <w:tcPr>
            <w:tcW w:w="1940" w:type="dxa"/>
            <w:vAlign w:val="bottom"/>
          </w:tcPr>
          <w:p>
            <w:pPr>
              <w:ind w:left="1060"/>
              <w:spacing w:after="0"/>
              <w:rPr>
                <w:sz w:val="20"/>
                <w:szCs w:val="20"/>
                <w:color w:val="auto"/>
              </w:rPr>
            </w:pPr>
            <w:r>
              <w:rPr>
                <w:rFonts w:ascii="Arial" w:cs="Arial" w:eastAsia="Arial" w:hAnsi="Arial"/>
                <w:sz w:val="14"/>
                <w:szCs w:val="14"/>
                <w:color w:val="auto"/>
              </w:rPr>
              <w:t>1.29 %</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1,000</w:t>
            </w:r>
          </w:p>
        </w:tc>
        <w:tc>
          <w:tcPr>
            <w:tcW w:w="1860" w:type="dxa"/>
            <w:vAlign w:val="bottom"/>
          </w:tcPr>
          <w:p>
            <w:pPr>
              <w:jc w:val="right"/>
              <w:ind w:right="368"/>
              <w:spacing w:after="0"/>
              <w:rPr>
                <w:sz w:val="20"/>
                <w:szCs w:val="20"/>
                <w:color w:val="auto"/>
              </w:rPr>
            </w:pPr>
            <w:r>
              <w:rPr>
                <w:rFonts w:ascii="Arial" w:cs="Arial" w:eastAsia="Arial" w:hAnsi="Arial"/>
                <w:sz w:val="14"/>
                <w:szCs w:val="14"/>
                <w:color w:val="auto"/>
              </w:rPr>
              <w:t>— %</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Floating rate notes due 2025</w:t>
            </w:r>
          </w:p>
        </w:tc>
        <w:tc>
          <w:tcPr>
            <w:tcW w:w="194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1.42 %</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2,000</w:t>
            </w:r>
          </w:p>
        </w:tc>
        <w:tc>
          <w:tcPr>
            <w:tcW w:w="18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Senior notes acquired in 2020</w:t>
            </w:r>
          </w:p>
        </w:tc>
        <w:tc>
          <w:tcPr>
            <w:tcW w:w="1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5.000% notes due 2021</w:t>
            </w:r>
          </w:p>
        </w:tc>
        <w:tc>
          <w:tcPr>
            <w:tcW w:w="194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1.59 %</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1,200</w:t>
            </w:r>
          </w:p>
        </w:tc>
        <w:tc>
          <w:tcPr>
            <w:tcW w:w="18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40" w:type="dxa"/>
            <w:vAlign w:val="bottom"/>
          </w:tcPr>
          <w:p>
            <w:pPr>
              <w:ind w:left="220"/>
              <w:spacing w:after="0"/>
              <w:rPr>
                <w:sz w:val="20"/>
                <w:szCs w:val="20"/>
                <w:color w:val="auto"/>
              </w:rPr>
            </w:pPr>
            <w:r>
              <w:rPr>
                <w:rFonts w:ascii="Arial" w:cs="Arial" w:eastAsia="Arial" w:hAnsi="Arial"/>
                <w:sz w:val="14"/>
                <w:szCs w:val="14"/>
                <w:color w:val="auto"/>
              </w:rPr>
              <w:t>3.450% notes due 2022</w:t>
            </w:r>
          </w:p>
        </w:tc>
        <w:tc>
          <w:tcPr>
            <w:tcW w:w="1940" w:type="dxa"/>
            <w:vAlign w:val="bottom"/>
          </w:tcPr>
          <w:p>
            <w:pPr>
              <w:ind w:left="1060"/>
              <w:spacing w:after="0"/>
              <w:rPr>
                <w:sz w:val="20"/>
                <w:szCs w:val="20"/>
                <w:color w:val="auto"/>
              </w:rPr>
            </w:pPr>
            <w:r>
              <w:rPr>
                <w:rFonts w:ascii="Arial" w:cs="Arial" w:eastAsia="Arial" w:hAnsi="Arial"/>
                <w:sz w:val="14"/>
                <w:szCs w:val="14"/>
                <w:color w:val="auto"/>
              </w:rPr>
              <w:t>1.89 %</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2,878</w:t>
            </w:r>
          </w:p>
        </w:tc>
        <w:tc>
          <w:tcPr>
            <w:tcW w:w="1860" w:type="dxa"/>
            <w:vAlign w:val="bottom"/>
          </w:tcPr>
          <w:p>
            <w:pPr>
              <w:jc w:val="right"/>
              <w:ind w:right="368"/>
              <w:spacing w:after="0"/>
              <w:rPr>
                <w:sz w:val="20"/>
                <w:szCs w:val="20"/>
                <w:color w:val="auto"/>
              </w:rPr>
            </w:pPr>
            <w:r>
              <w:rPr>
                <w:rFonts w:ascii="Arial" w:cs="Arial" w:eastAsia="Arial" w:hAnsi="Arial"/>
                <w:sz w:val="14"/>
                <w:szCs w:val="14"/>
                <w:color w:val="auto"/>
              </w:rPr>
              <w:t>— %</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3.250% notes due 2022</w:t>
            </w:r>
          </w:p>
        </w:tc>
        <w:tc>
          <w:tcPr>
            <w:tcW w:w="194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1.85 %</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1,700</w:t>
            </w:r>
          </w:p>
        </w:tc>
        <w:tc>
          <w:tcPr>
            <w:tcW w:w="18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40" w:type="dxa"/>
            <w:vAlign w:val="bottom"/>
          </w:tcPr>
          <w:p>
            <w:pPr>
              <w:ind w:left="220"/>
              <w:spacing w:after="0"/>
              <w:rPr>
                <w:sz w:val="20"/>
                <w:szCs w:val="20"/>
                <w:color w:val="auto"/>
              </w:rPr>
            </w:pPr>
            <w:r>
              <w:rPr>
                <w:rFonts w:ascii="Arial" w:cs="Arial" w:eastAsia="Arial" w:hAnsi="Arial"/>
                <w:sz w:val="14"/>
                <w:szCs w:val="14"/>
                <w:color w:val="auto"/>
              </w:rPr>
              <w:t>2.800% notes due 2023</w:t>
            </w:r>
          </w:p>
        </w:tc>
        <w:tc>
          <w:tcPr>
            <w:tcW w:w="1940" w:type="dxa"/>
            <w:vAlign w:val="bottom"/>
          </w:tcPr>
          <w:p>
            <w:pPr>
              <w:ind w:left="1060"/>
              <w:spacing w:after="0"/>
              <w:rPr>
                <w:sz w:val="20"/>
                <w:szCs w:val="20"/>
                <w:color w:val="auto"/>
              </w:rPr>
            </w:pPr>
            <w:r>
              <w:rPr>
                <w:rFonts w:ascii="Arial" w:cs="Arial" w:eastAsia="Arial" w:hAnsi="Arial"/>
                <w:sz w:val="14"/>
                <w:szCs w:val="14"/>
                <w:color w:val="auto"/>
              </w:rPr>
              <w:t>2.08 %</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350</w:t>
            </w:r>
          </w:p>
        </w:tc>
        <w:tc>
          <w:tcPr>
            <w:tcW w:w="1860" w:type="dxa"/>
            <w:vAlign w:val="bottom"/>
          </w:tcPr>
          <w:p>
            <w:pPr>
              <w:jc w:val="right"/>
              <w:ind w:right="368"/>
              <w:spacing w:after="0"/>
              <w:rPr>
                <w:sz w:val="20"/>
                <w:szCs w:val="20"/>
                <w:color w:val="auto"/>
              </w:rPr>
            </w:pPr>
            <w:r>
              <w:rPr>
                <w:rFonts w:ascii="Arial" w:cs="Arial" w:eastAsia="Arial" w:hAnsi="Arial"/>
                <w:sz w:val="14"/>
                <w:szCs w:val="14"/>
                <w:color w:val="auto"/>
              </w:rPr>
              <w:t>— %</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3.850% notes due 2024</w:t>
            </w:r>
          </w:p>
        </w:tc>
        <w:tc>
          <w:tcPr>
            <w:tcW w:w="194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1.98 %</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1,032</w:t>
            </w:r>
          </w:p>
        </w:tc>
        <w:tc>
          <w:tcPr>
            <w:tcW w:w="18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40" w:type="dxa"/>
            <w:vAlign w:val="bottom"/>
          </w:tcPr>
          <w:p>
            <w:pPr>
              <w:ind w:left="220"/>
              <w:spacing w:after="0"/>
              <w:rPr>
                <w:sz w:val="20"/>
                <w:szCs w:val="20"/>
                <w:color w:val="auto"/>
              </w:rPr>
            </w:pPr>
            <w:r>
              <w:rPr>
                <w:rFonts w:ascii="Arial" w:cs="Arial" w:eastAsia="Arial" w:hAnsi="Arial"/>
                <w:sz w:val="14"/>
                <w:szCs w:val="14"/>
                <w:color w:val="auto"/>
              </w:rPr>
              <w:t>3.800% notes due 2025</w:t>
            </w:r>
          </w:p>
        </w:tc>
        <w:tc>
          <w:tcPr>
            <w:tcW w:w="1940" w:type="dxa"/>
            <w:vAlign w:val="bottom"/>
          </w:tcPr>
          <w:p>
            <w:pPr>
              <w:ind w:left="1060"/>
              <w:spacing w:after="0"/>
              <w:rPr>
                <w:sz w:val="20"/>
                <w:szCs w:val="20"/>
                <w:color w:val="auto"/>
              </w:rPr>
            </w:pPr>
            <w:r>
              <w:rPr>
                <w:rFonts w:ascii="Arial" w:cs="Arial" w:eastAsia="Arial" w:hAnsi="Arial"/>
                <w:sz w:val="14"/>
                <w:szCs w:val="14"/>
                <w:color w:val="auto"/>
              </w:rPr>
              <w:t>2.00 %</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3,021</w:t>
            </w:r>
          </w:p>
        </w:tc>
        <w:tc>
          <w:tcPr>
            <w:tcW w:w="1860" w:type="dxa"/>
            <w:vAlign w:val="bottom"/>
          </w:tcPr>
          <w:p>
            <w:pPr>
              <w:jc w:val="right"/>
              <w:ind w:right="368"/>
              <w:spacing w:after="0"/>
              <w:rPr>
                <w:sz w:val="20"/>
                <w:szCs w:val="20"/>
                <w:color w:val="auto"/>
              </w:rPr>
            </w:pPr>
            <w:r>
              <w:rPr>
                <w:rFonts w:ascii="Arial" w:cs="Arial" w:eastAsia="Arial" w:hAnsi="Arial"/>
                <w:sz w:val="14"/>
                <w:szCs w:val="14"/>
                <w:color w:val="auto"/>
              </w:rPr>
              <w:t>— %</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4.550% notes due 2035</w:t>
            </w:r>
          </w:p>
        </w:tc>
        <w:tc>
          <w:tcPr>
            <w:tcW w:w="194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3.43 %</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1,789</w:t>
            </w:r>
          </w:p>
        </w:tc>
        <w:tc>
          <w:tcPr>
            <w:tcW w:w="18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40" w:type="dxa"/>
            <w:vAlign w:val="bottom"/>
          </w:tcPr>
          <w:p>
            <w:pPr>
              <w:ind w:left="220"/>
              <w:spacing w:after="0"/>
              <w:rPr>
                <w:sz w:val="20"/>
                <w:szCs w:val="20"/>
                <w:color w:val="auto"/>
              </w:rPr>
            </w:pPr>
            <w:r>
              <w:rPr>
                <w:rFonts w:ascii="Arial" w:cs="Arial" w:eastAsia="Arial" w:hAnsi="Arial"/>
                <w:sz w:val="14"/>
                <w:szCs w:val="14"/>
                <w:color w:val="auto"/>
              </w:rPr>
              <w:t>4.625% notes due 2042</w:t>
            </w:r>
          </w:p>
        </w:tc>
        <w:tc>
          <w:tcPr>
            <w:tcW w:w="1940" w:type="dxa"/>
            <w:vAlign w:val="bottom"/>
          </w:tcPr>
          <w:p>
            <w:pPr>
              <w:ind w:left="1060"/>
              <w:spacing w:after="0"/>
              <w:rPr>
                <w:sz w:val="20"/>
                <w:szCs w:val="20"/>
                <w:color w:val="auto"/>
              </w:rPr>
            </w:pPr>
            <w:r>
              <w:rPr>
                <w:rFonts w:ascii="Arial" w:cs="Arial" w:eastAsia="Arial" w:hAnsi="Arial"/>
                <w:sz w:val="14"/>
                <w:szCs w:val="14"/>
                <w:color w:val="auto"/>
              </w:rPr>
              <w:t>3.93 %</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457</w:t>
            </w:r>
          </w:p>
        </w:tc>
        <w:tc>
          <w:tcPr>
            <w:tcW w:w="1860" w:type="dxa"/>
            <w:vAlign w:val="bottom"/>
          </w:tcPr>
          <w:p>
            <w:pPr>
              <w:jc w:val="right"/>
              <w:ind w:right="368"/>
              <w:spacing w:after="0"/>
              <w:rPr>
                <w:sz w:val="20"/>
                <w:szCs w:val="20"/>
                <w:color w:val="auto"/>
              </w:rPr>
            </w:pPr>
            <w:r>
              <w:rPr>
                <w:rFonts w:ascii="Arial" w:cs="Arial" w:eastAsia="Arial" w:hAnsi="Arial"/>
                <w:sz w:val="14"/>
                <w:szCs w:val="14"/>
                <w:color w:val="auto"/>
              </w:rPr>
              <w:t>— %</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4.850% notes due 2044</w:t>
            </w:r>
          </w:p>
        </w:tc>
        <w:tc>
          <w:tcPr>
            <w:tcW w:w="194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4.02 %</w:t>
            </w:r>
          </w:p>
        </w:tc>
        <w:tc>
          <w:tcPr>
            <w:tcW w:w="12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1,074</w:t>
            </w:r>
          </w:p>
        </w:tc>
        <w:tc>
          <w:tcPr>
            <w:tcW w:w="18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5040" w:type="dxa"/>
            <w:vAlign w:val="bottom"/>
          </w:tcPr>
          <w:p>
            <w:pPr>
              <w:ind w:left="220"/>
              <w:spacing w:after="0"/>
              <w:rPr>
                <w:sz w:val="20"/>
                <w:szCs w:val="20"/>
                <w:color w:val="auto"/>
              </w:rPr>
            </w:pPr>
            <w:r>
              <w:rPr>
                <w:rFonts w:ascii="Arial" w:cs="Arial" w:eastAsia="Arial" w:hAnsi="Arial"/>
                <w:sz w:val="14"/>
                <w:szCs w:val="14"/>
                <w:color w:val="auto"/>
              </w:rPr>
              <w:t>4.750% notes due 2045</w:t>
            </w:r>
          </w:p>
        </w:tc>
        <w:tc>
          <w:tcPr>
            <w:tcW w:w="1940" w:type="dxa"/>
            <w:vAlign w:val="bottom"/>
          </w:tcPr>
          <w:p>
            <w:pPr>
              <w:ind w:left="1060"/>
              <w:spacing w:after="0"/>
              <w:rPr>
                <w:sz w:val="20"/>
                <w:szCs w:val="20"/>
                <w:color w:val="auto"/>
              </w:rPr>
            </w:pPr>
            <w:r>
              <w:rPr>
                <w:rFonts w:ascii="Arial" w:cs="Arial" w:eastAsia="Arial" w:hAnsi="Arial"/>
                <w:sz w:val="14"/>
                <w:szCs w:val="14"/>
                <w:color w:val="auto"/>
              </w:rPr>
              <w:t>4.13 %</w:t>
            </w:r>
          </w:p>
        </w:tc>
        <w:tc>
          <w:tcPr>
            <w:tcW w:w="1280" w:type="dxa"/>
            <w:vAlign w:val="bottom"/>
          </w:tcPr>
          <w:p>
            <w:pPr>
              <w:jc w:val="right"/>
              <w:ind w:right="188"/>
              <w:spacing w:after="0"/>
              <w:rPr>
                <w:sz w:val="20"/>
                <w:szCs w:val="20"/>
                <w:color w:val="auto"/>
              </w:rPr>
            </w:pPr>
            <w:r>
              <w:rPr>
                <w:rFonts w:ascii="Arial" w:cs="Arial" w:eastAsia="Arial" w:hAnsi="Arial"/>
                <w:sz w:val="14"/>
                <w:szCs w:val="14"/>
                <w:color w:val="auto"/>
              </w:rPr>
              <w:t>881</w:t>
            </w:r>
          </w:p>
        </w:tc>
        <w:tc>
          <w:tcPr>
            <w:tcW w:w="1860" w:type="dxa"/>
            <w:vAlign w:val="bottom"/>
          </w:tcPr>
          <w:p>
            <w:pPr>
              <w:jc w:val="right"/>
              <w:ind w:right="368"/>
              <w:spacing w:after="0"/>
              <w:rPr>
                <w:sz w:val="20"/>
                <w:szCs w:val="20"/>
                <w:color w:val="auto"/>
              </w:rPr>
            </w:pPr>
            <w:r>
              <w:rPr>
                <w:rFonts w:ascii="Arial" w:cs="Arial" w:eastAsia="Arial" w:hAnsi="Arial"/>
                <w:sz w:val="14"/>
                <w:szCs w:val="14"/>
                <w:color w:val="auto"/>
              </w:rPr>
              <w:t>— %</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69</w:t>
      </w:r>
      <w:r>
        <w:rPr>
          <w:sz w:val="20"/>
          <w:szCs w:val="20"/>
          <w:color w:val="auto"/>
        </w:rPr>
        <w:tab/>
      </w:r>
      <w:r>
        <w:rPr>
          <w:sz w:val="1"/>
          <w:szCs w:val="1"/>
          <w:color w:val="auto"/>
        </w:rPr>
        <w:drawing>
          <wp:inline distT="0" distB="0" distL="0" distR="0">
            <wp:extent cx="600075" cy="11176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0075" cy="11176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72" w:name="page73"/>
    <w:bookmarkEnd w:id="72"/>
    <w:tbl>
      <w:tblPr>
        <w:tblLayout w:type="fixed"/>
        <w:tblInd w:w="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Effective</w:t>
            </w: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40" w:type="dxa"/>
            <w:vAlign w:val="bottom"/>
          </w:tcPr>
          <w:p>
            <w:pPr>
              <w:jc w:val="center"/>
              <w:ind w:right="448"/>
              <w:spacing w:after="0"/>
              <w:rPr>
                <w:sz w:val="20"/>
                <w:szCs w:val="20"/>
                <w:color w:val="auto"/>
              </w:rPr>
            </w:pPr>
            <w:r>
              <w:rPr>
                <w:rFonts w:ascii="Arial" w:cs="Arial" w:eastAsia="Arial" w:hAnsi="Arial"/>
                <w:sz w:val="14"/>
                <w:szCs w:val="14"/>
                <w:b w:val="1"/>
                <w:bCs w:val="1"/>
                <w:color w:val="auto"/>
              </w:rPr>
              <w:t>Effective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(dollars in millions)</w:t>
            </w:r>
          </w:p>
        </w:tc>
        <w:tc>
          <w:tcPr>
            <w:tcW w:w="1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interest rate</w:t>
            </w:r>
          </w:p>
        </w:tc>
        <w:tc>
          <w:tcPr>
            <w:tcW w:w="380" w:type="dxa"/>
            <w:vAlign w:val="bottom"/>
          </w:tcPr>
          <w:p>
            <w:pPr>
              <w:spacing w:after="0"/>
              <w:rPr>
                <w:sz w:val="11"/>
                <w:szCs w:val="11"/>
                <w:color w:val="auto"/>
              </w:rPr>
            </w:pPr>
          </w:p>
        </w:tc>
        <w:tc>
          <w:tcPr>
            <w:tcW w:w="1300" w:type="dxa"/>
            <w:vAlign w:val="bottom"/>
            <w:vMerge w:val="restart"/>
          </w:tcPr>
          <w:p>
            <w:pPr>
              <w:jc w:val="right"/>
              <w:ind w:right="688"/>
              <w:spacing w:after="0"/>
              <w:rPr>
                <w:sz w:val="20"/>
                <w:szCs w:val="20"/>
                <w:color w:val="auto"/>
              </w:rPr>
            </w:pPr>
            <w:r>
              <w:rPr>
                <w:rFonts w:ascii="Arial" w:cs="Arial" w:eastAsia="Arial" w:hAnsi="Arial"/>
                <w:sz w:val="14"/>
                <w:szCs w:val="14"/>
                <w:b w:val="1"/>
                <w:bCs w:val="1"/>
                <w:color w:val="auto"/>
              </w:rPr>
              <w:t>2020</w:t>
            </w:r>
          </w:p>
        </w:tc>
        <w:tc>
          <w:tcPr>
            <w:tcW w:w="1840" w:type="dxa"/>
            <w:vAlign w:val="bottom"/>
          </w:tcPr>
          <w:p>
            <w:pPr>
              <w:jc w:val="center"/>
              <w:ind w:right="468"/>
              <w:spacing w:after="0" w:line="135" w:lineRule="exact"/>
              <w:rPr>
                <w:sz w:val="20"/>
                <w:szCs w:val="20"/>
                <w:color w:val="auto"/>
              </w:rPr>
            </w:pPr>
            <w:r>
              <w:rPr>
                <w:rFonts w:ascii="Arial" w:cs="Arial" w:eastAsia="Arial" w:hAnsi="Arial"/>
                <w:sz w:val="14"/>
                <w:szCs w:val="14"/>
                <w:b w:val="1"/>
                <w:bCs w:val="1"/>
                <w:color w:val="auto"/>
              </w:rPr>
              <w:t>interest rate</w:t>
            </w:r>
          </w:p>
        </w:tc>
        <w:tc>
          <w:tcPr>
            <w:tcW w:w="108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5"/>
        </w:trPr>
        <w:tc>
          <w:tcPr>
            <w:tcW w:w="5020" w:type="dxa"/>
            <w:vAlign w:val="bottom"/>
            <w:tcBorders>
              <w:bottom w:val="single" w:sz="8" w:color="CCEEFF"/>
            </w:tcBorders>
            <w:vMerge w:val="continue"/>
          </w:tcPr>
          <w:p>
            <w:pPr>
              <w:spacing w:after="0"/>
              <w:rPr>
                <w:sz w:val="15"/>
                <w:szCs w:val="15"/>
                <w:color w:val="auto"/>
              </w:rPr>
            </w:pPr>
          </w:p>
        </w:tc>
        <w:tc>
          <w:tcPr>
            <w:tcW w:w="15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6"/>
              </w:rPr>
              <w:t>in 2020</w:t>
            </w:r>
            <w:r>
              <w:rPr>
                <w:rFonts w:ascii="Arial" w:cs="Arial" w:eastAsia="Arial" w:hAnsi="Arial"/>
                <w:sz w:val="18"/>
                <w:szCs w:val="18"/>
                <w:b w:val="1"/>
                <w:bCs w:val="1"/>
                <w:color w:val="auto"/>
                <w:w w:val="96"/>
                <w:vertAlign w:val="superscript"/>
              </w:rPr>
              <w:t>(a)</w:t>
            </w: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840" w:type="dxa"/>
            <w:vAlign w:val="bottom"/>
            <w:tcBorders>
              <w:bottom w:val="single" w:sz="8" w:color="auto"/>
            </w:tcBorders>
          </w:tcPr>
          <w:p>
            <w:pPr>
              <w:jc w:val="center"/>
              <w:ind w:right="448"/>
              <w:spacing w:after="0" w:line="176" w:lineRule="exact"/>
              <w:rPr>
                <w:sz w:val="20"/>
                <w:szCs w:val="20"/>
                <w:color w:val="auto"/>
              </w:rPr>
            </w:pPr>
            <w:r>
              <w:rPr>
                <w:rFonts w:ascii="Arial" w:cs="Arial" w:eastAsia="Arial" w:hAnsi="Arial"/>
                <w:sz w:val="14"/>
                <w:szCs w:val="14"/>
                <w:b w:val="1"/>
                <w:bCs w:val="1"/>
                <w:color w:val="auto"/>
                <w:w w:val="96"/>
              </w:rPr>
              <w:t>in 2019</w:t>
            </w:r>
            <w:r>
              <w:rPr>
                <w:rFonts w:ascii="Arial" w:cs="Arial" w:eastAsia="Arial" w:hAnsi="Arial"/>
                <w:sz w:val="18"/>
                <w:szCs w:val="18"/>
                <w:b w:val="1"/>
                <w:bCs w:val="1"/>
                <w:color w:val="auto"/>
                <w:w w:val="96"/>
                <w:vertAlign w:val="superscript"/>
              </w:rPr>
              <w:t>(a)</w:t>
            </w: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Senior Euro notes acquired in 2020</w:t>
            </w:r>
          </w:p>
        </w:tc>
        <w:tc>
          <w:tcPr>
            <w:tcW w:w="1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20"/>
              <w:spacing w:after="0"/>
              <w:rPr>
                <w:sz w:val="20"/>
                <w:szCs w:val="20"/>
                <w:color w:val="auto"/>
              </w:rPr>
            </w:pPr>
            <w:r>
              <w:rPr>
                <w:rFonts w:ascii="Arial" w:cs="Arial" w:eastAsia="Arial" w:hAnsi="Arial"/>
                <w:sz w:val="14"/>
                <w:szCs w:val="14"/>
                <w:color w:val="auto"/>
              </w:rPr>
              <w:t>0.500% notes due 2021 (€750 principal)</w:t>
            </w:r>
          </w:p>
        </w:tc>
        <w:tc>
          <w:tcPr>
            <w:tcW w:w="1580" w:type="dxa"/>
            <w:vAlign w:val="bottom"/>
          </w:tcPr>
          <w:p>
            <w:pPr>
              <w:jc w:val="right"/>
              <w:spacing w:after="0"/>
              <w:rPr>
                <w:sz w:val="20"/>
                <w:szCs w:val="20"/>
                <w:color w:val="auto"/>
              </w:rPr>
            </w:pPr>
            <w:r>
              <w:rPr>
                <w:rFonts w:ascii="Arial" w:cs="Arial" w:eastAsia="Arial" w:hAnsi="Arial"/>
                <w:sz w:val="14"/>
                <w:szCs w:val="14"/>
                <w:color w:val="auto"/>
              </w:rPr>
              <w:t>0.68 %</w:t>
            </w:r>
          </w:p>
        </w:tc>
        <w:tc>
          <w:tcPr>
            <w:tcW w:w="380" w:type="dxa"/>
            <w:vAlign w:val="bottom"/>
          </w:tcPr>
          <w:p>
            <w:pPr>
              <w:spacing w:after="0"/>
              <w:rPr>
                <w:sz w:val="16"/>
                <w:szCs w:val="16"/>
                <w:color w:val="auto"/>
              </w:rPr>
            </w:pP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922</w:t>
            </w:r>
          </w:p>
        </w:tc>
        <w:tc>
          <w:tcPr>
            <w:tcW w:w="1840" w:type="dxa"/>
            <w:vAlign w:val="bottom"/>
          </w:tcPr>
          <w:p>
            <w:pPr>
              <w:ind w:left="1080"/>
              <w:spacing w:after="0"/>
              <w:rPr>
                <w:sz w:val="20"/>
                <w:szCs w:val="20"/>
                <w:color w:val="auto"/>
              </w:rPr>
            </w:pPr>
            <w:r>
              <w:rPr>
                <w:rFonts w:ascii="Arial" w:cs="Arial" w:eastAsia="Arial" w:hAnsi="Arial"/>
                <w:sz w:val="14"/>
                <w:szCs w:val="14"/>
                <w:color w:val="auto"/>
              </w:rPr>
              <w:t>— %</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1.500% notes due 2023 (€500 principal)</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0.48 %</w:t>
            </w: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615</w:t>
            </w:r>
          </w:p>
        </w:tc>
        <w:tc>
          <w:tcPr>
            <w:tcW w:w="184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20" w:type="dxa"/>
            <w:vAlign w:val="bottom"/>
          </w:tcPr>
          <w:p>
            <w:pPr>
              <w:ind w:left="220"/>
              <w:spacing w:after="0"/>
              <w:rPr>
                <w:sz w:val="20"/>
                <w:szCs w:val="20"/>
                <w:color w:val="auto"/>
              </w:rPr>
            </w:pPr>
            <w:r>
              <w:rPr>
                <w:rFonts w:ascii="Arial" w:cs="Arial" w:eastAsia="Arial" w:hAnsi="Arial"/>
                <w:sz w:val="14"/>
                <w:szCs w:val="14"/>
                <w:color w:val="auto"/>
              </w:rPr>
              <w:t>1.250% notes due 2024 (€700 principal)</w:t>
            </w:r>
          </w:p>
        </w:tc>
        <w:tc>
          <w:tcPr>
            <w:tcW w:w="1580" w:type="dxa"/>
            <w:vAlign w:val="bottom"/>
          </w:tcPr>
          <w:p>
            <w:pPr>
              <w:jc w:val="right"/>
              <w:spacing w:after="0"/>
              <w:rPr>
                <w:sz w:val="20"/>
                <w:szCs w:val="20"/>
                <w:color w:val="auto"/>
              </w:rPr>
            </w:pPr>
            <w:r>
              <w:rPr>
                <w:rFonts w:ascii="Arial" w:cs="Arial" w:eastAsia="Arial" w:hAnsi="Arial"/>
                <w:sz w:val="14"/>
                <w:szCs w:val="14"/>
                <w:color w:val="auto"/>
              </w:rPr>
              <w:t>0.64 %</w:t>
            </w:r>
          </w:p>
        </w:tc>
        <w:tc>
          <w:tcPr>
            <w:tcW w:w="380" w:type="dxa"/>
            <w:vAlign w:val="bottom"/>
          </w:tcPr>
          <w:p>
            <w:pPr>
              <w:spacing w:after="0"/>
              <w:rPr>
                <w:sz w:val="16"/>
                <w:szCs w:val="16"/>
                <w:color w:val="auto"/>
              </w:rPr>
            </w:pP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861</w:t>
            </w:r>
          </w:p>
        </w:tc>
        <w:tc>
          <w:tcPr>
            <w:tcW w:w="1840" w:type="dxa"/>
            <w:vAlign w:val="bottom"/>
          </w:tcPr>
          <w:p>
            <w:pPr>
              <w:ind w:left="1080"/>
              <w:spacing w:after="0"/>
              <w:rPr>
                <w:sz w:val="20"/>
                <w:szCs w:val="20"/>
                <w:color w:val="auto"/>
              </w:rPr>
            </w:pPr>
            <w:r>
              <w:rPr>
                <w:rFonts w:ascii="Arial" w:cs="Arial" w:eastAsia="Arial" w:hAnsi="Arial"/>
                <w:sz w:val="14"/>
                <w:szCs w:val="14"/>
                <w:color w:val="auto"/>
              </w:rPr>
              <w:t>— %</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2.625% notes due 2028 (€500 principal)</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1.18 %</w:t>
            </w: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615</w:t>
            </w:r>
          </w:p>
        </w:tc>
        <w:tc>
          <w:tcPr>
            <w:tcW w:w="184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20" w:type="dxa"/>
            <w:vAlign w:val="bottom"/>
          </w:tcPr>
          <w:p>
            <w:pPr>
              <w:ind w:left="220"/>
              <w:spacing w:after="0"/>
              <w:rPr>
                <w:sz w:val="20"/>
                <w:szCs w:val="20"/>
                <w:color w:val="auto"/>
              </w:rPr>
            </w:pPr>
            <w:r>
              <w:rPr>
                <w:rFonts w:ascii="Arial" w:cs="Arial" w:eastAsia="Arial" w:hAnsi="Arial"/>
                <w:sz w:val="14"/>
                <w:szCs w:val="14"/>
                <w:color w:val="auto"/>
              </w:rPr>
              <w:t>2.125% notes due 2029 (€550 principal)</w:t>
            </w:r>
          </w:p>
        </w:tc>
        <w:tc>
          <w:tcPr>
            <w:tcW w:w="1580" w:type="dxa"/>
            <w:vAlign w:val="bottom"/>
          </w:tcPr>
          <w:p>
            <w:pPr>
              <w:jc w:val="right"/>
              <w:spacing w:after="0"/>
              <w:rPr>
                <w:sz w:val="20"/>
                <w:szCs w:val="20"/>
                <w:color w:val="auto"/>
              </w:rPr>
            </w:pPr>
            <w:r>
              <w:rPr>
                <w:rFonts w:ascii="Arial" w:cs="Arial" w:eastAsia="Arial" w:hAnsi="Arial"/>
                <w:sz w:val="14"/>
                <w:szCs w:val="14"/>
                <w:color w:val="auto"/>
              </w:rPr>
              <w:t>1.18 %</w:t>
            </w:r>
          </w:p>
        </w:tc>
        <w:tc>
          <w:tcPr>
            <w:tcW w:w="380" w:type="dxa"/>
            <w:vAlign w:val="bottom"/>
          </w:tcPr>
          <w:p>
            <w:pPr>
              <w:spacing w:after="0"/>
              <w:rPr>
                <w:sz w:val="16"/>
                <w:szCs w:val="16"/>
                <w:color w:val="auto"/>
              </w:rPr>
            </w:pP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677</w:t>
            </w:r>
          </w:p>
        </w:tc>
        <w:tc>
          <w:tcPr>
            <w:tcW w:w="1840" w:type="dxa"/>
            <w:vAlign w:val="bottom"/>
          </w:tcPr>
          <w:p>
            <w:pPr>
              <w:ind w:left="1080"/>
              <w:spacing w:after="0"/>
              <w:rPr>
                <w:sz w:val="20"/>
                <w:szCs w:val="20"/>
                <w:color w:val="auto"/>
              </w:rPr>
            </w:pPr>
            <w:r>
              <w:rPr>
                <w:rFonts w:ascii="Arial" w:cs="Arial" w:eastAsia="Arial" w:hAnsi="Arial"/>
                <w:sz w:val="14"/>
                <w:szCs w:val="14"/>
                <w:color w:val="auto"/>
              </w:rPr>
              <w:t>— %</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29</w:t>
            </w:r>
          </w:p>
        </w:tc>
        <w:tc>
          <w:tcPr>
            <w:tcW w:w="18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color w:val="auto"/>
              </w:rPr>
              <w:t>Fair value hedges</w:t>
            </w:r>
          </w:p>
        </w:tc>
        <w:tc>
          <w:tcPr>
            <w:tcW w:w="1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278</w:t>
            </w:r>
          </w:p>
        </w:tc>
        <w:tc>
          <w:tcPr>
            <w:tcW w:w="18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Unamortized bond discounts</w:t>
            </w:r>
          </w:p>
        </w:tc>
        <w:tc>
          <w:tcPr>
            <w:tcW w:w="1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(146)</w:t>
            </w:r>
          </w:p>
        </w:tc>
        <w:tc>
          <w:tcPr>
            <w:tcW w:w="18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color w:val="auto"/>
              </w:rPr>
              <w:t>Unamortized deferred financing costs</w:t>
            </w:r>
          </w:p>
        </w:tc>
        <w:tc>
          <w:tcPr>
            <w:tcW w:w="1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(287)</w:t>
            </w:r>
          </w:p>
        </w:tc>
        <w:tc>
          <w:tcPr>
            <w:tcW w:w="18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89"/>
        </w:trPr>
        <w:tc>
          <w:tcPr>
            <w:tcW w:w="502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Unamortized bond premiums </w:t>
            </w:r>
            <w:r>
              <w:rPr>
                <w:rFonts w:ascii="Arial" w:cs="Arial" w:eastAsia="Arial" w:hAnsi="Arial"/>
                <w:sz w:val="18"/>
                <w:szCs w:val="18"/>
                <w:color w:val="auto"/>
                <w:vertAlign w:val="superscript"/>
              </w:rPr>
              <w:t>(b)</w:t>
            </w:r>
          </w:p>
        </w:tc>
        <w:tc>
          <w:tcPr>
            <w:tcW w:w="15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1,200</w:t>
            </w:r>
          </w:p>
        </w:tc>
        <w:tc>
          <w:tcPr>
            <w:tcW w:w="18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5020" w:type="dxa"/>
            <w:vAlign w:val="bottom"/>
          </w:tcPr>
          <w:p>
            <w:pPr>
              <w:ind w:left="20"/>
              <w:spacing w:after="0"/>
              <w:rPr>
                <w:sz w:val="20"/>
                <w:szCs w:val="20"/>
                <w:color w:val="auto"/>
              </w:rPr>
            </w:pPr>
            <w:r>
              <w:rPr>
                <w:rFonts w:ascii="Arial" w:cs="Arial" w:eastAsia="Arial" w:hAnsi="Arial"/>
                <w:sz w:val="14"/>
                <w:szCs w:val="14"/>
                <w:color w:val="auto"/>
              </w:rPr>
              <w:t>Total long-term debt and finance lease obligations</w:t>
            </w:r>
          </w:p>
        </w:tc>
        <w:tc>
          <w:tcPr>
            <w:tcW w:w="1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86,022</w:t>
            </w:r>
          </w:p>
        </w:tc>
        <w:tc>
          <w:tcPr>
            <w:tcW w:w="18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66,728</w:t>
            </w:r>
          </w:p>
        </w:tc>
        <w:tc>
          <w:tcPr>
            <w:tcW w:w="0" w:type="dxa"/>
            <w:vAlign w:val="bottom"/>
          </w:tcPr>
          <w:p>
            <w:pPr>
              <w:spacing w:after="0"/>
              <w:rPr>
                <w:sz w:val="1"/>
                <w:szCs w:val="1"/>
                <w:color w:val="auto"/>
              </w:rPr>
            </w:pPr>
          </w:p>
        </w:tc>
      </w:tr>
      <w:tr>
        <w:trPr>
          <w:trHeight w:val="189"/>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Current portion</w:t>
            </w:r>
          </w:p>
        </w:tc>
        <w:tc>
          <w:tcPr>
            <w:tcW w:w="15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8,468</w:t>
            </w:r>
          </w:p>
        </w:tc>
        <w:tc>
          <w:tcPr>
            <w:tcW w:w="18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3,753</w:t>
            </w:r>
          </w:p>
        </w:tc>
        <w:tc>
          <w:tcPr>
            <w:tcW w:w="0" w:type="dxa"/>
            <w:vAlign w:val="bottom"/>
          </w:tcPr>
          <w:p>
            <w:pPr>
              <w:spacing w:after="0"/>
              <w:rPr>
                <w:sz w:val="1"/>
                <w:szCs w:val="1"/>
                <w:color w:val="auto"/>
              </w:rPr>
            </w:pPr>
          </w:p>
        </w:tc>
      </w:tr>
      <w:tr>
        <w:trPr>
          <w:trHeight w:val="18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Noncurrent portion</w:t>
            </w:r>
          </w:p>
        </w:tc>
        <w:tc>
          <w:tcPr>
            <w:tcW w:w="15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77,554</w:t>
            </w:r>
          </w:p>
        </w:tc>
        <w:tc>
          <w:tcPr>
            <w:tcW w:w="1840" w:type="dxa"/>
            <w:vAlign w:val="bottom"/>
            <w:tcBorders>
              <w:bottom w:val="single" w:sz="8" w:color="auto"/>
            </w:tcBorders>
          </w:tcPr>
          <w:p>
            <w:pPr>
              <w:ind w:left="15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62,975</w:t>
            </w:r>
          </w:p>
        </w:tc>
        <w:tc>
          <w:tcPr>
            <w:tcW w:w="0" w:type="dxa"/>
            <w:vAlign w:val="bottom"/>
          </w:tcPr>
          <w:p>
            <w:pPr>
              <w:spacing w:after="0"/>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80" w:hanging="472"/>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Excludes the effect of any related interest rate swaps.</w:t>
      </w:r>
    </w:p>
    <w:p>
      <w:pPr>
        <w:spacing w:after="0" w:line="144"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unamortized purchase price adjustments of Allergan debt.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Allergan-Related Financing</w:t>
      </w:r>
    </w:p>
    <w:p>
      <w:pPr>
        <w:spacing w:after="0" w:line="176" w:lineRule="exact"/>
        <w:rPr>
          <w:sz w:val="20"/>
          <w:szCs w:val="20"/>
          <w:color w:val="auto"/>
        </w:rPr>
      </w:pPr>
    </w:p>
    <w:p>
      <w:pPr>
        <w:ind w:right="460" w:firstLine="445"/>
        <w:spacing w:after="0" w:line="254" w:lineRule="auto"/>
        <w:rPr>
          <w:sz w:val="20"/>
          <w:szCs w:val="20"/>
          <w:color w:val="auto"/>
        </w:rPr>
      </w:pPr>
      <w:r>
        <w:rPr>
          <w:rFonts w:ascii="Arial" w:cs="Arial" w:eastAsia="Arial" w:hAnsi="Arial"/>
          <w:sz w:val="18"/>
          <w:szCs w:val="18"/>
          <w:color w:val="auto"/>
        </w:rPr>
        <w:t>In connection with the acquisition of Allergan, in May 2020, the company borrowed $3.0 billion under a $6.0 billion term loan credit agreement, of which $1.0 billion was outstanding under a floating rate three-year term loan tranche and $2.0 billion outstanding under a floating rate five-year term loan tranche as of December 31, 2020. Subsequent to these borrowings, AbbVie terminated the unused commitments of the lenders under the term loan.</w:t>
      </w:r>
    </w:p>
    <w:p>
      <w:pPr>
        <w:spacing w:after="0" w:line="123" w:lineRule="exact"/>
        <w:rPr>
          <w:sz w:val="20"/>
          <w:szCs w:val="20"/>
          <w:color w:val="auto"/>
        </w:rPr>
      </w:pPr>
    </w:p>
    <w:p>
      <w:pPr>
        <w:ind w:right="160" w:firstLine="445"/>
        <w:spacing w:after="0" w:line="253" w:lineRule="auto"/>
        <w:rPr>
          <w:sz w:val="20"/>
          <w:szCs w:val="20"/>
          <w:color w:val="auto"/>
        </w:rPr>
      </w:pPr>
      <w:r>
        <w:rPr>
          <w:rFonts w:ascii="Arial" w:cs="Arial" w:eastAsia="Arial" w:hAnsi="Arial"/>
          <w:sz w:val="18"/>
          <w:szCs w:val="18"/>
          <w:color w:val="auto"/>
        </w:rPr>
        <w:t>In May 2020, AbbVie completed its previously announced offers to exchange any and all outstanding notes of certain series issued by Allergan for new notes to be issued by AbbVie and cash. Following the settlement of the exchange offers, AbbVie issued $14.0 billion and €3.1 billion of new notes in exchange for the Allergan notes tendered in the exchange offers. The aggregate principal amount of Allergan notes that remained outstanding following the settlement of the exchange offers was approximately $1.5 billion and €635 million. The exchange transaction was accounted for as a modification of the assumed debt instruments.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September 2020, the company repaid $650 million aggregate principal amount of 3.375% Allergan exchange notes at maturity.</w:t>
      </w:r>
    </w:p>
    <w:p>
      <w:pPr>
        <w:spacing w:after="0" w:line="158" w:lineRule="exact"/>
        <w:rPr>
          <w:sz w:val="20"/>
          <w:szCs w:val="20"/>
          <w:color w:val="auto"/>
        </w:rPr>
      </w:pPr>
    </w:p>
    <w:p>
      <w:pPr>
        <w:ind w:right="280" w:firstLine="445"/>
        <w:spacing w:after="0" w:line="291" w:lineRule="auto"/>
        <w:rPr>
          <w:sz w:val="20"/>
          <w:szCs w:val="20"/>
          <w:color w:val="auto"/>
        </w:rPr>
      </w:pPr>
      <w:r>
        <w:rPr>
          <w:rFonts w:ascii="Arial" w:cs="Arial" w:eastAsia="Arial" w:hAnsi="Arial"/>
          <w:sz w:val="17"/>
          <w:szCs w:val="17"/>
          <w:color w:val="auto"/>
        </w:rPr>
        <w:t>In November 2020, the company repaid € 700 million aggregate principal amount of floating rate Allergan exchange notes at maturity and $450 million aggregate principal amount of 4.875% Allergan exchange notes due February 2021 three months prior to maturity.</w:t>
      </w:r>
    </w:p>
    <w:p>
      <w:pPr>
        <w:spacing w:after="0" w:line="93"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In November 2019, the company issued $30.0 billion aggregate principal amount of unsecured senior notes. These senior notes rank equally with all other unsecured and unsubordinated indebtedness of the company. AbbVie may redeem the fixed-rate senior notes prior to maturity at a redemption price equal to the greater of the principal amount or the sum of present values of the remaining scheduled payments of principal and interest on the fixed-rate senior notes to be redeemed plus a make-whole premium. With exception of the fixed-rate notes due 2021 and 2022, AbbVie may also redeem the fixed-rate senior notes at par between one and six months prior to maturity. In connection with the offering, debt issuance costs incurred totaled $173 million and debt discounts totaled $52 million, which are being amortized over the respective terms of the notes to interest expense, net in the consolidated statements of earnings. AbbVie used the net proceeds to fund a portion of the aggregate cash consideration due to Allergan shareholders in connection with the acquisition described in Note 5 and to pay related fees and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Long-Term Debt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May 2020, the company repaid $3.8 billion aggregate principal amount of 2.50% senior notes at maturity.</w:t>
      </w:r>
    </w:p>
    <w:p>
      <w:pPr>
        <w:spacing w:after="0" w:line="144"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In September 2019, the company issued €1.4 billion aggregate principal amount of unsecured senior Euro notes. These senior notes rank equally with all other unsecured and unsubordinated indebtedness of the company. AbbVie may redeem the senior notes prior to maturity at a redemption price equal to the principal amount of the senior notes redeemed plus a make-whole premium and may redeem the senior notes at par between one and three months prior to maturity. In</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70</w:t>
            </w:r>
          </w:p>
        </w:tc>
      </w:tr>
      <w:tr>
        <w:trPr>
          <w:trHeight w:val="201"/>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-334010</wp:posOffset>
            </wp:positionV>
            <wp:extent cx="600075" cy="1117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0075" cy="11176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73" w:name="page74"/>
    <w:bookmarkEnd w:id="73"/>
    <w:p>
      <w:pPr>
        <w:ind w:right="320"/>
        <w:spacing w:after="0" w:line="254" w:lineRule="auto"/>
        <w:rPr>
          <w:sz w:val="20"/>
          <w:szCs w:val="20"/>
          <w:color w:val="auto"/>
        </w:rPr>
      </w:pPr>
      <w:r>
        <w:rPr>
          <w:rFonts w:ascii="Arial" w:cs="Arial" w:eastAsia="Arial" w:hAnsi="Arial"/>
          <w:sz w:val="18"/>
          <w:szCs w:val="18"/>
          <w:color w:val="auto"/>
        </w:rPr>
        <w:t>connection with the offering, debt issuance costs incurred totaled $9 million and debt discounts totaled $5 million and are being amortized over the respective terms of the notes to interest expense, net in the consolidated statements of earnings. In October 2019, the company used the proceeds to redeem €1.4 billion aggregate principal amount of 0.375% senior Euro notes that were due to mature in November 2019.</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May 2018, the company also repaid $3.0 billion aggregate principal amount of 1.80% senior notes at maturity.</w:t>
      </w:r>
    </w:p>
    <w:p>
      <w:pPr>
        <w:spacing w:after="0" w:line="158"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In September 2018, the company issued $6.0 billion aggregate principal amount of unsecured senior notes. These senior notes rank equally with all other unsecured and unsubordinated indebtedness of the company. AbbVie may redeem the senior notes prior to maturity at a redemption price equal to the principal amount of the senior notes redeemed plus a make-whole premium, and except for the 3.375% notes due 2021, AbbVie may redeem the senior notes at par between one and six months prior to maturity. In connection with the offering, debt issuance costs incurred totaled $ 37 million and debt discounts totaled $37 million and are being amortized over the respective terms of the senior notes to interest expense, net in the consolidated statements of earnings. Of the $5.9 billion net proceeds, $2.0 billion was used to repay the company's outstanding three-year term loan credit agreement in September 2018 and $1.0 billion was used to repay the aggregate principal amount of 2.00% senior notes at maturity in November 2018. The company used the remaining proceeds to repay term loan obligations in 2019 as they became due.</w:t>
      </w:r>
    </w:p>
    <w:p>
      <w:pPr>
        <w:spacing w:after="0" w:line="144"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AbbVie has outstanding €2.2 billion aggregate principal amount of unsecured senior Euro notes which were issued in 2016. AbbVie may redeem the senior notes prior to maturity at a redemption price equal to the principal amount of the senior notes redeemed plus a make-whole premium and AbbVie may redeem the senior notes at par between one and three months prior to maturity.</w:t>
      </w:r>
    </w:p>
    <w:p>
      <w:pPr>
        <w:spacing w:after="0" w:line="121"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AbbVie has outstanding $7.8 billion aggregate principal amount of unsecured senior notes which were issued in 2016 and $10.0 billion aggregate principal amount of unsecured senior notes which were issued in 2015. AbbVie may redeem the senior notes, at any time, prior to maturity at a redemption price equal to the principal amount of the senior notes redeemed plus a make-whole premium and AbbVie may redeem the senior notes at par between one and six months prior to maturity.</w:t>
      </w:r>
    </w:p>
    <w:p>
      <w:pPr>
        <w:spacing w:after="0" w:line="136"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AbbVie has outstanding $5.7 billion aggregate principal amount of unsecured senior notes which were issued in 2012. AbbVie may redeem all of the senior notes of each series, at any time, or some of the senior notes of each series, from time to time, at a redemption price equal to the principal amount of the senior notes redeemed plus a make-whole premium.</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2020, the company was in compliance with its senior note covenants and term loan covenants.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Short-Term Borrowings</w:t>
      </w:r>
    </w:p>
    <w:p>
      <w:pPr>
        <w:spacing w:after="0" w:line="180" w:lineRule="exact"/>
        <w:rPr>
          <w:sz w:val="20"/>
          <w:szCs w:val="20"/>
          <w:color w:val="auto"/>
        </w:rPr>
      </w:pPr>
    </w:p>
    <w:p>
      <w:pPr>
        <w:ind w:right="300" w:firstLine="445"/>
        <w:spacing w:after="0" w:line="261" w:lineRule="auto"/>
        <w:rPr>
          <w:sz w:val="20"/>
          <w:szCs w:val="20"/>
          <w:color w:val="auto"/>
        </w:rPr>
      </w:pPr>
      <w:r>
        <w:rPr>
          <w:rFonts w:ascii="Arial" w:cs="Arial" w:eastAsia="Arial" w:hAnsi="Arial"/>
          <w:sz w:val="18"/>
          <w:szCs w:val="18"/>
          <w:color w:val="auto"/>
        </w:rPr>
        <w:t>There were no commercial paper borrowings outstanding as of December 31, 2020 and December 31, 2019. The weighted-average interest rate on commercial paper borrowings was 1.8% in 2020, 2.5% in 2019 and 2.0% in 2018.</w:t>
      </w:r>
    </w:p>
    <w:p>
      <w:pPr>
        <w:spacing w:after="0" w:line="130" w:lineRule="exact"/>
        <w:rPr>
          <w:sz w:val="20"/>
          <w:szCs w:val="20"/>
          <w:color w:val="auto"/>
        </w:rPr>
      </w:pPr>
    </w:p>
    <w:p>
      <w:pPr>
        <w:ind w:right="220" w:firstLine="445"/>
        <w:spacing w:after="0" w:line="253" w:lineRule="auto"/>
        <w:rPr>
          <w:sz w:val="20"/>
          <w:szCs w:val="20"/>
          <w:color w:val="auto"/>
        </w:rPr>
      </w:pPr>
      <w:r>
        <w:rPr>
          <w:rFonts w:ascii="Arial" w:cs="Arial" w:eastAsia="Arial" w:hAnsi="Arial"/>
          <w:sz w:val="18"/>
          <w:szCs w:val="18"/>
          <w:color w:val="auto"/>
        </w:rPr>
        <w:t>In August 2019, AbbVie entered into an amended and restated $4.0 billion five-year revolving credit facility that matures in August 2024. This amended facility enables the company to borrow funds on an unsecured basis at variable interest rates and contains various covenants, all of which the company was in compliance with as of December 31, 2020. Commitment fees under AbbVie's revolving credit facilities were insignificant in 2020, 2019 and 2018. No amounts were outstanding under the company's credit facilities as of December 31, 2020 and December 31, 2019.</w:t>
      </w:r>
    </w:p>
    <w:p>
      <w:pPr>
        <w:spacing w:after="0" w:line="124" w:lineRule="exact"/>
        <w:rPr>
          <w:sz w:val="20"/>
          <w:szCs w:val="20"/>
          <w:color w:val="auto"/>
        </w:rPr>
      </w:pPr>
    </w:p>
    <w:p>
      <w:pPr>
        <w:ind w:right="60" w:firstLine="445"/>
        <w:spacing w:after="0" w:line="261" w:lineRule="auto"/>
        <w:rPr>
          <w:sz w:val="20"/>
          <w:szCs w:val="20"/>
          <w:color w:val="auto"/>
        </w:rPr>
      </w:pPr>
      <w:r>
        <w:rPr>
          <w:rFonts w:ascii="Arial" w:cs="Arial" w:eastAsia="Arial" w:hAnsi="Arial"/>
          <w:sz w:val="18"/>
          <w:szCs w:val="18"/>
          <w:color w:val="auto"/>
        </w:rPr>
        <w:t>In March 2019, AbbVie repaid a $3.0 billion 364-day term loan credit agreement that was drawn on in June 2018 and was scheduled to mature in June 2019.</w:t>
      </w:r>
    </w:p>
    <w:p>
      <w:pPr>
        <w:spacing w:after="0" w:line="200" w:lineRule="exact"/>
        <w:rPr>
          <w:sz w:val="20"/>
          <w:szCs w:val="20"/>
          <w:color w:val="auto"/>
        </w:rPr>
      </w:pPr>
    </w:p>
    <w:p>
      <w:pPr>
        <w:spacing w:after="0" w:line="319"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71</w:t>
      </w:r>
      <w:r>
        <w:rPr>
          <w:sz w:val="20"/>
          <w:szCs w:val="20"/>
          <w:color w:val="auto"/>
        </w:rPr>
        <w:tab/>
      </w:r>
      <w:r>
        <w:rPr>
          <w:sz w:val="1"/>
          <w:szCs w:val="1"/>
          <w:color w:val="auto"/>
        </w:rPr>
        <w:drawing>
          <wp:inline distT="0" distB="0" distL="0" distR="0">
            <wp:extent cx="600075" cy="11112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444867"/>
        </w:rPr>
        <w:t>Maturities of Long-Term Debt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80" w:type="dxa"/>
            <w:vAlign w:val="bottom"/>
          </w:tcPr>
          <w:p>
            <w:pPr>
              <w:ind w:left="460"/>
              <w:spacing w:after="0"/>
              <w:rPr>
                <w:sz w:val="20"/>
                <w:szCs w:val="20"/>
                <w:color w:val="auto"/>
              </w:rPr>
            </w:pPr>
            <w:r>
              <w:rPr>
                <w:rFonts w:ascii="Arial" w:cs="Arial" w:eastAsia="Arial" w:hAnsi="Arial"/>
                <w:sz w:val="18"/>
                <w:szCs w:val="18"/>
                <w:color w:val="auto"/>
              </w:rPr>
              <w:t>The following table summarizes AbbVie's debt maturities as of December 31, 2020:</w:t>
            </w: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24"/>
        </w:trPr>
        <w:tc>
          <w:tcPr>
            <w:tcW w:w="8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and for the years ending December 31 (in millions)</w:t>
            </w:r>
          </w:p>
        </w:tc>
        <w:tc>
          <w:tcPr>
            <w:tcW w:w="1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23"/>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8,422</w:t>
            </w:r>
          </w:p>
        </w:tc>
      </w:tr>
      <w:tr>
        <w:trPr>
          <w:trHeight w:val="230"/>
        </w:trPr>
        <w:tc>
          <w:tcPr>
            <w:tcW w:w="8880" w:type="dxa"/>
            <w:vAlign w:val="bottom"/>
          </w:tcPr>
          <w:p>
            <w:pPr>
              <w:ind w:left="20"/>
              <w:spacing w:after="0"/>
              <w:rPr>
                <w:sz w:val="20"/>
                <w:szCs w:val="20"/>
                <w:color w:val="auto"/>
              </w:rPr>
            </w:pPr>
            <w:r>
              <w:rPr>
                <w:rFonts w:ascii="Arial" w:cs="Arial" w:eastAsia="Arial" w:hAnsi="Arial"/>
                <w:sz w:val="18"/>
                <w:szCs w:val="18"/>
                <w:color w:val="auto"/>
              </w:rPr>
              <w:t>2022</w:t>
            </w:r>
          </w:p>
        </w:tc>
        <w:tc>
          <w:tcPr>
            <w:tcW w:w="1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12,428</w:t>
            </w:r>
          </w:p>
        </w:tc>
      </w:tr>
      <w:tr>
        <w:trPr>
          <w:trHeight w:val="229"/>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w:t>
            </w:r>
          </w:p>
        </w:tc>
      </w:tr>
      <w:tr>
        <w:trPr>
          <w:trHeight w:val="229"/>
        </w:trPr>
        <w:tc>
          <w:tcPr>
            <w:tcW w:w="8880" w:type="dxa"/>
            <w:vAlign w:val="bottom"/>
          </w:tcPr>
          <w:p>
            <w:pPr>
              <w:ind w:left="20"/>
              <w:spacing w:after="0"/>
              <w:rPr>
                <w:sz w:val="20"/>
                <w:szCs w:val="20"/>
                <w:color w:val="auto"/>
              </w:rPr>
            </w:pPr>
            <w:r>
              <w:rPr>
                <w:rFonts w:ascii="Arial" w:cs="Arial" w:eastAsia="Arial" w:hAnsi="Arial"/>
                <w:sz w:val="18"/>
                <w:szCs w:val="18"/>
                <w:color w:val="auto"/>
              </w:rPr>
              <w:t>2024</w:t>
            </w:r>
          </w:p>
        </w:tc>
        <w:tc>
          <w:tcPr>
            <w:tcW w:w="1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7,426</w:t>
            </w:r>
          </w:p>
        </w:tc>
      </w:tr>
      <w:tr>
        <w:trPr>
          <w:trHeight w:val="230"/>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8,771</w:t>
            </w:r>
          </w:p>
        </w:tc>
      </w:tr>
      <w:tr>
        <w:trPr>
          <w:trHeight w:val="229"/>
        </w:trPr>
        <w:tc>
          <w:tcPr>
            <w:tcW w:w="8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1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43,686</w:t>
            </w:r>
          </w:p>
        </w:tc>
      </w:tr>
      <w:tr>
        <w:trPr>
          <w:trHeight w:val="223"/>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obligations and commitments</w:t>
            </w: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84,948</w:t>
            </w:r>
          </w:p>
        </w:tc>
      </w:tr>
      <w:tr>
        <w:trPr>
          <w:trHeight w:val="188"/>
        </w:trPr>
        <w:tc>
          <w:tcPr>
            <w:tcW w:w="8880" w:type="dxa"/>
            <w:vAlign w:val="bottom"/>
          </w:tcPr>
          <w:p>
            <w:pPr>
              <w:ind w:left="20"/>
              <w:spacing w:after="0" w:line="189" w:lineRule="exact"/>
              <w:rPr>
                <w:sz w:val="20"/>
                <w:szCs w:val="20"/>
                <w:color w:val="auto"/>
              </w:rPr>
            </w:pPr>
            <w:r>
              <w:rPr>
                <w:rFonts w:ascii="Arial" w:cs="Arial" w:eastAsia="Arial" w:hAnsi="Arial"/>
                <w:sz w:val="18"/>
                <w:szCs w:val="18"/>
                <w:color w:val="auto"/>
              </w:rPr>
              <w:t>Fair value hedges, unamortized bond premiums and discounts, deferred financing costs and finance</w:t>
            </w:r>
          </w:p>
        </w:tc>
        <w:tc>
          <w:tcPr>
            <w:tcW w:w="13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7"/>
        </w:trPr>
        <w:tc>
          <w:tcPr>
            <w:tcW w:w="8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lease obligations</w:t>
            </w:r>
          </w:p>
        </w:tc>
        <w:tc>
          <w:tcPr>
            <w:tcW w:w="1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r>
      <w:tr>
        <w:trPr>
          <w:trHeight w:val="248"/>
        </w:trPr>
        <w:tc>
          <w:tcPr>
            <w:tcW w:w="8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and finance lease obligations</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86,022</w:t>
            </w:r>
          </w:p>
        </w:tc>
      </w:tr>
      <w:tr>
        <w:trPr>
          <w:trHeight w:val="20"/>
        </w:trPr>
        <w:tc>
          <w:tcPr>
            <w:tcW w:w="88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Contingencies and Guarantees</w:t>
      </w:r>
    </w:p>
    <w:p>
      <w:pPr>
        <w:spacing w:after="0" w:line="180"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In connection with the separation, AbbVie has indemnified Abbott for all liabilities resulting from the operation of AbbVie's business other than income tax liabilities with respect to periods prior to the distribution date and other liabilities as agreed to by AbbVie and Abbott. AbbVie has no material exposures to off-balance sheet arrangements and no special-purpose entities. In the ordinary course of business, AbbVie has periodically entered into third-party agreements, such as the assignment of product rights, which have resulted in AbbVie becoming secondarily liable for obligations for which AbbVie had previously been primarily liable. Based upon past experience, the likelihood of payments under these agreements is remote.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11 Financial Instruments and Fair Value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Risk Management Policy</w:t>
      </w:r>
    </w:p>
    <w:p>
      <w:pPr>
        <w:spacing w:after="0" w:line="180"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The company is exposed to foreign currency exchange rate and interest rate risks related to its business operations. AbbVie's hedging policy attempts to manage these risks to an acceptable level based on the company's judgment of the appropriate trade-off between risk, opportunity and costs. The company uses derivative and nonderivative instruments to reduce its exposure to foreign currency exchange rates. AbbVie also periodically enters into interest rate swaps in which the company agrees to exchange, at specified intervals, the difference between fixed and floating interest amounts calculated by reference to an agreed-upon notional amount. Derivative instruments are not used for trading purposes or to manage exposure to changes in interest rates for investment securities, and none of the company's outstanding derivative instruments contain credit risk related contingent features; collateral is generally not required.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Financial Instruments</w:t>
      </w:r>
    </w:p>
    <w:p>
      <w:pPr>
        <w:spacing w:after="0" w:line="166"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Various AbbVie foreign subsidiaries enter into foreign currency forward exchange contracts to manage exposures to changes in foreign exchange rates for anticipated intercompany transactions denominated in a currency other than the functional currency of the local entity. These contracts, with notional amounts totaling $1.5 billion at December 31, 2020 and $1.0 billion at December 31, 2019, are designated as cash flow hedges and are recorded at fair value. The durations of these forward exchange contracts were generally less than 18 months. Accumulated gains and losses as of December 31, 2020 will be reclassified from AOCI and included in cost of products sold at the time the products are sold, generally not exceeding six months from the date of settlement.</w:t>
      </w:r>
    </w:p>
    <w:p>
      <w:pPr>
        <w:spacing w:after="0" w:line="141"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In the third quarter of 2019, the company entered into treasury rate lock agreements with notional amounts totaling $10.0 billion to hedge exposure to variability in future cash flows resulting from changes in interest rates related to the issuance of long-term debt in connection with the proposed acquisition of Allergan. The treasury rate lock agreements were designated as cash flow hedges and recorded at fair value. The agreements were net settled upon issuance of the senior notes in November 2019 resulting in a gain of $383 million recognized in other comprehensive income (loss). This gain is reclassified to interest expense, net over the lives of the related debt.</w:t>
      </w:r>
    </w:p>
    <w:p>
      <w:pPr>
        <w:spacing w:after="0" w:line="138" w:lineRule="exact"/>
        <w:rPr>
          <w:sz w:val="20"/>
          <w:szCs w:val="20"/>
          <w:color w:val="auto"/>
        </w:rPr>
      </w:pPr>
    </w:p>
    <w:p>
      <w:pPr>
        <w:ind w:right="180" w:firstLine="445"/>
        <w:spacing w:after="0" w:line="256" w:lineRule="auto"/>
        <w:rPr>
          <w:sz w:val="20"/>
          <w:szCs w:val="20"/>
          <w:color w:val="auto"/>
        </w:rPr>
      </w:pPr>
      <w:r>
        <w:rPr>
          <w:rFonts w:ascii="Arial" w:cs="Arial" w:eastAsia="Arial" w:hAnsi="Arial"/>
          <w:sz w:val="18"/>
          <w:szCs w:val="18"/>
          <w:color w:val="auto"/>
        </w:rPr>
        <w:t>In the fourth quarter of 2019, the company entered into interest rate swap contracts with notional amounts totaling $2.3 billion at December 31, 2020 and December 31, 2019. The effect of the hedge contracts is to change a floating-rate interest obligation to a fixed rate for that portion of the floating-rate debt. The contracts were designated as cash flow hedges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72</w:t>
            </w:r>
          </w:p>
        </w:tc>
      </w:tr>
      <w:tr>
        <w:trPr>
          <w:trHeight w:val="196"/>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-325120</wp:posOffset>
            </wp:positionV>
            <wp:extent cx="600075" cy="1111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0075" cy="11112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75" w:name="page76"/>
    <w:bookmarkEnd w:id="75"/>
    <w:p>
      <w:pPr>
        <w:ind w:right="340"/>
        <w:spacing w:after="0" w:line="261" w:lineRule="auto"/>
        <w:rPr>
          <w:sz w:val="20"/>
          <w:szCs w:val="20"/>
          <w:color w:val="auto"/>
        </w:rPr>
      </w:pPr>
      <w:r>
        <w:rPr>
          <w:rFonts w:ascii="Arial" w:cs="Arial" w:eastAsia="Arial" w:hAnsi="Arial"/>
          <w:sz w:val="18"/>
          <w:szCs w:val="18"/>
          <w:color w:val="auto"/>
        </w:rPr>
        <w:t>and are recorded at fair value. Realized and unrealized gains or losses are included in AOCI and are reclassified to interest expense, net over the lives of the floating-rate debt.</w:t>
      </w:r>
    </w:p>
    <w:p>
      <w:pPr>
        <w:spacing w:after="0" w:line="117" w:lineRule="exact"/>
        <w:rPr>
          <w:sz w:val="20"/>
          <w:szCs w:val="20"/>
          <w:color w:val="auto"/>
        </w:rPr>
      </w:pPr>
    </w:p>
    <w:p>
      <w:pPr>
        <w:ind w:right="260" w:firstLine="445"/>
        <w:spacing w:after="0" w:line="253" w:lineRule="auto"/>
        <w:rPr>
          <w:sz w:val="20"/>
          <w:szCs w:val="20"/>
          <w:color w:val="auto"/>
        </w:rPr>
      </w:pPr>
      <w:r>
        <w:rPr>
          <w:rFonts w:ascii="Arial" w:cs="Arial" w:eastAsia="Arial" w:hAnsi="Arial"/>
          <w:sz w:val="18"/>
          <w:szCs w:val="18"/>
          <w:color w:val="auto"/>
        </w:rPr>
        <w:t>The company also enters into foreign currency forward exchange contracts to manage its exposure to foreign currency denominated trade payables and receivables and intercompany loans. These contracts are not designated as hedges and are recorded at fair value. Resulting gains or losses are reflected in net foreign exchange loss in the consolidated statements of earnings and are generally offset by losses or gains on the foreign currency exposure being managed. These contracts had notional amounts totaling $8.6 billion at December 31, 2020 and $7.1 billion at December 31, 2019.</w:t>
      </w:r>
    </w:p>
    <w:p>
      <w:pPr>
        <w:spacing w:after="0" w:line="138" w:lineRule="exact"/>
        <w:rPr>
          <w:sz w:val="20"/>
          <w:szCs w:val="20"/>
          <w:color w:val="auto"/>
        </w:rPr>
      </w:pPr>
    </w:p>
    <w:p>
      <w:pPr>
        <w:ind w:right="120" w:firstLine="445"/>
        <w:spacing w:after="0" w:line="252" w:lineRule="auto"/>
        <w:rPr>
          <w:sz w:val="20"/>
          <w:szCs w:val="20"/>
          <w:color w:val="auto"/>
        </w:rPr>
      </w:pPr>
      <w:r>
        <w:rPr>
          <w:rFonts w:ascii="Arial" w:cs="Arial" w:eastAsia="Arial" w:hAnsi="Arial"/>
          <w:sz w:val="18"/>
          <w:szCs w:val="18"/>
          <w:color w:val="auto"/>
        </w:rPr>
        <w:t>The company also uses foreign currency forward exchange contracts or foreign currency denominated debt to hedge its net investments in certain foreign subsidiaries and affiliates. The company had an aggregate principal amount of senior Euro notes designated as net investment hedges of €6.6 billion at December 31, 2020 and €3.6 billion at December 31, 2019. In addition, the company had foreign currency forward exchange contracts designated as net investment hedges with notional amounts totaling € 971 million at December 31, 2020 and €971 million, £204 million, and CHF62 million at December 31, 2019. The company uses the spot method of assessing hedge effectiveness for derivative instruments designated as net investment hedges. Realized and unrealized gains and losses from these hedges are included in AOCI and the initial fair value of hedge components excluded from the assessment of effectiveness is recognized in interest expense, net over the life of the hedging instrument.</w:t>
      </w:r>
    </w:p>
    <w:p>
      <w:pPr>
        <w:spacing w:after="0" w:line="138"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AbbVie is a party to interest rate swap contracts designated as fair value hedges with notional amounts totaling $4.8 billion at December 31, 2020 and $10.8 billion at December 31, 2019. The effect of the hedge contracts is to change a fixed-rate interest obligation to a floating rate for that portion of the debt. AbbVie records the contracts at fair value and adjusts the carrying amount of the fixed-rate debt by an offsetting amount.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amounts are excluded from the assessment of effectiveness for cash flow hedges or fair value hedges.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and location of AbbVie's derivative instruments on the consolidated balance sheets: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280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Fair value -</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8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Fair value -</w:t>
            </w: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30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Derivatives in asset position</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Derivatives in liability position</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of December 31 (in millions)</w:t>
            </w:r>
          </w:p>
        </w:tc>
        <w:tc>
          <w:tcPr>
            <w:tcW w:w="1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Balance sheet caption</w:t>
            </w: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Balance sheet caption</w:t>
            </w: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3300" w:type="dxa"/>
            <w:vAlign w:val="bottom"/>
          </w:tcPr>
          <w:p>
            <w:pPr>
              <w:spacing w:after="0"/>
              <w:rPr>
                <w:sz w:val="20"/>
                <w:szCs w:val="20"/>
                <w:color w:val="auto"/>
              </w:rPr>
            </w:pPr>
            <w:r>
              <w:rPr>
                <w:rFonts w:ascii="Arial" w:cs="Arial" w:eastAsia="Arial" w:hAnsi="Arial"/>
                <w:sz w:val="14"/>
                <w:szCs w:val="14"/>
                <w:color w:val="auto"/>
              </w:rPr>
              <w:t>Foreign currency forward exchange contracts</w:t>
            </w:r>
          </w:p>
        </w:tc>
        <w:tc>
          <w:tcPr>
            <w:tcW w:w="1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30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rPr>
              <w:t>Designated as cash flow hedges</w:t>
            </w:r>
          </w:p>
        </w:tc>
        <w:tc>
          <w:tcPr>
            <w:tcW w:w="1980" w:type="dxa"/>
            <w:vAlign w:val="bottom"/>
            <w:shd w:val="clear" w:color="auto" w:fill="CCEEFF"/>
          </w:tcPr>
          <w:p>
            <w:pPr>
              <w:jc w:val="right"/>
              <w:ind w:right="168"/>
              <w:spacing w:after="0" w:line="153" w:lineRule="exact"/>
              <w:rPr>
                <w:sz w:val="20"/>
                <w:szCs w:val="20"/>
                <w:color w:val="auto"/>
              </w:rPr>
            </w:pPr>
            <w:r>
              <w:rPr>
                <w:rFonts w:ascii="Arial" w:cs="Arial" w:eastAsia="Arial" w:hAnsi="Arial"/>
                <w:sz w:val="14"/>
                <w:szCs w:val="14"/>
                <w:color w:val="auto"/>
              </w:rPr>
              <w:t>Prepaid expenses and</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3"/>
                <w:szCs w:val="13"/>
                <w:color w:val="auto"/>
              </w:rPr>
            </w:pPr>
          </w:p>
        </w:tc>
        <w:tc>
          <w:tcPr>
            <w:tcW w:w="1980" w:type="dxa"/>
            <w:vAlign w:val="bottom"/>
            <w:shd w:val="clear" w:color="auto" w:fill="CCEEFF"/>
          </w:tcPr>
          <w:p>
            <w:pPr>
              <w:jc w:val="right"/>
              <w:ind w:right="188"/>
              <w:spacing w:after="0" w:line="153" w:lineRule="exact"/>
              <w:rPr>
                <w:sz w:val="20"/>
                <w:szCs w:val="20"/>
                <w:color w:val="auto"/>
              </w:rPr>
            </w:pPr>
            <w:r>
              <w:rPr>
                <w:rFonts w:ascii="Arial" w:cs="Arial" w:eastAsia="Arial" w:hAnsi="Arial"/>
                <w:sz w:val="14"/>
                <w:szCs w:val="14"/>
                <w:color w:val="auto"/>
              </w:rPr>
              <w:t>Accounts payable and</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3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1"/>
        </w:trPr>
        <w:tc>
          <w:tcPr>
            <w:tcW w:w="3300" w:type="dxa"/>
            <w:vAlign w:val="bottom"/>
            <w:vMerge w:val="continue"/>
            <w:shd w:val="clear" w:color="auto" w:fill="CCEEFF"/>
          </w:tcPr>
          <w:p>
            <w:pPr>
              <w:spacing w:after="0"/>
              <w:rPr>
                <w:sz w:val="14"/>
                <w:szCs w:val="14"/>
                <w:color w:val="auto"/>
              </w:rPr>
            </w:pPr>
          </w:p>
        </w:tc>
        <w:tc>
          <w:tcPr>
            <w:tcW w:w="1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other $</w:t>
            </w:r>
          </w:p>
        </w:tc>
        <w:tc>
          <w:tcPr>
            <w:tcW w:w="82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accrued liabilities $</w:t>
            </w:r>
          </w:p>
        </w:tc>
        <w:tc>
          <w:tcPr>
            <w:tcW w:w="800" w:type="dxa"/>
            <w:vAlign w:val="bottom"/>
            <w:vMerge w:val="continue"/>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00" w:type="dxa"/>
            <w:vAlign w:val="bottom"/>
          </w:tcPr>
          <w:p>
            <w:pPr>
              <w:ind w:left="200"/>
              <w:spacing w:after="0"/>
              <w:rPr>
                <w:sz w:val="20"/>
                <w:szCs w:val="20"/>
                <w:color w:val="auto"/>
              </w:rPr>
            </w:pPr>
            <w:r>
              <w:rPr>
                <w:rFonts w:ascii="Arial" w:cs="Arial" w:eastAsia="Arial" w:hAnsi="Arial"/>
                <w:sz w:val="14"/>
                <w:szCs w:val="14"/>
                <w:color w:val="auto"/>
              </w:rPr>
              <w:t>Designated as cash flow hedges</w:t>
            </w:r>
          </w:p>
        </w:tc>
        <w:tc>
          <w:tcPr>
            <w:tcW w:w="1980" w:type="dxa"/>
            <w:vAlign w:val="bottom"/>
          </w:tcPr>
          <w:p>
            <w:pPr>
              <w:jc w:val="right"/>
              <w:ind w:right="168"/>
              <w:spacing w:after="0"/>
              <w:rPr>
                <w:sz w:val="20"/>
                <w:szCs w:val="20"/>
                <w:color w:val="auto"/>
              </w:rPr>
            </w:pPr>
            <w:r>
              <w:rPr>
                <w:rFonts w:ascii="Arial" w:cs="Arial" w:eastAsia="Arial" w:hAnsi="Arial"/>
                <w:sz w:val="14"/>
                <w:szCs w:val="14"/>
                <w:color w:val="auto"/>
              </w:rPr>
              <w:t>Other assets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980" w:type="dxa"/>
            <w:vAlign w:val="bottom"/>
          </w:tcPr>
          <w:p>
            <w:pPr>
              <w:jc w:val="right"/>
              <w:ind w:right="188"/>
              <w:spacing w:after="0"/>
              <w:rPr>
                <w:sz w:val="20"/>
                <w:szCs w:val="20"/>
                <w:color w:val="auto"/>
              </w:rPr>
            </w:pPr>
            <w:r>
              <w:rPr>
                <w:rFonts w:ascii="Arial" w:cs="Arial" w:eastAsia="Arial" w:hAnsi="Arial"/>
                <w:sz w:val="14"/>
                <w:szCs w:val="14"/>
                <w:color w:val="auto"/>
              </w:rPr>
              <w:t>Other long-term liabilities</w:t>
            </w:r>
          </w:p>
        </w:tc>
        <w:tc>
          <w:tcPr>
            <w:tcW w:w="800" w:type="dxa"/>
            <w:vAlign w:val="bottom"/>
          </w:tcPr>
          <w:p>
            <w:pPr>
              <w:jc w:val="right"/>
              <w:spacing w:after="0"/>
              <w:rPr>
                <w:sz w:val="20"/>
                <w:szCs w:val="20"/>
                <w:color w:val="auto"/>
              </w:rPr>
            </w:pPr>
            <w:r>
              <w:rPr>
                <w:rFonts w:ascii="Arial" w:cs="Arial" w:eastAsia="Arial" w:hAnsi="Arial"/>
                <w:sz w:val="14"/>
                <w:szCs w:val="14"/>
                <w:color w:val="auto"/>
              </w:rPr>
              <w:t>6</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30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rPr>
              <w:t>Designated as net investment hedges</w:t>
            </w:r>
          </w:p>
        </w:tc>
        <w:tc>
          <w:tcPr>
            <w:tcW w:w="1980" w:type="dxa"/>
            <w:vAlign w:val="bottom"/>
            <w:shd w:val="clear" w:color="auto" w:fill="CCEEFF"/>
          </w:tcPr>
          <w:p>
            <w:pPr>
              <w:jc w:val="right"/>
              <w:ind w:right="168"/>
              <w:spacing w:after="0" w:line="153" w:lineRule="exact"/>
              <w:rPr>
                <w:sz w:val="20"/>
                <w:szCs w:val="20"/>
                <w:color w:val="auto"/>
              </w:rPr>
            </w:pPr>
            <w:r>
              <w:rPr>
                <w:rFonts w:ascii="Arial" w:cs="Arial" w:eastAsia="Arial" w:hAnsi="Arial"/>
                <w:sz w:val="14"/>
                <w:szCs w:val="14"/>
                <w:color w:val="auto"/>
              </w:rPr>
              <w:t>Prepaid expenses and</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980" w:type="dxa"/>
            <w:vAlign w:val="bottom"/>
            <w:shd w:val="clear" w:color="auto" w:fill="CCEEFF"/>
          </w:tcPr>
          <w:p>
            <w:pPr>
              <w:jc w:val="right"/>
              <w:ind w:right="188"/>
              <w:spacing w:after="0" w:line="153" w:lineRule="exact"/>
              <w:rPr>
                <w:sz w:val="20"/>
                <w:szCs w:val="20"/>
                <w:color w:val="auto"/>
              </w:rPr>
            </w:pPr>
            <w:r>
              <w:rPr>
                <w:rFonts w:ascii="Arial" w:cs="Arial" w:eastAsia="Arial" w:hAnsi="Arial"/>
                <w:sz w:val="14"/>
                <w:szCs w:val="14"/>
                <w:color w:val="auto"/>
              </w:rPr>
              <w:t>Accounts payable and</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3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1"/>
        </w:trPr>
        <w:tc>
          <w:tcPr>
            <w:tcW w:w="3300" w:type="dxa"/>
            <w:vAlign w:val="bottom"/>
            <w:vMerge w:val="continue"/>
            <w:shd w:val="clear" w:color="auto" w:fill="CCEEFF"/>
          </w:tcPr>
          <w:p>
            <w:pPr>
              <w:spacing w:after="0"/>
              <w:rPr>
                <w:sz w:val="14"/>
                <w:szCs w:val="14"/>
                <w:color w:val="auto"/>
              </w:rPr>
            </w:pPr>
          </w:p>
        </w:tc>
        <w:tc>
          <w:tcPr>
            <w:tcW w:w="19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other</w:t>
            </w:r>
          </w:p>
        </w:tc>
        <w:tc>
          <w:tcPr>
            <w:tcW w:w="8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9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accrued liabilities</w:t>
            </w:r>
          </w:p>
        </w:tc>
        <w:tc>
          <w:tcPr>
            <w:tcW w:w="80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00" w:type="dxa"/>
            <w:vAlign w:val="bottom"/>
            <w:vMerge w:val="restart"/>
          </w:tcPr>
          <w:p>
            <w:pPr>
              <w:ind w:left="200"/>
              <w:spacing w:after="0"/>
              <w:rPr>
                <w:sz w:val="20"/>
                <w:szCs w:val="20"/>
                <w:color w:val="auto"/>
              </w:rPr>
            </w:pPr>
            <w:r>
              <w:rPr>
                <w:rFonts w:ascii="Arial" w:cs="Arial" w:eastAsia="Arial" w:hAnsi="Arial"/>
                <w:sz w:val="14"/>
                <w:szCs w:val="14"/>
                <w:color w:val="auto"/>
              </w:rPr>
              <w:t>Not designated as hedges</w:t>
            </w:r>
          </w:p>
        </w:tc>
        <w:tc>
          <w:tcPr>
            <w:tcW w:w="1980" w:type="dxa"/>
            <w:vAlign w:val="bottom"/>
          </w:tcPr>
          <w:p>
            <w:pPr>
              <w:jc w:val="right"/>
              <w:ind w:right="168"/>
              <w:spacing w:after="0" w:line="153" w:lineRule="exact"/>
              <w:rPr>
                <w:sz w:val="20"/>
                <w:szCs w:val="20"/>
                <w:color w:val="auto"/>
              </w:rPr>
            </w:pPr>
            <w:r>
              <w:rPr>
                <w:rFonts w:ascii="Arial" w:cs="Arial" w:eastAsia="Arial" w:hAnsi="Arial"/>
                <w:sz w:val="14"/>
                <w:szCs w:val="14"/>
                <w:color w:val="auto"/>
              </w:rPr>
              <w:t>Prepaid expenses and</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49</w:t>
            </w:r>
          </w:p>
        </w:tc>
        <w:tc>
          <w:tcPr>
            <w:tcW w:w="260" w:type="dxa"/>
            <w:vAlign w:val="bottom"/>
          </w:tcPr>
          <w:p>
            <w:pPr>
              <w:spacing w:after="0"/>
              <w:rPr>
                <w:sz w:val="13"/>
                <w:szCs w:val="13"/>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3"/>
                <w:szCs w:val="13"/>
                <w:color w:val="auto"/>
              </w:rPr>
            </w:pPr>
          </w:p>
        </w:tc>
        <w:tc>
          <w:tcPr>
            <w:tcW w:w="1980" w:type="dxa"/>
            <w:vAlign w:val="bottom"/>
          </w:tcPr>
          <w:p>
            <w:pPr>
              <w:jc w:val="right"/>
              <w:ind w:right="188"/>
              <w:spacing w:after="0" w:line="153" w:lineRule="exact"/>
              <w:rPr>
                <w:sz w:val="20"/>
                <w:szCs w:val="20"/>
                <w:color w:val="auto"/>
              </w:rPr>
            </w:pPr>
            <w:r>
              <w:rPr>
                <w:rFonts w:ascii="Arial" w:cs="Arial" w:eastAsia="Arial" w:hAnsi="Arial"/>
                <w:sz w:val="14"/>
                <w:szCs w:val="14"/>
                <w:color w:val="auto"/>
              </w:rPr>
              <w:t>Accounts payable and</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3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1"/>
        </w:trPr>
        <w:tc>
          <w:tcPr>
            <w:tcW w:w="3300" w:type="dxa"/>
            <w:vAlign w:val="bottom"/>
            <w:vMerge w:val="continue"/>
          </w:tcPr>
          <w:p>
            <w:pPr>
              <w:spacing w:after="0"/>
              <w:rPr>
                <w:sz w:val="14"/>
                <w:szCs w:val="14"/>
                <w:color w:val="auto"/>
              </w:rPr>
            </w:pPr>
          </w:p>
        </w:tc>
        <w:tc>
          <w:tcPr>
            <w:tcW w:w="1980" w:type="dxa"/>
            <w:vAlign w:val="bottom"/>
          </w:tcPr>
          <w:p>
            <w:pPr>
              <w:jc w:val="right"/>
              <w:ind w:right="168"/>
              <w:spacing w:after="0"/>
              <w:rPr>
                <w:sz w:val="20"/>
                <w:szCs w:val="20"/>
                <w:color w:val="auto"/>
              </w:rPr>
            </w:pPr>
            <w:r>
              <w:rPr>
                <w:rFonts w:ascii="Arial" w:cs="Arial" w:eastAsia="Arial" w:hAnsi="Arial"/>
                <w:sz w:val="14"/>
                <w:szCs w:val="14"/>
                <w:color w:val="auto"/>
              </w:rPr>
              <w:t>other</w:t>
            </w: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jc w:val="right"/>
              <w:ind w:right="188"/>
              <w:spacing w:after="0"/>
              <w:rPr>
                <w:sz w:val="20"/>
                <w:szCs w:val="20"/>
                <w:color w:val="auto"/>
              </w:rPr>
            </w:pPr>
            <w:r>
              <w:rPr>
                <w:rFonts w:ascii="Arial" w:cs="Arial" w:eastAsia="Arial" w:hAnsi="Arial"/>
                <w:sz w:val="14"/>
                <w:szCs w:val="14"/>
                <w:color w:val="auto"/>
              </w:rPr>
              <w:t>accrued liabilities</w:t>
            </w:r>
          </w:p>
        </w:tc>
        <w:tc>
          <w:tcPr>
            <w:tcW w:w="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Interest rate swap contracts</w:t>
            </w:r>
          </w:p>
        </w:tc>
        <w:tc>
          <w:tcPr>
            <w:tcW w:w="19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300" w:type="dxa"/>
            <w:vAlign w:val="bottom"/>
            <w:vMerge w:val="restart"/>
          </w:tcPr>
          <w:p>
            <w:pPr>
              <w:ind w:left="200"/>
              <w:spacing w:after="0"/>
              <w:rPr>
                <w:sz w:val="20"/>
                <w:szCs w:val="20"/>
                <w:color w:val="auto"/>
              </w:rPr>
            </w:pPr>
            <w:r>
              <w:rPr>
                <w:rFonts w:ascii="Arial" w:cs="Arial" w:eastAsia="Arial" w:hAnsi="Arial"/>
                <w:sz w:val="14"/>
                <w:szCs w:val="14"/>
                <w:color w:val="auto"/>
              </w:rPr>
              <w:t>Designated as cash flow hedges</w:t>
            </w:r>
          </w:p>
        </w:tc>
        <w:tc>
          <w:tcPr>
            <w:tcW w:w="1980" w:type="dxa"/>
            <w:vAlign w:val="bottom"/>
          </w:tcPr>
          <w:p>
            <w:pPr>
              <w:jc w:val="right"/>
              <w:ind w:right="168"/>
              <w:spacing w:after="0" w:line="153" w:lineRule="exact"/>
              <w:rPr>
                <w:sz w:val="20"/>
                <w:szCs w:val="20"/>
                <w:color w:val="auto"/>
              </w:rPr>
            </w:pPr>
            <w:r>
              <w:rPr>
                <w:rFonts w:ascii="Arial" w:cs="Arial" w:eastAsia="Arial" w:hAnsi="Arial"/>
                <w:sz w:val="14"/>
                <w:szCs w:val="14"/>
                <w:color w:val="auto"/>
              </w:rPr>
              <w:t>Prepaid expenses and</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980" w:type="dxa"/>
            <w:vAlign w:val="bottom"/>
          </w:tcPr>
          <w:p>
            <w:pPr>
              <w:jc w:val="right"/>
              <w:ind w:right="188"/>
              <w:spacing w:after="0" w:line="153" w:lineRule="exact"/>
              <w:rPr>
                <w:sz w:val="20"/>
                <w:szCs w:val="20"/>
                <w:color w:val="auto"/>
              </w:rPr>
            </w:pPr>
            <w:r>
              <w:rPr>
                <w:rFonts w:ascii="Arial" w:cs="Arial" w:eastAsia="Arial" w:hAnsi="Arial"/>
                <w:sz w:val="14"/>
                <w:szCs w:val="14"/>
                <w:color w:val="auto"/>
              </w:rPr>
              <w:t>Accounts payable and</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3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300" w:type="dxa"/>
            <w:vAlign w:val="bottom"/>
            <w:vMerge w:val="continue"/>
          </w:tcPr>
          <w:p>
            <w:pPr>
              <w:spacing w:after="0"/>
              <w:rPr>
                <w:sz w:val="14"/>
                <w:szCs w:val="14"/>
                <w:color w:val="auto"/>
              </w:rPr>
            </w:pPr>
          </w:p>
        </w:tc>
        <w:tc>
          <w:tcPr>
            <w:tcW w:w="1980" w:type="dxa"/>
            <w:vAlign w:val="bottom"/>
          </w:tcPr>
          <w:p>
            <w:pPr>
              <w:jc w:val="right"/>
              <w:ind w:right="168"/>
              <w:spacing w:after="0"/>
              <w:rPr>
                <w:sz w:val="20"/>
                <w:szCs w:val="20"/>
                <w:color w:val="auto"/>
              </w:rPr>
            </w:pPr>
            <w:r>
              <w:rPr>
                <w:rFonts w:ascii="Arial" w:cs="Arial" w:eastAsia="Arial" w:hAnsi="Arial"/>
                <w:sz w:val="14"/>
                <w:szCs w:val="14"/>
                <w:color w:val="auto"/>
              </w:rPr>
              <w:t>other</w:t>
            </w: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980" w:type="dxa"/>
            <w:vAlign w:val="bottom"/>
          </w:tcPr>
          <w:p>
            <w:pPr>
              <w:jc w:val="right"/>
              <w:ind w:right="188"/>
              <w:spacing w:after="0"/>
              <w:rPr>
                <w:sz w:val="20"/>
                <w:szCs w:val="20"/>
                <w:color w:val="auto"/>
              </w:rPr>
            </w:pPr>
            <w:r>
              <w:rPr>
                <w:rFonts w:ascii="Arial" w:cs="Arial" w:eastAsia="Arial" w:hAnsi="Arial"/>
                <w:sz w:val="14"/>
                <w:szCs w:val="14"/>
                <w:color w:val="auto"/>
              </w:rPr>
              <w:t>accrued liabilities</w:t>
            </w:r>
          </w:p>
        </w:tc>
        <w:tc>
          <w:tcPr>
            <w:tcW w:w="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Designated as cash flow hedges</w:t>
            </w:r>
          </w:p>
        </w:tc>
        <w:tc>
          <w:tcPr>
            <w:tcW w:w="19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Other assets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Other long-term liabilities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300" w:type="dxa"/>
            <w:vAlign w:val="bottom"/>
            <w:vMerge w:val="restart"/>
          </w:tcPr>
          <w:p>
            <w:pPr>
              <w:ind w:left="200"/>
              <w:spacing w:after="0"/>
              <w:rPr>
                <w:sz w:val="20"/>
                <w:szCs w:val="20"/>
                <w:color w:val="auto"/>
              </w:rPr>
            </w:pPr>
            <w:r>
              <w:rPr>
                <w:rFonts w:ascii="Arial" w:cs="Arial" w:eastAsia="Arial" w:hAnsi="Arial"/>
                <w:sz w:val="14"/>
                <w:szCs w:val="14"/>
                <w:color w:val="auto"/>
              </w:rPr>
              <w:t>Designated as fair value hedges</w:t>
            </w:r>
          </w:p>
        </w:tc>
        <w:tc>
          <w:tcPr>
            <w:tcW w:w="1980" w:type="dxa"/>
            <w:vAlign w:val="bottom"/>
          </w:tcPr>
          <w:p>
            <w:pPr>
              <w:jc w:val="right"/>
              <w:ind w:right="168"/>
              <w:spacing w:after="0" w:line="153" w:lineRule="exact"/>
              <w:rPr>
                <w:sz w:val="20"/>
                <w:szCs w:val="20"/>
                <w:color w:val="auto"/>
              </w:rPr>
            </w:pPr>
            <w:r>
              <w:rPr>
                <w:rFonts w:ascii="Arial" w:cs="Arial" w:eastAsia="Arial" w:hAnsi="Arial"/>
                <w:sz w:val="14"/>
                <w:szCs w:val="14"/>
                <w:color w:val="auto"/>
              </w:rPr>
              <w:t>Prepaid expenses and</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980" w:type="dxa"/>
            <w:vAlign w:val="bottom"/>
          </w:tcPr>
          <w:p>
            <w:pPr>
              <w:jc w:val="right"/>
              <w:ind w:right="188"/>
              <w:spacing w:after="0" w:line="153" w:lineRule="exact"/>
              <w:rPr>
                <w:sz w:val="20"/>
                <w:szCs w:val="20"/>
                <w:color w:val="auto"/>
              </w:rPr>
            </w:pPr>
            <w:r>
              <w:rPr>
                <w:rFonts w:ascii="Arial" w:cs="Arial" w:eastAsia="Arial" w:hAnsi="Arial"/>
                <w:sz w:val="14"/>
                <w:szCs w:val="14"/>
                <w:color w:val="auto"/>
              </w:rPr>
              <w:t>Accounts payable and</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1"/>
        </w:trPr>
        <w:tc>
          <w:tcPr>
            <w:tcW w:w="3300" w:type="dxa"/>
            <w:vAlign w:val="bottom"/>
            <w:vMerge w:val="continue"/>
          </w:tcPr>
          <w:p>
            <w:pPr>
              <w:spacing w:after="0"/>
              <w:rPr>
                <w:sz w:val="14"/>
                <w:szCs w:val="14"/>
                <w:color w:val="auto"/>
              </w:rPr>
            </w:pPr>
          </w:p>
        </w:tc>
        <w:tc>
          <w:tcPr>
            <w:tcW w:w="1980" w:type="dxa"/>
            <w:vAlign w:val="bottom"/>
          </w:tcPr>
          <w:p>
            <w:pPr>
              <w:jc w:val="right"/>
              <w:ind w:right="168"/>
              <w:spacing w:after="0"/>
              <w:rPr>
                <w:sz w:val="20"/>
                <w:szCs w:val="20"/>
                <w:color w:val="auto"/>
              </w:rPr>
            </w:pPr>
            <w:r>
              <w:rPr>
                <w:rFonts w:ascii="Arial" w:cs="Arial" w:eastAsia="Arial" w:hAnsi="Arial"/>
                <w:sz w:val="14"/>
                <w:szCs w:val="14"/>
                <w:color w:val="auto"/>
              </w:rPr>
              <w:t>other</w:t>
            </w: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980" w:type="dxa"/>
            <w:vAlign w:val="bottom"/>
          </w:tcPr>
          <w:p>
            <w:pPr>
              <w:jc w:val="right"/>
              <w:ind w:right="188"/>
              <w:spacing w:after="0"/>
              <w:rPr>
                <w:sz w:val="20"/>
                <w:szCs w:val="20"/>
                <w:color w:val="auto"/>
              </w:rPr>
            </w:pPr>
            <w:r>
              <w:rPr>
                <w:rFonts w:ascii="Arial" w:cs="Arial" w:eastAsia="Arial" w:hAnsi="Arial"/>
                <w:sz w:val="14"/>
                <w:szCs w:val="14"/>
                <w:color w:val="auto"/>
              </w:rPr>
              <w:t>accrued liabilities</w:t>
            </w:r>
          </w:p>
        </w:tc>
        <w:tc>
          <w:tcPr>
            <w:tcW w:w="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Designated as fair value hedges</w:t>
            </w:r>
          </w:p>
        </w:tc>
        <w:tc>
          <w:tcPr>
            <w:tcW w:w="19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Other assets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auto"/>
            </w:tcBorders>
            <w:shd w:val="clear" w:color="auto" w:fill="CCEEFF"/>
          </w:tcPr>
          <w:p>
            <w:pPr>
              <w:spacing w:after="0"/>
              <w:rPr>
                <w:sz w:val="16"/>
                <w:szCs w:val="16"/>
                <w:color w:val="auto"/>
              </w:rPr>
            </w:pPr>
          </w:p>
        </w:tc>
        <w:tc>
          <w:tcPr>
            <w:tcW w:w="19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Other long-term liabilities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3"/>
        </w:trPr>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derivatives</w:t>
            </w:r>
          </w:p>
        </w:tc>
        <w:tc>
          <w:tcPr>
            <w:tcW w:w="1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While certain derivatives are subject to netting arrangements with the company's counterparties, the company does not offset derivative assets and liabilities within the consolidated balance sheets.</w:t>
      </w:r>
    </w:p>
    <w:p>
      <w:pPr>
        <w:spacing w:after="0" w:line="200" w:lineRule="exact"/>
        <w:rPr>
          <w:sz w:val="20"/>
          <w:szCs w:val="20"/>
          <w:color w:val="auto"/>
        </w:rPr>
      </w:pPr>
    </w:p>
    <w:p>
      <w:pPr>
        <w:spacing w:after="0" w:line="319"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73</w:t>
      </w:r>
      <w:r>
        <w:rPr>
          <w:sz w:val="20"/>
          <w:szCs w:val="20"/>
          <w:color w:val="auto"/>
        </w:rPr>
        <w:tab/>
      </w:r>
      <w:r>
        <w:rPr>
          <w:sz w:val="1"/>
          <w:szCs w:val="1"/>
          <w:color w:val="auto"/>
        </w:rPr>
        <w:drawing>
          <wp:inline distT="0" distB="0" distL="0" distR="0">
            <wp:extent cx="600075" cy="11112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76" w:name="page77"/>
    <w:bookmarkEnd w:id="76"/>
    <w:p>
      <w:pPr>
        <w:ind w:right="480" w:firstLine="445"/>
        <w:spacing w:after="0" w:line="261" w:lineRule="auto"/>
        <w:rPr>
          <w:sz w:val="20"/>
          <w:szCs w:val="20"/>
          <w:color w:val="auto"/>
        </w:rPr>
      </w:pPr>
      <w:r>
        <w:rPr>
          <w:rFonts w:ascii="Arial" w:cs="Arial" w:eastAsia="Arial" w:hAnsi="Arial"/>
          <w:sz w:val="18"/>
          <w:szCs w:val="18"/>
          <w:color w:val="auto"/>
        </w:rPr>
        <w:t>The following table presents the pre-tax amounts of gains (losses) from derivative instruments recognized in other comprehensive income (loss):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years ended in December 31 (in millions)</w:t>
            </w:r>
          </w:p>
        </w:tc>
        <w:tc>
          <w:tcPr>
            <w:tcW w:w="16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Foreign currency forward exchange contracts</w:t>
            </w:r>
          </w:p>
        </w:tc>
        <w:tc>
          <w:tcPr>
            <w:tcW w:w="1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Designated as cash flow hedges</w:t>
            </w: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ind w:left="294"/>
              <w:spacing w:after="0"/>
              <w:rPr>
                <w:sz w:val="20"/>
                <w:szCs w:val="20"/>
                <w:color w:val="auto"/>
              </w:rPr>
            </w:pPr>
            <w:r>
              <w:rPr>
                <w:rFonts w:ascii="Arial" w:cs="Arial" w:eastAsia="Arial" w:hAnsi="Arial"/>
                <w:sz w:val="18"/>
                <w:szCs w:val="18"/>
                <w:color w:val="auto"/>
                <w:w w:val="99"/>
              </w:rPr>
              <w:t>(71)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9"/>
        </w:trPr>
        <w:tc>
          <w:tcPr>
            <w:tcW w:w="6420" w:type="dxa"/>
            <w:vAlign w:val="bottom"/>
          </w:tcPr>
          <w:p>
            <w:pPr>
              <w:ind w:left="200"/>
              <w:spacing w:after="0"/>
              <w:rPr>
                <w:sz w:val="20"/>
                <w:szCs w:val="20"/>
                <w:color w:val="auto"/>
              </w:rPr>
            </w:pPr>
            <w:r>
              <w:rPr>
                <w:rFonts w:ascii="Arial" w:cs="Arial" w:eastAsia="Arial" w:hAnsi="Arial"/>
                <w:sz w:val="18"/>
                <w:szCs w:val="18"/>
                <w:color w:val="auto"/>
              </w:rPr>
              <w:t>Designated as net investment hedges</w:t>
            </w:r>
          </w:p>
        </w:tc>
        <w:tc>
          <w:tcPr>
            <w:tcW w:w="1620" w:type="dxa"/>
            <w:vAlign w:val="bottom"/>
          </w:tcPr>
          <w:p>
            <w:pPr>
              <w:spacing w:after="0"/>
              <w:rPr>
                <w:sz w:val="19"/>
                <w:szCs w:val="19"/>
                <w:color w:val="auto"/>
              </w:rPr>
            </w:pPr>
          </w:p>
        </w:tc>
        <w:tc>
          <w:tcPr>
            <w:tcW w:w="860" w:type="dxa"/>
            <w:vAlign w:val="bottom"/>
          </w:tcPr>
          <w:p>
            <w:pPr>
              <w:jc w:val="center"/>
              <w:ind w:left="294"/>
              <w:spacing w:after="0"/>
              <w:rPr>
                <w:sz w:val="20"/>
                <w:szCs w:val="20"/>
                <w:color w:val="auto"/>
              </w:rPr>
            </w:pPr>
            <w:r>
              <w:rPr>
                <w:rFonts w:ascii="Arial" w:cs="Arial" w:eastAsia="Arial" w:hAnsi="Arial"/>
                <w:sz w:val="18"/>
                <w:szCs w:val="18"/>
                <w:color w:val="auto"/>
                <w:w w:val="99"/>
              </w:rPr>
              <w:t>(95)</w:t>
            </w:r>
          </w:p>
        </w:tc>
        <w:tc>
          <w:tcPr>
            <w:tcW w:w="30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contracts designated as cash flow hedges</w:t>
            </w:r>
          </w:p>
        </w:tc>
        <w:tc>
          <w:tcPr>
            <w:tcW w:w="162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294"/>
              <w:spacing w:after="0"/>
              <w:rPr>
                <w:sz w:val="20"/>
                <w:szCs w:val="20"/>
                <w:color w:val="auto"/>
              </w:rPr>
            </w:pPr>
            <w:r>
              <w:rPr>
                <w:rFonts w:ascii="Arial" w:cs="Arial" w:eastAsia="Arial" w:hAnsi="Arial"/>
                <w:sz w:val="18"/>
                <w:szCs w:val="18"/>
                <w:color w:val="auto"/>
                <w:w w:val="99"/>
              </w:rPr>
              <w:t>(53)</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Treasury rate lock agreements designated as cash flow hedges</w:t>
            </w:r>
          </w:p>
        </w:tc>
        <w:tc>
          <w:tcPr>
            <w:tcW w:w="1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314"/>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383</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Assuming market rates remain constant through contract maturities, the company expects to reclassify pre-tax losses of $93 million into cost of products sold for foreign currency cash flow hedges, pre-tax losses of $24 million into interest expense, net for interest rate swap cash flow hedges and pre-tax gains of $24 million into interest expense, net for treasury rate lock agreement cash flow hedges during the next 12 months.</w:t>
      </w:r>
    </w:p>
    <w:p>
      <w:pPr>
        <w:spacing w:after="0" w:line="136"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Related to AbbVie’s non-derivative, foreign currency denominated debt designated as net investment hedges, the company recognized in other comprehensive income (loss) pre-tax losses of $907 million in 2020, pre-tax gains of $90 million in 2019 and pre-tax gains of $178 million in 2018.</w:t>
      </w:r>
    </w:p>
    <w:p>
      <w:pPr>
        <w:spacing w:after="0" w:line="121"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The following table summarizes the pre-tax amounts and location of derivative instrument net gains (losses) recognized in the consolidated statements of earnings, including the net gains (losses) reclassified out of AOCI into net earnings. See Note 13 for the amount of net gains (losses) reclassified out of AOCI.</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 (in millions)</w:t>
            </w:r>
          </w:p>
        </w:tc>
        <w:tc>
          <w:tcPr>
            <w:tcW w:w="2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Statement of earnings caption</w:t>
            </w: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color w:val="auto"/>
              </w:rPr>
              <w:t>Foreign currency forward exchange contracts</w:t>
            </w:r>
          </w:p>
        </w:tc>
        <w:tc>
          <w:tcPr>
            <w:tcW w:w="2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Designated as cash flow hedges</w:t>
            </w:r>
          </w:p>
        </w:tc>
        <w:tc>
          <w:tcPr>
            <w:tcW w:w="2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Cost of products sold $</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167</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9"/>
        </w:trPr>
        <w:tc>
          <w:tcPr>
            <w:tcW w:w="5420" w:type="dxa"/>
            <w:vAlign w:val="bottom"/>
          </w:tcPr>
          <w:p>
            <w:pPr>
              <w:ind w:left="220"/>
              <w:spacing w:after="0"/>
              <w:rPr>
                <w:sz w:val="20"/>
                <w:szCs w:val="20"/>
                <w:color w:val="auto"/>
              </w:rPr>
            </w:pPr>
            <w:r>
              <w:rPr>
                <w:rFonts w:ascii="Arial" w:cs="Arial" w:eastAsia="Arial" w:hAnsi="Arial"/>
                <w:sz w:val="18"/>
                <w:szCs w:val="18"/>
                <w:color w:val="auto"/>
              </w:rPr>
              <w:t>Designated as net investment hedges</w:t>
            </w:r>
          </w:p>
        </w:tc>
        <w:tc>
          <w:tcPr>
            <w:tcW w:w="2880" w:type="dxa"/>
            <w:vAlign w:val="bottom"/>
          </w:tcPr>
          <w:p>
            <w:pPr>
              <w:jc w:val="right"/>
              <w:ind w:right="152"/>
              <w:spacing w:after="0"/>
              <w:rPr>
                <w:sz w:val="20"/>
                <w:szCs w:val="20"/>
                <w:color w:val="auto"/>
              </w:rPr>
            </w:pPr>
            <w:r>
              <w:rPr>
                <w:rFonts w:ascii="Arial" w:cs="Arial" w:eastAsia="Arial" w:hAnsi="Arial"/>
                <w:sz w:val="18"/>
                <w:szCs w:val="18"/>
                <w:color w:val="auto"/>
              </w:rPr>
              <w:t>Interest expense, net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 designated as hedges</w:t>
            </w:r>
          </w:p>
        </w:tc>
        <w:tc>
          <w:tcPr>
            <w:tcW w:w="2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Net foreign exchange loss</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Treasury rate lock agreements designated as cash flow hedges</w:t>
            </w:r>
          </w:p>
        </w:tc>
        <w:tc>
          <w:tcPr>
            <w:tcW w:w="2880" w:type="dxa"/>
            <w:vAlign w:val="bottom"/>
          </w:tcPr>
          <w:p>
            <w:pPr>
              <w:jc w:val="right"/>
              <w:ind w:right="152"/>
              <w:spacing w:after="0"/>
              <w:rPr>
                <w:sz w:val="20"/>
                <w:szCs w:val="20"/>
                <w:color w:val="auto"/>
              </w:rPr>
            </w:pPr>
            <w:r>
              <w:rPr>
                <w:rFonts w:ascii="Arial" w:cs="Arial" w:eastAsia="Arial" w:hAnsi="Arial"/>
                <w:sz w:val="18"/>
                <w:szCs w:val="18"/>
                <w:color w:val="auto"/>
              </w:rPr>
              <w:t>Interest expense, net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28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5420" w:type="dxa"/>
            <w:vAlign w:val="bottom"/>
          </w:tcPr>
          <w:p>
            <w:pPr>
              <w:ind w:left="220"/>
              <w:spacing w:after="0"/>
              <w:rPr>
                <w:sz w:val="20"/>
                <w:szCs w:val="20"/>
                <w:color w:val="auto"/>
              </w:rPr>
            </w:pPr>
            <w:r>
              <w:rPr>
                <w:rFonts w:ascii="Arial" w:cs="Arial" w:eastAsia="Arial" w:hAnsi="Arial"/>
                <w:sz w:val="18"/>
                <w:szCs w:val="18"/>
                <w:color w:val="auto"/>
              </w:rPr>
              <w:t>Designated as cash flow hedges</w:t>
            </w:r>
          </w:p>
        </w:tc>
        <w:tc>
          <w:tcPr>
            <w:tcW w:w="2880" w:type="dxa"/>
            <w:vAlign w:val="bottom"/>
          </w:tcPr>
          <w:p>
            <w:pPr>
              <w:jc w:val="right"/>
              <w:ind w:right="152"/>
              <w:spacing w:after="0"/>
              <w:rPr>
                <w:sz w:val="20"/>
                <w:szCs w:val="20"/>
                <w:color w:val="auto"/>
              </w:rPr>
            </w:pPr>
            <w:r>
              <w:rPr>
                <w:rFonts w:ascii="Arial" w:cs="Arial" w:eastAsia="Arial" w:hAnsi="Arial"/>
                <w:sz w:val="18"/>
                <w:szCs w:val="18"/>
                <w:color w:val="auto"/>
              </w:rPr>
              <w:t>Interest expense, net</w:t>
            </w: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Designated as fair value hedges</w:t>
            </w:r>
          </w:p>
        </w:tc>
        <w:tc>
          <w:tcPr>
            <w:tcW w:w="2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Interest expense, net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365</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418</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Debt designated as hedged item in fair value hedges</w:t>
            </w:r>
          </w:p>
        </w:tc>
        <w:tc>
          <w:tcPr>
            <w:tcW w:w="2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Interest expense, net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Fair Value Measures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hierarchy consists of the following three levels:</w:t>
      </w:r>
    </w:p>
    <w:p>
      <w:pPr>
        <w:spacing w:after="0" w:line="158" w:lineRule="exact"/>
        <w:rPr>
          <w:sz w:val="20"/>
          <w:szCs w:val="20"/>
          <w:color w:val="auto"/>
        </w:rPr>
      </w:pPr>
    </w:p>
    <w:p>
      <w:pPr>
        <w:ind w:left="980" w:right="140" w:hanging="324"/>
        <w:spacing w:after="0" w:line="261" w:lineRule="auto"/>
        <w:tabs>
          <w:tab w:leader="none" w:pos="9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1—Valuations based on unadjusted quoted prices in active markets for identical assets that the company has the ability to access;</w:t>
      </w:r>
    </w:p>
    <w:p>
      <w:pPr>
        <w:spacing w:after="0" w:line="89" w:lineRule="exact"/>
        <w:rPr>
          <w:rFonts w:ascii="Arial" w:cs="Arial" w:eastAsia="Arial" w:hAnsi="Arial"/>
          <w:sz w:val="18"/>
          <w:szCs w:val="18"/>
          <w:color w:val="auto"/>
        </w:rPr>
      </w:pPr>
    </w:p>
    <w:p>
      <w:pPr>
        <w:jc w:val="both"/>
        <w:ind w:left="980" w:right="620" w:hanging="324"/>
        <w:spacing w:after="0" w:line="256" w:lineRule="auto"/>
        <w:tabs>
          <w:tab w:leader="none" w:pos="9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2—Valuations based on quoted prices for similar instruments in active markets, quoted prices for identical or similar instruments in markets that are not active and model-based valuations in which all significant inputs are observable in the market; and</w:t>
      </w:r>
    </w:p>
    <w:p>
      <w:pPr>
        <w:spacing w:after="0" w:line="93" w:lineRule="exact"/>
        <w:rPr>
          <w:rFonts w:ascii="Arial" w:cs="Arial" w:eastAsia="Arial" w:hAnsi="Arial"/>
          <w:sz w:val="18"/>
          <w:szCs w:val="18"/>
          <w:color w:val="auto"/>
        </w:rPr>
      </w:pPr>
    </w:p>
    <w:p>
      <w:pPr>
        <w:ind w:left="980" w:right="820" w:hanging="324"/>
        <w:spacing w:after="0" w:line="261" w:lineRule="auto"/>
        <w:tabs>
          <w:tab w:leader="none" w:pos="9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3—Valuations using significant inputs that are unobservable in the market and include the use of judgment by the company's management about the assumptions market participants would use in pricing the asset or liability.</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74</w:t>
            </w:r>
          </w:p>
        </w:tc>
      </w:tr>
      <w:tr>
        <w:trPr>
          <w:trHeight w:val="201"/>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-334010</wp:posOffset>
            </wp:positionV>
            <wp:extent cx="600075" cy="1111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0075" cy="11112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7" w:name="page78"/>
    <w:bookmarkEnd w:id="77"/>
    <w:p>
      <w:pPr>
        <w:ind w:right="20" w:firstLine="445"/>
        <w:spacing w:after="0" w:line="261" w:lineRule="auto"/>
        <w:rPr>
          <w:sz w:val="20"/>
          <w:szCs w:val="20"/>
          <w:color w:val="auto"/>
        </w:rPr>
      </w:pPr>
      <w:r>
        <w:rPr>
          <w:rFonts w:ascii="Arial" w:cs="Arial" w:eastAsia="Arial" w:hAnsi="Arial"/>
          <w:sz w:val="18"/>
          <w:szCs w:val="18"/>
          <w:color w:val="auto"/>
        </w:rPr>
        <w:t>The following table summarizes the bases used to measure certain assets and liabilities carried at fair value on a recurring basis on the consolidated balance sheet as of December 31, 2020:</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center"/>
              <w:ind w:left="915"/>
              <w:spacing w:after="0"/>
              <w:rPr>
                <w:sz w:val="20"/>
                <w:szCs w:val="20"/>
                <w:color w:val="auto"/>
              </w:rPr>
            </w:pPr>
            <w:r>
              <w:rPr>
                <w:rFonts w:ascii="Arial" w:cs="Arial" w:eastAsia="Arial" w:hAnsi="Arial"/>
                <w:sz w:val="14"/>
                <w:szCs w:val="14"/>
                <w:b w:val="1"/>
                <w:bCs w:val="1"/>
                <w:color w:val="auto"/>
              </w:rPr>
              <w:t>Basis of fair value measurement</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75"/>
              <w:spacing w:after="0" w:line="142" w:lineRule="exact"/>
              <w:rPr>
                <w:sz w:val="20"/>
                <w:szCs w:val="20"/>
                <w:color w:val="auto"/>
              </w:rPr>
            </w:pPr>
            <w:r>
              <w:rPr>
                <w:rFonts w:ascii="Arial" w:cs="Arial" w:eastAsia="Arial" w:hAnsi="Arial"/>
                <w:sz w:val="14"/>
                <w:szCs w:val="14"/>
                <w:b w:val="1"/>
                <w:bCs w:val="1"/>
                <w:color w:val="auto"/>
              </w:rPr>
              <w:t>Quoted prices in</w:t>
            </w:r>
          </w:p>
        </w:tc>
        <w:tc>
          <w:tcPr>
            <w:tcW w:w="220" w:type="dxa"/>
            <w:vAlign w:val="bottom"/>
          </w:tcPr>
          <w:p>
            <w:pPr>
              <w:spacing w:after="0"/>
              <w:rPr>
                <w:sz w:val="12"/>
                <w:szCs w:val="12"/>
                <w:color w:val="auto"/>
              </w:rPr>
            </w:pPr>
          </w:p>
        </w:tc>
        <w:tc>
          <w:tcPr>
            <w:tcW w:w="1320" w:type="dxa"/>
            <w:vAlign w:val="bottom"/>
          </w:tcPr>
          <w:p>
            <w:pPr>
              <w:jc w:val="center"/>
              <w:ind w:right="75"/>
              <w:spacing w:after="0" w:line="142" w:lineRule="exact"/>
              <w:rPr>
                <w:sz w:val="20"/>
                <w:szCs w:val="20"/>
                <w:color w:val="auto"/>
              </w:rPr>
            </w:pPr>
            <w:r>
              <w:rPr>
                <w:rFonts w:ascii="Arial" w:cs="Arial" w:eastAsia="Arial" w:hAnsi="Arial"/>
                <w:sz w:val="14"/>
                <w:szCs w:val="14"/>
                <w:b w:val="1"/>
                <w:bCs w:val="1"/>
                <w:color w:val="auto"/>
              </w:rPr>
              <w:t>Significant other</w:t>
            </w:r>
          </w:p>
        </w:tc>
        <w:tc>
          <w:tcPr>
            <w:tcW w:w="400" w:type="dxa"/>
            <w:vAlign w:val="bottom"/>
          </w:tcPr>
          <w:p>
            <w:pPr>
              <w:spacing w:after="0"/>
              <w:rPr>
                <w:sz w:val="12"/>
                <w:szCs w:val="12"/>
                <w:color w:val="auto"/>
              </w:rPr>
            </w:pPr>
          </w:p>
        </w:tc>
        <w:tc>
          <w:tcPr>
            <w:tcW w:w="11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active markets for</w:t>
            </w:r>
          </w:p>
        </w:tc>
        <w:tc>
          <w:tcPr>
            <w:tcW w:w="220" w:type="dxa"/>
            <w:vAlign w:val="bottom"/>
          </w:tcPr>
          <w:p>
            <w:pPr>
              <w:spacing w:after="0"/>
              <w:rPr>
                <w:sz w:val="11"/>
                <w:szCs w:val="11"/>
                <w:color w:val="auto"/>
              </w:rPr>
            </w:pPr>
          </w:p>
        </w:tc>
        <w:tc>
          <w:tcPr>
            <w:tcW w:w="132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rPr>
              <w:t>observable</w:t>
            </w:r>
          </w:p>
        </w:tc>
        <w:tc>
          <w:tcPr>
            <w:tcW w:w="4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Pr>
          <w:p>
            <w:pPr>
              <w:spacing w:after="0"/>
              <w:rPr>
                <w:sz w:val="11"/>
                <w:szCs w:val="11"/>
                <w:color w:val="auto"/>
              </w:rPr>
            </w:pPr>
          </w:p>
        </w:tc>
        <w:tc>
          <w:tcPr>
            <w:tcW w:w="122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134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rPr>
              <w:t>identical assets</w:t>
            </w:r>
          </w:p>
        </w:tc>
        <w:tc>
          <w:tcPr>
            <w:tcW w:w="220" w:type="dxa"/>
            <w:vAlign w:val="bottom"/>
          </w:tcPr>
          <w:p>
            <w:pPr>
              <w:spacing w:after="0"/>
              <w:rPr>
                <w:sz w:val="11"/>
                <w:szCs w:val="11"/>
                <w:color w:val="auto"/>
              </w:rPr>
            </w:pPr>
          </w:p>
        </w:tc>
        <w:tc>
          <w:tcPr>
            <w:tcW w:w="132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rPr>
              <w:t>inputs</w:t>
            </w:r>
          </w:p>
        </w:tc>
        <w:tc>
          <w:tcPr>
            <w:tcW w:w="152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76"/>
        </w:trPr>
        <w:tc>
          <w:tcPr>
            <w:tcW w:w="4120" w:type="dxa"/>
            <w:vAlign w:val="bottom"/>
            <w:tcBorders>
              <w:bottom w:val="single" w:sz="8" w:color="auto"/>
            </w:tcBorders>
            <w:vMerge w:val="continue"/>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equivalents</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8,449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2,758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5,691</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Money market funds and time deposits</w:t>
            </w:r>
          </w:p>
        </w:tc>
        <w:tc>
          <w:tcPr>
            <w:tcW w:w="134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1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34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1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138</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 currency contracts</w:t>
            </w:r>
          </w:p>
        </w:tc>
        <w:tc>
          <w:tcPr>
            <w:tcW w:w="1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51</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8,859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2,907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5,952</w:t>
            </w:r>
          </w:p>
        </w:tc>
        <w:tc>
          <w:tcPr>
            <w:tcW w:w="4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2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Liabilities</w:t>
            </w: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134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132</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1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12,997</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12,997</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w:t>
            </w: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13,163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166</w:t>
            </w: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12,997</w:t>
            </w:r>
          </w:p>
        </w:tc>
        <w:tc>
          <w:tcPr>
            <w:tcW w:w="0" w:type="dxa"/>
            <w:vAlign w:val="bottom"/>
          </w:tcPr>
          <w:p>
            <w:pPr>
              <w:spacing w:after="0"/>
              <w:rPr>
                <w:sz w:val="1"/>
                <w:szCs w:val="1"/>
                <w:color w:val="auto"/>
              </w:rPr>
            </w:pPr>
          </w:p>
        </w:tc>
      </w:tr>
      <w:tr>
        <w:trPr>
          <w:trHeight w:val="21"/>
        </w:trPr>
        <w:tc>
          <w:tcPr>
            <w:tcW w:w="4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0" w:firstLine="445"/>
        <w:spacing w:after="0" w:line="261" w:lineRule="auto"/>
        <w:rPr>
          <w:sz w:val="20"/>
          <w:szCs w:val="20"/>
          <w:color w:val="auto"/>
        </w:rPr>
      </w:pPr>
      <w:r>
        <w:rPr>
          <w:rFonts w:ascii="Arial" w:cs="Arial" w:eastAsia="Arial" w:hAnsi="Arial"/>
          <w:sz w:val="18"/>
          <w:szCs w:val="18"/>
          <w:color w:val="auto"/>
        </w:rPr>
        <w:t>The following table summarizes the bases used to measure certain assets and liabilities carried at fair value on a recurring basis on the consolidated balance sheet as of December 31, 2019:</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6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center"/>
              <w:ind w:left="915"/>
              <w:spacing w:after="0"/>
              <w:rPr>
                <w:sz w:val="20"/>
                <w:szCs w:val="20"/>
                <w:color w:val="auto"/>
              </w:rPr>
            </w:pPr>
            <w:r>
              <w:rPr>
                <w:rFonts w:ascii="Arial" w:cs="Arial" w:eastAsia="Arial" w:hAnsi="Arial"/>
                <w:sz w:val="14"/>
                <w:szCs w:val="14"/>
                <w:b w:val="1"/>
                <w:bCs w:val="1"/>
                <w:color w:val="auto"/>
              </w:rPr>
              <w:t>Basis of fair value measurement</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75"/>
              <w:spacing w:after="0" w:line="142" w:lineRule="exact"/>
              <w:rPr>
                <w:sz w:val="20"/>
                <w:szCs w:val="20"/>
                <w:color w:val="auto"/>
              </w:rPr>
            </w:pPr>
            <w:r>
              <w:rPr>
                <w:rFonts w:ascii="Arial" w:cs="Arial" w:eastAsia="Arial" w:hAnsi="Arial"/>
                <w:sz w:val="14"/>
                <w:szCs w:val="14"/>
                <w:b w:val="1"/>
                <w:bCs w:val="1"/>
                <w:color w:val="auto"/>
              </w:rPr>
              <w:t>Quoted prices in</w:t>
            </w:r>
          </w:p>
        </w:tc>
        <w:tc>
          <w:tcPr>
            <w:tcW w:w="220" w:type="dxa"/>
            <w:vAlign w:val="bottom"/>
          </w:tcPr>
          <w:p>
            <w:pPr>
              <w:spacing w:after="0"/>
              <w:rPr>
                <w:sz w:val="12"/>
                <w:szCs w:val="12"/>
                <w:color w:val="auto"/>
              </w:rPr>
            </w:pPr>
          </w:p>
        </w:tc>
        <w:tc>
          <w:tcPr>
            <w:tcW w:w="1320" w:type="dxa"/>
            <w:vAlign w:val="bottom"/>
          </w:tcPr>
          <w:p>
            <w:pPr>
              <w:jc w:val="center"/>
              <w:ind w:right="75"/>
              <w:spacing w:after="0" w:line="142" w:lineRule="exact"/>
              <w:rPr>
                <w:sz w:val="20"/>
                <w:szCs w:val="20"/>
                <w:color w:val="auto"/>
              </w:rPr>
            </w:pPr>
            <w:r>
              <w:rPr>
                <w:rFonts w:ascii="Arial" w:cs="Arial" w:eastAsia="Arial" w:hAnsi="Arial"/>
                <w:sz w:val="14"/>
                <w:szCs w:val="14"/>
                <w:b w:val="1"/>
                <w:bCs w:val="1"/>
                <w:color w:val="auto"/>
              </w:rPr>
              <w:t>Significant other</w:t>
            </w:r>
          </w:p>
        </w:tc>
        <w:tc>
          <w:tcPr>
            <w:tcW w:w="400" w:type="dxa"/>
            <w:vAlign w:val="bottom"/>
          </w:tcPr>
          <w:p>
            <w:pPr>
              <w:spacing w:after="0"/>
              <w:rPr>
                <w:sz w:val="12"/>
                <w:szCs w:val="12"/>
                <w:color w:val="auto"/>
              </w:rPr>
            </w:pPr>
          </w:p>
        </w:tc>
        <w:tc>
          <w:tcPr>
            <w:tcW w:w="11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active markets for</w:t>
            </w:r>
          </w:p>
        </w:tc>
        <w:tc>
          <w:tcPr>
            <w:tcW w:w="220" w:type="dxa"/>
            <w:vAlign w:val="bottom"/>
          </w:tcPr>
          <w:p>
            <w:pPr>
              <w:spacing w:after="0"/>
              <w:rPr>
                <w:sz w:val="11"/>
                <w:szCs w:val="11"/>
                <w:color w:val="auto"/>
              </w:rPr>
            </w:pPr>
          </w:p>
        </w:tc>
        <w:tc>
          <w:tcPr>
            <w:tcW w:w="132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rPr>
              <w:t>observable</w:t>
            </w:r>
          </w:p>
        </w:tc>
        <w:tc>
          <w:tcPr>
            <w:tcW w:w="4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780" w:type="dxa"/>
            <w:vAlign w:val="bottom"/>
          </w:tcPr>
          <w:p>
            <w:pPr>
              <w:spacing w:after="0"/>
              <w:rPr>
                <w:sz w:val="11"/>
                <w:szCs w:val="11"/>
                <w:color w:val="auto"/>
              </w:rPr>
            </w:pPr>
          </w:p>
        </w:tc>
        <w:tc>
          <w:tcPr>
            <w:tcW w:w="122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1340" w:type="dxa"/>
            <w:vAlign w:val="bottom"/>
          </w:tcPr>
          <w:p>
            <w:pPr>
              <w:jc w:val="center"/>
              <w:ind w:right="115"/>
              <w:spacing w:after="0" w:line="135" w:lineRule="exact"/>
              <w:rPr>
                <w:sz w:val="20"/>
                <w:szCs w:val="20"/>
                <w:color w:val="auto"/>
              </w:rPr>
            </w:pPr>
            <w:r>
              <w:rPr>
                <w:rFonts w:ascii="Arial" w:cs="Arial" w:eastAsia="Arial" w:hAnsi="Arial"/>
                <w:sz w:val="14"/>
                <w:szCs w:val="14"/>
                <w:b w:val="1"/>
                <w:bCs w:val="1"/>
                <w:color w:val="auto"/>
              </w:rPr>
              <w:t>identical assets</w:t>
            </w:r>
          </w:p>
        </w:tc>
        <w:tc>
          <w:tcPr>
            <w:tcW w:w="220" w:type="dxa"/>
            <w:vAlign w:val="bottom"/>
          </w:tcPr>
          <w:p>
            <w:pPr>
              <w:spacing w:after="0"/>
              <w:rPr>
                <w:sz w:val="11"/>
                <w:szCs w:val="11"/>
                <w:color w:val="auto"/>
              </w:rPr>
            </w:pPr>
          </w:p>
        </w:tc>
        <w:tc>
          <w:tcPr>
            <w:tcW w:w="132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rPr>
              <w:t>inputs</w:t>
            </w:r>
          </w:p>
        </w:tc>
        <w:tc>
          <w:tcPr>
            <w:tcW w:w="152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75"/>
        </w:trPr>
        <w:tc>
          <w:tcPr>
            <w:tcW w:w="3680" w:type="dxa"/>
            <w:vAlign w:val="bottom"/>
            <w:tcBorders>
              <w:bottom w:val="single" w:sz="8" w:color="auto"/>
            </w:tcBorders>
            <w:vMerge w:val="continue"/>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equivalents</w:t>
            </w:r>
          </w:p>
        </w:tc>
        <w:tc>
          <w:tcPr>
            <w:tcW w:w="1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39,924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1,542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38,382</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178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7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178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7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22</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w:t>
            </w: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40,004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1,566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38,438</w:t>
            </w: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7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76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76</w:t>
            </w: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7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Contingent consideration</w:t>
            </w:r>
          </w:p>
        </w:tc>
        <w:tc>
          <w:tcPr>
            <w:tcW w:w="1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7,340</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7,340</w:t>
            </w:r>
          </w:p>
        </w:tc>
        <w:tc>
          <w:tcPr>
            <w:tcW w:w="0" w:type="dxa"/>
            <w:vAlign w:val="bottom"/>
          </w:tcPr>
          <w:p>
            <w:pPr>
              <w:spacing w:after="0"/>
              <w:rPr>
                <w:sz w:val="1"/>
                <w:szCs w:val="1"/>
                <w:color w:val="auto"/>
              </w:rPr>
            </w:pPr>
          </w:p>
        </w:tc>
      </w:tr>
      <w:tr>
        <w:trPr>
          <w:trHeight w:val="248"/>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7,472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132</w:t>
            </w:r>
          </w:p>
        </w:tc>
        <w:tc>
          <w:tcPr>
            <w:tcW w:w="4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7,340</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180" w:firstLine="445"/>
        <w:spacing w:after="0" w:line="256" w:lineRule="auto"/>
        <w:rPr>
          <w:sz w:val="20"/>
          <w:szCs w:val="20"/>
          <w:color w:val="auto"/>
        </w:rPr>
      </w:pPr>
      <w:r>
        <w:rPr>
          <w:rFonts w:ascii="Arial" w:cs="Arial" w:eastAsia="Arial" w:hAnsi="Arial"/>
          <w:sz w:val="18"/>
          <w:szCs w:val="18"/>
          <w:color w:val="auto"/>
        </w:rPr>
        <w:t>Equity securities consist of investments for which the fair values were determined by using the published market price per unit multiplied by the number of units held, without consideration of transaction costs. The derivatives entered into by the company were valued using observable market inputs including published interest rate curves and both forward and spot prices for foreign currencies.</w:t>
      </w:r>
    </w:p>
    <w:p>
      <w:pPr>
        <w:spacing w:after="0" w:line="134"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The fair value measurements of the contingent consideration liabilities were determined based on significant unobservable inputs, including the discount rate, estimated probabilities and timing of achieving specified development, regulatory and commercial milestones and the estimated amount of future sales of the acquired products. The potential contingent consideration payments are estimated by applying a probability-weighted expected payment model for contingent milestone payments and a Monte Carlo simulation model for contingent royalty payments, which are then discounted to present value. Changes to the fair value of the contingent consideration liabilities can result from changes to one or a number of inputs, including discount rates, the probabilities of achieving the milestones, the time required to achieve the milestones</w:t>
      </w:r>
    </w:p>
    <w:p>
      <w:pPr>
        <w:spacing w:after="0" w:line="200" w:lineRule="exact"/>
        <w:rPr>
          <w:sz w:val="20"/>
          <w:szCs w:val="20"/>
          <w:color w:val="auto"/>
        </w:rPr>
      </w:pPr>
    </w:p>
    <w:p>
      <w:pPr>
        <w:spacing w:after="0" w:line="328"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75</w:t>
      </w:r>
      <w:r>
        <w:rPr>
          <w:sz w:val="20"/>
          <w:szCs w:val="20"/>
          <w:color w:val="auto"/>
        </w:rPr>
        <w:tab/>
      </w:r>
      <w:r>
        <w:rPr>
          <w:sz w:val="1"/>
          <w:szCs w:val="1"/>
          <w:color w:val="auto"/>
        </w:rPr>
        <w:drawing>
          <wp:inline distT="0" distB="0" distL="0" distR="0">
            <wp:extent cx="600075" cy="11112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78" w:name="page79"/>
    <w:bookmarkEnd w:id="78"/>
    <w:p>
      <w:pPr>
        <w:ind w:right="240"/>
        <w:spacing w:after="0" w:line="261" w:lineRule="auto"/>
        <w:rPr>
          <w:sz w:val="20"/>
          <w:szCs w:val="20"/>
          <w:color w:val="auto"/>
        </w:rPr>
      </w:pPr>
      <w:r>
        <w:rPr>
          <w:rFonts w:ascii="Arial" w:cs="Arial" w:eastAsia="Arial" w:hAnsi="Arial"/>
          <w:sz w:val="18"/>
          <w:szCs w:val="18"/>
          <w:color w:val="auto"/>
        </w:rPr>
        <w:t>and estimated future sales. Significant judgment is employed in determining the appropriateness of certain of these inputs. Changes to the inputs described above could have a material impact on the company's financial position and results of operations in any given period.</w:t>
      </w:r>
    </w:p>
    <w:p>
      <w:pPr>
        <w:spacing w:after="0" w:line="117" w:lineRule="exact"/>
        <w:rPr>
          <w:sz w:val="20"/>
          <w:szCs w:val="20"/>
          <w:color w:val="auto"/>
        </w:rPr>
      </w:pPr>
    </w:p>
    <w:p>
      <w:pPr>
        <w:ind w:right="740" w:firstLine="445"/>
        <w:spacing w:after="0" w:line="261" w:lineRule="auto"/>
        <w:rPr>
          <w:sz w:val="20"/>
          <w:szCs w:val="20"/>
          <w:color w:val="auto"/>
        </w:rPr>
      </w:pPr>
      <w:r>
        <w:rPr>
          <w:rFonts w:ascii="Arial" w:cs="Arial" w:eastAsia="Arial" w:hAnsi="Arial"/>
          <w:sz w:val="18"/>
          <w:szCs w:val="18"/>
          <w:color w:val="auto"/>
        </w:rPr>
        <w:t>The fair value of the company's contingent consideration liabilities as of December 31, 2020 was calculated using the following significant unobservable inputs: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jc w:val="right"/>
              <w:ind w:right="994"/>
              <w:spacing w:after="0"/>
              <w:rPr>
                <w:sz w:val="20"/>
                <w:szCs w:val="20"/>
                <w:color w:val="auto"/>
              </w:rPr>
            </w:pPr>
            <w:r>
              <w:rPr>
                <w:rFonts w:ascii="Arial" w:cs="Arial" w:eastAsia="Arial" w:hAnsi="Arial"/>
                <w:sz w:val="14"/>
                <w:szCs w:val="14"/>
                <w:b w:val="1"/>
                <w:bCs w:val="1"/>
                <w:color w:val="auto"/>
              </w:rPr>
              <w:t>Range</w:t>
            </w:r>
          </w:p>
        </w:tc>
        <w:tc>
          <w:tcPr>
            <w:tcW w:w="1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Weighted Average</w:t>
            </w:r>
            <w:r>
              <w:rPr>
                <w:rFonts w:ascii="Arial" w:cs="Arial" w:eastAsia="Arial" w:hAnsi="Arial"/>
                <w:sz w:val="18"/>
                <w:szCs w:val="18"/>
                <w:b w:val="1"/>
                <w:bCs w:val="1"/>
                <w:color w:val="auto"/>
                <w:vertAlign w:val="superscript"/>
              </w:rPr>
              <w:t>(a)</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34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0.1% - 2.2%</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Probability of payment for unachieved milestones</w:t>
            </w:r>
          </w:p>
        </w:tc>
        <w:tc>
          <w:tcPr>
            <w:tcW w:w="3400" w:type="dxa"/>
            <w:vAlign w:val="bottom"/>
          </w:tcPr>
          <w:p>
            <w:pPr>
              <w:jc w:val="right"/>
              <w:ind w:right="134"/>
              <w:spacing w:after="0"/>
              <w:rPr>
                <w:sz w:val="20"/>
                <w:szCs w:val="20"/>
                <w:color w:val="auto"/>
              </w:rPr>
            </w:pPr>
            <w:r>
              <w:rPr>
                <w:rFonts w:ascii="Arial" w:cs="Arial" w:eastAsia="Arial" w:hAnsi="Arial"/>
                <w:sz w:val="18"/>
                <w:szCs w:val="18"/>
                <w:color w:val="auto"/>
              </w:rPr>
              <w:t>56% - 92%</w:t>
            </w:r>
          </w:p>
        </w:tc>
        <w:tc>
          <w:tcPr>
            <w:tcW w:w="19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5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Probability of payment for royalties by indication</w:t>
            </w:r>
            <w:r>
              <w:rPr>
                <w:rFonts w:ascii="Arial" w:cs="Arial" w:eastAsia="Arial" w:hAnsi="Arial"/>
                <w:sz w:val="23"/>
                <w:szCs w:val="23"/>
                <w:color w:val="auto"/>
                <w:vertAlign w:val="superscript"/>
              </w:rPr>
              <w:t>(b)</w:t>
            </w:r>
          </w:p>
        </w:tc>
        <w:tc>
          <w:tcPr>
            <w:tcW w:w="34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56% - 100%</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Projected year of payments</w:t>
            </w:r>
          </w:p>
        </w:tc>
        <w:tc>
          <w:tcPr>
            <w:tcW w:w="34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2021 - 2034</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r>
    </w:tbl>
    <w:p>
      <w:pPr>
        <w:spacing w:after="0" w:line="148" w:lineRule="exact"/>
        <w:rPr>
          <w:sz w:val="20"/>
          <w:szCs w:val="20"/>
          <w:color w:val="auto"/>
        </w:rPr>
      </w:pPr>
    </w:p>
    <w:p>
      <w:pPr>
        <w:ind w:left="480" w:hanging="472"/>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Unobservable inputs were weighted by the relative fair value of the contingent consideration liabilities.</w:t>
      </w:r>
    </w:p>
    <w:p>
      <w:pPr>
        <w:spacing w:after="0" w:line="144" w:lineRule="exact"/>
        <w:rPr>
          <w:rFonts w:ascii="Arial" w:cs="Arial" w:eastAsia="Arial" w:hAnsi="Arial"/>
          <w:sz w:val="18"/>
          <w:szCs w:val="18"/>
          <w:color w:val="auto"/>
        </w:rPr>
      </w:pPr>
    </w:p>
    <w:p>
      <w:pPr>
        <w:ind w:left="460" w:right="200" w:hanging="452"/>
        <w:spacing w:after="0" w:line="261" w:lineRule="auto"/>
        <w:tabs>
          <w:tab w:leader="none" w:pos="4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Excludes early stage indications with 0% estimated probability of payment and includes approved indications with 100% probability of payment. Excluding approved indications, the estimated probability of payment ranged from 56% to 89% at December 31, 2020.</w:t>
      </w:r>
    </w:p>
    <w:p>
      <w:pPr>
        <w:spacing w:after="0" w:line="130" w:lineRule="exact"/>
        <w:rPr>
          <w:sz w:val="20"/>
          <w:szCs w:val="20"/>
          <w:color w:val="auto"/>
        </w:rPr>
      </w:pPr>
    </w:p>
    <w:p>
      <w:pPr>
        <w:ind w:right="340" w:firstLine="445"/>
        <w:spacing w:after="0" w:line="261" w:lineRule="auto"/>
        <w:rPr>
          <w:sz w:val="20"/>
          <w:szCs w:val="20"/>
          <w:color w:val="auto"/>
        </w:rPr>
      </w:pPr>
      <w:r>
        <w:rPr>
          <w:rFonts w:ascii="Arial" w:cs="Arial" w:eastAsia="Arial" w:hAnsi="Arial"/>
          <w:sz w:val="18"/>
          <w:szCs w:val="18"/>
          <w:color w:val="auto"/>
        </w:rPr>
        <w:t>There have been no transfers of assets or liabilities into or out of Level 3 of the fair value hierarchy. The following table presents the changes in fair value of contingent consideration liabilities which are measured using Level 3 inputs: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 (in millions)</w:t>
            </w:r>
          </w:p>
        </w:tc>
        <w:tc>
          <w:tcPr>
            <w:tcW w:w="17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7,340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4,483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w:t>
            </w:r>
          </w:p>
        </w:tc>
      </w:tr>
      <w:tr>
        <w:trPr>
          <w:trHeight w:val="229"/>
        </w:trPr>
        <w:tc>
          <w:tcPr>
            <w:tcW w:w="5240" w:type="dxa"/>
            <w:vAlign w:val="bottom"/>
          </w:tcPr>
          <w:p>
            <w:pPr>
              <w:ind w:left="20"/>
              <w:spacing w:after="0" w:line="230" w:lineRule="exact"/>
              <w:rPr>
                <w:sz w:val="20"/>
                <w:szCs w:val="20"/>
                <w:color w:val="auto"/>
              </w:rPr>
            </w:pPr>
            <w:r>
              <w:rPr>
                <w:rFonts w:ascii="Arial" w:cs="Arial" w:eastAsia="Arial" w:hAnsi="Arial"/>
                <w:sz w:val="18"/>
                <w:szCs w:val="18"/>
                <w:color w:val="auto"/>
              </w:rPr>
              <w:t>Additions</w:t>
            </w:r>
            <w:r>
              <w:rPr>
                <w:rFonts w:ascii="Arial" w:cs="Arial" w:eastAsia="Arial" w:hAnsi="Arial"/>
                <w:sz w:val="23"/>
                <w:szCs w:val="23"/>
                <w:color w:val="auto"/>
                <w:vertAlign w:val="superscript"/>
              </w:rPr>
              <w:t>(a)</w:t>
            </w:r>
          </w:p>
        </w:tc>
        <w:tc>
          <w:tcPr>
            <w:tcW w:w="176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225</w:t>
            </w:r>
          </w:p>
        </w:tc>
        <w:tc>
          <w:tcPr>
            <w:tcW w:w="400" w:type="dxa"/>
            <w:vAlign w:val="bottom"/>
          </w:tcPr>
          <w:p>
            <w:pPr>
              <w:spacing w:after="0"/>
              <w:rPr>
                <w:sz w:val="19"/>
                <w:szCs w:val="19"/>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recognized in net earnings</w:t>
            </w:r>
          </w:p>
        </w:tc>
        <w:tc>
          <w:tcPr>
            <w:tcW w:w="17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5,753</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3,091</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Payments</w:t>
            </w:r>
          </w:p>
        </w:tc>
        <w:tc>
          <w:tcPr>
            <w:tcW w:w="1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48"/>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12,997</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7,340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4,483</w:t>
            </w:r>
          </w:p>
        </w:tc>
      </w:tr>
      <w:tr>
        <w:trPr>
          <w:trHeight w:val="20"/>
        </w:trPr>
        <w:tc>
          <w:tcPr>
            <w:tcW w:w="5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60" w:right="180" w:hanging="452"/>
        <w:spacing w:after="0" w:line="261" w:lineRule="auto"/>
        <w:tabs>
          <w:tab w:leader="none" w:pos="477"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Additions during the year ended December 31, 2020 represent contingent consideration liabilities assumed in the Allergan acquisition as well as contingent consideration resulting from the Luminera acquisition.</w:t>
      </w:r>
    </w:p>
    <w:p>
      <w:pPr>
        <w:spacing w:after="0" w:line="130"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The change in fair value recognized in net earnings is recorded in other expense, net in the consolidated statements of earnings. During the fourth quarter of 2020, the company recorded a $4.7 billion increase in the Skyrizi contingent consideration liability due to higher estimated future sales driven by stronger market share uptake and favorable clinical trial results as well as lower interest rates. During the second quarter of 2019, the company recorded a $2.3 billion increase in the Skyrizi contingent consideration liability due to higher probabilities of success, higher estimated future sales and declining interest rates. The higher probabilities of success resulted from the April 2019 regulatory approvals of Skyrizi for the treatment of moderate to severe plaque psoriasis. During the third quarter of 2019, the company recorded a $91 million decrease in the Stemcentrx contingent consideration liability due to the termination of the Rova-T R&amp;D program. During the fourth quarter of 2018, the company recorded a $428 million decrease in the Stemcentrx contingent consideration liability due to a reduction in probabilities of success of achieving regulatory approval.</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76</w:t>
            </w:r>
          </w:p>
        </w:tc>
      </w:tr>
      <w:tr>
        <w:trPr>
          <w:trHeight w:val="201"/>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-334010</wp:posOffset>
            </wp:positionV>
            <wp:extent cx="600075" cy="1111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0075" cy="11112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9" w:name="page80"/>
    <w:bookmarkEnd w:id="79"/>
    <w:p>
      <w:pPr>
        <w:ind w:right="60" w:firstLine="445"/>
        <w:spacing w:after="0" w:line="256" w:lineRule="auto"/>
        <w:rPr>
          <w:sz w:val="20"/>
          <w:szCs w:val="20"/>
          <w:color w:val="auto"/>
        </w:rPr>
      </w:pPr>
      <w:r>
        <w:rPr>
          <w:rFonts w:ascii="Arial" w:cs="Arial" w:eastAsia="Arial" w:hAnsi="Arial"/>
          <w:sz w:val="18"/>
          <w:szCs w:val="18"/>
          <w:color w:val="auto"/>
        </w:rPr>
        <w:t>Certain financial instruments are carried at historical cost or some basis other than fair value. The book values, approximate fair values and bases used to measure the approximate fair values of certain financial instruments as of December 31, 2020 are shown in the table below:</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5"/>
          </w:tcPr>
          <w:p>
            <w:pPr>
              <w:jc w:val="center"/>
              <w:ind w:right="159"/>
              <w:spacing w:after="0"/>
              <w:rPr>
                <w:sz w:val="20"/>
                <w:szCs w:val="20"/>
                <w:color w:val="auto"/>
              </w:rPr>
            </w:pPr>
            <w:r>
              <w:rPr>
                <w:rFonts w:ascii="Arial" w:cs="Arial" w:eastAsia="Arial" w:hAnsi="Arial"/>
                <w:sz w:val="14"/>
                <w:szCs w:val="14"/>
                <w:b w:val="1"/>
                <w:bCs w:val="1"/>
                <w:color w:val="auto"/>
              </w:rPr>
              <w:t>Basis of fair value measurement</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Quoted prices in</w:t>
            </w:r>
          </w:p>
        </w:tc>
        <w:tc>
          <w:tcPr>
            <w:tcW w:w="14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Significant other</w:t>
            </w:r>
          </w:p>
        </w:tc>
        <w:tc>
          <w:tcPr>
            <w:tcW w:w="200" w:type="dxa"/>
            <w:vAlign w:val="bottom"/>
          </w:tcPr>
          <w:p>
            <w:pPr>
              <w:spacing w:after="0"/>
              <w:rPr>
                <w:sz w:val="12"/>
                <w:szCs w:val="12"/>
                <w:color w:val="auto"/>
              </w:rPr>
            </w:pPr>
          </w:p>
        </w:tc>
        <w:tc>
          <w:tcPr>
            <w:tcW w:w="1160" w:type="dxa"/>
            <w:vAlign w:val="bottom"/>
          </w:tcPr>
          <w:p>
            <w:pPr>
              <w:jc w:val="center"/>
              <w:ind w:right="59"/>
              <w:spacing w:after="0" w:line="142"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60" w:type="dxa"/>
            <w:vAlign w:val="bottom"/>
            <w:gridSpan w:val="2"/>
            <w:vMerge w:val="restart"/>
          </w:tcPr>
          <w:p>
            <w:pPr>
              <w:jc w:val="right"/>
              <w:ind w:right="114"/>
              <w:spacing w:after="0"/>
              <w:rPr>
                <w:sz w:val="20"/>
                <w:szCs w:val="20"/>
                <w:color w:val="auto"/>
              </w:rPr>
            </w:pPr>
            <w:r>
              <w:rPr>
                <w:rFonts w:ascii="Arial" w:cs="Arial" w:eastAsia="Arial" w:hAnsi="Arial"/>
                <w:sz w:val="14"/>
                <w:szCs w:val="14"/>
                <w:b w:val="1"/>
                <w:bCs w:val="1"/>
                <w:color w:val="auto"/>
              </w:rPr>
              <w:t>Approximate fair</w:t>
            </w:r>
          </w:p>
        </w:tc>
        <w:tc>
          <w:tcPr>
            <w:tcW w:w="13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active markets for</w:t>
            </w:r>
          </w:p>
        </w:tc>
        <w:tc>
          <w:tcPr>
            <w:tcW w:w="14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4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1"/>
                <w:szCs w:val="11"/>
                <w:color w:val="auto"/>
              </w:rPr>
            </w:pPr>
          </w:p>
        </w:tc>
        <w:tc>
          <w:tcPr>
            <w:tcW w:w="10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Book value</w:t>
            </w:r>
          </w:p>
        </w:tc>
        <w:tc>
          <w:tcPr>
            <w:tcW w:w="1460" w:type="dxa"/>
            <w:vAlign w:val="bottom"/>
            <w:gridSpan w:val="2"/>
            <w:vMerge w:val="continue"/>
          </w:tcPr>
          <w:p>
            <w:pPr>
              <w:spacing w:after="0"/>
              <w:rPr>
                <w:sz w:val="11"/>
                <w:szCs w:val="11"/>
                <w:color w:val="auto"/>
              </w:rPr>
            </w:pPr>
          </w:p>
        </w:tc>
        <w:tc>
          <w:tcPr>
            <w:tcW w:w="13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identical assets</w:t>
            </w:r>
          </w:p>
        </w:tc>
        <w:tc>
          <w:tcPr>
            <w:tcW w:w="14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observable inputs</w:t>
            </w:r>
          </w:p>
        </w:tc>
        <w:tc>
          <w:tcPr>
            <w:tcW w:w="200" w:type="dxa"/>
            <w:vAlign w:val="bottom"/>
          </w:tcPr>
          <w:p>
            <w:pPr>
              <w:spacing w:after="0"/>
              <w:rPr>
                <w:sz w:val="11"/>
                <w:szCs w:val="11"/>
                <w:color w:val="auto"/>
              </w:rPr>
            </w:pPr>
          </w:p>
        </w:tc>
        <w:tc>
          <w:tcPr>
            <w:tcW w:w="116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75"/>
        </w:trPr>
        <w:tc>
          <w:tcPr>
            <w:tcW w:w="424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values</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borrowings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240" w:type="dxa"/>
            <w:vAlign w:val="bottom"/>
          </w:tcPr>
          <w:p>
            <w:pPr>
              <w:ind w:left="20"/>
              <w:spacing w:after="0" w:line="189" w:lineRule="exact"/>
              <w:rPr>
                <w:sz w:val="20"/>
                <w:szCs w:val="20"/>
                <w:color w:val="auto"/>
              </w:rPr>
            </w:pPr>
            <w:r>
              <w:rPr>
                <w:rFonts w:ascii="Arial" w:cs="Arial" w:eastAsia="Arial" w:hAnsi="Arial"/>
                <w:sz w:val="18"/>
                <w:szCs w:val="18"/>
                <w:color w:val="auto"/>
              </w:rPr>
              <w:t>Current portion of long-term debt and finance lease</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40" w:type="dxa"/>
            <w:vAlign w:val="bottom"/>
          </w:tcPr>
          <w:p>
            <w:pPr>
              <w:ind w:left="20"/>
              <w:spacing w:after="0"/>
              <w:rPr>
                <w:sz w:val="20"/>
                <w:szCs w:val="20"/>
                <w:color w:val="auto"/>
              </w:rPr>
            </w:pPr>
            <w:r>
              <w:rPr>
                <w:rFonts w:ascii="Arial" w:cs="Arial" w:eastAsia="Arial" w:hAnsi="Arial"/>
                <w:sz w:val="18"/>
                <w:szCs w:val="18"/>
                <w:color w:val="auto"/>
              </w:rPr>
              <w:t>obligations, excluding fair value hedges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8,461</w:t>
            </w:r>
          </w:p>
        </w:tc>
        <w:tc>
          <w:tcPr>
            <w:tcW w:w="320" w:type="dxa"/>
            <w:vAlign w:val="bottom"/>
          </w:tcPr>
          <w:p>
            <w:pPr>
              <w:spacing w:after="0"/>
              <w:rPr>
                <w:sz w:val="18"/>
                <w:szCs w:val="18"/>
                <w:color w:val="auto"/>
              </w:rPr>
            </w:pP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8,542</w:t>
            </w:r>
          </w:p>
        </w:tc>
        <w:tc>
          <w:tcPr>
            <w:tcW w:w="240" w:type="dxa"/>
            <w:vAlign w:val="bottom"/>
          </w:tcPr>
          <w:p>
            <w:pPr>
              <w:spacing w:after="0"/>
              <w:rPr>
                <w:sz w:val="18"/>
                <w:szCs w:val="18"/>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8,249</w:t>
            </w:r>
          </w:p>
        </w:tc>
        <w:tc>
          <w:tcPr>
            <w:tcW w:w="30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18"/>
                <w:szCs w:val="18"/>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2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Long-term debt and finance lease obligations,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excluding fair value hedges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77,283</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87,761</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86,137</w:t>
            </w: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1,624</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85,778</w:t>
            </w:r>
          </w:p>
        </w:tc>
        <w:tc>
          <w:tcPr>
            <w:tcW w:w="3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96,337</w:t>
            </w: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94,386</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1,951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book values, approximate fair values and bases used to measure the approximate fair values of certain financial instruments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are shown in the table below:</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rPr>
              <w:t>Basis of fair value measurement</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Quoted prices in</w:t>
            </w:r>
          </w:p>
        </w:tc>
        <w:tc>
          <w:tcPr>
            <w:tcW w:w="14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Significant other</w:t>
            </w:r>
          </w:p>
        </w:tc>
        <w:tc>
          <w:tcPr>
            <w:tcW w:w="200" w:type="dxa"/>
            <w:vAlign w:val="bottom"/>
          </w:tcPr>
          <w:p>
            <w:pPr>
              <w:spacing w:after="0"/>
              <w:rPr>
                <w:sz w:val="12"/>
                <w:szCs w:val="12"/>
                <w:color w:val="auto"/>
              </w:rPr>
            </w:pPr>
          </w:p>
        </w:tc>
        <w:tc>
          <w:tcPr>
            <w:tcW w:w="1160" w:type="dxa"/>
            <w:vAlign w:val="bottom"/>
          </w:tcPr>
          <w:p>
            <w:pPr>
              <w:jc w:val="center"/>
              <w:ind w:right="60"/>
              <w:spacing w:after="0" w:line="142"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60" w:type="dxa"/>
            <w:vAlign w:val="bottom"/>
            <w:gridSpan w:val="2"/>
            <w:vMerge w:val="restart"/>
          </w:tcPr>
          <w:p>
            <w:pPr>
              <w:jc w:val="right"/>
              <w:ind w:right="115"/>
              <w:spacing w:after="0"/>
              <w:rPr>
                <w:sz w:val="20"/>
                <w:szCs w:val="20"/>
                <w:color w:val="auto"/>
              </w:rPr>
            </w:pPr>
            <w:r>
              <w:rPr>
                <w:rFonts w:ascii="Arial" w:cs="Arial" w:eastAsia="Arial" w:hAnsi="Arial"/>
                <w:sz w:val="14"/>
                <w:szCs w:val="14"/>
                <w:b w:val="1"/>
                <w:bCs w:val="1"/>
                <w:color w:val="auto"/>
              </w:rPr>
              <w:t>Approximate fair</w:t>
            </w:r>
          </w:p>
        </w:tc>
        <w:tc>
          <w:tcPr>
            <w:tcW w:w="13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active markets for</w:t>
            </w:r>
          </w:p>
        </w:tc>
        <w:tc>
          <w:tcPr>
            <w:tcW w:w="14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4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1"/>
                <w:szCs w:val="11"/>
                <w:color w:val="auto"/>
              </w:rPr>
            </w:pPr>
          </w:p>
        </w:tc>
        <w:tc>
          <w:tcPr>
            <w:tcW w:w="106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Book value</w:t>
            </w:r>
          </w:p>
        </w:tc>
        <w:tc>
          <w:tcPr>
            <w:tcW w:w="1460" w:type="dxa"/>
            <w:vAlign w:val="bottom"/>
            <w:gridSpan w:val="2"/>
            <w:vMerge w:val="continue"/>
          </w:tcPr>
          <w:p>
            <w:pPr>
              <w:spacing w:after="0"/>
              <w:rPr>
                <w:sz w:val="11"/>
                <w:szCs w:val="11"/>
                <w:color w:val="auto"/>
              </w:rPr>
            </w:pPr>
          </w:p>
        </w:tc>
        <w:tc>
          <w:tcPr>
            <w:tcW w:w="13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identical assets</w:t>
            </w:r>
          </w:p>
        </w:tc>
        <w:tc>
          <w:tcPr>
            <w:tcW w:w="14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observable inputs</w:t>
            </w:r>
          </w:p>
        </w:tc>
        <w:tc>
          <w:tcPr>
            <w:tcW w:w="200" w:type="dxa"/>
            <w:vAlign w:val="bottom"/>
          </w:tcPr>
          <w:p>
            <w:pPr>
              <w:spacing w:after="0"/>
              <w:rPr>
                <w:sz w:val="11"/>
                <w:szCs w:val="11"/>
                <w:color w:val="auto"/>
              </w:rPr>
            </w:pPr>
          </w:p>
        </w:tc>
        <w:tc>
          <w:tcPr>
            <w:tcW w:w="116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76"/>
        </w:trPr>
        <w:tc>
          <w:tcPr>
            <w:tcW w:w="424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values</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Current portion of long-term debt and finance lease</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excluding fair value hedges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3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3,760</w:t>
            </w: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3,753</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240" w:type="dxa"/>
            <w:vAlign w:val="bottom"/>
          </w:tcPr>
          <w:p>
            <w:pPr>
              <w:ind w:left="20"/>
              <w:spacing w:after="0" w:line="189" w:lineRule="exact"/>
              <w:rPr>
                <w:sz w:val="20"/>
                <w:szCs w:val="20"/>
                <w:color w:val="auto"/>
              </w:rPr>
            </w:pPr>
            <w:r>
              <w:rPr>
                <w:rFonts w:ascii="Arial" w:cs="Arial" w:eastAsia="Arial" w:hAnsi="Arial"/>
                <w:sz w:val="18"/>
                <w:szCs w:val="18"/>
                <w:color w:val="auto"/>
              </w:rPr>
              <w:t>Long-term debt and finance lease obligations,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excluding fair value hedges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63,021</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66,651</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66,631</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66,776</w:t>
            </w:r>
          </w:p>
        </w:tc>
        <w:tc>
          <w:tcPr>
            <w:tcW w:w="3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70,411</w:t>
            </w: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70,384</w:t>
            </w:r>
          </w:p>
        </w:tc>
        <w:tc>
          <w:tcPr>
            <w:tcW w:w="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45"/>
        <w:spacing w:after="0" w:line="254" w:lineRule="auto"/>
        <w:rPr>
          <w:sz w:val="20"/>
          <w:szCs w:val="20"/>
          <w:color w:val="auto"/>
        </w:rPr>
      </w:pPr>
      <w:r>
        <w:rPr>
          <w:rFonts w:ascii="Arial" w:cs="Arial" w:eastAsia="Arial" w:hAnsi="Arial"/>
          <w:sz w:val="18"/>
          <w:szCs w:val="18"/>
          <w:color w:val="auto"/>
        </w:rPr>
        <w:t>AbbVie also holds investments in equity securities that do not have readily determinable fair values. The company records these investments at cost and remeasures them to fair value based on certain observable price changes or impairment events as they occur. The carrying amount of these investments was $102 million as of December 31, 2020 and $66 million as of December 31, 2019. No significant cumulative upward or downward adjustments have been recorded for these investments as of December 31, 2020.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Concentrations of Risk</w:t>
      </w:r>
    </w:p>
    <w:p>
      <w:pPr>
        <w:spacing w:after="0" w:line="166" w:lineRule="exact"/>
        <w:rPr>
          <w:sz w:val="20"/>
          <w:szCs w:val="20"/>
          <w:color w:val="auto"/>
        </w:rPr>
      </w:pPr>
    </w:p>
    <w:p>
      <w:pPr>
        <w:ind w:right="340" w:firstLine="445"/>
        <w:spacing w:after="0" w:line="261" w:lineRule="auto"/>
        <w:rPr>
          <w:sz w:val="20"/>
          <w:szCs w:val="20"/>
          <w:color w:val="auto"/>
        </w:rPr>
      </w:pPr>
      <w:r>
        <w:rPr>
          <w:rFonts w:ascii="Arial" w:cs="Arial" w:eastAsia="Arial" w:hAnsi="Arial"/>
          <w:sz w:val="18"/>
          <w:szCs w:val="18"/>
          <w:color w:val="auto"/>
        </w:rPr>
        <w:t>Of total net accounts receivable, three U.S. wholesalers accounted for 72% as of December 31, 2020 and 68% as of December 31, 2019, and substantially all of AbbVie's net revenues in the United States were to these three wholesalers.</w:t>
      </w:r>
    </w:p>
    <w:p>
      <w:pPr>
        <w:spacing w:after="0" w:line="130" w:lineRule="exact"/>
        <w:rPr>
          <w:sz w:val="20"/>
          <w:szCs w:val="20"/>
          <w:color w:val="auto"/>
        </w:rPr>
      </w:pPr>
    </w:p>
    <w:p>
      <w:pPr>
        <w:ind w:right="160" w:firstLine="445"/>
        <w:spacing w:after="0" w:line="261" w:lineRule="auto"/>
        <w:rPr>
          <w:sz w:val="20"/>
          <w:szCs w:val="20"/>
          <w:color w:val="auto"/>
        </w:rPr>
      </w:pPr>
      <w:r>
        <w:rPr>
          <w:rFonts w:ascii="Arial" w:cs="Arial" w:eastAsia="Arial" w:hAnsi="Arial"/>
          <w:sz w:val="18"/>
          <w:szCs w:val="18"/>
          <w:color w:val="auto"/>
        </w:rPr>
        <w:t>Humira (adalimumab) is AbbVie's single largest product and accounted for approximately 43% of AbbVie's total net revenues in 2020, 58% in 2019 and 61%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77</w:t>
      </w:r>
      <w:r>
        <w:rPr>
          <w:sz w:val="20"/>
          <w:szCs w:val="20"/>
          <w:color w:val="auto"/>
        </w:rPr>
        <w:tab/>
      </w:r>
      <w:r>
        <w:rPr>
          <w:sz w:val="1"/>
          <w:szCs w:val="1"/>
          <w:color w:val="auto"/>
        </w:rPr>
        <w:drawing>
          <wp:inline distT="0" distB="0" distL="0" distR="0">
            <wp:extent cx="600075" cy="111125"/>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80" w:name="page81"/>
    <w:bookmarkEnd w:id="80"/>
    <w:p>
      <w:pPr>
        <w:spacing w:after="0"/>
        <w:rPr>
          <w:sz w:val="20"/>
          <w:szCs w:val="20"/>
          <w:color w:val="auto"/>
        </w:rPr>
      </w:pPr>
      <w:r>
        <w:rPr>
          <w:rFonts w:ascii="Arial" w:cs="Arial" w:eastAsia="Arial" w:hAnsi="Arial"/>
          <w:sz w:val="22"/>
          <w:szCs w:val="22"/>
          <w:b w:val="1"/>
          <w:bCs w:val="1"/>
          <w:color w:val="444867"/>
        </w:rPr>
        <w:t>Note 12 Post-Employment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5"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AbbVie sponsors various pension and other post-employment benefit plans, including defined benefit, defined contribution and termination indemnity plans, which cover most employees worldwide. In addition, AbbVie provides medical benefits, primarily to eligible retirees in the United States and Puerto Rico, through other post-retirement benefit plans. Net obligations for these plans have been reflected on the consolidated balance sheets as of December 31, 2020 and 2019.</w:t>
      </w:r>
    </w:p>
    <w:p>
      <w:pPr>
        <w:spacing w:after="0" w:line="123" w:lineRule="exact"/>
        <w:rPr>
          <w:sz w:val="20"/>
          <w:szCs w:val="20"/>
          <w:color w:val="auto"/>
        </w:rPr>
      </w:pPr>
    </w:p>
    <w:p>
      <w:pPr>
        <w:ind w:right="260" w:firstLine="445"/>
        <w:spacing w:after="0" w:line="261" w:lineRule="auto"/>
        <w:rPr>
          <w:sz w:val="20"/>
          <w:szCs w:val="20"/>
          <w:color w:val="auto"/>
        </w:rPr>
      </w:pPr>
      <w:r>
        <w:rPr>
          <w:rFonts w:ascii="Arial" w:cs="Arial" w:eastAsia="Arial" w:hAnsi="Arial"/>
          <w:sz w:val="18"/>
          <w:szCs w:val="18"/>
          <w:color w:val="auto"/>
        </w:rPr>
        <w:t>The following table summarizes benefit plan information for the global AbbVie-sponsored defined benefit and other post-employment plans: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ind w:left="420"/>
              <w:spacing w:after="0"/>
              <w:rPr>
                <w:sz w:val="20"/>
                <w:szCs w:val="20"/>
                <w:color w:val="auto"/>
              </w:rPr>
            </w:pPr>
            <w:r>
              <w:rPr>
                <w:rFonts w:ascii="Arial" w:cs="Arial" w:eastAsia="Arial" w:hAnsi="Arial"/>
                <w:sz w:val="14"/>
                <w:szCs w:val="14"/>
                <w:b w:val="1"/>
                <w:bCs w:val="1"/>
                <w:color w:val="auto"/>
              </w:rPr>
              <w:t>Defined benefit plans</w:t>
            </w:r>
          </w:p>
        </w:tc>
        <w:tc>
          <w:tcPr>
            <w:tcW w:w="280" w:type="dxa"/>
            <w:vAlign w:val="bottom"/>
          </w:tcPr>
          <w:p>
            <w:pPr>
              <w:spacing w:after="0"/>
              <w:rPr>
                <w:sz w:val="16"/>
                <w:szCs w:val="16"/>
                <w:color w:val="auto"/>
              </w:rPr>
            </w:pPr>
          </w:p>
        </w:tc>
        <w:tc>
          <w:tcPr>
            <w:tcW w:w="2680" w:type="dxa"/>
            <w:vAlign w:val="bottom"/>
            <w:gridSpan w:val="3"/>
          </w:tcPr>
          <w:p>
            <w:pPr>
              <w:jc w:val="right"/>
              <w:ind w:right="371"/>
              <w:spacing w:after="0"/>
              <w:rPr>
                <w:sz w:val="20"/>
                <w:szCs w:val="20"/>
                <w:color w:val="auto"/>
              </w:rPr>
            </w:pPr>
            <w:r>
              <w:rPr>
                <w:rFonts w:ascii="Arial" w:cs="Arial" w:eastAsia="Arial" w:hAnsi="Arial"/>
                <w:sz w:val="14"/>
                <w:szCs w:val="14"/>
                <w:b w:val="1"/>
                <w:bCs w:val="1"/>
                <w:color w:val="auto"/>
              </w:rPr>
              <w:t>Other post-employment plans</w:t>
            </w:r>
          </w:p>
        </w:tc>
      </w:tr>
      <w:tr>
        <w:trPr>
          <w:trHeight w:val="183"/>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and for the years ended December 31 (in millions)</w:t>
            </w: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Projected benefit obligations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8,646</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1,050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3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370</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264</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Employee contributions</w:t>
            </w:r>
          </w:p>
        </w:tc>
        <w:tc>
          <w:tcPr>
            <w:tcW w:w="3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Amendments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Actuarial loss</w:t>
            </w:r>
          </w:p>
        </w:tc>
        <w:tc>
          <w:tcPr>
            <w:tcW w:w="3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1,105</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3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1,409</w:t>
            </w:r>
          </w:p>
        </w:tc>
        <w:tc>
          <w:tcPr>
            <w:tcW w:w="4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primarily foreign currency translation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245</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End of period</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11,792</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8,646</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795</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plan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3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7,116</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979</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Company contributions</w:t>
            </w:r>
          </w:p>
        </w:tc>
        <w:tc>
          <w:tcPr>
            <w:tcW w:w="3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367</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contributions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1,296</w:t>
            </w:r>
          </w:p>
        </w:tc>
        <w:tc>
          <w:tcPr>
            <w:tcW w:w="4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primarily foreign currency translation adjustments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191</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9,702</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7,116</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Funded status,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5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Amounts recognized on the consolidated balance sheets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r>
      <w:tr>
        <w:trPr>
          <w:trHeight w:val="223"/>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obligation</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Actuarial loss,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4,163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482</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29"/>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Prior service cost (credit)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4,171</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0"/>
        </w:trPr>
        <w:tc>
          <w:tcPr>
            <w:tcW w:w="5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45"/>
        <w:spacing w:after="0" w:line="261" w:lineRule="auto"/>
        <w:rPr>
          <w:sz w:val="20"/>
          <w:szCs w:val="20"/>
          <w:color w:val="auto"/>
        </w:rPr>
      </w:pPr>
      <w:r>
        <w:rPr>
          <w:rFonts w:ascii="Arial" w:cs="Arial" w:eastAsia="Arial" w:hAnsi="Arial"/>
          <w:sz w:val="18"/>
          <w:szCs w:val="18"/>
          <w:color w:val="auto"/>
        </w:rPr>
        <w:t>The projected benefit obligations (PBO) in the table above included $3.5 billion at December 31, 2020 and $2.3 billion at December 31, 2019, related to international defined benefit plans.</w:t>
      </w:r>
    </w:p>
    <w:p>
      <w:pPr>
        <w:spacing w:after="0" w:line="117" w:lineRule="exact"/>
        <w:rPr>
          <w:sz w:val="20"/>
          <w:szCs w:val="20"/>
          <w:color w:val="auto"/>
        </w:rPr>
      </w:pPr>
    </w:p>
    <w:p>
      <w:pPr>
        <w:ind w:right="720" w:firstLine="445"/>
        <w:spacing w:after="0" w:line="261" w:lineRule="auto"/>
        <w:rPr>
          <w:sz w:val="20"/>
          <w:szCs w:val="20"/>
          <w:color w:val="auto"/>
        </w:rPr>
      </w:pPr>
      <w:r>
        <w:rPr>
          <w:rFonts w:ascii="Arial" w:cs="Arial" w:eastAsia="Arial" w:hAnsi="Arial"/>
          <w:sz w:val="18"/>
          <w:szCs w:val="18"/>
          <w:color w:val="auto"/>
        </w:rPr>
        <w:t>For plans reflected in the table above, the accumulated benefit obligations (ABO) were $10.5 billion at December 31, 2020 and $7.6 billion at December 31, 2019.</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78</w:t>
            </w:r>
          </w:p>
        </w:tc>
      </w:tr>
      <w:tr>
        <w:trPr>
          <w:trHeight w:val="201"/>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-334010</wp:posOffset>
            </wp:positionV>
            <wp:extent cx="600075" cy="1111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0075" cy="11112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i w:val="1"/>
          <w:iCs w:val="1"/>
          <w:color w:val="auto"/>
        </w:rPr>
        <w:t>Information For Pension Plans With An Accumulated Benefit Obligation In Excess Of Plan Assets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(in millions)</w:t>
            </w:r>
          </w:p>
        </w:tc>
        <w:tc>
          <w:tcPr>
            <w:tcW w:w="7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benefit obligation</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7,527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w:t>
            </w:r>
          </w:p>
        </w:tc>
      </w:tr>
      <w:tr>
        <w:trPr>
          <w:trHeight w:val="229"/>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Fair value of plan assets</w:t>
            </w:r>
          </w:p>
        </w:tc>
        <w:tc>
          <w:tcPr>
            <w:tcW w:w="7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6,066</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4,820</w:t>
            </w:r>
          </w:p>
        </w:tc>
      </w:tr>
      <w:tr>
        <w:trPr>
          <w:trHeight w:val="358"/>
        </w:trPr>
        <w:tc>
          <w:tcPr>
            <w:tcW w:w="7800" w:type="dxa"/>
            <w:vAlign w:val="bottom"/>
          </w:tcPr>
          <w:p>
            <w:pPr>
              <w:spacing w:after="0"/>
              <w:rPr>
                <w:sz w:val="20"/>
                <w:szCs w:val="20"/>
                <w:color w:val="auto"/>
              </w:rPr>
            </w:pPr>
            <w:r>
              <w:rPr>
                <w:rFonts w:ascii="Arial" w:cs="Arial" w:eastAsia="Arial" w:hAnsi="Arial"/>
                <w:sz w:val="18"/>
                <w:szCs w:val="18"/>
                <w:i w:val="1"/>
                <w:iCs w:val="1"/>
                <w:color w:val="auto"/>
              </w:rPr>
              <w:t>Information For Pension Plans With A Projected Benefit Obligation In Excess Of Plan Assets</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4"/>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(in millions)</w:t>
            </w:r>
          </w:p>
        </w:tc>
        <w:tc>
          <w:tcPr>
            <w:tcW w:w="7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8,719</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w:t>
            </w:r>
          </w:p>
        </w:tc>
      </w:tr>
      <w:tr>
        <w:trPr>
          <w:trHeight w:val="230"/>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Fair value of plan assets</w:t>
            </w:r>
          </w:p>
        </w:tc>
        <w:tc>
          <w:tcPr>
            <w:tcW w:w="7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6,066</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4,895</w:t>
            </w:r>
          </w:p>
        </w:tc>
      </w:tr>
    </w:tbl>
    <w:p>
      <w:pPr>
        <w:spacing w:after="0" w:line="175" w:lineRule="exact"/>
        <w:rPr>
          <w:sz w:val="20"/>
          <w:szCs w:val="20"/>
          <w:color w:val="auto"/>
        </w:rPr>
      </w:pPr>
    </w:p>
    <w:p>
      <w:pPr>
        <w:ind w:right="420" w:firstLine="445"/>
        <w:spacing w:after="0" w:line="256" w:lineRule="auto"/>
        <w:rPr>
          <w:sz w:val="20"/>
          <w:szCs w:val="20"/>
          <w:color w:val="auto"/>
        </w:rPr>
      </w:pPr>
      <w:r>
        <w:rPr>
          <w:rFonts w:ascii="Arial" w:cs="Arial" w:eastAsia="Arial" w:hAnsi="Arial"/>
          <w:sz w:val="18"/>
          <w:szCs w:val="18"/>
          <w:color w:val="auto"/>
        </w:rPr>
        <w:t>The 2020 actuarial losses of $1.1 billion for qualified pension plans and $40 million for other post-employment plans were primarily driven by a decrease in the assumed discount rate from 2019. The 2019 actuarial losses of $1.7 billion for qualified pension plans and $451 million for other post-employment plans were primarily driven by a decrease in the assumed discount rate from 2018.</w:t>
      </w:r>
    </w:p>
    <w:p>
      <w:pPr>
        <w:spacing w:after="0" w:line="134" w:lineRule="exact"/>
        <w:rPr>
          <w:sz w:val="20"/>
          <w:szCs w:val="20"/>
          <w:color w:val="auto"/>
        </w:rPr>
      </w:pPr>
    </w:p>
    <w:p>
      <w:pPr>
        <w:ind w:right="140" w:firstLine="445"/>
        <w:spacing w:after="0" w:line="238" w:lineRule="auto"/>
        <w:rPr>
          <w:sz w:val="20"/>
          <w:szCs w:val="20"/>
          <w:color w:val="auto"/>
        </w:rPr>
      </w:pPr>
      <w:r>
        <w:rPr>
          <w:rFonts w:ascii="Arial" w:cs="Arial" w:eastAsia="Arial" w:hAnsi="Arial"/>
          <w:sz w:val="18"/>
          <w:szCs w:val="18"/>
          <w:color w:val="auto"/>
        </w:rPr>
        <w:t>A change to AbbVie's U.S. retiree health benefit plan was approved in 2020 and communicated to employees and retirees in October 2020. Beginning in 2022, Medicare-eligible retirees and Medicare-eligible dependents will choose health care coverage from insurance providers through a private Medicare exchange. AbbVie will continue to provide financial support to Medicare-eligible retirees. This change decreased AbbVie's post-employment benefit obligation and increased AbbVie's unrecognized prior service credit as of December 31, 2020 by $397 million.</w:t>
      </w:r>
    </w:p>
    <w:p>
      <w:pPr>
        <w:spacing w:after="0" w:line="162" w:lineRule="exact"/>
        <w:rPr>
          <w:sz w:val="20"/>
          <w:szCs w:val="20"/>
          <w:color w:val="auto"/>
        </w:rPr>
      </w:pPr>
    </w:p>
    <w:p>
      <w:pPr>
        <w:jc w:val="both"/>
        <w:ind w:right="180" w:firstLine="445"/>
        <w:spacing w:after="0" w:line="256" w:lineRule="auto"/>
        <w:rPr>
          <w:sz w:val="20"/>
          <w:szCs w:val="20"/>
          <w:color w:val="auto"/>
        </w:rPr>
      </w:pPr>
      <w:r>
        <w:rPr>
          <w:rFonts w:ascii="Arial" w:cs="Arial" w:eastAsia="Arial" w:hAnsi="Arial"/>
          <w:sz w:val="18"/>
          <w:szCs w:val="18"/>
          <w:color w:val="auto"/>
        </w:rPr>
        <w:t>In connection with the Allergan acquisition, AbbVie assumed certain post-employment benefit obligations which were recorded at fair value. Upon acquisition in the second quarter of 2020, the excess of projected benefit obligations over the plan assets was recognized as a liability totaling $156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Recognized in Other Comprehensive Income (Loss)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pre-tax losses (gains) included in other comprehensive income (loss):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years ended December 31 (in millions)</w:t>
            </w:r>
          </w:p>
        </w:tc>
        <w:tc>
          <w:tcPr>
            <w:tcW w:w="20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b w:val="1"/>
                <w:bCs w:val="1"/>
                <w:color w:val="auto"/>
              </w:rPr>
              <w:t>Defined benefit plans</w:t>
            </w:r>
          </w:p>
        </w:tc>
        <w:tc>
          <w:tcPr>
            <w:tcW w:w="2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Actuarial loss</w:t>
            </w:r>
          </w:p>
        </w:tc>
        <w:tc>
          <w:tcPr>
            <w:tcW w:w="3560" w:type="dxa"/>
            <w:vAlign w:val="bottom"/>
            <w:shd w:val="clear" w:color="auto" w:fill="CCEEFF"/>
          </w:tcPr>
          <w:p>
            <w:pPr>
              <w:spacing w:after="0"/>
              <w:rPr>
                <w:sz w:val="19"/>
                <w:szCs w:val="19"/>
                <w:color w:val="auto"/>
              </w:rPr>
            </w:pPr>
          </w:p>
        </w:tc>
        <w:tc>
          <w:tcPr>
            <w:tcW w:w="2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701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1,231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Amortization of prior service cost</w:t>
            </w:r>
          </w:p>
        </w:tc>
        <w:tc>
          <w:tcPr>
            <w:tcW w:w="20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actuarial loss</w:t>
            </w:r>
          </w:p>
        </w:tc>
        <w:tc>
          <w:tcPr>
            <w:tcW w:w="20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Foreign exchange loss (gain) and other</w:t>
            </w:r>
          </w:p>
        </w:tc>
        <w:tc>
          <w:tcPr>
            <w:tcW w:w="20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56</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1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loss</w:t>
            </w:r>
          </w:p>
        </w:tc>
        <w:tc>
          <w:tcPr>
            <w:tcW w:w="3560" w:type="dxa"/>
            <w:vAlign w:val="bottom"/>
            <w:tcBorders>
              <w:bottom w:val="single" w:sz="8" w:color="auto"/>
            </w:tcBorders>
            <w:shd w:val="clear" w:color="auto" w:fill="CCEEFF"/>
          </w:tcPr>
          <w:p>
            <w:pPr>
              <w:spacing w:after="0"/>
              <w:rPr>
                <w:sz w:val="21"/>
                <w:szCs w:val="21"/>
                <w:color w:val="auto"/>
              </w:rPr>
            </w:pPr>
          </w:p>
        </w:tc>
        <w:tc>
          <w:tcPr>
            <w:tcW w:w="2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528</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1,116</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bottom w:val="single" w:sz="8" w:color="auto"/>
            </w:tcBorders>
            <w:gridSpan w:val="2"/>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gridSpan w:val="2"/>
          </w:tcPr>
          <w:p>
            <w:pPr>
              <w:ind w:left="20"/>
              <w:spacing w:after="0" w:line="203" w:lineRule="exact"/>
              <w:rPr>
                <w:sz w:val="20"/>
                <w:szCs w:val="20"/>
                <w:color w:val="auto"/>
              </w:rPr>
            </w:pPr>
            <w:r>
              <w:rPr>
                <w:rFonts w:ascii="Arial" w:cs="Arial" w:eastAsia="Arial" w:hAnsi="Arial"/>
                <w:sz w:val="18"/>
                <w:szCs w:val="18"/>
                <w:b w:val="1"/>
                <w:bCs w:val="1"/>
                <w:color w:val="auto"/>
              </w:rPr>
              <w:t>Other post-employment plans</w:t>
            </w:r>
          </w:p>
        </w:tc>
        <w:tc>
          <w:tcPr>
            <w:tcW w:w="2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Actuarial loss (gain)</w:t>
            </w:r>
          </w:p>
        </w:tc>
        <w:tc>
          <w:tcPr>
            <w:tcW w:w="2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Prior service cost (credit)</w:t>
            </w:r>
          </w:p>
        </w:tc>
        <w:tc>
          <w:tcPr>
            <w:tcW w:w="20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(397)</w:t>
            </w:r>
          </w:p>
        </w:tc>
        <w:tc>
          <w:tcPr>
            <w:tcW w:w="38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credit</w:t>
            </w:r>
          </w:p>
        </w:tc>
        <w:tc>
          <w:tcPr>
            <w:tcW w:w="20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Amortization of actuarial loss</w:t>
            </w:r>
          </w:p>
        </w:tc>
        <w:tc>
          <w:tcPr>
            <w:tcW w:w="20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1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loss (gain)</w:t>
            </w:r>
          </w:p>
        </w:tc>
        <w:tc>
          <w:tcPr>
            <w:tcW w:w="3560" w:type="dxa"/>
            <w:vAlign w:val="bottom"/>
            <w:tcBorders>
              <w:bottom w:val="single" w:sz="8" w:color="auto"/>
            </w:tcBorders>
            <w:shd w:val="clear" w:color="auto" w:fill="CCEEFF"/>
          </w:tcPr>
          <w:p>
            <w:pPr>
              <w:spacing w:after="0"/>
              <w:rPr>
                <w:sz w:val="21"/>
                <w:szCs w:val="21"/>
                <w:color w:val="auto"/>
              </w:rPr>
            </w:pPr>
          </w:p>
        </w:tc>
        <w:tc>
          <w:tcPr>
            <w:tcW w:w="2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450</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5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7"/>
        </w:trPr>
        <w:tc>
          <w:tcPr>
            <w:tcW w:w="13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79</w:t>
            </w:r>
          </w:p>
        </w:tc>
        <w:tc>
          <w:tcPr>
            <w:tcW w:w="3560" w:type="dxa"/>
            <w:vAlign w:val="bottom"/>
          </w:tcPr>
          <w:p>
            <w:pPr>
              <w:ind w:left="100"/>
              <w:spacing w:after="0"/>
              <w:rPr>
                <w:sz w:val="20"/>
                <w:szCs w:val="20"/>
                <w:color w:val="auto"/>
              </w:rPr>
            </w:pPr>
            <w:r>
              <w:rPr>
                <w:rFonts w:ascii="Arial" w:cs="Arial" w:eastAsia="Arial" w:hAnsi="Arial"/>
                <w:sz w:val="25"/>
                <w:szCs w:val="25"/>
                <w:b w:val="1"/>
                <w:bCs w:val="1"/>
                <w:color w:val="444867"/>
              </w:rPr>
              <w:t xml:space="preserve">| </w:t>
            </w:r>
            <w:r>
              <w:rPr>
                <w:rFonts w:ascii="Arial" w:cs="Arial" w:eastAsia="Arial" w:hAnsi="Arial"/>
                <w:sz w:val="17"/>
                <w:szCs w:val="17"/>
                <w:i w:val="1"/>
                <w:iCs w:val="1"/>
                <w:color w:val="000000"/>
              </w:rPr>
              <w:t>2020 Form 10-K</w:t>
            </w:r>
          </w:p>
        </w:tc>
        <w:tc>
          <w:tcPr>
            <w:tcW w:w="2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1"/>
        </w:trPr>
        <w:tc>
          <w:tcPr>
            <w:tcW w:w="2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3560" w:type="dxa"/>
            <w:vAlign w:val="bottom"/>
            <w:tcBorders>
              <w:bottom w:val="single" w:sz="8" w:color="9A9A9A"/>
            </w:tcBorders>
          </w:tcPr>
          <w:p>
            <w:pPr>
              <w:spacing w:after="0"/>
              <w:rPr>
                <w:sz w:val="17"/>
                <w:szCs w:val="17"/>
                <w:color w:val="auto"/>
              </w:rPr>
            </w:pPr>
          </w:p>
        </w:tc>
        <w:tc>
          <w:tcPr>
            <w:tcW w:w="208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-334010</wp:posOffset>
            </wp:positionV>
            <wp:extent cx="600075" cy="1117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0075" cy="111760"/>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auto"/>
        </w:rPr>
        <w:t>Net Periodic Benefit Cost</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 (in millions)</w:t>
            </w:r>
          </w:p>
        </w:tc>
        <w:tc>
          <w:tcPr>
            <w:tcW w:w="2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Defined benefit plans</w:t>
            </w:r>
          </w:p>
        </w:tc>
        <w:tc>
          <w:tcPr>
            <w:tcW w:w="2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264</w:t>
            </w:r>
          </w:p>
        </w:tc>
        <w:tc>
          <w:tcPr>
            <w:tcW w:w="4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259</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Amortization of prior service cost</w:t>
            </w:r>
          </w:p>
        </w:tc>
        <w:tc>
          <w:tcPr>
            <w:tcW w:w="2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of actuarial loss</w:t>
            </w:r>
          </w:p>
        </w:tc>
        <w:tc>
          <w:tcPr>
            <w:tcW w:w="2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227</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3"/>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benefit cost</w:t>
            </w:r>
          </w:p>
        </w:tc>
        <w:tc>
          <w:tcPr>
            <w:tcW w:w="2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288</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163</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post-employment plans</w:t>
            </w:r>
          </w:p>
        </w:tc>
        <w:tc>
          <w:tcPr>
            <w:tcW w:w="2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3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2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of actuarial loss</w:t>
            </w:r>
          </w:p>
        </w:tc>
        <w:tc>
          <w:tcPr>
            <w:tcW w:w="2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benefit cost</w:t>
            </w:r>
          </w:p>
        </w:tc>
        <w:tc>
          <w:tcPr>
            <w:tcW w:w="2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98</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55</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1"/>
        </w:trPr>
        <w:tc>
          <w:tcPr>
            <w:tcW w:w="47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firstLine="445"/>
        <w:spacing w:after="0" w:line="261" w:lineRule="auto"/>
        <w:rPr>
          <w:sz w:val="20"/>
          <w:szCs w:val="20"/>
          <w:color w:val="auto"/>
        </w:rPr>
      </w:pPr>
      <w:r>
        <w:rPr>
          <w:rFonts w:ascii="Arial" w:cs="Arial" w:eastAsia="Arial" w:hAnsi="Arial"/>
          <w:sz w:val="18"/>
          <w:szCs w:val="18"/>
          <w:color w:val="auto"/>
        </w:rPr>
        <w:t>The components of net periodic benefit cost other than service cost are included in other expense, net in the consolidated statements of earnings.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Weighted-Average Assumptions Used in Determining Benefit Obligations at the Measurement Date</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w:t>
            </w:r>
          </w:p>
        </w:tc>
        <w:tc>
          <w:tcPr>
            <w:tcW w:w="416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b w:val="1"/>
                <w:bCs w:val="1"/>
                <w:color w:val="auto"/>
              </w:rPr>
              <w:t>2020</w:t>
            </w:r>
          </w:p>
        </w:tc>
        <w:tc>
          <w:tcPr>
            <w:tcW w:w="13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Defined benefit plans</w:t>
            </w:r>
          </w:p>
        </w:tc>
        <w:tc>
          <w:tcPr>
            <w:tcW w:w="4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41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2.4 %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Rate of compensation increases</w:t>
            </w:r>
          </w:p>
        </w:tc>
        <w:tc>
          <w:tcPr>
            <w:tcW w:w="4160" w:type="dxa"/>
            <w:vAlign w:val="bottom"/>
          </w:tcPr>
          <w:p>
            <w:pPr>
              <w:jc w:val="right"/>
              <w:ind w:right="294"/>
              <w:spacing w:after="0"/>
              <w:rPr>
                <w:sz w:val="20"/>
                <w:szCs w:val="20"/>
                <w:color w:val="auto"/>
              </w:rPr>
            </w:pPr>
            <w:r>
              <w:rPr>
                <w:rFonts w:ascii="Arial" w:cs="Arial" w:eastAsia="Arial" w:hAnsi="Arial"/>
                <w:sz w:val="18"/>
                <w:szCs w:val="18"/>
                <w:color w:val="auto"/>
              </w:rPr>
              <w:t>4.6 %</w:t>
            </w:r>
          </w:p>
        </w:tc>
        <w:tc>
          <w:tcPr>
            <w:tcW w:w="132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balance interest crediting rate</w:t>
            </w:r>
          </w:p>
        </w:tc>
        <w:tc>
          <w:tcPr>
            <w:tcW w:w="41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2.8 %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Other post-employment plans</w:t>
            </w:r>
          </w:p>
        </w:tc>
        <w:tc>
          <w:tcPr>
            <w:tcW w:w="4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416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rPr>
              <w:t>2.8 %</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3.6 %</w:t>
            </w:r>
          </w:p>
        </w:tc>
      </w:tr>
    </w:tbl>
    <w:p>
      <w:pPr>
        <w:spacing w:after="0" w:line="175" w:lineRule="exact"/>
        <w:rPr>
          <w:sz w:val="20"/>
          <w:szCs w:val="20"/>
          <w:color w:val="auto"/>
        </w:rPr>
      </w:pPr>
    </w:p>
    <w:p>
      <w:pPr>
        <w:jc w:val="both"/>
        <w:ind w:right="20" w:firstLine="445"/>
        <w:spacing w:after="0" w:line="261" w:lineRule="auto"/>
        <w:rPr>
          <w:sz w:val="20"/>
          <w:szCs w:val="20"/>
          <w:color w:val="auto"/>
        </w:rPr>
      </w:pPr>
      <w:r>
        <w:rPr>
          <w:rFonts w:ascii="Arial" w:cs="Arial" w:eastAsia="Arial" w:hAnsi="Arial"/>
          <w:sz w:val="18"/>
          <w:szCs w:val="18"/>
          <w:color w:val="auto"/>
        </w:rPr>
        <w:t>The assumptions used in calculating the December 31, 2020 measurement date benefit obligations will be used in the calculation of net periodic benefit cost in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Weighted-Average Assumptions Used in Determining Net Periodic Benefit Cost</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2840" w:type="dxa"/>
            <w:vAlign w:val="bottom"/>
            <w:tcBorders>
              <w:bottom w:val="single" w:sz="8" w:color="auto"/>
            </w:tcBorders>
          </w:tcPr>
          <w:p>
            <w:pPr>
              <w:jc w:val="right"/>
              <w:ind w:right="872"/>
              <w:spacing w:after="0"/>
              <w:rPr>
                <w:sz w:val="20"/>
                <w:szCs w:val="20"/>
                <w:color w:val="auto"/>
              </w:rPr>
            </w:pPr>
            <w:r>
              <w:rPr>
                <w:rFonts w:ascii="Arial" w:cs="Arial" w:eastAsia="Arial" w:hAnsi="Arial"/>
                <w:sz w:val="14"/>
                <w:szCs w:val="14"/>
                <w:b w:val="1"/>
                <w:bCs w:val="1"/>
                <w:color w:val="auto"/>
              </w:rPr>
              <w:t>2020</w:t>
            </w:r>
          </w:p>
        </w:tc>
        <w:tc>
          <w:tcPr>
            <w:tcW w:w="164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2019</w:t>
            </w: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Defined benefit plans</w:t>
            </w:r>
          </w:p>
        </w:tc>
        <w:tc>
          <w:tcPr>
            <w:tcW w:w="28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 for determining service cost</w:t>
            </w:r>
          </w:p>
        </w:tc>
        <w:tc>
          <w:tcPr>
            <w:tcW w:w="28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3.1 %</w:t>
            </w:r>
          </w:p>
        </w:tc>
        <w:tc>
          <w:tcPr>
            <w:tcW w:w="16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4.0 %</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Discount rate for determining interest cost</w:t>
            </w:r>
          </w:p>
        </w:tc>
        <w:tc>
          <w:tcPr>
            <w:tcW w:w="2840" w:type="dxa"/>
            <w:vAlign w:val="bottom"/>
          </w:tcPr>
          <w:p>
            <w:pPr>
              <w:jc w:val="right"/>
              <w:ind w:right="292"/>
              <w:spacing w:after="0"/>
              <w:rPr>
                <w:sz w:val="20"/>
                <w:szCs w:val="20"/>
                <w:color w:val="auto"/>
              </w:rPr>
            </w:pPr>
            <w:r>
              <w:rPr>
                <w:rFonts w:ascii="Arial" w:cs="Arial" w:eastAsia="Arial" w:hAnsi="Arial"/>
                <w:sz w:val="18"/>
                <w:szCs w:val="18"/>
                <w:color w:val="auto"/>
              </w:rPr>
              <w:t>3.0 %</w:t>
            </w:r>
          </w:p>
        </w:tc>
        <w:tc>
          <w:tcPr>
            <w:tcW w:w="1640" w:type="dxa"/>
            <w:vAlign w:val="bottom"/>
          </w:tcPr>
          <w:p>
            <w:pPr>
              <w:jc w:val="right"/>
              <w:ind w:right="272"/>
              <w:spacing w:after="0"/>
              <w:rPr>
                <w:sz w:val="20"/>
                <w:szCs w:val="20"/>
                <w:color w:val="auto"/>
              </w:rPr>
            </w:pPr>
            <w:r>
              <w:rPr>
                <w:rFonts w:ascii="Arial" w:cs="Arial" w:eastAsia="Arial" w:hAnsi="Arial"/>
                <w:sz w:val="18"/>
                <w:szCs w:val="18"/>
                <w:color w:val="auto"/>
              </w:rPr>
              <w:t>4.0 %</w:t>
            </w:r>
          </w:p>
        </w:tc>
        <w:tc>
          <w:tcPr>
            <w:tcW w:w="130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long-term rate of return on plan assets</w:t>
            </w:r>
          </w:p>
        </w:tc>
        <w:tc>
          <w:tcPr>
            <w:tcW w:w="28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7.1 %</w:t>
            </w:r>
          </w:p>
        </w:tc>
        <w:tc>
          <w:tcPr>
            <w:tcW w:w="16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7.6 %</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Expected rate of change in compensation</w:t>
            </w:r>
          </w:p>
        </w:tc>
        <w:tc>
          <w:tcPr>
            <w:tcW w:w="2840" w:type="dxa"/>
            <w:vAlign w:val="bottom"/>
          </w:tcPr>
          <w:p>
            <w:pPr>
              <w:jc w:val="right"/>
              <w:ind w:right="292"/>
              <w:spacing w:after="0"/>
              <w:rPr>
                <w:sz w:val="20"/>
                <w:szCs w:val="20"/>
                <w:color w:val="auto"/>
              </w:rPr>
            </w:pPr>
            <w:r>
              <w:rPr>
                <w:rFonts w:ascii="Arial" w:cs="Arial" w:eastAsia="Arial" w:hAnsi="Arial"/>
                <w:sz w:val="18"/>
                <w:szCs w:val="18"/>
                <w:color w:val="auto"/>
              </w:rPr>
              <w:t>4.6 %</w:t>
            </w:r>
          </w:p>
        </w:tc>
        <w:tc>
          <w:tcPr>
            <w:tcW w:w="1640" w:type="dxa"/>
            <w:vAlign w:val="bottom"/>
          </w:tcPr>
          <w:p>
            <w:pPr>
              <w:jc w:val="right"/>
              <w:ind w:right="272"/>
              <w:spacing w:after="0"/>
              <w:rPr>
                <w:sz w:val="20"/>
                <w:szCs w:val="20"/>
                <w:color w:val="auto"/>
              </w:rPr>
            </w:pPr>
            <w:r>
              <w:rPr>
                <w:rFonts w:ascii="Arial" w:cs="Arial" w:eastAsia="Arial" w:hAnsi="Arial"/>
                <w:sz w:val="18"/>
                <w:szCs w:val="18"/>
                <w:color w:val="auto"/>
              </w:rPr>
              <w:t>4.6 %</w:t>
            </w:r>
          </w:p>
        </w:tc>
        <w:tc>
          <w:tcPr>
            <w:tcW w:w="130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balance interest crediting rate</w:t>
            </w:r>
          </w:p>
        </w:tc>
        <w:tc>
          <w:tcPr>
            <w:tcW w:w="28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2.8 %</w:t>
            </w:r>
          </w:p>
        </w:tc>
        <w:tc>
          <w:tcPr>
            <w:tcW w:w="16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2.8 %</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Other post-employment plans</w:t>
            </w:r>
          </w:p>
        </w:tc>
        <w:tc>
          <w:tcPr>
            <w:tcW w:w="28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 for determining service cost</w:t>
            </w:r>
          </w:p>
        </w:tc>
        <w:tc>
          <w:tcPr>
            <w:tcW w:w="28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3.7 %</w:t>
            </w:r>
          </w:p>
        </w:tc>
        <w:tc>
          <w:tcPr>
            <w:tcW w:w="16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4.7 %</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Discount rate for determining interest cost</w:t>
            </w:r>
          </w:p>
        </w:tc>
        <w:tc>
          <w:tcPr>
            <w:tcW w:w="28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3.2 %</w:t>
            </w:r>
          </w:p>
        </w:tc>
        <w:tc>
          <w:tcPr>
            <w:tcW w:w="16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4.3 %</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December 31, 2020 post-retirement health care obligations remeasurement, the company assumed a 6.3% pre-65 (6.7% post-</w:t>
      </w:r>
    </w:p>
    <w:p>
      <w:pPr>
        <w:spacing w:after="0" w:line="9" w:lineRule="exact"/>
        <w:rPr>
          <w:sz w:val="20"/>
          <w:szCs w:val="20"/>
          <w:color w:val="auto"/>
        </w:rPr>
      </w:pPr>
    </w:p>
    <w:p>
      <w:pPr>
        <w:jc w:val="both"/>
        <w:ind w:right="320" w:firstLine="8"/>
        <w:spacing w:after="0" w:line="250" w:lineRule="auto"/>
        <w:tabs>
          <w:tab w:leader="none" w:pos="31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annual rate of increase in the per capita cost of covered health care benefits. The rate was assumed to decrease gradually to 4.5% in 2090 and remain at that level thereafter. For purposes of measuring the 2020 post-retirement health care costs, the company assumed a</w:t>
      </w:r>
    </w:p>
    <w:p>
      <w:pPr>
        <w:spacing w:after="0" w:line="261" w:lineRule="auto"/>
        <w:rPr>
          <w:rFonts w:ascii="Arial" w:cs="Arial" w:eastAsia="Arial" w:hAnsi="Arial"/>
          <w:sz w:val="18"/>
          <w:szCs w:val="18"/>
          <w:color w:val="auto"/>
        </w:rPr>
      </w:pPr>
      <w:r>
        <w:rPr>
          <w:rFonts w:ascii="Arial" w:cs="Arial" w:eastAsia="Arial" w:hAnsi="Arial"/>
          <w:sz w:val="18"/>
          <w:szCs w:val="18"/>
          <w:color w:val="auto"/>
        </w:rPr>
        <w:t>6.4% pre-65 (7.0% post-65) annual rate of increase in the per capita cost of covered health care benefits. The rate was assumed to decrease gradually to 4.5% for 2050 and remain at that level thereafter.</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80</w:t>
            </w:r>
          </w:p>
        </w:tc>
      </w:tr>
      <w:tr>
        <w:trPr>
          <w:trHeight w:val="196"/>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-325120</wp:posOffset>
            </wp:positionV>
            <wp:extent cx="600075" cy="1111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0075" cy="11112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i w:val="1"/>
          <w:iCs w:val="1"/>
          <w:color w:val="auto"/>
        </w:rPr>
        <w:t>Defined Benefit Pension Plan Assets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center"/>
              <w:ind w:left="895"/>
              <w:spacing w:after="0"/>
              <w:rPr>
                <w:sz w:val="20"/>
                <w:szCs w:val="20"/>
                <w:color w:val="auto"/>
              </w:rPr>
            </w:pPr>
            <w:r>
              <w:rPr>
                <w:rFonts w:ascii="Arial" w:cs="Arial" w:eastAsia="Arial" w:hAnsi="Arial"/>
                <w:sz w:val="14"/>
                <w:szCs w:val="14"/>
                <w:b w:val="1"/>
                <w:bCs w:val="1"/>
                <w:color w:val="auto"/>
              </w:rPr>
              <w:t>Basis of fair value measurement</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75"/>
              <w:spacing w:after="0" w:line="142" w:lineRule="exact"/>
              <w:rPr>
                <w:sz w:val="20"/>
                <w:szCs w:val="20"/>
                <w:color w:val="auto"/>
              </w:rPr>
            </w:pPr>
            <w:r>
              <w:rPr>
                <w:rFonts w:ascii="Arial" w:cs="Arial" w:eastAsia="Arial" w:hAnsi="Arial"/>
                <w:sz w:val="14"/>
                <w:szCs w:val="14"/>
                <w:b w:val="1"/>
                <w:bCs w:val="1"/>
                <w:color w:val="auto"/>
              </w:rPr>
              <w:t>Quoted prices in</w:t>
            </w:r>
          </w:p>
        </w:tc>
        <w:tc>
          <w:tcPr>
            <w:tcW w:w="220" w:type="dxa"/>
            <w:vAlign w:val="bottom"/>
          </w:tcPr>
          <w:p>
            <w:pPr>
              <w:spacing w:after="0"/>
              <w:rPr>
                <w:sz w:val="12"/>
                <w:szCs w:val="12"/>
                <w:color w:val="auto"/>
              </w:rPr>
            </w:pPr>
          </w:p>
        </w:tc>
        <w:tc>
          <w:tcPr>
            <w:tcW w:w="13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rPr>
              <w:t>Significant other</w:t>
            </w:r>
          </w:p>
        </w:tc>
        <w:tc>
          <w:tcPr>
            <w:tcW w:w="420" w:type="dxa"/>
            <w:vAlign w:val="bottom"/>
          </w:tcPr>
          <w:p>
            <w:pPr>
              <w:spacing w:after="0"/>
              <w:rPr>
                <w:sz w:val="12"/>
                <w:szCs w:val="12"/>
                <w:color w:val="auto"/>
              </w:rPr>
            </w:pPr>
          </w:p>
        </w:tc>
        <w:tc>
          <w:tcPr>
            <w:tcW w:w="1120" w:type="dxa"/>
            <w:vAlign w:val="bottom"/>
            <w:vMerge w:val="restart"/>
          </w:tcPr>
          <w:p>
            <w:pPr>
              <w:jc w:val="center"/>
              <w:ind w:right="253"/>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active markets for</w:t>
            </w:r>
          </w:p>
        </w:tc>
        <w:tc>
          <w:tcPr>
            <w:tcW w:w="2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(in millions)</w:t>
            </w:r>
          </w:p>
        </w:tc>
        <w:tc>
          <w:tcPr>
            <w:tcW w:w="1360" w:type="dxa"/>
            <w:vAlign w:val="bottom"/>
          </w:tcPr>
          <w:p>
            <w:pPr>
              <w:spacing w:after="0"/>
              <w:rPr>
                <w:sz w:val="11"/>
                <w:szCs w:val="11"/>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rPr>
              <w:t>identical assets</w:t>
            </w:r>
          </w:p>
        </w:tc>
        <w:tc>
          <w:tcPr>
            <w:tcW w:w="15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observable inputs</w:t>
            </w:r>
          </w:p>
        </w:tc>
        <w:tc>
          <w:tcPr>
            <w:tcW w:w="154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76"/>
        </w:trPr>
        <w:tc>
          <w:tcPr>
            <w:tcW w:w="4140" w:type="dxa"/>
            <w:vAlign w:val="bottom"/>
            <w:tcBorders>
              <w:bottom w:val="single" w:sz="8" w:color="auto"/>
            </w:tcBorders>
            <w:vMerge w:val="continue"/>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8"/>
                <w:szCs w:val="18"/>
                <w:color w:val="auto"/>
              </w:rPr>
              <w:t>Equities</w:t>
            </w:r>
          </w:p>
        </w:tc>
        <w:tc>
          <w:tcPr>
            <w:tcW w:w="1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U.S. large cap</w:t>
            </w:r>
            <w:r>
              <w:rPr>
                <w:rFonts w:ascii="Arial" w:cs="Arial" w:eastAsia="Arial" w:hAnsi="Arial"/>
                <w:sz w:val="23"/>
                <w:szCs w:val="23"/>
                <w:color w:val="auto"/>
                <w:vertAlign w:val="superscript"/>
              </w:rPr>
              <w:t>(a)</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1,143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40" w:type="dxa"/>
            <w:vAlign w:val="bottom"/>
          </w:tcPr>
          <w:p>
            <w:pPr>
              <w:ind w:left="400"/>
              <w:spacing w:after="0" w:line="230" w:lineRule="exact"/>
              <w:rPr>
                <w:sz w:val="20"/>
                <w:szCs w:val="20"/>
                <w:color w:val="auto"/>
              </w:rPr>
            </w:pPr>
            <w:r>
              <w:rPr>
                <w:rFonts w:ascii="Arial" w:cs="Arial" w:eastAsia="Arial" w:hAnsi="Arial"/>
                <w:sz w:val="18"/>
                <w:szCs w:val="18"/>
                <w:color w:val="auto"/>
              </w:rPr>
              <w:t>U.S. mid cap</w:t>
            </w:r>
            <w:r>
              <w:rPr>
                <w:rFonts w:ascii="Arial" w:cs="Arial" w:eastAsia="Arial" w:hAnsi="Arial"/>
                <w:sz w:val="23"/>
                <w:szCs w:val="23"/>
                <w:color w:val="auto"/>
                <w:vertAlign w:val="superscript"/>
              </w:rPr>
              <w:t>(b)</w:t>
            </w:r>
          </w:p>
        </w:tc>
        <w:tc>
          <w:tcPr>
            <w:tcW w:w="1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9"/>
                <w:szCs w:val="19"/>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(c)</w:t>
            </w:r>
          </w:p>
        </w:tc>
        <w:tc>
          <w:tcPr>
            <w:tcW w:w="1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524</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1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U.S. government securities</w:t>
            </w:r>
            <w:r>
              <w:rPr>
                <w:rFonts w:ascii="Arial" w:cs="Arial" w:eastAsia="Arial" w:hAnsi="Arial"/>
                <w:sz w:val="23"/>
                <w:szCs w:val="23"/>
                <w:color w:val="auto"/>
                <w:vertAlign w:val="superscript"/>
              </w:rPr>
              <w:t>(d)</w:t>
            </w:r>
          </w:p>
        </w:tc>
        <w:tc>
          <w:tcPr>
            <w:tcW w:w="1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114</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40" w:type="dxa"/>
            <w:vAlign w:val="bottom"/>
          </w:tcPr>
          <w:p>
            <w:pPr>
              <w:ind w:left="400"/>
              <w:spacing w:after="0" w:line="230" w:lineRule="exact"/>
              <w:rPr>
                <w:sz w:val="20"/>
                <w:szCs w:val="20"/>
                <w:color w:val="auto"/>
              </w:rPr>
            </w:pPr>
            <w:r>
              <w:rPr>
                <w:rFonts w:ascii="Arial" w:cs="Arial" w:eastAsia="Arial" w:hAnsi="Arial"/>
                <w:sz w:val="18"/>
                <w:szCs w:val="18"/>
                <w:color w:val="auto"/>
              </w:rPr>
              <w:t>Corporate debt instruments</w:t>
            </w:r>
            <w:r>
              <w:rPr>
                <w:rFonts w:ascii="Arial" w:cs="Arial" w:eastAsia="Arial" w:hAnsi="Arial"/>
                <w:sz w:val="23"/>
                <w:szCs w:val="23"/>
                <w:color w:val="auto"/>
                <w:vertAlign w:val="superscript"/>
              </w:rPr>
              <w:t>(d)</w:t>
            </w:r>
          </w:p>
        </w:tc>
        <w:tc>
          <w:tcPr>
            <w:tcW w:w="1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9"/>
                <w:szCs w:val="19"/>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676</w:t>
            </w:r>
          </w:p>
        </w:tc>
        <w:tc>
          <w:tcPr>
            <w:tcW w:w="42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Non-U.S. government securities</w:t>
            </w:r>
            <w:r>
              <w:rPr>
                <w:rFonts w:ascii="Arial" w:cs="Arial" w:eastAsia="Arial" w:hAnsi="Arial"/>
                <w:sz w:val="23"/>
                <w:szCs w:val="23"/>
                <w:color w:val="auto"/>
                <w:vertAlign w:val="superscript"/>
              </w:rPr>
              <w:t>(d)</w:t>
            </w:r>
          </w:p>
        </w:tc>
        <w:tc>
          <w:tcPr>
            <w:tcW w:w="1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397</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147</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tcPr>
          <w:p>
            <w:pPr>
              <w:ind w:left="40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(d)</w:t>
            </w:r>
          </w:p>
        </w:tc>
        <w:tc>
          <w:tcPr>
            <w:tcW w:w="1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9"/>
                <w:szCs w:val="19"/>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Absolute return funds</w:t>
            </w:r>
            <w:r>
              <w:rPr>
                <w:rFonts w:ascii="Arial" w:cs="Arial" w:eastAsia="Arial" w:hAnsi="Arial"/>
                <w:sz w:val="23"/>
                <w:szCs w:val="23"/>
                <w:color w:val="auto"/>
                <w:vertAlign w:val="superscript"/>
              </w:rPr>
              <w:t>(e)</w:t>
            </w:r>
          </w:p>
        </w:tc>
        <w:tc>
          <w:tcPr>
            <w:tcW w:w="1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306</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Real assets</w:t>
            </w:r>
          </w:p>
        </w:tc>
        <w:tc>
          <w:tcPr>
            <w:tcW w:w="1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(f)</w:t>
            </w:r>
          </w:p>
        </w:tc>
        <w:tc>
          <w:tcPr>
            <w:tcW w:w="1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250</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4,230</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2,982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1,248</w:t>
            </w: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 measured at NAV</w:t>
            </w:r>
          </w:p>
        </w:tc>
        <w:tc>
          <w:tcPr>
            <w:tcW w:w="1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Fair value of plan assets</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60" w:type="dxa"/>
            <w:vAlign w:val="bottom"/>
            <w:gridSpan w:val="4"/>
            <w:vMerge w:val="restart"/>
          </w:tcPr>
          <w:p>
            <w:pPr>
              <w:jc w:val="center"/>
              <w:ind w:left="895"/>
              <w:spacing w:after="0"/>
              <w:rPr>
                <w:sz w:val="20"/>
                <w:szCs w:val="20"/>
                <w:color w:val="auto"/>
              </w:rPr>
            </w:pPr>
            <w:r>
              <w:rPr>
                <w:rFonts w:ascii="Arial" w:cs="Arial" w:eastAsia="Arial" w:hAnsi="Arial"/>
                <w:sz w:val="14"/>
                <w:szCs w:val="14"/>
                <w:b w:val="1"/>
                <w:bCs w:val="1"/>
                <w:color w:val="auto"/>
              </w:rPr>
              <w:t>Basis of fair value measurement</w:t>
            </w: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4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4"/>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75"/>
              <w:spacing w:after="0" w:line="142" w:lineRule="exact"/>
              <w:rPr>
                <w:sz w:val="20"/>
                <w:szCs w:val="20"/>
                <w:color w:val="auto"/>
              </w:rPr>
            </w:pPr>
            <w:r>
              <w:rPr>
                <w:rFonts w:ascii="Arial" w:cs="Arial" w:eastAsia="Arial" w:hAnsi="Arial"/>
                <w:sz w:val="14"/>
                <w:szCs w:val="14"/>
                <w:b w:val="1"/>
                <w:bCs w:val="1"/>
                <w:color w:val="auto"/>
              </w:rPr>
              <w:t>Quoted prices in</w:t>
            </w:r>
          </w:p>
        </w:tc>
        <w:tc>
          <w:tcPr>
            <w:tcW w:w="220" w:type="dxa"/>
            <w:vAlign w:val="bottom"/>
          </w:tcPr>
          <w:p>
            <w:pPr>
              <w:spacing w:after="0"/>
              <w:rPr>
                <w:sz w:val="12"/>
                <w:szCs w:val="12"/>
                <w:color w:val="auto"/>
              </w:rPr>
            </w:pPr>
          </w:p>
        </w:tc>
        <w:tc>
          <w:tcPr>
            <w:tcW w:w="13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rPr>
              <w:t>Significant other</w:t>
            </w:r>
          </w:p>
        </w:tc>
        <w:tc>
          <w:tcPr>
            <w:tcW w:w="420" w:type="dxa"/>
            <w:vAlign w:val="bottom"/>
          </w:tcPr>
          <w:p>
            <w:pPr>
              <w:spacing w:after="0"/>
              <w:rPr>
                <w:sz w:val="12"/>
                <w:szCs w:val="12"/>
                <w:color w:val="auto"/>
              </w:rPr>
            </w:pPr>
          </w:p>
        </w:tc>
        <w:tc>
          <w:tcPr>
            <w:tcW w:w="1120" w:type="dxa"/>
            <w:vAlign w:val="bottom"/>
            <w:vMerge w:val="restart"/>
          </w:tcPr>
          <w:p>
            <w:pPr>
              <w:jc w:val="center"/>
              <w:ind w:right="253"/>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active markets for</w:t>
            </w:r>
          </w:p>
        </w:tc>
        <w:tc>
          <w:tcPr>
            <w:tcW w:w="2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(in millions)</w:t>
            </w:r>
          </w:p>
        </w:tc>
        <w:tc>
          <w:tcPr>
            <w:tcW w:w="1360" w:type="dxa"/>
            <w:vAlign w:val="bottom"/>
          </w:tcPr>
          <w:p>
            <w:pPr>
              <w:spacing w:after="0"/>
              <w:rPr>
                <w:sz w:val="11"/>
                <w:szCs w:val="11"/>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rPr>
              <w:t>identical assets</w:t>
            </w:r>
          </w:p>
        </w:tc>
        <w:tc>
          <w:tcPr>
            <w:tcW w:w="15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observable inputs</w:t>
            </w:r>
          </w:p>
        </w:tc>
        <w:tc>
          <w:tcPr>
            <w:tcW w:w="154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76"/>
        </w:trPr>
        <w:tc>
          <w:tcPr>
            <w:tcW w:w="4140" w:type="dxa"/>
            <w:vAlign w:val="bottom"/>
            <w:tcBorders>
              <w:bottom w:val="single" w:sz="8" w:color="auto"/>
            </w:tcBorders>
            <w:vMerge w:val="continue"/>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8"/>
                <w:szCs w:val="18"/>
                <w:color w:val="auto"/>
              </w:rPr>
              <w:t>Equities</w:t>
            </w:r>
          </w:p>
        </w:tc>
        <w:tc>
          <w:tcPr>
            <w:tcW w:w="1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U.S. large cap</w:t>
            </w:r>
            <w:r>
              <w:rPr>
                <w:rFonts w:ascii="Arial" w:cs="Arial" w:eastAsia="Arial" w:hAnsi="Arial"/>
                <w:sz w:val="23"/>
                <w:szCs w:val="23"/>
                <w:color w:val="auto"/>
                <w:vertAlign w:val="superscript"/>
              </w:rPr>
              <w:t>(a)</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884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40" w:type="dxa"/>
            <w:vAlign w:val="bottom"/>
          </w:tcPr>
          <w:p>
            <w:pPr>
              <w:ind w:left="400"/>
              <w:spacing w:after="0" w:line="230" w:lineRule="exact"/>
              <w:rPr>
                <w:sz w:val="20"/>
                <w:szCs w:val="20"/>
                <w:color w:val="auto"/>
              </w:rPr>
            </w:pPr>
            <w:r>
              <w:rPr>
                <w:rFonts w:ascii="Arial" w:cs="Arial" w:eastAsia="Arial" w:hAnsi="Arial"/>
                <w:sz w:val="18"/>
                <w:szCs w:val="18"/>
                <w:color w:val="auto"/>
              </w:rPr>
              <w:t>U.S. mid cap</w:t>
            </w:r>
            <w:r>
              <w:rPr>
                <w:rFonts w:ascii="Arial" w:cs="Arial" w:eastAsia="Arial" w:hAnsi="Arial"/>
                <w:sz w:val="23"/>
                <w:szCs w:val="23"/>
                <w:color w:val="auto"/>
                <w:vertAlign w:val="superscript"/>
              </w:rPr>
              <w:t>(b)</w:t>
            </w:r>
          </w:p>
        </w:tc>
        <w:tc>
          <w:tcPr>
            <w:tcW w:w="1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9"/>
                <w:szCs w:val="19"/>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(c)</w:t>
            </w:r>
          </w:p>
        </w:tc>
        <w:tc>
          <w:tcPr>
            <w:tcW w:w="1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349</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1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U.S. government securities</w:t>
            </w:r>
            <w:r>
              <w:rPr>
                <w:rFonts w:ascii="Arial" w:cs="Arial" w:eastAsia="Arial" w:hAnsi="Arial"/>
                <w:sz w:val="23"/>
                <w:szCs w:val="23"/>
                <w:color w:val="auto"/>
                <w:vertAlign w:val="superscript"/>
              </w:rPr>
              <w:t>(d)</w:t>
            </w:r>
          </w:p>
        </w:tc>
        <w:tc>
          <w:tcPr>
            <w:tcW w:w="1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128</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40" w:type="dxa"/>
            <w:vAlign w:val="bottom"/>
          </w:tcPr>
          <w:p>
            <w:pPr>
              <w:ind w:left="400"/>
              <w:spacing w:after="0" w:line="230" w:lineRule="exact"/>
              <w:rPr>
                <w:sz w:val="20"/>
                <w:szCs w:val="20"/>
                <w:color w:val="auto"/>
              </w:rPr>
            </w:pPr>
            <w:r>
              <w:rPr>
                <w:rFonts w:ascii="Arial" w:cs="Arial" w:eastAsia="Arial" w:hAnsi="Arial"/>
                <w:sz w:val="18"/>
                <w:szCs w:val="18"/>
                <w:color w:val="auto"/>
              </w:rPr>
              <w:t>Corporate debt instruments</w:t>
            </w:r>
            <w:r>
              <w:rPr>
                <w:rFonts w:ascii="Arial" w:cs="Arial" w:eastAsia="Arial" w:hAnsi="Arial"/>
                <w:sz w:val="23"/>
                <w:szCs w:val="23"/>
                <w:color w:val="auto"/>
                <w:vertAlign w:val="superscript"/>
              </w:rPr>
              <w:t>(d)</w:t>
            </w:r>
          </w:p>
        </w:tc>
        <w:tc>
          <w:tcPr>
            <w:tcW w:w="1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9"/>
                <w:szCs w:val="19"/>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260</w:t>
            </w:r>
          </w:p>
        </w:tc>
        <w:tc>
          <w:tcPr>
            <w:tcW w:w="42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Non-U.S. government securities</w:t>
            </w:r>
            <w:r>
              <w:rPr>
                <w:rFonts w:ascii="Arial" w:cs="Arial" w:eastAsia="Arial" w:hAnsi="Arial"/>
                <w:sz w:val="23"/>
                <w:szCs w:val="23"/>
                <w:color w:val="auto"/>
                <w:vertAlign w:val="superscript"/>
              </w:rPr>
              <w:t>(d)</w:t>
            </w:r>
          </w:p>
        </w:tc>
        <w:tc>
          <w:tcPr>
            <w:tcW w:w="1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118</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tcPr>
          <w:p>
            <w:pPr>
              <w:ind w:left="40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(d)</w:t>
            </w:r>
          </w:p>
        </w:tc>
        <w:tc>
          <w:tcPr>
            <w:tcW w:w="1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19"/>
                <w:szCs w:val="19"/>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Absolute return funds</w:t>
            </w:r>
            <w:r>
              <w:rPr>
                <w:rFonts w:ascii="Arial" w:cs="Arial" w:eastAsia="Arial" w:hAnsi="Arial"/>
                <w:sz w:val="23"/>
                <w:szCs w:val="23"/>
                <w:color w:val="auto"/>
                <w:vertAlign w:val="superscript"/>
              </w:rPr>
              <w:t>(e)</w:t>
            </w:r>
          </w:p>
        </w:tc>
        <w:tc>
          <w:tcPr>
            <w:tcW w:w="1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292</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Real assets</w:t>
            </w:r>
          </w:p>
        </w:tc>
        <w:tc>
          <w:tcPr>
            <w:tcW w:w="1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(f)</w:t>
            </w:r>
          </w:p>
        </w:tc>
        <w:tc>
          <w:tcPr>
            <w:tcW w:w="1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132</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2,851</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800</w:t>
            </w: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 measured at NAV</w:t>
            </w:r>
          </w:p>
        </w:tc>
        <w:tc>
          <w:tcPr>
            <w:tcW w:w="1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Fair value of plan assets</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mix of index funds and actively managed equity accounts that are benchmarked to various large cap indices.</w:t>
      </w:r>
    </w:p>
    <w:p>
      <w:pPr>
        <w:spacing w:after="0" w:line="144"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mix of index funds and actively managed equity accounts that are benchmarked to various mid cap indices.</w:t>
      </w:r>
    </w:p>
    <w:p>
      <w:pPr>
        <w:spacing w:after="0" w:line="157" w:lineRule="exact"/>
        <w:rPr>
          <w:rFonts w:ascii="Arial" w:cs="Arial" w:eastAsia="Arial" w:hAnsi="Arial"/>
          <w:sz w:val="18"/>
          <w:szCs w:val="18"/>
          <w:color w:val="auto"/>
        </w:rPr>
      </w:pPr>
    </w:p>
    <w:p>
      <w:pPr>
        <w:ind w:left="460" w:right="40" w:hanging="452"/>
        <w:spacing w:after="0" w:line="261" w:lineRule="auto"/>
        <w:tabs>
          <w:tab w:leader="none" w:pos="48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mix of index funds and actively managed equity accounts that are benchmarked to various non-U.S. equity indices in both developed and emerging markets.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Securities held by actively managed accounts, index funds and mutual funds.</w:t>
      </w:r>
    </w:p>
    <w:p>
      <w:pPr>
        <w:spacing w:after="0" w:line="398"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81</w:t>
      </w:r>
      <w:r>
        <w:rPr>
          <w:sz w:val="20"/>
          <w:szCs w:val="20"/>
          <w:color w:val="auto"/>
        </w:rPr>
        <w:tab/>
      </w:r>
      <w:r>
        <w:rPr>
          <w:sz w:val="1"/>
          <w:szCs w:val="1"/>
          <w:color w:val="auto"/>
        </w:rPr>
        <w:drawing>
          <wp:inline distT="0" distB="0" distL="0" distR="0">
            <wp:extent cx="600075" cy="111125"/>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84" w:name="page85"/>
    <w:bookmarkEnd w:id="84"/>
    <w:p>
      <w:pPr>
        <w:ind w:left="460" w:right="600" w:hanging="452"/>
        <w:spacing w:after="0" w:line="256" w:lineRule="auto"/>
        <w:tabs>
          <w:tab w:leader="none" w:pos="4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Primarily funds having global mandates with the flexibility to allocate capital broadly across a wide range of asset classes and strategies, including but not limited to equities, fixed income, commodities, financial futures, currencies and other securities, with objectives to outperform agreed upon benchmarks of specific return and volatility targets.</w:t>
      </w:r>
    </w:p>
    <w:p>
      <w:pPr>
        <w:spacing w:after="0" w:line="120" w:lineRule="exact"/>
        <w:rPr>
          <w:rFonts w:ascii="Arial" w:cs="Arial" w:eastAsia="Arial" w:hAnsi="Arial"/>
          <w:sz w:val="18"/>
          <w:szCs w:val="18"/>
          <w:color w:val="auto"/>
        </w:rPr>
      </w:pPr>
    </w:p>
    <w:p>
      <w:pPr>
        <w:ind w:left="440" w:hanging="432"/>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158"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Equities and registered investment companies having quoted prices are valued at the published market prices. Fixed income securities that are valued using significant other observable inputs are quoted at prices obtained from independent financial service industry-recognized vendors. Investments held in pooled investment funds, common collective trusts or limited partnerships are valued at the net asset value (NAV) practical expedient to estimate fair value. The NAV is provided by the fund administrator and is based on the value of the underlying assets owned by the fund minus its liabilities.</w:t>
      </w:r>
    </w:p>
    <w:p>
      <w:pPr>
        <w:spacing w:after="0" w:line="138" w:lineRule="exact"/>
        <w:rPr>
          <w:sz w:val="20"/>
          <w:szCs w:val="20"/>
          <w:color w:val="auto"/>
        </w:rPr>
      </w:pPr>
    </w:p>
    <w:p>
      <w:pPr>
        <w:ind w:right="300" w:firstLine="445"/>
        <w:spacing w:after="0" w:line="252" w:lineRule="auto"/>
        <w:rPr>
          <w:sz w:val="20"/>
          <w:szCs w:val="20"/>
          <w:color w:val="auto"/>
        </w:rPr>
      </w:pPr>
      <w:r>
        <w:rPr>
          <w:rFonts w:ascii="Arial" w:cs="Arial" w:eastAsia="Arial" w:hAnsi="Arial"/>
          <w:sz w:val="18"/>
          <w:szCs w:val="18"/>
          <w:color w:val="auto"/>
        </w:rPr>
        <w:t>The investment mix of equity securities, fixed income and other asset allocation strategies is based upon achieving a desired return, balancing higher return, more volatile equity securities and lower return, less volatile fixed income securities. Investment allocations are established for each plan and are generally made across a range of markets, industry sectors, capitalization sizes and in the case of fixed income securities, maturities and credit quality. The 2020 target investment allocation for the AbbVie Pension Plan was 50% in equity securities, 20% in fixed income securities and 30% in asset allocation strategies and other holdings. There are no known significant concentrations of risk in the plan assets of the AbbVie Pension Plan or of any other plans.</w:t>
      </w:r>
    </w:p>
    <w:p>
      <w:pPr>
        <w:spacing w:after="0" w:line="127"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The expected return on plan assets assumption for each plan is based on management's expectations of long-term average rates of return to be achieved by the underlying investment portfolio. In establishing this assumption, management considers historical and expected returns for the asset classes in which the plans are invested, as well as current economic and capital market conditions.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Benefit Payments</w:t>
      </w:r>
    </w:p>
    <w:p>
      <w:pPr>
        <w:spacing w:after="0" w:line="176" w:lineRule="exact"/>
        <w:rPr>
          <w:sz w:val="20"/>
          <w:szCs w:val="20"/>
          <w:color w:val="auto"/>
        </w:rPr>
      </w:pPr>
    </w:p>
    <w:p>
      <w:pPr>
        <w:ind w:right="280" w:firstLine="445"/>
        <w:spacing w:after="0" w:line="261" w:lineRule="auto"/>
        <w:rPr>
          <w:sz w:val="20"/>
          <w:szCs w:val="20"/>
          <w:color w:val="auto"/>
        </w:rPr>
      </w:pPr>
      <w:r>
        <w:rPr>
          <w:rFonts w:ascii="Arial" w:cs="Arial" w:eastAsia="Arial" w:hAnsi="Arial"/>
          <w:sz w:val="18"/>
          <w:szCs w:val="18"/>
          <w:color w:val="auto"/>
        </w:rPr>
        <w:t>The following table summarizes total benefit payments expected to be paid to plan participants including payments funded from both plan and company assets:</w:t>
      </w:r>
    </w:p>
    <w:tbl>
      <w:tblPr>
        <w:tblLayout w:type="fixed"/>
        <w:tblInd w:w="20" w:type="dxa"/>
        <w:tblCellMar>
          <w:top w:w="0" w:type="dxa"/>
          <w:left w:w="0" w:type="dxa"/>
          <w:bottom w:w="0" w:type="dxa"/>
          <w:right w:w="0" w:type="dxa"/>
        </w:tblCellMar>
      </w:tblPr>
      <w:tr>
        <w:trPr>
          <w:trHeight w:val="158"/>
        </w:trPr>
        <w:tc>
          <w:tcPr>
            <w:tcW w:w="52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4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Defined</w:t>
            </w:r>
          </w:p>
        </w:tc>
        <w:tc>
          <w:tcPr>
            <w:tcW w:w="260" w:type="dxa"/>
            <w:vAlign w:val="bottom"/>
          </w:tcPr>
          <w:p>
            <w:pPr>
              <w:spacing w:after="0"/>
              <w:rPr>
                <w:sz w:val="13"/>
                <w:szCs w:val="13"/>
                <w:color w:val="auto"/>
              </w:rPr>
            </w:pPr>
          </w:p>
        </w:tc>
        <w:tc>
          <w:tcPr>
            <w:tcW w:w="1460" w:type="dxa"/>
            <w:vAlign w:val="bottom"/>
          </w:tcPr>
          <w:p>
            <w:pPr>
              <w:jc w:val="center"/>
              <w:ind w:right="76"/>
              <w:spacing w:after="0" w:line="158"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35"/>
        </w:trPr>
        <w:tc>
          <w:tcPr>
            <w:tcW w:w="5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ending December 31 (in millions)</w:t>
            </w:r>
          </w:p>
        </w:tc>
        <w:tc>
          <w:tcPr>
            <w:tcW w:w="28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rPr>
              <w:t>post-employment</w:t>
            </w:r>
          </w:p>
        </w:tc>
        <w:tc>
          <w:tcPr>
            <w:tcW w:w="0" w:type="dxa"/>
            <w:vAlign w:val="bottom"/>
          </w:tcPr>
          <w:p>
            <w:pPr>
              <w:spacing w:after="0"/>
              <w:rPr>
                <w:sz w:val="1"/>
                <w:szCs w:val="1"/>
                <w:color w:val="auto"/>
              </w:rPr>
            </w:pPr>
          </w:p>
        </w:tc>
      </w:tr>
      <w:tr>
        <w:trPr>
          <w:trHeight w:val="175"/>
        </w:trPr>
        <w:tc>
          <w:tcPr>
            <w:tcW w:w="5260" w:type="dxa"/>
            <w:vAlign w:val="bottom"/>
            <w:tcBorders>
              <w:bottom w:val="single" w:sz="8" w:color="auto"/>
            </w:tcBorders>
            <w:vMerge w:val="continue"/>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benefit plans</w:t>
            </w: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284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2022</w:t>
            </w:r>
          </w:p>
        </w:tc>
        <w:tc>
          <w:tcPr>
            <w:tcW w:w="280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301</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319</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2024</w:t>
            </w:r>
          </w:p>
        </w:tc>
        <w:tc>
          <w:tcPr>
            <w:tcW w:w="280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339</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362</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2026 to 2030</w:t>
            </w:r>
          </w:p>
        </w:tc>
        <w:tc>
          <w:tcPr>
            <w:tcW w:w="28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2,169</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Defined Contribution Plan</w:t>
      </w:r>
    </w:p>
    <w:p>
      <w:pPr>
        <w:spacing w:after="0" w:line="166"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AbbVie's principal defined contribution plans are the AbbVie Savings Plan and the Allergan Savings Plan. AbbVie recorded expense of $191 million in 2020, $102 million in 2019 and $89 million in 2018 related to these plans. AbbVie provides certain other post-employment benefits, primarily salary continuation arrangements, to qualifying employees and accrues for the related cost over the service lives of the employees.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13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Stock-Based Compensation</w:t>
      </w:r>
    </w:p>
    <w:p>
      <w:pPr>
        <w:spacing w:after="0" w:line="180"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AbbVie grants stock-based awards to eligible employees pursuant to the AbbVie 2013 Incentive Stock Program (2013 ISP), which provides for several different forms of benefits, including nonqualified stock options, RSUs and various performance-based awards. Under the 2013 ISP, 100 million shares of AbbVie common stock were reserved for issuance as awards to AbbVie employees. The 2013 ISP also facilitated the assumption of certain awards granted under Abbott’s incentive stock program, which were adjusted and converted into Abbott and AbbVie stock-based awards as a result of AbbVie's separation from Abbott.</w:t>
      </w:r>
    </w:p>
    <w:p>
      <w:pPr>
        <w:spacing w:after="0" w:line="124" w:lineRule="exact"/>
        <w:rPr>
          <w:sz w:val="20"/>
          <w:szCs w:val="20"/>
          <w:color w:val="auto"/>
        </w:rPr>
      </w:pPr>
    </w:p>
    <w:p>
      <w:pPr>
        <w:jc w:val="both"/>
        <w:ind w:right="160" w:firstLine="445"/>
        <w:spacing w:after="0" w:line="256" w:lineRule="auto"/>
        <w:rPr>
          <w:sz w:val="20"/>
          <w:szCs w:val="20"/>
          <w:color w:val="auto"/>
        </w:rPr>
      </w:pPr>
      <w:r>
        <w:rPr>
          <w:rFonts w:ascii="Arial" w:cs="Arial" w:eastAsia="Arial" w:hAnsi="Arial"/>
          <w:sz w:val="18"/>
          <w:szCs w:val="18"/>
          <w:color w:val="auto"/>
        </w:rPr>
        <w:t>AbbVie measures compensation expense for stock-based awards based on the grant date fair value of the awards and the estimated number of awards that are expected to vest. Forfeitures are estimated based on historical experience at the time of grant and are revised in subsequent periods if actual forfeitures differ from those estimates. Compensation cost for</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8180"/>
        <w:spacing w:after="0"/>
        <w:tabs>
          <w:tab w:leader="none" w:pos="9620" w:val="left"/>
        </w:tabs>
        <w:rPr>
          <w:sz w:val="20"/>
          <w:szCs w:val="20"/>
          <w:color w:val="auto"/>
        </w:rPr>
      </w:pPr>
      <w:r>
        <w:rPr>
          <w:rFonts w:ascii="Arial" w:cs="Arial" w:eastAsia="Arial" w:hAnsi="Arial"/>
          <w:sz w:val="18"/>
          <w:szCs w:val="18"/>
          <w:i w:val="1"/>
          <w:iCs w:val="1"/>
          <w:color w:val="auto"/>
        </w:rPr>
        <w:t>2020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600075" cy="11176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0075" cy="11176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color w:val="auto"/>
        </w:rPr>
        <w:t>stock-based awards is amortized over the service period, which could be shorter than the vesting period if an employee is retirement eligible.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Retirement eligible employees generally are those who are age 55 or older and have at least 10 years of service.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Stock-based compensation expense is principally related to awards issued pursuant to the 2013 ISP and is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 (in millions)</w:t>
            </w:r>
          </w:p>
        </w:tc>
        <w:tc>
          <w:tcPr>
            <w:tcW w:w="28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2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800" w:type="dxa"/>
            <w:vAlign w:val="bottom"/>
          </w:tcPr>
          <w:p>
            <w:pPr>
              <w:spacing w:after="0"/>
              <w:rPr>
                <w:sz w:val="19"/>
                <w:szCs w:val="19"/>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247</w:t>
            </w:r>
          </w:p>
        </w:tc>
        <w:tc>
          <w:tcPr>
            <w:tcW w:w="32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30"/>
        </w:trPr>
        <w:tc>
          <w:tcPr>
            <w:tcW w:w="5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8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459</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230</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Pre-tax compensation expense</w:t>
            </w:r>
          </w:p>
        </w:tc>
        <w:tc>
          <w:tcPr>
            <w:tcW w:w="2800" w:type="dxa"/>
            <w:vAlign w:val="bottom"/>
          </w:tcPr>
          <w:p>
            <w:pPr>
              <w:spacing w:after="0"/>
              <w:rPr>
                <w:sz w:val="19"/>
                <w:szCs w:val="19"/>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753</w:t>
            </w:r>
          </w:p>
        </w:tc>
        <w:tc>
          <w:tcPr>
            <w:tcW w:w="32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430</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230"/>
        </w:trPr>
        <w:tc>
          <w:tcPr>
            <w:tcW w:w="5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28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80</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After-tax compensation expense</w:t>
            </w:r>
          </w:p>
        </w:tc>
        <w:tc>
          <w:tcPr>
            <w:tcW w:w="2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622</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350</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r>
      <w:tr>
        <w:trPr>
          <w:trHeight w:val="21"/>
        </w:trPr>
        <w:tc>
          <w:tcPr>
            <w:tcW w:w="53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40" w:firstLine="445"/>
        <w:spacing w:after="0" w:line="261" w:lineRule="auto"/>
        <w:rPr>
          <w:sz w:val="20"/>
          <w:szCs w:val="20"/>
          <w:color w:val="auto"/>
        </w:rPr>
      </w:pPr>
      <w:r>
        <w:rPr>
          <w:rFonts w:ascii="Arial" w:cs="Arial" w:eastAsia="Arial" w:hAnsi="Arial"/>
          <w:sz w:val="18"/>
          <w:szCs w:val="18"/>
          <w:color w:val="auto"/>
        </w:rPr>
        <w:t>Realized excess tax benefits associated with stock-based compensation totaled $34 million in 2020, $15 million in 2019 and $78 million in 2018.</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62" w:lineRule="exact"/>
        <w:rPr>
          <w:sz w:val="20"/>
          <w:szCs w:val="20"/>
          <w:color w:val="auto"/>
        </w:rPr>
      </w:pPr>
    </w:p>
    <w:p>
      <w:pPr>
        <w:jc w:val="both"/>
        <w:ind w:right="300" w:firstLine="445"/>
        <w:spacing w:after="0" w:line="254" w:lineRule="auto"/>
        <w:rPr>
          <w:sz w:val="20"/>
          <w:szCs w:val="20"/>
          <w:color w:val="auto"/>
        </w:rPr>
      </w:pPr>
      <w:r>
        <w:rPr>
          <w:rFonts w:ascii="Arial" w:cs="Arial" w:eastAsia="Arial" w:hAnsi="Arial"/>
          <w:sz w:val="18"/>
          <w:szCs w:val="18"/>
          <w:color w:val="auto"/>
        </w:rPr>
        <w:t>Stock options awarded to employees typically have a contractual term of 10 years and generally vest in one-third increments over a three-year period. The exercise price is equal to at least 100% of the market value on the date of grant. The fair value is determined using the Black-Scholes model. The weighted-average grant-date fair values of stock options granted were $12.14 in 2020, $12.54 in 2019 and $21.63 in 2018.</w:t>
      </w:r>
    </w:p>
    <w:p>
      <w:pPr>
        <w:spacing w:after="0" w:line="109"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In connection with the Allergan acquisition, during the second quarter of 2020, AbbVie issued 11.2 million stock options to holders of Allergan options as a result of the conversion of such options. These options were fair-valued using a lattice valuation model. Refer to Note 5 for additional information regarding the Allergan acquisition.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AbbVie stock option activity in 2020:</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560" w:type="dxa"/>
            <w:vAlign w:val="bottom"/>
            <w:gridSpan w:val="2"/>
            <w:vMerge w:val="restart"/>
          </w:tcPr>
          <w:p>
            <w:pPr>
              <w:jc w:val="right"/>
              <w:ind w:right="52"/>
              <w:spacing w:after="0"/>
              <w:rPr>
                <w:sz w:val="20"/>
                <w:szCs w:val="20"/>
                <w:color w:val="auto"/>
              </w:rPr>
            </w:pPr>
            <w:r>
              <w:rPr>
                <w:rFonts w:ascii="Arial" w:cs="Arial" w:eastAsia="Arial" w:hAnsi="Arial"/>
                <w:sz w:val="14"/>
                <w:szCs w:val="14"/>
                <w:b w:val="1"/>
                <w:bCs w:val="1"/>
                <w:color w:val="auto"/>
              </w:rPr>
              <w:t>Weighted- average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1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(options in thousands, aggregate intrinsic value in millions)</w:t>
            </w:r>
          </w:p>
        </w:tc>
        <w:tc>
          <w:tcPr>
            <w:tcW w:w="17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Options</w:t>
            </w:r>
          </w:p>
        </w:tc>
        <w:tc>
          <w:tcPr>
            <w:tcW w:w="1560" w:type="dxa"/>
            <w:vAlign w:val="bottom"/>
            <w:gridSpan w:val="2"/>
            <w:vMerge w:val="continue"/>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w:t>
            </w:r>
          </w:p>
        </w:tc>
        <w:tc>
          <w:tcPr>
            <w:tcW w:w="1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840" w:type="dxa"/>
            <w:vAlign w:val="bottom"/>
            <w:tcBorders>
              <w:bottom w:val="single" w:sz="8" w:color="auto"/>
            </w:tcBorders>
            <w:vMerge w:val="continue"/>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exercise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6,761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60.39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Granted</w:t>
            </w:r>
          </w:p>
        </w:tc>
        <w:tc>
          <w:tcPr>
            <w:tcW w:w="1780" w:type="dxa"/>
            <w:vAlign w:val="bottom"/>
          </w:tcPr>
          <w:p>
            <w:pPr>
              <w:jc w:val="right"/>
              <w:ind w:right="32"/>
              <w:spacing w:after="0"/>
              <w:rPr>
                <w:sz w:val="20"/>
                <w:szCs w:val="20"/>
                <w:color w:val="auto"/>
              </w:rPr>
            </w:pPr>
            <w:r>
              <w:rPr>
                <w:rFonts w:ascii="Arial" w:cs="Arial" w:eastAsia="Arial" w:hAnsi="Arial"/>
                <w:sz w:val="18"/>
                <w:szCs w:val="18"/>
                <w:color w:val="auto"/>
              </w:rPr>
              <w:t>1,995</w:t>
            </w:r>
          </w:p>
        </w:tc>
        <w:tc>
          <w:tcPr>
            <w:tcW w:w="240" w:type="dxa"/>
            <w:vAlign w:val="bottom"/>
          </w:tcPr>
          <w:p>
            <w:pPr>
              <w:spacing w:after="0"/>
              <w:rPr>
                <w:sz w:val="19"/>
                <w:szCs w:val="19"/>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93.50</w:t>
            </w: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 in acquisition</w:t>
            </w:r>
          </w:p>
        </w:tc>
        <w:tc>
          <w:tcPr>
            <w:tcW w:w="1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11,152</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70.48</w:t>
            </w:r>
          </w:p>
        </w:tc>
        <w:tc>
          <w:tcPr>
            <w:tcW w:w="1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780" w:type="dxa"/>
            <w:vAlign w:val="bottom"/>
          </w:tcPr>
          <w:p>
            <w:pPr>
              <w:jc w:val="right"/>
              <w:spacing w:after="0"/>
              <w:rPr>
                <w:sz w:val="20"/>
                <w:szCs w:val="20"/>
                <w:color w:val="auto"/>
              </w:rPr>
            </w:pPr>
            <w:r>
              <w:rPr>
                <w:rFonts w:ascii="Arial" w:cs="Arial" w:eastAsia="Arial" w:hAnsi="Arial"/>
                <w:sz w:val="18"/>
                <w:szCs w:val="18"/>
                <w:color w:val="auto"/>
              </w:rPr>
              <w:t>(4,129)</w:t>
            </w:r>
          </w:p>
        </w:tc>
        <w:tc>
          <w:tcPr>
            <w:tcW w:w="240" w:type="dxa"/>
            <w:vAlign w:val="bottom"/>
          </w:tcPr>
          <w:p>
            <w:pPr>
              <w:spacing w:after="0"/>
              <w:rPr>
                <w:sz w:val="19"/>
                <w:szCs w:val="19"/>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51.29</w:t>
            </w: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Lapsed</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107.33</w:t>
            </w:r>
          </w:p>
        </w:tc>
        <w:tc>
          <w:tcPr>
            <w:tcW w:w="15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Outstanding at December 31, 2020</w:t>
            </w:r>
          </w:p>
        </w:tc>
        <w:tc>
          <w:tcPr>
            <w:tcW w:w="1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15,691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73.90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4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Exercisable at December 31, 2020</w:t>
            </w:r>
          </w:p>
        </w:tc>
        <w:tc>
          <w:tcPr>
            <w:tcW w:w="1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12,440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69.99</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The total intrinsic value of options exercised was $186 million in 2020, $22 million in 2019 and $215 million in 2018. The total fair value of options vested during 2020 was $292 million. As of December 31, 2020, $13 million of unrecognized compensation cost related to stock options is expected to be recognized as expense over approximately the next two years.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 and Performance Shares</w:t>
      </w:r>
    </w:p>
    <w:p>
      <w:pPr>
        <w:spacing w:after="0" w:line="162"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RSUs awarded to employees other than senior executives and other key employees generally vest in ratable increments over a three or four-year period. Recipients of these RSUs are entitled to receive dividend equivalents as dividends are declared and paid during the RSU vesting period.</w:t>
      </w:r>
    </w:p>
    <w:p>
      <w:pPr>
        <w:spacing w:after="0" w:line="121"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The majority of the equity awards AbbVie grants to its senior executives and other key employees are performance-based. Equity awards granted to senior executives and other key employees consist of a combination of performance-vested RSUs and performance shares as well as non-qualified stock options described above. The performance-vested RSUs have the potential to vest in one-third increments during a three-year performance period. For awards granted in 2020, performance is based on AbbVie's return on invested capital (ROIC) relative to a defined peer group of pharmaceutical, biotech and life science companies. For awards granted in 2018 and 2019, the tranches tied to 2020 performance are based on AbbVie’s return on equity (ROE) relative to a defined peer group of pharmaceutical, biotech and life sciences companies. The recipient may receive one share of AbbVie common stock for each vested award. The performance shares have the potential to vest</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83</w:t>
      </w:r>
      <w:r>
        <w:rPr>
          <w:sz w:val="20"/>
          <w:szCs w:val="20"/>
          <w:color w:val="auto"/>
        </w:rPr>
        <w:tab/>
      </w:r>
      <w:r>
        <w:rPr>
          <w:sz w:val="1"/>
          <w:szCs w:val="1"/>
          <w:color w:val="auto"/>
        </w:rPr>
        <w:drawing>
          <wp:inline distT="0" distB="0" distL="0" distR="0">
            <wp:extent cx="600075" cy="111125"/>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86" w:name="page87"/>
    <w:bookmarkEnd w:id="86"/>
    <w:p>
      <w:pPr>
        <w:ind w:right="100"/>
        <w:spacing w:after="0" w:line="254" w:lineRule="auto"/>
        <w:rPr>
          <w:sz w:val="20"/>
          <w:szCs w:val="20"/>
          <w:color w:val="auto"/>
        </w:rPr>
      </w:pPr>
      <w:r>
        <w:rPr>
          <w:rFonts w:ascii="Arial" w:cs="Arial" w:eastAsia="Arial" w:hAnsi="Arial"/>
          <w:sz w:val="18"/>
          <w:szCs w:val="18"/>
          <w:color w:val="auto"/>
        </w:rPr>
        <w:t>over a three-year performance period and may be earned based on AbbVie’s EPS achievement and AbbVie’s total stockholder return (TSR) (a market condition) relative to a defined peer group of pharmaceutical, biotech and life sciences companies. Dividend equivalents on performance-vested RSUs and performance shares accrue during the performance period and are payable at vesting only to the extent that shares are earned.</w:t>
      </w:r>
    </w:p>
    <w:p>
      <w:pPr>
        <w:spacing w:after="0" w:line="123" w:lineRule="exact"/>
        <w:rPr>
          <w:sz w:val="20"/>
          <w:szCs w:val="20"/>
          <w:color w:val="auto"/>
        </w:rPr>
      </w:pPr>
    </w:p>
    <w:p>
      <w:pPr>
        <w:ind w:right="280" w:firstLine="445"/>
        <w:spacing w:after="0" w:line="256" w:lineRule="auto"/>
        <w:rPr>
          <w:sz w:val="20"/>
          <w:szCs w:val="20"/>
          <w:color w:val="auto"/>
        </w:rPr>
      </w:pPr>
      <w:r>
        <w:rPr>
          <w:rFonts w:ascii="Arial" w:cs="Arial" w:eastAsia="Arial" w:hAnsi="Arial"/>
          <w:sz w:val="18"/>
          <w:szCs w:val="18"/>
          <w:color w:val="auto"/>
        </w:rPr>
        <w:t>The weighted-average grant-date fair value of RSUs and performance shares generally is determined based on the number of shares/units granted and the quoted price of AbbVie’s common stock on the date of grant. The weighted-average grant-date fair values of performance shares with a TSR market condition are determined using the Monte Carlo simulation model.</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AbbVie RSU and performance share activity for 2020:</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(share units in thousands)</w:t>
            </w:r>
          </w:p>
        </w:tc>
        <w:tc>
          <w:tcPr>
            <w:tcW w:w="3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Share units</w:t>
            </w:r>
          </w:p>
        </w:tc>
        <w:tc>
          <w:tcPr>
            <w:tcW w:w="200" w:type="dxa"/>
            <w:vAlign w:val="bottom"/>
          </w:tcPr>
          <w:p>
            <w:pPr>
              <w:spacing w:after="0"/>
              <w:rPr>
                <w:sz w:val="14"/>
                <w:szCs w:val="14"/>
                <w:color w:val="auto"/>
              </w:rPr>
            </w:pPr>
          </w:p>
        </w:tc>
        <w:tc>
          <w:tcPr>
            <w:tcW w:w="1520" w:type="dxa"/>
            <w:vAlign w:val="bottom"/>
          </w:tcPr>
          <w:p>
            <w:pPr>
              <w:jc w:val="right"/>
              <w:ind w:right="135"/>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76"/>
        </w:trPr>
        <w:tc>
          <w:tcPr>
            <w:tcW w:w="5500" w:type="dxa"/>
            <w:vAlign w:val="bottom"/>
            <w:tcBorders>
              <w:bottom w:val="single" w:sz="8" w:color="auto"/>
            </w:tcBorders>
            <w:vMerge w:val="continue"/>
          </w:tcPr>
          <w:p>
            <w:pPr>
              <w:spacing w:after="0"/>
              <w:rPr>
                <w:sz w:val="15"/>
                <w:szCs w:val="15"/>
                <w:color w:val="auto"/>
              </w:rPr>
            </w:pPr>
          </w:p>
        </w:tc>
        <w:tc>
          <w:tcPr>
            <w:tcW w:w="39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3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10,232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w:t>
            </w:r>
          </w:p>
        </w:tc>
        <w:tc>
          <w:tcPr>
            <w:tcW w:w="0" w:type="dxa"/>
            <w:vAlign w:val="bottom"/>
          </w:tcPr>
          <w:p>
            <w:pPr>
              <w:spacing w:after="0"/>
              <w:rPr>
                <w:sz w:val="1"/>
                <w:szCs w:val="1"/>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Granted</w:t>
            </w:r>
          </w:p>
        </w:tc>
        <w:tc>
          <w:tcPr>
            <w:tcW w:w="3960" w:type="dxa"/>
            <w:vAlign w:val="bottom"/>
          </w:tcPr>
          <w:p>
            <w:pPr>
              <w:jc w:val="right"/>
              <w:ind w:right="33"/>
              <w:spacing w:after="0"/>
              <w:rPr>
                <w:sz w:val="20"/>
                <w:szCs w:val="20"/>
                <w:color w:val="auto"/>
              </w:rPr>
            </w:pPr>
            <w:r>
              <w:rPr>
                <w:rFonts w:ascii="Arial" w:cs="Arial" w:eastAsia="Arial" w:hAnsi="Arial"/>
                <w:sz w:val="18"/>
                <w:szCs w:val="18"/>
                <w:color w:val="auto"/>
              </w:rPr>
              <w:t>5,524</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92.35</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Granted in acquisition</w:t>
            </w:r>
          </w:p>
        </w:tc>
        <w:tc>
          <w:tcPr>
            <w:tcW w:w="3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8,234</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Vested</w:t>
            </w:r>
          </w:p>
        </w:tc>
        <w:tc>
          <w:tcPr>
            <w:tcW w:w="3960" w:type="dxa"/>
            <w:vAlign w:val="bottom"/>
          </w:tcPr>
          <w:p>
            <w:pPr>
              <w:jc w:val="right"/>
              <w:spacing w:after="0"/>
              <w:rPr>
                <w:sz w:val="20"/>
                <w:szCs w:val="20"/>
                <w:color w:val="auto"/>
              </w:rPr>
            </w:pPr>
            <w:r>
              <w:rPr>
                <w:rFonts w:ascii="Arial" w:cs="Arial" w:eastAsia="Arial" w:hAnsi="Arial"/>
                <w:sz w:val="18"/>
                <w:szCs w:val="18"/>
                <w:color w:val="auto"/>
              </w:rPr>
              <w:t>(6,667)</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80.09</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84.13</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Outstanding at December 31, 2020</w:t>
            </w:r>
          </w:p>
        </w:tc>
        <w:tc>
          <w:tcPr>
            <w:tcW w:w="3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15,918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87.03</w:t>
            </w:r>
          </w:p>
        </w:tc>
        <w:tc>
          <w:tcPr>
            <w:tcW w:w="0" w:type="dxa"/>
            <w:vAlign w:val="bottom"/>
          </w:tcPr>
          <w:p>
            <w:pPr>
              <w:spacing w:after="0"/>
              <w:rPr>
                <w:sz w:val="1"/>
                <w:szCs w:val="1"/>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80" w:firstLine="445"/>
        <w:spacing w:after="0" w:line="261" w:lineRule="auto"/>
        <w:rPr>
          <w:sz w:val="20"/>
          <w:szCs w:val="20"/>
          <w:color w:val="auto"/>
        </w:rPr>
      </w:pPr>
      <w:r>
        <w:rPr>
          <w:rFonts w:ascii="Arial" w:cs="Arial" w:eastAsia="Arial" w:hAnsi="Arial"/>
          <w:sz w:val="18"/>
          <w:szCs w:val="18"/>
          <w:color w:val="auto"/>
        </w:rPr>
        <w:t>The fair market value of RSUs and performance shares (as applicable) vested was $618 million in 2020, $371 million in 2019 and $583 million in 2018.</w:t>
      </w:r>
    </w:p>
    <w:p>
      <w:pPr>
        <w:spacing w:after="0" w:line="117"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In connection with the Allergan acquisition, during the second quarter of 2020, AbbVie issued 8.2 million RSUs to holders of Allergan equity awards based on a conversion factor described in the transaction agreement. Refer to Note 5 for additional information regarding the Allergan acquisition.</w:t>
      </w:r>
    </w:p>
    <w:p>
      <w:pPr>
        <w:spacing w:after="0" w:line="134" w:lineRule="exact"/>
        <w:rPr>
          <w:sz w:val="20"/>
          <w:szCs w:val="20"/>
          <w:color w:val="auto"/>
        </w:rPr>
      </w:pPr>
    </w:p>
    <w:p>
      <w:pPr>
        <w:ind w:right="60" w:firstLine="445"/>
        <w:spacing w:after="0" w:line="261" w:lineRule="auto"/>
        <w:rPr>
          <w:sz w:val="20"/>
          <w:szCs w:val="20"/>
          <w:color w:val="auto"/>
        </w:rPr>
      </w:pPr>
      <w:r>
        <w:rPr>
          <w:rFonts w:ascii="Arial" w:cs="Arial" w:eastAsia="Arial" w:hAnsi="Arial"/>
          <w:sz w:val="18"/>
          <w:szCs w:val="18"/>
          <w:color w:val="auto"/>
        </w:rPr>
        <w:t>As of December 31, 2020, $579 million of unrecognized compensation cost related to RSUs and performance shares is expected to be recognized as expense over approximately the next two years.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Cash Dividends</w:t>
      </w:r>
    </w:p>
    <w:p>
      <w:pPr>
        <w:spacing w:after="0" w:line="166" w:lineRule="exact"/>
        <w:rPr>
          <w:sz w:val="20"/>
          <w:szCs w:val="20"/>
          <w:color w:val="auto"/>
        </w:rPr>
      </w:pPr>
    </w:p>
    <w:p>
      <w:pPr>
        <w:ind w:right="220" w:firstLine="445"/>
        <w:spacing w:after="0" w:line="261" w:lineRule="auto"/>
        <w:rPr>
          <w:sz w:val="20"/>
          <w:szCs w:val="20"/>
          <w:color w:val="auto"/>
        </w:rPr>
      </w:pPr>
      <w:r>
        <w:rPr>
          <w:rFonts w:ascii="Arial" w:cs="Arial" w:eastAsia="Arial" w:hAnsi="Arial"/>
          <w:sz w:val="18"/>
          <w:szCs w:val="18"/>
          <w:color w:val="auto"/>
        </w:rPr>
        <w:t>Cash dividends declared per common share totaled $4.84 in 2020, $4.39 in 2019 and $3.95 in 2018. The following table summarizes quarterly cash dividends declared during 2020, 2019 and 2018:</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Date Declared</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Payment Date</w:t>
            </w:r>
          </w:p>
        </w:tc>
        <w:tc>
          <w:tcPr>
            <w:tcW w:w="130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rPr>
              <w:t>Dividend Per</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Date Declared</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Payment Date</w:t>
            </w:r>
          </w:p>
        </w:tc>
        <w:tc>
          <w:tcPr>
            <w:tcW w:w="13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Dividend Per</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Date Declared</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Payment Date</w:t>
            </w:r>
          </w:p>
        </w:tc>
        <w:tc>
          <w:tcPr>
            <w:tcW w:w="12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Dividend Per</w:t>
            </w:r>
          </w:p>
        </w:tc>
        <w:tc>
          <w:tcPr>
            <w:tcW w:w="0" w:type="dxa"/>
            <w:vAlign w:val="bottom"/>
          </w:tcPr>
          <w:p>
            <w:pPr>
              <w:spacing w:after="0"/>
              <w:rPr>
                <w:sz w:val="1"/>
                <w:szCs w:val="1"/>
                <w:color w:val="auto"/>
              </w:rPr>
            </w:pPr>
          </w:p>
        </w:tc>
      </w:tr>
      <w:tr>
        <w:trPr>
          <w:trHeight w:val="175"/>
        </w:trPr>
        <w:tc>
          <w:tcPr>
            <w:tcW w:w="118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3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rPr>
              <w:t>Share</w:t>
            </w:r>
          </w:p>
        </w:tc>
        <w:tc>
          <w:tcPr>
            <w:tcW w:w="120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3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Share</w:t>
            </w:r>
          </w:p>
        </w:tc>
        <w:tc>
          <w:tcPr>
            <w:tcW w:w="120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23"/>
        </w:trPr>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10/30/20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02/16/21</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11/01/19</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02/14/20</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11/02/18</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02/15/19</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$1.07</w:t>
            </w:r>
          </w:p>
        </w:tc>
        <w:tc>
          <w:tcPr>
            <w:tcW w:w="0" w:type="dxa"/>
            <w:vAlign w:val="bottom"/>
          </w:tcPr>
          <w:p>
            <w:pPr>
              <w:spacing w:after="0"/>
              <w:rPr>
                <w:sz w:val="1"/>
                <w:szCs w:val="1"/>
                <w:color w:val="auto"/>
              </w:rPr>
            </w:pPr>
          </w:p>
        </w:tc>
      </w:tr>
      <w:tr>
        <w:trPr>
          <w:trHeight w:val="230"/>
        </w:trPr>
        <w:tc>
          <w:tcPr>
            <w:tcW w:w="1180" w:type="dxa"/>
            <w:vAlign w:val="bottom"/>
          </w:tcPr>
          <w:p>
            <w:pPr>
              <w:jc w:val="center"/>
              <w:spacing w:after="0"/>
              <w:rPr>
                <w:sz w:val="20"/>
                <w:szCs w:val="20"/>
                <w:color w:val="auto"/>
              </w:rPr>
            </w:pPr>
            <w:r>
              <w:rPr>
                <w:rFonts w:ascii="Arial" w:cs="Arial" w:eastAsia="Arial" w:hAnsi="Arial"/>
                <w:sz w:val="18"/>
                <w:szCs w:val="18"/>
                <w:color w:val="auto"/>
                <w:w w:val="99"/>
              </w:rPr>
              <w:t>09/11/20</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11/16/20</w:t>
            </w:r>
          </w:p>
        </w:tc>
        <w:tc>
          <w:tcPr>
            <w:tcW w:w="1180" w:type="dxa"/>
            <w:vAlign w:val="bottom"/>
          </w:tcPr>
          <w:p>
            <w:pPr>
              <w:jc w:val="center"/>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09/06/19</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11/15/19</w:t>
            </w:r>
          </w:p>
        </w:tc>
        <w:tc>
          <w:tcPr>
            <w:tcW w:w="1180" w:type="dxa"/>
            <w:vAlign w:val="bottom"/>
          </w:tcPr>
          <w:p>
            <w:pPr>
              <w:jc w:val="cente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09/07/18</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11/15/18</w:t>
            </w:r>
          </w:p>
        </w:tc>
        <w:tc>
          <w:tcPr>
            <w:tcW w:w="1200" w:type="dxa"/>
            <w:vAlign w:val="bottom"/>
          </w:tcPr>
          <w:p>
            <w:pPr>
              <w:jc w:val="center"/>
              <w:spacing w:after="0"/>
              <w:rPr>
                <w:sz w:val="20"/>
                <w:szCs w:val="20"/>
                <w:color w:val="auto"/>
              </w:rPr>
            </w:pPr>
            <w:r>
              <w:rPr>
                <w:rFonts w:ascii="Arial" w:cs="Arial" w:eastAsia="Arial" w:hAnsi="Arial"/>
                <w:sz w:val="18"/>
                <w:szCs w:val="18"/>
                <w:color w:val="auto"/>
                <w:w w:val="97"/>
              </w:rPr>
              <w:t>$0.96</w:t>
            </w:r>
          </w:p>
        </w:tc>
        <w:tc>
          <w:tcPr>
            <w:tcW w:w="0" w:type="dxa"/>
            <w:vAlign w:val="bottom"/>
          </w:tcPr>
          <w:p>
            <w:pPr>
              <w:spacing w:after="0"/>
              <w:rPr>
                <w:sz w:val="1"/>
                <w:szCs w:val="1"/>
                <w:color w:val="auto"/>
              </w:rPr>
            </w:pPr>
          </w:p>
        </w:tc>
      </w:tr>
      <w:tr>
        <w:trPr>
          <w:trHeight w:val="230"/>
        </w:trPr>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06/17/20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08/14/20</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06/20/19</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08/15/19</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06/14/18</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08/15/18</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$0.96</w:t>
            </w:r>
          </w:p>
        </w:tc>
        <w:tc>
          <w:tcPr>
            <w:tcW w:w="0" w:type="dxa"/>
            <w:vAlign w:val="bottom"/>
          </w:tcPr>
          <w:p>
            <w:pPr>
              <w:spacing w:after="0"/>
              <w:rPr>
                <w:sz w:val="1"/>
                <w:szCs w:val="1"/>
                <w:color w:val="auto"/>
              </w:rPr>
            </w:pPr>
          </w:p>
        </w:tc>
      </w:tr>
      <w:tr>
        <w:trPr>
          <w:trHeight w:val="230"/>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02/20/20</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05/15/20</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02/21/19</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05/15/19</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02/15/18</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05/15/18</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$0.96</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Stock Repurchase Program</w:t>
      </w:r>
    </w:p>
    <w:p>
      <w:pPr>
        <w:spacing w:after="0" w:line="166" w:lineRule="exact"/>
        <w:rPr>
          <w:sz w:val="20"/>
          <w:szCs w:val="20"/>
          <w:color w:val="auto"/>
        </w:rPr>
      </w:pPr>
    </w:p>
    <w:p>
      <w:pPr>
        <w:ind w:right="360" w:firstLine="445"/>
        <w:spacing w:after="0" w:line="256" w:lineRule="auto"/>
        <w:rPr>
          <w:sz w:val="20"/>
          <w:szCs w:val="20"/>
          <w:color w:val="auto"/>
        </w:rPr>
      </w:pPr>
      <w:r>
        <w:rPr>
          <w:rFonts w:ascii="Arial" w:cs="Arial" w:eastAsia="Arial" w:hAnsi="Arial"/>
          <w:sz w:val="18"/>
          <w:szCs w:val="18"/>
          <w:color w:val="auto"/>
        </w:rPr>
        <w:t>The company's stock repurchase authorization permits purchases of AbbVie shares from time to time in open-market or private transactions at management’s discretion. The program has no time limit and can be discontinued at any time. Shares repurchased under these programs are recorded at acquisition cost, including related expenses and are available for general corporate purposes.</w:t>
      </w:r>
    </w:p>
    <w:p>
      <w:pPr>
        <w:spacing w:after="0" w:line="134" w:lineRule="exact"/>
        <w:rPr>
          <w:sz w:val="20"/>
          <w:szCs w:val="20"/>
          <w:color w:val="auto"/>
        </w:rPr>
      </w:pPr>
    </w:p>
    <w:p>
      <w:pPr>
        <w:ind w:right="260" w:firstLine="445"/>
        <w:spacing w:after="0" w:line="261" w:lineRule="auto"/>
        <w:rPr>
          <w:sz w:val="20"/>
          <w:szCs w:val="20"/>
          <w:color w:val="auto"/>
        </w:rPr>
      </w:pPr>
      <w:r>
        <w:rPr>
          <w:rFonts w:ascii="Arial" w:cs="Arial" w:eastAsia="Arial" w:hAnsi="Arial"/>
          <w:sz w:val="18"/>
          <w:szCs w:val="18"/>
          <w:color w:val="auto"/>
        </w:rPr>
        <w:t>AbbVie repurchased 8 million shares for $757 million in 2020 and 4 million shares for $300 million in 2019. AbbVie's remaining stock repurchase authorization was $3.2 billion as of December 31, 2020.</w:t>
      </w:r>
    </w:p>
    <w:p>
      <w:pPr>
        <w:spacing w:after="0" w:line="130" w:lineRule="exact"/>
        <w:rPr>
          <w:sz w:val="20"/>
          <w:szCs w:val="20"/>
          <w:color w:val="auto"/>
        </w:rPr>
      </w:pPr>
    </w:p>
    <w:p>
      <w:pPr>
        <w:ind w:right="240" w:firstLine="445"/>
        <w:spacing w:after="0" w:line="254" w:lineRule="auto"/>
        <w:rPr>
          <w:sz w:val="20"/>
          <w:szCs w:val="20"/>
          <w:color w:val="auto"/>
        </w:rPr>
      </w:pPr>
      <w:r>
        <w:rPr>
          <w:rFonts w:ascii="Arial" w:cs="Arial" w:eastAsia="Arial" w:hAnsi="Arial"/>
          <w:sz w:val="18"/>
          <w:szCs w:val="18"/>
          <w:color w:val="auto"/>
        </w:rPr>
        <w:t>On February 15, 2018, AbbVie's board of directors authorized a new $10.0 billion stock repurchase program, which superseded AbbVie's previous stock repurchase program. On December 13, 2018, AbbVie's board of directors authorized a $5.0 billion increase to the existing $10.0 billion stock repurchase program. Under this authorization, AbbVie repurchased approximately 109 million shares for $10.7 billion in 2018.</w:t>
      </w:r>
    </w:p>
    <w:p>
      <w:pPr>
        <w:spacing w:after="0" w:line="123" w:lineRule="exact"/>
        <w:rPr>
          <w:sz w:val="20"/>
          <w:szCs w:val="20"/>
          <w:color w:val="auto"/>
        </w:rPr>
      </w:pPr>
    </w:p>
    <w:p>
      <w:pPr>
        <w:ind w:right="500" w:firstLine="445"/>
        <w:spacing w:after="0" w:line="261" w:lineRule="auto"/>
        <w:rPr>
          <w:sz w:val="20"/>
          <w:szCs w:val="20"/>
          <w:color w:val="auto"/>
        </w:rPr>
      </w:pPr>
      <w:r>
        <w:rPr>
          <w:rFonts w:ascii="Arial" w:cs="Arial" w:eastAsia="Arial" w:hAnsi="Arial"/>
          <w:sz w:val="18"/>
          <w:szCs w:val="18"/>
          <w:color w:val="auto"/>
        </w:rPr>
        <w:t>Under previous stock repurchase programs, AbbVie made open-market share repurchases of approximately 11 million shares for $1.3 billion in 2018.</w:t>
      </w:r>
    </w:p>
    <w:p>
      <w:pPr>
        <w:sectPr>
          <w:pgSz w:w="11900" w:h="16838" w:orient="portrait"/>
          <w:cols w:equalWidth="0" w:num="1">
            <w:col w:w="11220"/>
          </w:cols>
          <w:pgMar w:left="320" w:top="1097" w:right="35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8180"/>
        <w:spacing w:after="0"/>
        <w:tabs>
          <w:tab w:leader="none" w:pos="9620" w:val="left"/>
        </w:tabs>
        <w:rPr>
          <w:sz w:val="20"/>
          <w:szCs w:val="20"/>
          <w:color w:val="auto"/>
        </w:rPr>
      </w:pPr>
      <w:r>
        <w:rPr>
          <w:rFonts w:ascii="Arial" w:cs="Arial" w:eastAsia="Arial" w:hAnsi="Arial"/>
          <w:sz w:val="18"/>
          <w:szCs w:val="18"/>
          <w:i w:val="1"/>
          <w:iCs w:val="1"/>
          <w:color w:val="auto"/>
        </w:rPr>
        <w:t>2020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600075" cy="111125"/>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8"/>
          <w:szCs w:val="18"/>
          <w:b w:val="1"/>
          <w:bCs w:val="1"/>
          <w:color w:val="444867"/>
        </w:rPr>
        <w:t>Accumulated Other Comprehensive Loss</w:t>
      </w:r>
    </w:p>
    <w:p>
      <w:pPr>
        <w:spacing w:after="0" w:line="166" w:lineRule="exact"/>
        <w:rPr>
          <w:sz w:val="20"/>
          <w:szCs w:val="20"/>
          <w:color w:val="auto"/>
        </w:rPr>
      </w:pPr>
    </w:p>
    <w:p>
      <w:pPr>
        <w:ind w:right="160" w:firstLine="445"/>
        <w:spacing w:after="0" w:line="261" w:lineRule="auto"/>
        <w:rPr>
          <w:sz w:val="20"/>
          <w:szCs w:val="20"/>
          <w:color w:val="auto"/>
        </w:rPr>
      </w:pPr>
      <w:r>
        <w:rPr>
          <w:rFonts w:ascii="Arial" w:cs="Arial" w:eastAsia="Arial" w:hAnsi="Arial"/>
          <w:sz w:val="18"/>
          <w:szCs w:val="18"/>
          <w:color w:val="auto"/>
        </w:rPr>
        <w:t>The following table summarizes the changes in each component of accumulated other comprehensive loss, net of tax, for 2020, 2019 and 2018:</w:t>
      </w:r>
    </w:p>
    <w:p>
      <w:pPr>
        <w:spacing w:after="0" w:line="14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center"/>
              <w:ind w:right="74"/>
              <w:spacing w:after="0"/>
              <w:rPr>
                <w:sz w:val="20"/>
                <w:szCs w:val="20"/>
                <w:color w:val="auto"/>
              </w:rPr>
            </w:pPr>
            <w:r>
              <w:rPr>
                <w:rFonts w:ascii="Arial" w:cs="Arial" w:eastAsia="Arial" w:hAnsi="Arial"/>
                <w:sz w:val="14"/>
                <w:szCs w:val="14"/>
                <w:b w:val="1"/>
                <w:bCs w:val="1"/>
                <w:color w:val="auto"/>
              </w:rPr>
              <w:t>Foreign</w:t>
            </w: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Net investment</w:t>
            </w:r>
          </w:p>
        </w:tc>
        <w:tc>
          <w:tcPr>
            <w:tcW w:w="180" w:type="dxa"/>
            <w:vAlign w:val="bottom"/>
          </w:tcPr>
          <w:p>
            <w:pPr>
              <w:spacing w:after="0"/>
              <w:rPr>
                <w:sz w:val="14"/>
                <w:szCs w:val="14"/>
                <w:color w:val="auto"/>
              </w:rPr>
            </w:pPr>
          </w:p>
        </w:tc>
        <w:tc>
          <w:tcPr>
            <w:tcW w:w="1000" w:type="dxa"/>
            <w:vAlign w:val="bottom"/>
          </w:tcPr>
          <w:p>
            <w:pPr>
              <w:jc w:val="center"/>
              <w:ind w:right="74"/>
              <w:spacing w:after="0"/>
              <w:rPr>
                <w:sz w:val="20"/>
                <w:szCs w:val="20"/>
                <w:color w:val="auto"/>
              </w:rPr>
            </w:pPr>
            <w:r>
              <w:rPr>
                <w:rFonts w:ascii="Arial" w:cs="Arial" w:eastAsia="Arial" w:hAnsi="Arial"/>
                <w:sz w:val="14"/>
                <w:szCs w:val="14"/>
                <w:b w:val="1"/>
                <w:bCs w:val="1"/>
                <w:color w:val="auto"/>
              </w:rPr>
              <w:t>Pension</w:t>
            </w:r>
          </w:p>
        </w:tc>
        <w:tc>
          <w:tcPr>
            <w:tcW w:w="200" w:type="dxa"/>
            <w:vAlign w:val="bottom"/>
          </w:tcPr>
          <w:p>
            <w:pPr>
              <w:spacing w:after="0"/>
              <w:rPr>
                <w:sz w:val="14"/>
                <w:szCs w:val="14"/>
                <w:color w:val="auto"/>
              </w:rPr>
            </w:pPr>
          </w:p>
        </w:tc>
        <w:tc>
          <w:tcPr>
            <w:tcW w:w="100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rPr>
              <w:t>Marketable</w:t>
            </w:r>
          </w:p>
        </w:tc>
        <w:tc>
          <w:tcPr>
            <w:tcW w:w="200" w:type="dxa"/>
            <w:vAlign w:val="bottom"/>
          </w:tcPr>
          <w:p>
            <w:pPr>
              <w:spacing w:after="0"/>
              <w:rPr>
                <w:sz w:val="14"/>
                <w:szCs w:val="14"/>
                <w:color w:val="auto"/>
              </w:rPr>
            </w:pPr>
          </w:p>
        </w:tc>
        <w:tc>
          <w:tcPr>
            <w:tcW w:w="96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rPr>
              <w:t>Cash flow</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rPr>
              <w:t>currency</w:t>
            </w: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rPr>
              <w:t>and post-</w:t>
            </w:r>
          </w:p>
        </w:tc>
        <w:tc>
          <w:tcPr>
            <w:tcW w:w="2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(brackets denote losses)</w:t>
            </w:r>
          </w:p>
        </w:tc>
        <w:tc>
          <w:tcPr>
            <w:tcW w:w="240" w:type="dxa"/>
            <w:vAlign w:val="bottom"/>
          </w:tcPr>
          <w:p>
            <w:pPr>
              <w:spacing w:after="0"/>
              <w:rPr>
                <w:sz w:val="11"/>
                <w:szCs w:val="11"/>
                <w:color w:val="auto"/>
              </w:rPr>
            </w:pPr>
          </w:p>
        </w:tc>
        <w:tc>
          <w:tcPr>
            <w:tcW w:w="100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rPr>
              <w:t>translation</w:t>
            </w:r>
          </w:p>
        </w:tc>
        <w:tc>
          <w:tcPr>
            <w:tcW w:w="240" w:type="dxa"/>
            <w:vAlign w:val="bottom"/>
          </w:tcPr>
          <w:p>
            <w:pPr>
              <w:spacing w:after="0"/>
              <w:rPr>
                <w:sz w:val="11"/>
                <w:szCs w:val="11"/>
                <w:color w:val="auto"/>
              </w:rPr>
            </w:pPr>
          </w:p>
        </w:tc>
        <w:tc>
          <w:tcPr>
            <w:tcW w:w="960" w:type="dxa"/>
            <w:vAlign w:val="bottom"/>
          </w:tcPr>
          <w:p>
            <w:pPr>
              <w:jc w:val="right"/>
              <w:ind w:right="232"/>
              <w:spacing w:after="0" w:line="135" w:lineRule="exact"/>
              <w:rPr>
                <w:sz w:val="20"/>
                <w:szCs w:val="20"/>
                <w:color w:val="auto"/>
              </w:rPr>
            </w:pPr>
            <w:r>
              <w:rPr>
                <w:rFonts w:ascii="Arial" w:cs="Arial" w:eastAsia="Arial" w:hAnsi="Arial"/>
                <w:sz w:val="14"/>
                <w:szCs w:val="14"/>
                <w:b w:val="1"/>
                <w:bCs w:val="1"/>
                <w:color w:val="auto"/>
              </w:rPr>
              <w:t>hedging</w:t>
            </w:r>
          </w:p>
        </w:tc>
        <w:tc>
          <w:tcPr>
            <w:tcW w:w="180" w:type="dxa"/>
            <w:vAlign w:val="bottom"/>
          </w:tcPr>
          <w:p>
            <w:pPr>
              <w:spacing w:after="0"/>
              <w:rPr>
                <w:sz w:val="11"/>
                <w:szCs w:val="11"/>
                <w:color w:val="auto"/>
              </w:rPr>
            </w:pPr>
          </w:p>
        </w:tc>
        <w:tc>
          <w:tcPr>
            <w:tcW w:w="100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rPr>
              <w:t>employment</w:t>
            </w:r>
          </w:p>
        </w:tc>
        <w:tc>
          <w:tcPr>
            <w:tcW w:w="200" w:type="dxa"/>
            <w:vAlign w:val="bottom"/>
          </w:tcPr>
          <w:p>
            <w:pPr>
              <w:spacing w:after="0"/>
              <w:rPr>
                <w:sz w:val="11"/>
                <w:szCs w:val="11"/>
                <w:color w:val="auto"/>
              </w:rPr>
            </w:pPr>
          </w:p>
        </w:tc>
        <w:tc>
          <w:tcPr>
            <w:tcW w:w="1000" w:type="dxa"/>
            <w:vAlign w:val="bottom"/>
          </w:tcPr>
          <w:p>
            <w:pPr>
              <w:jc w:val="center"/>
              <w:ind w:right="113"/>
              <w:spacing w:after="0" w:line="135" w:lineRule="exact"/>
              <w:rPr>
                <w:sz w:val="20"/>
                <w:szCs w:val="20"/>
                <w:color w:val="auto"/>
              </w:rPr>
            </w:pPr>
            <w:r>
              <w:rPr>
                <w:rFonts w:ascii="Arial" w:cs="Arial" w:eastAsia="Arial" w:hAnsi="Arial"/>
                <w:sz w:val="14"/>
                <w:szCs w:val="14"/>
                <w:b w:val="1"/>
                <w:bCs w:val="1"/>
                <w:color w:val="auto"/>
              </w:rPr>
              <w:t>security</w:t>
            </w:r>
          </w:p>
        </w:tc>
        <w:tc>
          <w:tcPr>
            <w:tcW w:w="200" w:type="dxa"/>
            <w:vAlign w:val="bottom"/>
          </w:tcPr>
          <w:p>
            <w:pPr>
              <w:spacing w:after="0"/>
              <w:rPr>
                <w:sz w:val="11"/>
                <w:szCs w:val="11"/>
                <w:color w:val="auto"/>
              </w:rPr>
            </w:pPr>
          </w:p>
        </w:tc>
        <w:tc>
          <w:tcPr>
            <w:tcW w:w="960" w:type="dxa"/>
            <w:vAlign w:val="bottom"/>
          </w:tcPr>
          <w:p>
            <w:pPr>
              <w:jc w:val="center"/>
              <w:ind w:right="113"/>
              <w:spacing w:after="0" w:line="135" w:lineRule="exact"/>
              <w:rPr>
                <w:sz w:val="20"/>
                <w:szCs w:val="20"/>
                <w:color w:val="auto"/>
              </w:rPr>
            </w:pPr>
            <w:r>
              <w:rPr>
                <w:rFonts w:ascii="Arial" w:cs="Arial" w:eastAsia="Arial" w:hAnsi="Arial"/>
                <w:sz w:val="14"/>
                <w:szCs w:val="14"/>
                <w:b w:val="1"/>
                <w:bCs w:val="1"/>
                <w:color w:val="auto"/>
              </w:rPr>
              <w:t>hedging</w:t>
            </w:r>
          </w:p>
        </w:tc>
        <w:tc>
          <w:tcPr>
            <w:tcW w:w="300" w:type="dxa"/>
            <w:vAlign w:val="bottom"/>
          </w:tcPr>
          <w:p>
            <w:pPr>
              <w:spacing w:after="0"/>
              <w:rPr>
                <w:sz w:val="11"/>
                <w:szCs w:val="11"/>
                <w:color w:val="auto"/>
              </w:rPr>
            </w:pPr>
          </w:p>
        </w:tc>
        <w:tc>
          <w:tcPr>
            <w:tcW w:w="8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0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activities</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benefits</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activities</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activities</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182"/>
        </w:trPr>
        <w:tc>
          <w:tcPr>
            <w:tcW w:w="4020" w:type="dxa"/>
            <w:vAlign w:val="bottom"/>
          </w:tcPr>
          <w:p>
            <w:pPr>
              <w:ind w:left="20"/>
              <w:spacing w:after="0" w:line="182" w:lineRule="exact"/>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20" w:type="dxa"/>
            <w:vAlign w:val="bottom"/>
          </w:tcPr>
          <w:p>
            <w:pPr>
              <w:ind w:left="20"/>
              <w:spacing w:after="0"/>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(391)</w:t>
            </w:r>
          </w:p>
        </w:tc>
        <w:tc>
          <w:tcPr>
            <w:tcW w:w="24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8"/>
        </w:trPr>
        <w:tc>
          <w:tcPr>
            <w:tcW w:w="4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losses reclassified from accumulated other</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113</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157</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182"/>
        </w:trPr>
        <w:tc>
          <w:tcPr>
            <w:tcW w:w="4020" w:type="dxa"/>
            <w:vAlign w:val="bottom"/>
          </w:tcPr>
          <w:p>
            <w:pPr>
              <w:ind w:left="20"/>
              <w:spacing w:after="0" w:line="182" w:lineRule="exact"/>
              <w:rPr>
                <w:sz w:val="20"/>
                <w:szCs w:val="20"/>
                <w:color w:val="auto"/>
              </w:rPr>
            </w:pPr>
            <w:r>
              <w:rPr>
                <w:rFonts w:ascii="Arial" w:cs="Arial" w:eastAsia="Arial" w:hAnsi="Arial"/>
                <w:sz w:val="18"/>
                <w:szCs w:val="18"/>
                <w:color w:val="auto"/>
              </w:rPr>
              <w:t>Net current-period other comprehensive income</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(loss)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138</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197</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313</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147</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182"/>
        </w:trPr>
        <w:tc>
          <w:tcPr>
            <w:tcW w:w="4020" w:type="dxa"/>
            <w:vAlign w:val="bottom"/>
          </w:tcPr>
          <w:p>
            <w:pPr>
              <w:ind w:left="20"/>
              <w:spacing w:after="0" w:line="182" w:lineRule="exact"/>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20" w:type="dxa"/>
            <w:vAlign w:val="bottom"/>
          </w:tcPr>
          <w:p>
            <w:pPr>
              <w:ind w:left="20"/>
              <w:spacing w:after="0"/>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(1,330)</w:t>
            </w:r>
          </w:p>
        </w:tc>
        <w:tc>
          <w:tcPr>
            <w:tcW w:w="20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298</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188"/>
        </w:trPr>
        <w:tc>
          <w:tcPr>
            <w:tcW w:w="4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losses (gains) reclassified from accumulated</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2"/>
        </w:trPr>
        <w:tc>
          <w:tcPr>
            <w:tcW w:w="4020" w:type="dxa"/>
            <w:vAlign w:val="bottom"/>
          </w:tcPr>
          <w:p>
            <w:pPr>
              <w:ind w:left="20"/>
              <w:spacing w:after="0" w:line="182" w:lineRule="exact"/>
              <w:rPr>
                <w:sz w:val="20"/>
                <w:szCs w:val="20"/>
                <w:color w:val="auto"/>
              </w:rPr>
            </w:pPr>
            <w:r>
              <w:rPr>
                <w:rFonts w:ascii="Arial" w:cs="Arial" w:eastAsia="Arial" w:hAnsi="Arial"/>
                <w:sz w:val="18"/>
                <w:szCs w:val="18"/>
                <w:color w:val="auto"/>
              </w:rPr>
              <w:t>Net current-period other comprehensive income</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(loss)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74</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141</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288</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182"/>
        </w:trPr>
        <w:tc>
          <w:tcPr>
            <w:tcW w:w="4020" w:type="dxa"/>
            <w:vAlign w:val="bottom"/>
          </w:tcPr>
          <w:p>
            <w:pPr>
              <w:ind w:left="20"/>
              <w:spacing w:after="0" w:line="182" w:lineRule="exact"/>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20" w:type="dxa"/>
            <w:vAlign w:val="bottom"/>
          </w:tcPr>
          <w:p>
            <w:pPr>
              <w:ind w:left="20"/>
              <w:spacing w:after="0"/>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1,511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(785)</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188"/>
        </w:trPr>
        <w:tc>
          <w:tcPr>
            <w:tcW w:w="4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losses (gains) reclassified from accumulated</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198</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82"/>
        </w:trPr>
        <w:tc>
          <w:tcPr>
            <w:tcW w:w="4020" w:type="dxa"/>
            <w:vAlign w:val="bottom"/>
          </w:tcPr>
          <w:p>
            <w:pPr>
              <w:ind w:left="20"/>
              <w:spacing w:after="0" w:line="182" w:lineRule="exact"/>
              <w:rPr>
                <w:sz w:val="20"/>
                <w:szCs w:val="20"/>
                <w:color w:val="auto"/>
              </w:rPr>
            </w:pPr>
            <w:r>
              <w:rPr>
                <w:rFonts w:ascii="Arial" w:cs="Arial" w:eastAsia="Arial" w:hAnsi="Arial"/>
                <w:sz w:val="18"/>
                <w:szCs w:val="18"/>
                <w:color w:val="auto"/>
              </w:rPr>
              <w:t>Net current-period other comprehensive income</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(loss)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1,511</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583</w:t>
            </w: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157</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Other comprehensive income (loss) included foreign currency translation adjustments totaling gains of $1.5 billion in 2020 which were principally due to the impact of the strengthening of the Euro on the translation of the company’s Euro-denominated assets. Other comprehensive income (loss) included foreign currency translation adjustments totaling losses of $98 million in 2019 and $391 million in 2018 which were principally due to the impact of the weakening of the Euro on the translation of the company’s Euro-denominated assets.</w:t>
      </w:r>
    </w:p>
    <w:p>
      <w:pPr>
        <w:spacing w:after="0" w:line="136" w:lineRule="exact"/>
        <w:rPr>
          <w:sz w:val="20"/>
          <w:szCs w:val="20"/>
          <w:color w:val="auto"/>
        </w:rPr>
      </w:pPr>
    </w:p>
    <w:p>
      <w:pPr>
        <w:ind w:right="580" w:firstLine="445"/>
        <w:spacing w:after="0" w:line="261" w:lineRule="auto"/>
        <w:rPr>
          <w:sz w:val="20"/>
          <w:szCs w:val="20"/>
          <w:color w:val="auto"/>
        </w:rPr>
      </w:pPr>
      <w:r>
        <w:rPr>
          <w:rFonts w:ascii="Arial" w:cs="Arial" w:eastAsia="Arial" w:hAnsi="Arial"/>
          <w:sz w:val="18"/>
          <w:szCs w:val="18"/>
          <w:color w:val="auto"/>
        </w:rPr>
        <w:t>Other comprehensive loss for 2019 included pension and post-employment benefit plan losses of $1.2 billion primarily due to an actuarial loss driven by lower discount rates. See Note 12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85</w:t>
      </w:r>
      <w:r>
        <w:rPr>
          <w:sz w:val="20"/>
          <w:szCs w:val="20"/>
          <w:color w:val="auto"/>
        </w:rPr>
        <w:tab/>
      </w:r>
      <w:r>
        <w:rPr>
          <w:sz w:val="1"/>
          <w:szCs w:val="1"/>
          <w:color w:val="auto"/>
        </w:rPr>
        <w:drawing>
          <wp:inline distT="0" distB="0" distL="0" distR="0">
            <wp:extent cx="600075" cy="111125"/>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75" w:right="379" w:bottom="1440" w:gutter="0" w:footer="0" w:header="0"/>
        </w:sectPr>
      </w:pPr>
    </w:p>
    <w:bookmarkStart w:id="88" w:name="page89"/>
    <w:bookmarkEnd w:id="88"/>
    <w:p>
      <w:pPr>
        <w:ind w:right="220" w:firstLine="445"/>
        <w:spacing w:after="0" w:line="261" w:lineRule="auto"/>
        <w:rPr>
          <w:sz w:val="20"/>
          <w:szCs w:val="20"/>
          <w:color w:val="auto"/>
        </w:rPr>
      </w:pPr>
      <w:r>
        <w:rPr>
          <w:rFonts w:ascii="Arial" w:cs="Arial" w:eastAsia="Arial" w:hAnsi="Arial"/>
          <w:sz w:val="18"/>
          <w:szCs w:val="18"/>
          <w:color w:val="auto"/>
        </w:rPr>
        <w:t>The table below presents the impact on AbbVie's consolidated statements of earnings for significant amounts reclassified out of each component of accumulated other comprehensive loss: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 (in millions) (brackets denote gains)</w:t>
            </w:r>
          </w:p>
        </w:tc>
        <w:tc>
          <w:tcPr>
            <w:tcW w:w="10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Net investment hedging activities</w:t>
            </w: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Gains on derivative amount excluded from effectiveness testing</w:t>
            </w:r>
            <w:r>
              <w:rPr>
                <w:rFonts w:ascii="Arial" w:cs="Arial" w:eastAsia="Arial" w:hAnsi="Arial"/>
                <w:sz w:val="23"/>
                <w:szCs w:val="23"/>
                <w:color w:val="auto"/>
                <w:vertAlign w:val="superscript"/>
              </w:rPr>
              <w:t>(a)</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 expense</w:t>
            </w:r>
          </w:p>
        </w:tc>
        <w:tc>
          <w:tcPr>
            <w:tcW w:w="10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reclassifications, net of tax</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94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Pension and post-employment benefits</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Amortization of actuarial losses and other</w:t>
            </w:r>
            <w:r>
              <w:rPr>
                <w:rFonts w:ascii="Arial" w:cs="Arial" w:eastAsia="Arial" w:hAnsi="Arial"/>
                <w:sz w:val="23"/>
                <w:szCs w:val="23"/>
                <w:color w:val="auto"/>
                <w:vertAlign w:val="superscript"/>
              </w:rPr>
              <w:t>(b)</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 benefit</w:t>
            </w:r>
          </w:p>
        </w:tc>
        <w:tc>
          <w:tcPr>
            <w:tcW w:w="10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reclassifications, net of tax</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198</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87</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94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Cash flow hedging activities</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Losses (gains) on foreign currency forward exchange contracts</w:t>
            </w:r>
            <w:r>
              <w:rPr>
                <w:rFonts w:ascii="Arial" w:cs="Arial" w:eastAsia="Arial" w:hAnsi="Arial"/>
                <w:sz w:val="23"/>
                <w:szCs w:val="23"/>
                <w:color w:val="auto"/>
                <w:vertAlign w:val="superscript"/>
              </w:rPr>
              <w:t>(c)</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Gains on treasury rate lock agreements</w:t>
            </w:r>
            <w:r>
              <w:rPr>
                <w:rFonts w:ascii="Arial" w:cs="Arial" w:eastAsia="Arial" w:hAnsi="Arial"/>
                <w:sz w:val="23"/>
                <w:szCs w:val="23"/>
                <w:color w:val="auto"/>
                <w:vertAlign w:val="superscript"/>
              </w:rPr>
              <w:t>(a)</w:t>
            </w:r>
          </w:p>
        </w:tc>
        <w:tc>
          <w:tcPr>
            <w:tcW w:w="10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Losses (gains) on interest rate swap contracts</w:t>
            </w:r>
            <w:r>
              <w:rPr>
                <w:rFonts w:ascii="Arial" w:cs="Arial" w:eastAsia="Arial" w:hAnsi="Arial"/>
                <w:sz w:val="23"/>
                <w:szCs w:val="23"/>
                <w:color w:val="auto"/>
                <w:vertAlign w:val="superscript"/>
              </w:rPr>
              <w:t>(a)</w:t>
            </w:r>
          </w:p>
        </w:tc>
        <w:tc>
          <w:tcPr>
            <w:tcW w:w="10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 expense (benefit)</w:t>
            </w:r>
          </w:p>
        </w:tc>
        <w:tc>
          <w:tcPr>
            <w:tcW w:w="10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reclassifications, net of tax</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80" w:hanging="472"/>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are included in interest expense, net (see Note 11).</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are included in the computation of net periodic benefit cost (see Note 12).</w:t>
      </w:r>
    </w:p>
    <w:p>
      <w:pPr>
        <w:spacing w:after="0" w:line="144" w:lineRule="exact"/>
        <w:rPr>
          <w:rFonts w:ascii="Arial" w:cs="Arial" w:eastAsia="Arial" w:hAnsi="Arial"/>
          <w:sz w:val="18"/>
          <w:szCs w:val="18"/>
          <w:color w:val="auto"/>
        </w:rPr>
      </w:pPr>
    </w:p>
    <w:p>
      <w:pPr>
        <w:ind w:left="480" w:hanging="472"/>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are included in cost of products sold (see Note 11).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Other</w:t>
      </w:r>
    </w:p>
    <w:p>
      <w:pPr>
        <w:spacing w:after="0" w:line="180" w:lineRule="exact"/>
        <w:rPr>
          <w:sz w:val="20"/>
          <w:szCs w:val="20"/>
          <w:color w:val="auto"/>
        </w:rPr>
      </w:pPr>
    </w:p>
    <w:p>
      <w:pPr>
        <w:ind w:right="780" w:firstLine="445"/>
        <w:spacing w:after="0" w:line="261" w:lineRule="auto"/>
        <w:rPr>
          <w:sz w:val="20"/>
          <w:szCs w:val="20"/>
          <w:color w:val="auto"/>
        </w:rPr>
      </w:pPr>
      <w:r>
        <w:rPr>
          <w:rFonts w:ascii="Arial" w:cs="Arial" w:eastAsia="Arial" w:hAnsi="Arial"/>
          <w:sz w:val="18"/>
          <w:szCs w:val="18"/>
          <w:color w:val="auto"/>
        </w:rPr>
        <w:t>In addition to common stock, AbbVie's authorized capital includes 200 million shares of preferred stock, par value $0.01. As of December 31, 2020, no shares of preferred stock were issued or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14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Earnings Before Income Tax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 (in millions)</w:t>
            </w:r>
          </w:p>
        </w:tc>
        <w:tc>
          <w:tcPr>
            <w:tcW w:w="19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(2,784)</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w:t>
            </w:r>
          </w:p>
        </w:tc>
        <w:tc>
          <w:tcPr>
            <w:tcW w:w="19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7,865</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11,210</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9,471</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earnings before income tax expense</w:t>
            </w:r>
          </w:p>
        </w:tc>
        <w:tc>
          <w:tcPr>
            <w:tcW w:w="1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3,398</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8,426</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8"/>
        </w:trPr>
        <w:tc>
          <w:tcPr>
            <w:tcW w:w="5040" w:type="dxa"/>
            <w:vAlign w:val="bottom"/>
            <w:gridSpan w:val="2"/>
          </w:tcPr>
          <w:p>
            <w:pPr>
              <w:spacing w:after="0"/>
              <w:rPr>
                <w:sz w:val="20"/>
                <w:szCs w:val="20"/>
                <w:color w:val="auto"/>
              </w:rPr>
            </w:pPr>
            <w:r>
              <w:rPr>
                <w:rFonts w:ascii="Arial" w:cs="Arial" w:eastAsia="Arial" w:hAnsi="Arial"/>
                <w:sz w:val="18"/>
                <w:szCs w:val="18"/>
                <w:b w:val="1"/>
                <w:bCs w:val="1"/>
                <w:color w:val="444867"/>
              </w:rPr>
              <w:t>Income Tax Expense</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 (in millions)</w:t>
            </w:r>
          </w:p>
        </w:tc>
        <w:tc>
          <w:tcPr>
            <w:tcW w:w="19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Current</w:t>
            </w:r>
          </w:p>
        </w:tc>
        <w:tc>
          <w:tcPr>
            <w:tcW w:w="1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102</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w:t>
            </w:r>
          </w:p>
        </w:tc>
        <w:tc>
          <w:tcPr>
            <w:tcW w:w="19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194</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320</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current taxes</w:t>
            </w:r>
          </w:p>
        </w:tc>
        <w:tc>
          <w:tcPr>
            <w:tcW w:w="1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1,101</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422</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Deferred</w:t>
            </w:r>
          </w:p>
        </w:tc>
        <w:tc>
          <w:tcPr>
            <w:tcW w:w="1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(137)</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w:t>
            </w:r>
          </w:p>
        </w:tc>
        <w:tc>
          <w:tcPr>
            <w:tcW w:w="19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259</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deferred taxes</w:t>
            </w:r>
          </w:p>
        </w:tc>
        <w:tc>
          <w:tcPr>
            <w:tcW w:w="1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122</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02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Total income tax expense (benefit)</w:t>
            </w:r>
          </w:p>
        </w:tc>
        <w:tc>
          <w:tcPr>
            <w:tcW w:w="19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(1,224)</w:t>
            </w:r>
          </w:p>
        </w:tc>
        <w:tc>
          <w:tcPr>
            <w:tcW w:w="4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3"/>
              <w:spacing w:after="0" w:line="203" w:lineRule="exact"/>
              <w:rPr>
                <w:sz w:val="20"/>
                <w:szCs w:val="20"/>
                <w:color w:val="auto"/>
              </w:rPr>
            </w:pPr>
            <w:r>
              <w:rPr>
                <w:rFonts w:ascii="Arial" w:cs="Arial" w:eastAsia="Arial" w:hAnsi="Arial"/>
                <w:sz w:val="18"/>
                <w:szCs w:val="18"/>
                <w:color w:val="auto"/>
              </w:rPr>
              <w:t>544</w:t>
            </w:r>
          </w:p>
        </w:tc>
        <w:tc>
          <w:tcPr>
            <w:tcW w:w="36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(490)</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0"/>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86</w:t>
            </w:r>
          </w:p>
        </w:tc>
        <w:tc>
          <w:tcPr>
            <w:tcW w:w="20" w:type="dxa"/>
            <w:vAlign w:val="bottom"/>
          </w:tcPr>
          <w:p>
            <w:pPr>
              <w:spacing w:after="0"/>
              <w:rPr>
                <w:sz w:val="24"/>
                <w:szCs w:val="24"/>
                <w:color w:val="auto"/>
              </w:rPr>
            </w:pPr>
          </w:p>
        </w:tc>
      </w:tr>
      <w:tr>
        <w:trPr>
          <w:trHeight w:val="196"/>
        </w:trPr>
        <w:tc>
          <w:tcPr>
            <w:tcW w:w="20" w:type="dxa"/>
            <w:vAlign w:val="bottom"/>
            <w:tcBorders>
              <w:bottom w:val="single" w:sz="8" w:color="9A9A9A"/>
            </w:tcBorders>
          </w:tcPr>
          <w:p>
            <w:pPr>
              <w:spacing w:after="0"/>
              <w:rPr>
                <w:sz w:val="17"/>
                <w:szCs w:val="17"/>
                <w:color w:val="auto"/>
              </w:rPr>
            </w:pPr>
          </w:p>
        </w:tc>
        <w:tc>
          <w:tcPr>
            <w:tcW w:w="5020" w:type="dxa"/>
            <w:vAlign w:val="bottom"/>
            <w:tcBorders>
              <w:bottom w:val="single" w:sz="8" w:color="9A9A9A"/>
            </w:tcBorders>
          </w:tcPr>
          <w:p>
            <w:pPr>
              <w:spacing w:after="0"/>
              <w:rPr>
                <w:sz w:val="17"/>
                <w:szCs w:val="17"/>
                <w:color w:val="auto"/>
              </w:rPr>
            </w:pPr>
          </w:p>
        </w:tc>
        <w:tc>
          <w:tcPr>
            <w:tcW w:w="198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-325120</wp:posOffset>
            </wp:positionV>
            <wp:extent cx="600075" cy="1111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0075" cy="11112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444867"/>
        </w:rPr>
        <w:t>Effective Tax Rate Reconciliation</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2920" w:type="dxa"/>
            <w:vAlign w:val="bottom"/>
            <w:tcBorders>
              <w:bottom w:val="single" w:sz="8" w:color="auto"/>
            </w:tcBorders>
          </w:tcPr>
          <w:p>
            <w:pPr>
              <w:jc w:val="right"/>
              <w:ind w:right="872"/>
              <w:spacing w:after="0"/>
              <w:rPr>
                <w:sz w:val="20"/>
                <w:szCs w:val="20"/>
                <w:color w:val="auto"/>
              </w:rPr>
            </w:pPr>
            <w:r>
              <w:rPr>
                <w:rFonts w:ascii="Arial" w:cs="Arial" w:eastAsia="Arial" w:hAnsi="Arial"/>
                <w:sz w:val="14"/>
                <w:szCs w:val="14"/>
                <w:b w:val="1"/>
                <w:bCs w:val="1"/>
                <w:color w:val="auto"/>
              </w:rPr>
              <w:t>2020</w:t>
            </w:r>
          </w:p>
        </w:tc>
        <w:tc>
          <w:tcPr>
            <w:tcW w:w="164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2019</w:t>
            </w: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tax rate</w:t>
            </w:r>
          </w:p>
        </w:tc>
        <w:tc>
          <w:tcPr>
            <w:tcW w:w="29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21.0 %</w:t>
            </w:r>
          </w:p>
        </w:tc>
        <w:tc>
          <w:tcPr>
            <w:tcW w:w="16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21.0 %</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Effect of foreign operations</w:t>
            </w:r>
          </w:p>
        </w:tc>
        <w:tc>
          <w:tcPr>
            <w:tcW w:w="2920" w:type="dxa"/>
            <w:vAlign w:val="bottom"/>
          </w:tcPr>
          <w:p>
            <w:pPr>
              <w:jc w:val="right"/>
              <w:ind w:right="492"/>
              <w:spacing w:after="0"/>
              <w:rPr>
                <w:sz w:val="20"/>
                <w:szCs w:val="20"/>
                <w:color w:val="auto"/>
              </w:rPr>
            </w:pPr>
            <w:r>
              <w:rPr>
                <w:rFonts w:ascii="Arial" w:cs="Arial" w:eastAsia="Arial" w:hAnsi="Arial"/>
                <w:sz w:val="18"/>
                <w:szCs w:val="18"/>
                <w:color w:val="auto"/>
              </w:rPr>
              <w:t>2.4</w:t>
            </w:r>
          </w:p>
        </w:tc>
        <w:tc>
          <w:tcPr>
            <w:tcW w:w="1640" w:type="dxa"/>
            <w:vAlign w:val="bottom"/>
          </w:tcPr>
          <w:p>
            <w:pPr>
              <w:jc w:val="right"/>
              <w:ind w:right="432"/>
              <w:spacing w:after="0"/>
              <w:rPr>
                <w:sz w:val="20"/>
                <w:szCs w:val="20"/>
                <w:color w:val="auto"/>
              </w:rPr>
            </w:pPr>
            <w:r>
              <w:rPr>
                <w:rFonts w:ascii="Arial" w:cs="Arial" w:eastAsia="Arial" w:hAnsi="Arial"/>
                <w:sz w:val="18"/>
                <w:szCs w:val="18"/>
                <w:color w:val="auto"/>
              </w:rPr>
              <w:t>(8.4)</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(28.7)</w:t>
            </w: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tax credits</w:t>
            </w:r>
          </w:p>
        </w:tc>
        <w:tc>
          <w:tcPr>
            <w:tcW w:w="29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(10.6)</w:t>
            </w:r>
          </w:p>
        </w:tc>
        <w:tc>
          <w:tcPr>
            <w:tcW w:w="16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(3.3)</w:t>
            </w: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(7.3)</w:t>
            </w: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Impacts related to U.S. tax reform</w:t>
            </w:r>
          </w:p>
        </w:tc>
        <w:tc>
          <w:tcPr>
            <w:tcW w:w="2920" w:type="dxa"/>
            <w:vAlign w:val="bottom"/>
          </w:tcPr>
          <w:p>
            <w:pPr>
              <w:jc w:val="right"/>
              <w:ind w:right="452"/>
              <w:spacing w:after="0"/>
              <w:rPr>
                <w:sz w:val="20"/>
                <w:szCs w:val="20"/>
                <w:color w:val="auto"/>
              </w:rPr>
            </w:pPr>
            <w:r>
              <w:rPr>
                <w:rFonts w:ascii="Arial" w:cs="Arial" w:eastAsia="Arial" w:hAnsi="Arial"/>
                <w:sz w:val="18"/>
                <w:szCs w:val="18"/>
                <w:color w:val="auto"/>
              </w:rPr>
              <w:t>(1.1)</w:t>
            </w:r>
          </w:p>
        </w:tc>
        <w:tc>
          <w:tcPr>
            <w:tcW w:w="1640" w:type="dxa"/>
            <w:vAlign w:val="bottom"/>
          </w:tcPr>
          <w:p>
            <w:pPr>
              <w:jc w:val="right"/>
              <w:ind w:right="432"/>
              <w:spacing w:after="0"/>
              <w:rPr>
                <w:sz w:val="20"/>
                <w:szCs w:val="20"/>
                <w:color w:val="auto"/>
              </w:rPr>
            </w:pPr>
            <w:r>
              <w:rPr>
                <w:rFonts w:ascii="Arial" w:cs="Arial" w:eastAsia="Arial" w:hAnsi="Arial"/>
                <w:sz w:val="18"/>
                <w:szCs w:val="18"/>
                <w:color w:val="auto"/>
              </w:rPr>
              <w:t>(1.6)</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8.2</w:t>
            </w: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29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7.2</w:t>
            </w:r>
          </w:p>
        </w:tc>
        <w:tc>
          <w:tcPr>
            <w:tcW w:w="164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1.0</w:t>
            </w: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Tax law changes and related restructuring</w:t>
            </w:r>
          </w:p>
        </w:tc>
        <w:tc>
          <w:tcPr>
            <w:tcW w:w="2920" w:type="dxa"/>
            <w:vAlign w:val="bottom"/>
          </w:tcPr>
          <w:p>
            <w:pPr>
              <w:jc w:val="right"/>
              <w:ind w:right="452"/>
              <w:spacing w:after="0"/>
              <w:rPr>
                <w:sz w:val="20"/>
                <w:szCs w:val="20"/>
                <w:color w:val="auto"/>
              </w:rPr>
            </w:pPr>
            <w:r>
              <w:rPr>
                <w:rFonts w:ascii="Arial" w:cs="Arial" w:eastAsia="Arial" w:hAnsi="Arial"/>
                <w:sz w:val="18"/>
                <w:szCs w:val="18"/>
                <w:color w:val="auto"/>
              </w:rPr>
              <w:t>(48.5)</w:t>
            </w: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3.1</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excess tax benefit</w:t>
            </w:r>
          </w:p>
        </w:tc>
        <w:tc>
          <w:tcPr>
            <w:tcW w:w="29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(0.9)</w:t>
            </w:r>
          </w:p>
        </w:tc>
        <w:tc>
          <w:tcPr>
            <w:tcW w:w="16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(0.2)</w:t>
            </w: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Tax audit settlements</w:t>
            </w:r>
          </w:p>
        </w:tc>
        <w:tc>
          <w:tcPr>
            <w:tcW w:w="2920" w:type="dxa"/>
            <w:vAlign w:val="bottom"/>
          </w:tcPr>
          <w:p>
            <w:pPr>
              <w:jc w:val="right"/>
              <w:ind w:right="452"/>
              <w:spacing w:after="0"/>
              <w:rPr>
                <w:sz w:val="20"/>
                <w:szCs w:val="20"/>
                <w:color w:val="auto"/>
              </w:rPr>
            </w:pPr>
            <w:r>
              <w:rPr>
                <w:rFonts w:ascii="Arial" w:cs="Arial" w:eastAsia="Arial" w:hAnsi="Arial"/>
                <w:sz w:val="18"/>
                <w:szCs w:val="18"/>
                <w:color w:val="auto"/>
              </w:rPr>
              <w:t>(5.1)</w:t>
            </w:r>
          </w:p>
        </w:tc>
        <w:tc>
          <w:tcPr>
            <w:tcW w:w="1640" w:type="dxa"/>
            <w:vAlign w:val="bottom"/>
          </w:tcPr>
          <w:p>
            <w:pPr>
              <w:jc w:val="right"/>
              <w:ind w:right="432"/>
              <w:spacing w:after="0"/>
              <w:rPr>
                <w:sz w:val="20"/>
                <w:szCs w:val="20"/>
                <w:color w:val="auto"/>
              </w:rPr>
            </w:pPr>
            <w:r>
              <w:rPr>
                <w:rFonts w:ascii="Arial" w:cs="Arial" w:eastAsia="Arial" w:hAnsi="Arial"/>
                <w:sz w:val="18"/>
                <w:szCs w:val="18"/>
                <w:color w:val="auto"/>
              </w:rPr>
              <w:t>(4.7)</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(2.5)</w:t>
            </w:r>
          </w:p>
        </w:tc>
      </w:tr>
      <w:tr>
        <w:trPr>
          <w:trHeight w:val="229"/>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All other, net</w:t>
            </w:r>
          </w:p>
        </w:tc>
        <w:tc>
          <w:tcPr>
            <w:tcW w:w="292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(0.4)</w:t>
            </w:r>
          </w:p>
        </w:tc>
        <w:tc>
          <w:tcPr>
            <w:tcW w:w="16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(0.4)</w:t>
            </w:r>
          </w:p>
        </w:tc>
        <w:tc>
          <w:tcPr>
            <w:tcW w:w="1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0.2</w:t>
            </w:r>
          </w:p>
        </w:tc>
      </w:tr>
      <w:tr>
        <w:trPr>
          <w:trHeight w:val="223"/>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Effective tax rate</w:t>
            </w:r>
          </w:p>
        </w:tc>
        <w:tc>
          <w:tcPr>
            <w:tcW w:w="2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(36.0)%</w:t>
            </w:r>
          </w:p>
        </w:tc>
        <w:tc>
          <w:tcPr>
            <w:tcW w:w="16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6.5 %</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1"/>
        </w:trPr>
        <w:tc>
          <w:tcPr>
            <w:tcW w:w="53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45"/>
        <w:spacing w:after="0" w:line="236" w:lineRule="auto"/>
        <w:rPr>
          <w:sz w:val="20"/>
          <w:szCs w:val="20"/>
          <w:color w:val="auto"/>
        </w:rPr>
      </w:pPr>
      <w:r>
        <w:rPr>
          <w:rFonts w:ascii="Arial" w:cs="Arial" w:eastAsia="Arial" w:hAnsi="Arial"/>
          <w:sz w:val="18"/>
          <w:szCs w:val="18"/>
          <w:color w:val="auto"/>
        </w:rPr>
        <w:t>The effective income tax rate fluctuates year to year due to the allocation of the company's taxable earnings among jurisdictions, as well as certain discrete factors and events in each year, including changes in tax law, acquisitions and collaborations. The effective income tax rates in 2020, 2019 and 2018 differed from the statutory tax rate principally due to the impact of foreign operations which reflects the impact of lower income tax rates in locations outside the United States, tax incentives in Puerto Rico and other foreign tax jurisdictions, business development activities, changes in enacted tax rates and laws and related restructuring, the cost of repatriation decisions, tax audit settlements and Boehringer Ingelheim accretion on contingent consideration. The 2020 effective income tax rate included the recognition of a net tax benefit of $1.7 billion related to changes in tax laws and related restructuring, including certain intra-group transfers of intellectual property and deferred tax remeasurement. The effective tax rates for these periods also reflected the benefit from U.S. tax credits principally related to research and development credits, the orphan drug tax credit and Puerto Rico excise tax credits. The Puerto Rico excise tax credits relate to legislation enacted by Puerto Rico that assesses an excise tax on certain products manufactured in Puerto Rico. The tax is levied on gross inventory purchases from entities in Puerto Rico and is included in cost of products sold in the consolidated statements of earnings. The majority of the tax is creditable for U.S. income tax purposes.</w:t>
      </w:r>
    </w:p>
    <w:p>
      <w:pPr>
        <w:spacing w:after="0" w:line="136"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The effective income tax rate in 2020, 2019 and 2018 included impacts related to U.S. tax reform. The Tax Cuts and Jobs Act (the Act) was signed into law in December 2017, resulting in significant changes to the U.S. corporate tax system, including a one-time transition tax on a mandatory deemed repatriation of earnings of certain foreign subsidiaries that were previously untaxed. The Act also created a minimum tax on certain foreign sourced earnings. The company’s accounting policy for the minimum tax on foreign sourced earnings is to report the tax effects on the basis that the minimum tax will be recognized in tax expense in the year it is incurred as a period expense. In 2018, there was a favorable impact of the effective date of provisions of the Act related to the earnings from certain foreign subsidiaries. For 2019, the impact of the Act affected the full year earnings of these subsidiaries, resulting in additional tax expense compared to the previous year. The effective income tax rates for 2019 and 2018 also included the effects of Stemcentrx impairment related expenses.</w:t>
      </w:r>
    </w:p>
    <w:p>
      <w:pPr>
        <w:spacing w:after="0" w:line="378"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87</w:t>
      </w:r>
      <w:r>
        <w:rPr>
          <w:sz w:val="20"/>
          <w:szCs w:val="20"/>
          <w:color w:val="auto"/>
        </w:rPr>
        <w:tab/>
      </w:r>
      <w:r>
        <w:rPr>
          <w:sz w:val="1"/>
          <w:szCs w:val="1"/>
          <w:color w:val="auto"/>
        </w:rPr>
        <w:drawing>
          <wp:inline distT="0" distB="0" distL="0" distR="0">
            <wp:extent cx="600075" cy="11112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5"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444867"/>
        </w:rPr>
        <w:t>Deferred Tax Assets and Liabilities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(in millions)</w:t>
            </w:r>
          </w:p>
        </w:tc>
        <w:tc>
          <w:tcPr>
            <w:tcW w:w="2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employee benefits</w:t>
            </w:r>
          </w:p>
        </w:tc>
        <w:tc>
          <w:tcPr>
            <w:tcW w:w="2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1,109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Accruals and reserves</w:t>
            </w:r>
          </w:p>
        </w:tc>
        <w:tc>
          <w:tcPr>
            <w:tcW w:w="220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438</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Chargebacks and rebates</w:t>
            </w:r>
          </w:p>
        </w:tc>
        <w:tc>
          <w:tcPr>
            <w:tcW w:w="2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555</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Advance payments</w:t>
            </w:r>
          </w:p>
        </w:tc>
        <w:tc>
          <w:tcPr>
            <w:tcW w:w="220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324</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losses and other credit carryforwards</w:t>
            </w:r>
          </w:p>
        </w:tc>
        <w:tc>
          <w:tcPr>
            <w:tcW w:w="2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2,765</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r>
      <w:tr>
        <w:trPr>
          <w:trHeight w:val="229"/>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1,371</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2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6,562</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w:t>
            </w:r>
          </w:p>
        </w:tc>
      </w:tr>
      <w:tr>
        <w:trPr>
          <w:trHeight w:val="229"/>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Valuation allowances</w:t>
            </w:r>
          </w:p>
        </w:tc>
        <w:tc>
          <w:tcPr>
            <w:tcW w:w="2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r>
      <w:tr>
        <w:trPr>
          <w:trHeight w:val="223"/>
        </w:trPr>
        <w:tc>
          <w:tcPr>
            <w:tcW w:w="6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deferred tax assets</w:t>
            </w:r>
          </w:p>
        </w:tc>
        <w:tc>
          <w:tcPr>
            <w:tcW w:w="2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5,359</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w:t>
            </w: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2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of book basis over tax basis of intangible assets</w:t>
            </w:r>
          </w:p>
        </w:tc>
        <w:tc>
          <w:tcPr>
            <w:tcW w:w="2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Excess of book basis over tax basis in investments</w:t>
            </w:r>
          </w:p>
        </w:tc>
        <w:tc>
          <w:tcPr>
            <w:tcW w:w="2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(335)</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29"/>
        </w:trPr>
        <w:tc>
          <w:tcPr>
            <w:tcW w:w="6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23"/>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2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(6,591)</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w:t>
            </w:r>
          </w:p>
        </w:tc>
      </w:tr>
      <w:tr>
        <w:trPr>
          <w:trHeight w:val="248"/>
        </w:trPr>
        <w:tc>
          <w:tcPr>
            <w:tcW w:w="6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2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0"/>
        </w:trPr>
        <w:tc>
          <w:tcPr>
            <w:tcW w:w="634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The increases in deferred tax liabilities are primarily due to the acquisition of Allergan in which the company recorded the excess of book basis over tax basis of intangible assets. The increases in deferred tax assets are primarily due to deferred tax asset recognition related to the intra-group transfer of intellectual property.</w:t>
      </w:r>
    </w:p>
    <w:p>
      <w:pPr>
        <w:spacing w:after="0" w:line="134"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As of December 31, 2020, the company had U.S. federal and state credit carryforwards of $293 million as well as U.S. federal, state and non-U.S. net operating loss carryforwards of $ 4.3 billion, which will expire at various times through 2040. The remaining U.S. federal and non-U.S. loss carryforwards of $5.8 billion have no expiration.</w:t>
      </w:r>
    </w:p>
    <w:p>
      <w:pPr>
        <w:spacing w:after="0" w:line="121" w:lineRule="exact"/>
        <w:rPr>
          <w:sz w:val="20"/>
          <w:szCs w:val="20"/>
          <w:color w:val="auto"/>
        </w:rPr>
      </w:pPr>
    </w:p>
    <w:p>
      <w:pPr>
        <w:ind w:right="420" w:firstLine="445"/>
        <w:spacing w:after="0" w:line="261" w:lineRule="auto"/>
        <w:rPr>
          <w:sz w:val="20"/>
          <w:szCs w:val="20"/>
          <w:color w:val="auto"/>
        </w:rPr>
      </w:pPr>
      <w:r>
        <w:rPr>
          <w:rFonts w:ascii="Arial" w:cs="Arial" w:eastAsia="Arial" w:hAnsi="Arial"/>
          <w:sz w:val="18"/>
          <w:szCs w:val="18"/>
          <w:color w:val="auto"/>
        </w:rPr>
        <w:t>The company had valuation allowances of $1.2 billion as of December 31, 2020 and $731 million as of December 31, 2019. These were principally related to foreign and state net operating losses and credit carryforwards that are not expected to be realized.</w:t>
      </w:r>
    </w:p>
    <w:p>
      <w:pPr>
        <w:spacing w:after="0" w:line="130"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The Act significantly changed the timing and manner in which earnings of foreign subsidiaries are subject to U.S. tax. Therefore, unremitted foreign earnings previously considered indefinitely reinvested that were subject to the Act’s transition tax are no longer considered indefinitely reinvested. Post-2017 earnings subject to the U.S. minimum tax on foreign sourced earnings or eligible for the 100 percent foreign dividends received deduction are also not considered indefinitely reinvested earnings. However, the company generally considers instances of outside basis differences in foreign subsidiaries that would incur additional U.S. tax upon reversal (e.g., capital gain distribution) to be permanent in duration. The unrecognized tax liability is not practicable to determine.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Unrecognized Tax Benefits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 (in millions)</w:t>
            </w:r>
          </w:p>
        </w:tc>
        <w:tc>
          <w:tcPr>
            <w:tcW w:w="20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2,661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2,852</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Increase due to acquisition</w:t>
            </w:r>
          </w:p>
        </w:tc>
        <w:tc>
          <w:tcPr>
            <w:tcW w:w="200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2,674</w:t>
            </w:r>
          </w:p>
        </w:tc>
        <w:tc>
          <w:tcPr>
            <w:tcW w:w="38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due to current year tax positions</w:t>
            </w:r>
          </w:p>
        </w:tc>
        <w:tc>
          <w:tcPr>
            <w:tcW w:w="20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91</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113</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Increase due to prior year tax positions</w:t>
            </w:r>
          </w:p>
        </w:tc>
        <w:tc>
          <w:tcPr>
            <w:tcW w:w="200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499</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due to prior year tax positions</w:t>
            </w:r>
          </w:p>
        </w:tc>
        <w:tc>
          <w:tcPr>
            <w:tcW w:w="20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0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(749)</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Lapse of statutes of limitations</w:t>
            </w:r>
          </w:p>
        </w:tc>
        <w:tc>
          <w:tcPr>
            <w:tcW w:w="20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Ending balance</w:t>
            </w:r>
          </w:p>
        </w:tc>
        <w:tc>
          <w:tcPr>
            <w:tcW w:w="2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5,264</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2,661</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w:t>
            </w: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firstLine="445"/>
        <w:spacing w:after="0" w:line="261" w:lineRule="auto"/>
        <w:rPr>
          <w:sz w:val="20"/>
          <w:szCs w:val="20"/>
          <w:color w:val="auto"/>
        </w:rPr>
      </w:pPr>
      <w:r>
        <w:rPr>
          <w:rFonts w:ascii="Arial" w:cs="Arial" w:eastAsia="Arial" w:hAnsi="Arial"/>
          <w:sz w:val="18"/>
          <w:szCs w:val="18"/>
          <w:color w:val="auto"/>
        </w:rPr>
        <w:t>AbbVie and Abbott entered into a tax sharing agreement, effective on the date of separation, which provides that Abbott is liable for and has indemnified AbbVie against all income tax liabilities for periods prior to the separation. AbbVie will</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88</w:t>
            </w:r>
          </w:p>
        </w:tc>
      </w:tr>
      <w:tr>
        <w:trPr>
          <w:trHeight w:val="196"/>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-325120</wp:posOffset>
            </wp:positionV>
            <wp:extent cx="600075" cy="1117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0075" cy="11176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91" w:name="page92"/>
    <w:bookmarkEnd w:id="91"/>
    <w:p>
      <w:pPr>
        <w:ind w:right="120"/>
        <w:spacing w:after="0" w:line="261" w:lineRule="auto"/>
        <w:rPr>
          <w:sz w:val="20"/>
          <w:szCs w:val="20"/>
          <w:color w:val="auto"/>
        </w:rPr>
      </w:pPr>
      <w:r>
        <w:rPr>
          <w:rFonts w:ascii="Arial" w:cs="Arial" w:eastAsia="Arial" w:hAnsi="Arial"/>
          <w:sz w:val="18"/>
          <w:szCs w:val="18"/>
          <w:color w:val="auto"/>
        </w:rPr>
        <w:t>be responsible for unrecognized tax benefits and related interest and penalties for periods after separation or in instances where an existing entity was transferred to AbbVie upon separation.</w:t>
      </w:r>
    </w:p>
    <w:p>
      <w:pPr>
        <w:spacing w:after="0" w:line="130"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If recognized, the net amount of potential tax benefits that would impact the company's effective tax rate is $5.0 billion in 2020 and $2.4 billion in 2019. Of the unrecognized tax benefits recorded in the table above as of December 31, 2020, AbbVie would be indemnified for approximately $81 million. The "Increase due to current year tax positions" and "Increase due to prior year tax positions" in the table above include amounts related to federal, state and international tax items. "Increase due to acquisition" in the table above includes amounts related to federal, state and international tax items recorded in acquisition accounting related to the Allergan acquisition.</w:t>
      </w:r>
    </w:p>
    <w:p>
      <w:pPr>
        <w:spacing w:after="0" w:line="138" w:lineRule="exact"/>
        <w:rPr>
          <w:sz w:val="20"/>
          <w:szCs w:val="20"/>
          <w:color w:val="auto"/>
        </w:rPr>
      </w:pPr>
    </w:p>
    <w:p>
      <w:pPr>
        <w:ind w:right="140" w:firstLine="445"/>
        <w:spacing w:after="0" w:line="254" w:lineRule="auto"/>
        <w:rPr>
          <w:sz w:val="20"/>
          <w:szCs w:val="20"/>
          <w:color w:val="auto"/>
        </w:rPr>
      </w:pPr>
      <w:r>
        <w:rPr>
          <w:rFonts w:ascii="Arial" w:cs="Arial" w:eastAsia="Arial" w:hAnsi="Arial"/>
          <w:sz w:val="18"/>
          <w:szCs w:val="18"/>
          <w:color w:val="auto"/>
        </w:rPr>
        <w:t>AbbVie recognizes interest and penalties related to income tax matters in income tax expense in the consolidated statements of earnings. AbbVie recognized gross income tax expense of $142 million in 2020, $51 million in 2019 and $73 million in 2018, for interest and penalties related to income tax matters. AbbVie had an accrual for the payment of gross interest and penalties of $642 million at December 31, 2020, $191 million at December 31, 2019 and $190 million at December 31, 2018.</w:t>
      </w:r>
    </w:p>
    <w:p>
      <w:pPr>
        <w:spacing w:after="0" w:line="123" w:lineRule="exact"/>
        <w:rPr>
          <w:sz w:val="20"/>
          <w:szCs w:val="20"/>
          <w:color w:val="auto"/>
        </w:rPr>
      </w:pPr>
    </w:p>
    <w:p>
      <w:pPr>
        <w:ind w:right="260" w:firstLine="445"/>
        <w:spacing w:after="0" w:line="252" w:lineRule="auto"/>
        <w:rPr>
          <w:sz w:val="20"/>
          <w:szCs w:val="20"/>
          <w:color w:val="auto"/>
        </w:rPr>
      </w:pPr>
      <w:r>
        <w:rPr>
          <w:rFonts w:ascii="Arial" w:cs="Arial" w:eastAsia="Arial" w:hAnsi="Arial"/>
          <w:sz w:val="18"/>
          <w:szCs w:val="18"/>
          <w:color w:val="auto"/>
        </w:rPr>
        <w:t>The company is routinely audited by the tax authorities in significant jurisdictions and a number of audits are currently underway. It is reasonably possible during the next 12 months that uncertain tax positions may be settled, which could result in a decrease in the gross amount of unrecognized tax benefits. Due to the potential for resolution of federal, state and foreign examinations and the expiration of various statutes of limitation, the company's gross unrecognized tax benefits balance may change within the next 12 months up to $68 million. All significant federal, state, local and international matters have been concluded for years through 2008. The company believes adequate provision has been made for all income tax uncertainties.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15 Legal Proceedings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5" w:lineRule="exact"/>
        <w:rPr>
          <w:sz w:val="20"/>
          <w:szCs w:val="20"/>
          <w:color w:val="auto"/>
        </w:rPr>
      </w:pPr>
    </w:p>
    <w:p>
      <w:pPr>
        <w:ind w:right="100" w:firstLine="445"/>
        <w:spacing w:after="0" w:line="268" w:lineRule="auto"/>
        <w:rPr>
          <w:sz w:val="20"/>
          <w:szCs w:val="20"/>
          <w:color w:val="auto"/>
        </w:rPr>
      </w:pPr>
      <w:r>
        <w:rPr>
          <w:rFonts w:ascii="Arial" w:cs="Arial" w:eastAsia="Arial" w:hAnsi="Arial"/>
          <w:sz w:val="17"/>
          <w:szCs w:val="17"/>
          <w:color w:val="auto"/>
        </w:rPr>
        <w:t>AbbVie is subject to contingencies, such as various claims, legal proceedings and investigations regarding product liability, intellectual property, commercial, securities and other matters that arise in the normal course of business. The most significant matters are described below. Loss contingency provisions are recorded for probable losses at management’s best estimate of a loss, or when a best estimate cannot be made, a minimum loss contingency amount within a probable range is recorded. The recorded accrual balance for litigation was approximately $60 million as of December 31, 2020 and approximately $290 million as of December 31, 2019. Initiation of new legal proceedings or a change in the status of existing proceedings may result in a change in the estimated loss accrued by AbbVie. In addition, other operating income in 2019 included $ 550 million of income from a legal settlement related to an intellectual property dispute with a third party. While it is not feasible to predict the outcome of all proceedings and exposures with certainty, management believes that their ultimate disposition should not have a material adverse effect on AbbVie’s consolidated financial position, results of operations or cash flows.</w:t>
      </w:r>
    </w:p>
    <w:p>
      <w:pPr>
        <w:spacing w:after="0" w:line="128"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Subject to certain exceptions specified in the separation agreement by and between Abbott and AbbVie, AbbVie assumed the liability for, and control of, all pending and threatened legal matters related to its business, including liabilities for any claims or legal proceedings related to products that had been part of its business, but were discontinued prior to the distribution, as well as assumed or retained liabilities, and will indemnify Abbott for any liability arising out of or resulting from such assumed legal matters.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Antitrust Litigation</w:t>
      </w:r>
    </w:p>
    <w:p>
      <w:pPr>
        <w:spacing w:after="0" w:line="180"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 xml:space="preserve">Lawsuits are pending against AbbVie and others generally alleging that the 2005 patent litigation settlement involving Niaspan entered into between Kos Pharmaceuticals, Inc. (a company acquired by Abbott in 2006 and presently a subsidiary of AbbVie) and a generic company violates federal and state antitrust laws and state unfair and deceptive trade practices and unjust enrichment laws. Plaintiffs generally seek monetary damages and/or injunctive relief and attorneys' fees. The lawsuits pending in federal court consist of four individual plaintiff lawsuits and two consolidated purported class actions: one brought by Niaspan direct purchasers and one brought by Niaspan end-payers. The cases are pending in the United States District Court for the Eastern District of Pennsylvania for coordinated or consolidated pre-trial proceedings under the MDL Rules as </w:t>
      </w:r>
      <w:r>
        <w:rPr>
          <w:rFonts w:ascii="Arial" w:cs="Arial" w:eastAsia="Arial" w:hAnsi="Arial"/>
          <w:sz w:val="18"/>
          <w:szCs w:val="18"/>
          <w:i w:val="1"/>
          <w:iCs w:val="1"/>
          <w:color w:val="auto"/>
        </w:rPr>
        <w:t>In re: Niaspan Antitrust Litigation</w:t>
      </w:r>
      <w:r>
        <w:rPr>
          <w:rFonts w:ascii="Arial" w:cs="Arial" w:eastAsia="Arial" w:hAnsi="Arial"/>
          <w:sz w:val="18"/>
          <w:szCs w:val="18"/>
          <w:color w:val="auto"/>
        </w:rPr>
        <w:t>, MDL No. 2460. In August 2019, the court certified a class of direct purchasers of Niaspan. In June 2020, the court denied the end-payers' motion to certify a class. In October 2016, the Orange County, California District Attorney’s Office filed a lawsuit on behalf of the State of California regarding the Niaspan patent litigation settlement in Orange County Superior Court, asserting a claim under the unfair competition provision of the California Business and Professions Code seeking injunctive relief, restitution, civil penalties and attorneys’ fees.</w:t>
      </w:r>
    </w:p>
    <w:p>
      <w:pPr>
        <w:spacing w:after="0" w:line="200" w:lineRule="exact"/>
        <w:rPr>
          <w:sz w:val="20"/>
          <w:szCs w:val="20"/>
          <w:color w:val="auto"/>
        </w:rPr>
      </w:pPr>
    </w:p>
    <w:p>
      <w:pPr>
        <w:spacing w:after="0" w:line="332"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89</w:t>
      </w:r>
      <w:r>
        <w:rPr>
          <w:sz w:val="20"/>
          <w:szCs w:val="20"/>
          <w:color w:val="auto"/>
        </w:rPr>
        <w:tab/>
      </w:r>
      <w:r>
        <w:rPr>
          <w:sz w:val="1"/>
          <w:szCs w:val="1"/>
          <w:color w:val="auto"/>
        </w:rPr>
        <w:drawing>
          <wp:inline distT="0" distB="0" distL="0" distR="0">
            <wp:extent cx="600075" cy="111125"/>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2" w:name="page93"/>
    <w:bookmarkEnd w:id="92"/>
    <w:p>
      <w:pPr>
        <w:ind w:right="60" w:firstLine="445"/>
        <w:spacing w:after="0" w:line="254" w:lineRule="auto"/>
        <w:rPr>
          <w:sz w:val="20"/>
          <w:szCs w:val="20"/>
          <w:color w:val="auto"/>
        </w:rPr>
      </w:pPr>
      <w:r>
        <w:rPr>
          <w:rFonts w:ascii="Arial" w:cs="Arial" w:eastAsia="Arial" w:hAnsi="Arial"/>
          <w:sz w:val="18"/>
          <w:szCs w:val="18"/>
          <w:color w:val="auto"/>
        </w:rPr>
        <w:t xml:space="preserve">In September 2014, the Federal Trade Commission (FTC) filed a lawsuit, </w:t>
      </w:r>
      <w:r>
        <w:rPr>
          <w:rFonts w:ascii="Arial" w:cs="Arial" w:eastAsia="Arial" w:hAnsi="Arial"/>
          <w:sz w:val="18"/>
          <w:szCs w:val="18"/>
          <w:i w:val="1"/>
          <w:iCs w:val="1"/>
          <w:color w:val="auto"/>
        </w:rPr>
        <w:t>FTC v. AbbVie Inc., et al.</w:t>
      </w:r>
      <w:r>
        <w:rPr>
          <w:rFonts w:ascii="Arial" w:cs="Arial" w:eastAsia="Arial" w:hAnsi="Arial"/>
          <w:sz w:val="18"/>
          <w:szCs w:val="18"/>
          <w:color w:val="auto"/>
        </w:rPr>
        <w:t>, against AbbVie and others in the United States District Court for the Eastern District of Pennsylvania, alleging that 2011 patent litigation with two generic companies regarding AndroGel was sham litigation and the settlements of that litigation violated federal antitrust law. In May 2015, the court dismissed the FTC’s settlement-related claim. In June 2018, following a bench trial, the court found for the FTC on its sham litigation claim and ordered a disgorgement remedy of $ 448 million, plus prejudgment interest. The court denied the FTC’s request for injunctive relief. In September 2020, the United States Court of Appeals for the Third Circuit reversed the district court’s finding of sham litigation with respect to one generic company and affirmed with respect to the other but held the FTC lacked authority to obtain a disgorgement remedy and vacated the district court’s award. The Third Circuit also affirmed the district court’s denial of the FTC’s injunction request and reinstated the FTC’s settlement-related claim for further proceedings in the district court.</w:t>
      </w:r>
    </w:p>
    <w:p>
      <w:pPr>
        <w:spacing w:after="0" w:line="107" w:lineRule="exact"/>
        <w:rPr>
          <w:sz w:val="20"/>
          <w:szCs w:val="20"/>
          <w:color w:val="auto"/>
        </w:rPr>
      </w:pPr>
    </w:p>
    <w:p>
      <w:pPr>
        <w:ind w:right="100" w:firstLine="445"/>
        <w:spacing w:after="0"/>
        <w:rPr>
          <w:sz w:val="20"/>
          <w:szCs w:val="20"/>
          <w:color w:val="auto"/>
        </w:rPr>
      </w:pPr>
      <w:r>
        <w:rPr>
          <w:rFonts w:ascii="Arial" w:cs="Arial" w:eastAsia="Arial" w:hAnsi="Arial"/>
          <w:sz w:val="18"/>
          <w:szCs w:val="18"/>
          <w:color w:val="auto"/>
        </w:rPr>
        <w:t xml:space="preserve">In August 2019, direct purchasers of AndroGel filed a lawsuit, </w:t>
      </w:r>
      <w:r>
        <w:rPr>
          <w:rFonts w:ascii="Arial" w:cs="Arial" w:eastAsia="Arial" w:hAnsi="Arial"/>
          <w:sz w:val="18"/>
          <w:szCs w:val="18"/>
          <w:i w:val="1"/>
          <w:iCs w:val="1"/>
          <w:color w:val="auto"/>
        </w:rPr>
        <w:t>King Drug Co. of Florence, Inc., et al. v. AbbVie Inc., et al.</w:t>
      </w:r>
      <w:r>
        <w:rPr>
          <w:rFonts w:ascii="Arial" w:cs="Arial" w:eastAsia="Arial" w:hAnsi="Arial"/>
          <w:sz w:val="18"/>
          <w:szCs w:val="18"/>
          <w:color w:val="auto"/>
        </w:rPr>
        <w:t xml:space="preserve">, against AbbVie and others in the United States District Court for the Eastern District of Pennsylvania, alleging that 2006 patent litigation settlements and related agreements by Solvay Pharmaceuticals, Inc. (a company Abbott acquired in February 2010 and now known as AbbVie Products LLC) with three generic companies violated federal antitrust law, and also making allegations similar to those in </w:t>
      </w:r>
      <w:r>
        <w:rPr>
          <w:rFonts w:ascii="Arial" w:cs="Arial" w:eastAsia="Arial" w:hAnsi="Arial"/>
          <w:sz w:val="18"/>
          <w:szCs w:val="18"/>
          <w:i w:val="1"/>
          <w:iCs w:val="1"/>
          <w:color w:val="auto"/>
        </w:rPr>
        <w:t>FTC v. AbbVie Inc.</w:t>
      </w:r>
      <w:r>
        <w:rPr>
          <w:rFonts w:ascii="Arial" w:cs="Arial" w:eastAsia="Arial" w:hAnsi="Arial"/>
          <w:sz w:val="18"/>
          <w:szCs w:val="18"/>
          <w:color w:val="auto"/>
        </w:rPr>
        <w:t xml:space="preserve"> (above). In May 2020, Perrigo Company and related entities filed a lawsuit against AbbVie and others in the United States District Court for the Eastern District of Pennsylvania, making sham litigation allegations similar to those in </w:t>
      </w:r>
      <w:r>
        <w:rPr>
          <w:rFonts w:ascii="Arial" w:cs="Arial" w:eastAsia="Arial" w:hAnsi="Arial"/>
          <w:sz w:val="18"/>
          <w:szCs w:val="18"/>
          <w:i w:val="1"/>
          <w:iCs w:val="1"/>
          <w:color w:val="auto"/>
        </w:rPr>
        <w:t>FTC v. AbbVie Inc</w:t>
      </w:r>
      <w:r>
        <w:rPr>
          <w:rFonts w:ascii="Arial" w:cs="Arial" w:eastAsia="Arial" w:hAnsi="Arial"/>
          <w:sz w:val="18"/>
          <w:szCs w:val="18"/>
          <w:color w:val="auto"/>
        </w:rPr>
        <w:t>. (above). In October 2020, the Perrigo lawsuit was transferred to the United States District Court for New Jersey.</w:t>
      </w:r>
    </w:p>
    <w:p>
      <w:pPr>
        <w:spacing w:after="0" w:line="135"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 xml:space="preserve">Between March and May 2019, 12 putative class action lawsuits were filed in the United States District Court for the Northern District of Illinois by indirect Humira purchasers, alleging that AbbVie’s settlements with biosimilar manufacturers and AbbVie’s Humira patent portfolio violated state and federal antitrust laws. The court consolidated these lawsuits as </w:t>
      </w:r>
      <w:r>
        <w:rPr>
          <w:rFonts w:ascii="Arial" w:cs="Arial" w:eastAsia="Arial" w:hAnsi="Arial"/>
          <w:sz w:val="18"/>
          <w:szCs w:val="18"/>
          <w:i w:val="1"/>
          <w:iCs w:val="1"/>
          <w:color w:val="auto"/>
        </w:rPr>
        <w:t>In re: Humira (Adalimumab) Antitrust Litigation</w:t>
      </w:r>
      <w:r>
        <w:rPr>
          <w:rFonts w:ascii="Arial" w:cs="Arial" w:eastAsia="Arial" w:hAnsi="Arial"/>
          <w:sz w:val="18"/>
          <w:szCs w:val="18"/>
          <w:color w:val="auto"/>
        </w:rPr>
        <w:t>. In June 2020, the court dismissed the consolidated litigation with prejudice. The plaintiffs have appealed the dismissal.</w:t>
      </w:r>
    </w:p>
    <w:p>
      <w:pPr>
        <w:spacing w:after="0" w:line="136"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 xml:space="preserve">Lawsuits are pending against Forest Laboratories, LLC and others generally alleging that 2009 and 2010 patent litigation settlements involving Namenda entered into between Forest and generic companies and other conduct by Forest involving Namenda, violated state antitrust, unfair and deceptive trade practices, and unjust enrichment laws. Plaintiffs generally seek monetary damages, injunctive relief and attorneys’ fees. The lawsuits, purported class actions filed by indirect purchasers of Namenda, are consolidated as </w:t>
      </w:r>
      <w:r>
        <w:rPr>
          <w:rFonts w:ascii="Arial" w:cs="Arial" w:eastAsia="Arial" w:hAnsi="Arial"/>
          <w:sz w:val="18"/>
          <w:szCs w:val="18"/>
          <w:i w:val="1"/>
          <w:iCs w:val="1"/>
          <w:color w:val="auto"/>
        </w:rPr>
        <w:t>In re: Namenda Indirect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Purchaser Antitrust Litigation </w:t>
      </w:r>
      <w:r>
        <w:rPr>
          <w:rFonts w:ascii="Arial" w:cs="Arial" w:eastAsia="Arial" w:hAnsi="Arial"/>
          <w:sz w:val="18"/>
          <w:szCs w:val="18"/>
          <w:color w:val="auto"/>
        </w:rPr>
        <w:t>in the United States District Court for the Southern District of New York.</w:t>
      </w:r>
    </w:p>
    <w:p>
      <w:pPr>
        <w:spacing w:after="0" w:line="124" w:lineRule="exact"/>
        <w:rPr>
          <w:sz w:val="20"/>
          <w:szCs w:val="20"/>
          <w:color w:val="auto"/>
        </w:rPr>
      </w:pPr>
    </w:p>
    <w:p>
      <w:pPr>
        <w:ind w:right="20" w:firstLine="445"/>
        <w:spacing w:after="0" w:line="265" w:lineRule="auto"/>
        <w:rPr>
          <w:sz w:val="20"/>
          <w:szCs w:val="20"/>
          <w:color w:val="auto"/>
        </w:rPr>
      </w:pPr>
      <w:r>
        <w:rPr>
          <w:rFonts w:ascii="Arial" w:cs="Arial" w:eastAsia="Arial" w:hAnsi="Arial"/>
          <w:sz w:val="17"/>
          <w:szCs w:val="17"/>
          <w:color w:val="auto"/>
        </w:rPr>
        <w:t>Lawsuits are pending against Allergan Inc. generally alleging that Allergan’s petitioning to the U.S. Patent Office and Food and Drug Administration and other conduct by Allergan involving Restasis violated federal and state antitrust laws and state unfair and deceptive trade practices and unjust enrichment laws. Plaintiffs generally seek monetary damages, injunctive relief and attorneys’ fees. The lawsuits, certified as a class action filed on behalf of indirect purchasers of Restasis, are consolidated for pre-trial purposes in the United States District Court</w:t>
      </w:r>
    </w:p>
    <w:p>
      <w:pPr>
        <w:spacing w:after="0" w:line="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 xml:space="preserve">for the Eastern District of New York under the MDL Rules as </w:t>
      </w:r>
      <w:r>
        <w:rPr>
          <w:rFonts w:ascii="Arial" w:cs="Arial" w:eastAsia="Arial" w:hAnsi="Arial"/>
          <w:sz w:val="18"/>
          <w:szCs w:val="18"/>
          <w:i w:val="1"/>
          <w:iCs w:val="1"/>
          <w:color w:val="auto"/>
        </w:rPr>
        <w:t>In re: Restasis (Cyclosporine Ophthalmic Emulsion) Antitrust Litigation</w:t>
      </w:r>
      <w:r>
        <w:rPr>
          <w:rFonts w:ascii="Arial" w:cs="Arial" w:eastAsia="Arial" w:hAnsi="Arial"/>
          <w:sz w:val="18"/>
          <w:szCs w:val="18"/>
          <w:color w:val="auto"/>
        </w:rPr>
        <w:t>, MDL No. 2819.</w:t>
      </w:r>
    </w:p>
    <w:p>
      <w:pPr>
        <w:spacing w:after="0" w:line="130" w:lineRule="exact"/>
        <w:rPr>
          <w:sz w:val="20"/>
          <w:szCs w:val="20"/>
          <w:color w:val="auto"/>
        </w:rPr>
      </w:pPr>
    </w:p>
    <w:p>
      <w:pPr>
        <w:ind w:right="120" w:firstLine="445"/>
        <w:spacing w:after="0" w:line="238" w:lineRule="auto"/>
        <w:rPr>
          <w:sz w:val="20"/>
          <w:szCs w:val="20"/>
          <w:color w:val="auto"/>
        </w:rPr>
      </w:pPr>
      <w:r>
        <w:rPr>
          <w:rFonts w:ascii="Arial" w:cs="Arial" w:eastAsia="Arial" w:hAnsi="Arial"/>
          <w:sz w:val="18"/>
          <w:szCs w:val="18"/>
          <w:color w:val="auto"/>
        </w:rPr>
        <w:t xml:space="preserve">Lawsuits are pending against Forest Laboratories, LLC and others generally alleging that 2012 and 2013 patent litigation settlements involving Bystolic with six generic manufacturers violated federal and state antitrust laws and state unfair and deceptive trade practices and unjust enrichment laws. Plaintiffs generally seek monetary damages, injunctive relief, and attorneys’ fees. The lawsuits, purported class actions filed on behalf of direct and indirect purchasers of Bystolic, are consolidated as </w:t>
      </w:r>
      <w:r>
        <w:rPr>
          <w:rFonts w:ascii="Arial" w:cs="Arial" w:eastAsia="Arial" w:hAnsi="Arial"/>
          <w:sz w:val="18"/>
          <w:szCs w:val="18"/>
          <w:i w:val="1"/>
          <w:iCs w:val="1"/>
          <w:color w:val="auto"/>
        </w:rPr>
        <w:t>In re: Bystolic Antitrust Litigation</w:t>
      </w:r>
      <w:r>
        <w:rPr>
          <w:rFonts w:ascii="Arial" w:cs="Arial" w:eastAsia="Arial" w:hAnsi="Arial"/>
          <w:sz w:val="18"/>
          <w:szCs w:val="18"/>
          <w:color w:val="auto"/>
        </w:rPr>
        <w:t xml:space="preserve"> in the United States District Court for the Southern District of New York.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Government Proceedings</w:t>
      </w:r>
    </w:p>
    <w:p>
      <w:pPr>
        <w:spacing w:after="0" w:line="166"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 xml:space="preserve">Lawsuits are pending against Allergan and several other manufacturers generally alleging that they improperly promoted and sold prescription opioid products. Approximately 3,100 matters are pending against Allergan. The federal court cases are consolidated for pre-trial purposes in the United States District Court for the Northern District of Ohio under the MDL rules as </w:t>
      </w:r>
      <w:r>
        <w:rPr>
          <w:rFonts w:ascii="Arial" w:cs="Arial" w:eastAsia="Arial" w:hAnsi="Arial"/>
          <w:sz w:val="18"/>
          <w:szCs w:val="18"/>
          <w:i w:val="1"/>
          <w:iCs w:val="1"/>
          <w:color w:val="auto"/>
        </w:rPr>
        <w:t>In re: National Prescription Opiate</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MDL No. 2804. Approximately 300 of the claims are pending in various state courts. The plaintiffs in these cases, which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states, counties, cities, and Native American tribes, generally seek compensatory damages.</w:t>
      </w:r>
    </w:p>
    <w:p>
      <w:pPr>
        <w:spacing w:after="0" w:line="120" w:lineRule="exact"/>
        <w:rPr>
          <w:sz w:val="20"/>
          <w:szCs w:val="20"/>
          <w:color w:val="auto"/>
        </w:rPr>
      </w:pPr>
    </w:p>
    <w:p>
      <w:pPr>
        <w:ind w:right="180" w:firstLine="445"/>
        <w:spacing w:after="0" w:line="266" w:lineRule="auto"/>
        <w:rPr>
          <w:sz w:val="20"/>
          <w:szCs w:val="20"/>
          <w:color w:val="auto"/>
        </w:rPr>
      </w:pPr>
      <w:r>
        <w:rPr>
          <w:rFonts w:ascii="Arial" w:cs="Arial" w:eastAsia="Arial" w:hAnsi="Arial"/>
          <w:sz w:val="18"/>
          <w:szCs w:val="18"/>
          <w:color w:val="auto"/>
        </w:rPr>
        <w:t xml:space="preserve">In July 2019, the New Mexico Attorney General filed a lawsuit, </w:t>
      </w:r>
      <w:r>
        <w:rPr>
          <w:rFonts w:ascii="Arial" w:cs="Arial" w:eastAsia="Arial" w:hAnsi="Arial"/>
          <w:sz w:val="18"/>
          <w:szCs w:val="18"/>
          <w:i w:val="1"/>
          <w:iCs w:val="1"/>
          <w:color w:val="auto"/>
        </w:rPr>
        <w:t>State of New Mexico ex rel. Balderas v. AbbVie Inc., et al.</w:t>
      </w:r>
      <w:r>
        <w:rPr>
          <w:rFonts w:ascii="Arial" w:cs="Arial" w:eastAsia="Arial" w:hAnsi="Arial"/>
          <w:sz w:val="18"/>
          <w:szCs w:val="18"/>
          <w:color w:val="auto"/>
        </w:rPr>
        <w:t>, in New Mexico District Court for Santa Fe County against AbbVie and other companies alleging their marketing of AndroGel violated New Mexico’s Unfair Practices Act. In October 2020, the state added a claim under the New Mexico False Advertising Act.</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90</w:t>
            </w:r>
          </w:p>
        </w:tc>
      </w:tr>
      <w:tr>
        <w:trPr>
          <w:trHeight w:val="201"/>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-334010</wp:posOffset>
            </wp:positionV>
            <wp:extent cx="600075" cy="1117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0075" cy="111760"/>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444867"/>
        </w:rPr>
        <w:t>Shareholder and Securities Litigation</w:t>
      </w:r>
    </w:p>
    <w:p>
      <w:pPr>
        <w:spacing w:after="0" w:line="148" w:lineRule="exact"/>
        <w:rPr>
          <w:sz w:val="20"/>
          <w:szCs w:val="20"/>
          <w:color w:val="auto"/>
        </w:rPr>
      </w:pPr>
    </w:p>
    <w:p>
      <w:pPr>
        <w:ind w:firstLine="445"/>
        <w:spacing w:after="0"/>
        <w:rPr>
          <w:sz w:val="20"/>
          <w:szCs w:val="20"/>
          <w:color w:val="auto"/>
        </w:rPr>
      </w:pPr>
      <w:r>
        <w:rPr>
          <w:rFonts w:ascii="Arial" w:cs="Arial" w:eastAsia="Arial" w:hAnsi="Arial"/>
          <w:sz w:val="18"/>
          <w:szCs w:val="18"/>
          <w:color w:val="auto"/>
        </w:rPr>
        <w:t xml:space="preserve">In June 2016, a lawsuit, </w:t>
      </w:r>
      <w:r>
        <w:rPr>
          <w:rFonts w:ascii="Arial" w:cs="Arial" w:eastAsia="Arial" w:hAnsi="Arial"/>
          <w:sz w:val="18"/>
          <w:szCs w:val="18"/>
          <w:i w:val="1"/>
          <w:iCs w:val="1"/>
          <w:color w:val="auto"/>
        </w:rPr>
        <w:t>Elliott Associates, L.P., et al. v. AbbVie Inc.</w:t>
      </w:r>
      <w:r>
        <w:rPr>
          <w:rFonts w:ascii="Arial" w:cs="Arial" w:eastAsia="Arial" w:hAnsi="Arial"/>
          <w:sz w:val="18"/>
          <w:szCs w:val="18"/>
          <w:color w:val="auto"/>
        </w:rPr>
        <w:t>, was filed by five investment funds against AbbVie in the Cook County, Illinois Circuit Court alleging that AbbVie made misrepresentations and omissions in connection with its proposed transaction with Shire. Similar lawsuits were filed between July 2017 and October 2019 against AbbVie and in some instances its chief executive officer in the same court by additional investment funds. The court granted motions dismissing the claims of three investment-fund plaintiffs, which they are appealing. One of these plaintiffs refiled its lawsuit in New York state court in June 2020 while the appeal of its dismissal in Illinois is pending. In November 2020, the New York Supreme Court for the County of New York dismissed that lawsuit. Plaintiffs seek compensatory and punitive damages.</w:t>
      </w:r>
    </w:p>
    <w:p>
      <w:pPr>
        <w:spacing w:after="0" w:line="117" w:lineRule="exact"/>
        <w:rPr>
          <w:sz w:val="20"/>
          <w:szCs w:val="20"/>
          <w:color w:val="auto"/>
        </w:rPr>
      </w:pPr>
    </w:p>
    <w:p>
      <w:pPr>
        <w:ind w:right="200" w:firstLine="445"/>
        <w:spacing w:after="0" w:line="281" w:lineRule="auto"/>
        <w:rPr>
          <w:sz w:val="20"/>
          <w:szCs w:val="20"/>
          <w:color w:val="auto"/>
        </w:rPr>
      </w:pPr>
      <w:r>
        <w:rPr>
          <w:rFonts w:ascii="Arial" w:cs="Arial" w:eastAsia="Arial" w:hAnsi="Arial"/>
          <w:sz w:val="17"/>
          <w:szCs w:val="17"/>
          <w:color w:val="auto"/>
        </w:rPr>
        <w:t xml:space="preserve">In October 2018, a federal securities lawsuit, </w:t>
      </w:r>
      <w:r>
        <w:rPr>
          <w:rFonts w:ascii="Arial" w:cs="Arial" w:eastAsia="Arial" w:hAnsi="Arial"/>
          <w:sz w:val="17"/>
          <w:szCs w:val="17"/>
          <w:i w:val="1"/>
          <w:iCs w:val="1"/>
          <w:color w:val="auto"/>
        </w:rPr>
        <w:t>Holwill v. AbbVie Inc., et al</w:t>
      </w:r>
      <w:r>
        <w:rPr>
          <w:rFonts w:ascii="Arial" w:cs="Arial" w:eastAsia="Arial" w:hAnsi="Arial"/>
          <w:sz w:val="17"/>
          <w:szCs w:val="17"/>
          <w:color w:val="auto"/>
        </w:rPr>
        <w:t>., was filed in the United States District Court for the Northern District of Illinois) against AbbVie, its chief executive officer and former chief financial officer, alleging that reasons stated for Humira sales growth in financial filings between 2013 and 2017 were misleading because they omitted alleged misconduct in connection with Humira patient and reimbursement support services and other services and items of value that allegedly induced Humira prescriptions.</w:t>
      </w:r>
    </w:p>
    <w:p>
      <w:pPr>
        <w:spacing w:after="0" w:line="97" w:lineRule="exact"/>
        <w:rPr>
          <w:sz w:val="20"/>
          <w:szCs w:val="20"/>
          <w:color w:val="auto"/>
        </w:rPr>
      </w:pPr>
    </w:p>
    <w:p>
      <w:pPr>
        <w:ind w:right="20" w:firstLine="445"/>
        <w:spacing w:after="0" w:line="245" w:lineRule="auto"/>
        <w:rPr>
          <w:sz w:val="20"/>
          <w:szCs w:val="20"/>
          <w:color w:val="auto"/>
        </w:rPr>
      </w:pPr>
      <w:r>
        <w:rPr>
          <w:rFonts w:ascii="Arial" w:cs="Arial" w:eastAsia="Arial" w:hAnsi="Arial"/>
          <w:sz w:val="18"/>
          <w:szCs w:val="18"/>
          <w:color w:val="auto"/>
        </w:rPr>
        <w:t xml:space="preserve">In February 2020, a shareholder derivative lawsuit, </w:t>
      </w:r>
      <w:r>
        <w:rPr>
          <w:rFonts w:ascii="Arial" w:cs="Arial" w:eastAsia="Arial" w:hAnsi="Arial"/>
          <w:sz w:val="18"/>
          <w:szCs w:val="18"/>
          <w:i w:val="1"/>
          <w:iCs w:val="1"/>
          <w:color w:val="auto"/>
        </w:rPr>
        <w:t>Elfers v. Gonzalez, et al.</w:t>
      </w:r>
      <w:r>
        <w:rPr>
          <w:rFonts w:ascii="Arial" w:cs="Arial" w:eastAsia="Arial" w:hAnsi="Arial"/>
          <w:sz w:val="18"/>
          <w:szCs w:val="18"/>
          <w:color w:val="auto"/>
        </w:rPr>
        <w:t>, was filed in the United States District Court for the District of Delaware alleging that certain AbbVie directors and officers breached their fiduciary duties regarding alleged misconduct in connection with Humira patient and reimbursement support services and other services and items of value and in connection with the announcements of results of AbbVie’s 2018 Dutch auction tender offer. In December 2020, the court dismissed the lawsuit.</w:t>
      </w:r>
    </w:p>
    <w:p>
      <w:pPr>
        <w:spacing w:after="0" w:line="118" w:lineRule="exact"/>
        <w:rPr>
          <w:sz w:val="20"/>
          <w:szCs w:val="20"/>
          <w:color w:val="auto"/>
        </w:rPr>
      </w:pPr>
    </w:p>
    <w:p>
      <w:pPr>
        <w:ind w:firstLine="445"/>
        <w:spacing w:after="0" w:line="237" w:lineRule="auto"/>
        <w:rPr>
          <w:sz w:val="20"/>
          <w:szCs w:val="20"/>
          <w:color w:val="auto"/>
        </w:rPr>
      </w:pPr>
      <w:r>
        <w:rPr>
          <w:rFonts w:ascii="Arial" w:cs="Arial" w:eastAsia="Arial" w:hAnsi="Arial"/>
          <w:sz w:val="18"/>
          <w:szCs w:val="18"/>
          <w:color w:val="auto"/>
        </w:rPr>
        <w:t xml:space="preserve">Lawsuits are pending against Allergan and certain of its current and former officers alleging they made misrepresentations and omissions regarding Allergan's textured breast implants. The lawsuits, which were filed by Allergan shareholders, have been consolidated in the United States District Court for the Southern District of New York as </w:t>
      </w:r>
      <w:r>
        <w:rPr>
          <w:rFonts w:ascii="Arial" w:cs="Arial" w:eastAsia="Arial" w:hAnsi="Arial"/>
          <w:sz w:val="18"/>
          <w:szCs w:val="18"/>
          <w:i w:val="1"/>
          <w:iCs w:val="1"/>
          <w:color w:val="auto"/>
        </w:rPr>
        <w:t>In re: Allergan plc Securities Litigation</w:t>
      </w:r>
      <w:r>
        <w:rPr>
          <w:rFonts w:ascii="Arial" w:cs="Arial" w:eastAsia="Arial" w:hAnsi="Arial"/>
          <w:sz w:val="18"/>
          <w:szCs w:val="18"/>
          <w:color w:val="auto"/>
        </w:rPr>
        <w:t>. The plaintiffs generally seek compensatory damages and attorneys’ fees. In September 2019, the court partially granted Allergan's motion to dismiss. In September 2020, the court denied plaintiffs’ class certification motion because it found the lead plaintiff to be an inadequate representative of the proposed class but allowed another putative class member to propose itself as a new lead plaintiff. In December 2020, the court appointed a new lead plaintiff.</w:t>
      </w:r>
    </w:p>
    <w:p>
      <w:pPr>
        <w:spacing w:after="0" w:line="135"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 xml:space="preserve">Lawsuits are pending against Allergan and certain of its current and former officers alleging they made misrepresentations and omissions regarding Allergan’s former Actavis generics unit and its alleged anticompetitive conduct with other generic drug companies. The lawsuits were filed by Allergan shareholders and consist of three purported class actions and one individual action that have been consolidated in the U.S. District Court for the District of New Jersey as </w:t>
      </w:r>
      <w:r>
        <w:rPr>
          <w:rFonts w:ascii="Arial" w:cs="Arial" w:eastAsia="Arial" w:hAnsi="Arial"/>
          <w:sz w:val="18"/>
          <w:szCs w:val="18"/>
          <w:i w:val="1"/>
          <w:iCs w:val="1"/>
          <w:color w:val="auto"/>
        </w:rPr>
        <w:t>In re: Allergan Generic Drug Pricing Securities Litigation</w:t>
      </w:r>
      <w:r>
        <w:rPr>
          <w:rFonts w:ascii="Arial" w:cs="Arial" w:eastAsia="Arial" w:hAnsi="Arial"/>
          <w:sz w:val="18"/>
          <w:szCs w:val="18"/>
          <w:color w:val="auto"/>
        </w:rPr>
        <w:t>. Another individual action in New Jersey state court was dismissed in September 2020. The plaintiffs seek monetary damages and attorneys’ fees.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Product Liability and General Litigation</w:t>
      </w:r>
    </w:p>
    <w:p>
      <w:pPr>
        <w:spacing w:after="0" w:line="166" w:lineRule="exact"/>
        <w:rPr>
          <w:sz w:val="20"/>
          <w:szCs w:val="20"/>
          <w:color w:val="auto"/>
        </w:rPr>
      </w:pPr>
    </w:p>
    <w:p>
      <w:pPr>
        <w:ind w:right="100" w:firstLine="445"/>
        <w:spacing w:after="0" w:line="238" w:lineRule="auto"/>
        <w:rPr>
          <w:sz w:val="20"/>
          <w:szCs w:val="20"/>
          <w:color w:val="auto"/>
        </w:rPr>
      </w:pPr>
      <w:r>
        <w:rPr>
          <w:rFonts w:ascii="Arial" w:cs="Arial" w:eastAsia="Arial" w:hAnsi="Arial"/>
          <w:sz w:val="18"/>
          <w:szCs w:val="18"/>
          <w:color w:val="auto"/>
        </w:rPr>
        <w:t xml:space="preserve">Product liability cases are pending in which plaintiffs generally allege that AbbVie did not adequately warn about risk of certain injuries, primarily various birth defects, arising from use of Depakote. Approximately 92 cases are pending in the United States District Court for the Southern District of Illinois along with one other pending in </w:t>
      </w:r>
      <w:r>
        <w:rPr>
          <w:rFonts w:ascii="Arial" w:cs="Arial" w:eastAsia="Arial" w:hAnsi="Arial"/>
          <w:sz w:val="18"/>
          <w:szCs w:val="18"/>
          <w:color w:val="1F497D"/>
        </w:rPr>
        <w:t>s</w:t>
      </w:r>
      <w:r>
        <w:rPr>
          <w:rFonts w:ascii="Arial" w:cs="Arial" w:eastAsia="Arial" w:hAnsi="Arial"/>
          <w:sz w:val="18"/>
          <w:szCs w:val="18"/>
          <w:color w:val="auto"/>
        </w:rPr>
        <w:t>tate court. Plaintiffs generally seek compensatory and punitive damages. Approximately ninety-eight percent of these pending cases, plus other unfiled claims, are subject to confidential settlement agreements or agreements-in-principle and are expected to be dismissed with prejudice.</w:t>
      </w:r>
    </w:p>
    <w:p>
      <w:pPr>
        <w:spacing w:after="0" w:line="117" w:lineRule="exact"/>
        <w:rPr>
          <w:sz w:val="20"/>
          <w:szCs w:val="20"/>
          <w:color w:val="auto"/>
        </w:rPr>
      </w:pPr>
    </w:p>
    <w:p>
      <w:pPr>
        <w:ind w:right="80" w:firstLine="445"/>
        <w:spacing w:after="0" w:line="258" w:lineRule="auto"/>
        <w:rPr>
          <w:sz w:val="20"/>
          <w:szCs w:val="20"/>
          <w:color w:val="auto"/>
        </w:rPr>
      </w:pPr>
      <w:r>
        <w:rPr>
          <w:rFonts w:ascii="Arial" w:cs="Arial" w:eastAsia="Arial" w:hAnsi="Arial"/>
          <w:sz w:val="18"/>
          <w:szCs w:val="18"/>
          <w:color w:val="auto"/>
        </w:rPr>
        <w:t xml:space="preserve">In 2018, a qui tam lawsuit, </w:t>
      </w:r>
      <w:r>
        <w:rPr>
          <w:rFonts w:ascii="Arial" w:cs="Arial" w:eastAsia="Arial" w:hAnsi="Arial"/>
          <w:sz w:val="18"/>
          <w:szCs w:val="18"/>
          <w:i w:val="1"/>
          <w:iCs w:val="1"/>
          <w:color w:val="auto"/>
        </w:rPr>
        <w:t>U.S. ex rel. Silbersher v. Allergan Inc., et al.</w:t>
      </w:r>
      <w:r>
        <w:rPr>
          <w:rFonts w:ascii="Arial" w:cs="Arial" w:eastAsia="Arial" w:hAnsi="Arial"/>
          <w:sz w:val="18"/>
          <w:szCs w:val="18"/>
          <w:color w:val="auto"/>
        </w:rPr>
        <w:t>, was filed in the United States District Court for the Northern District of California against several Allergan entities and others, alleging that their conduct before the U.S. Patent Office resulted in false claims for payment being made to federal and state healthcare payors for Namenda XR and Namzaric. The plaintiff-relator seeks damages and attorneys' fees under the federal False Claims Act and state law analogues. The federal government and state governments declined to intervene in the lawsuit.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Intellectual Property Litigation</w:t>
      </w:r>
    </w:p>
    <w:p>
      <w:pPr>
        <w:spacing w:after="0" w:line="166"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Pharmacyclics LLC, a wholly owned subsidiary of AbbVie, is seeking to enforce its patent rights relating to ibrutinib capsules (a drug Pharmacyclics sells under the trademark Imbruvica). In February 2018 a lawsuit was filed in the United States District Court for the District of Delaware against Sandoz Inc. and Lek Pharmaceuticals D.D. In the case, Pharmacyclics alleges the defendants' proposed generic ibrutinib product infringes certain Pharmacyclics patents and seeks declaratory and injunctive relief. Janssen Biotech, Inc. which is in a global collaboration with Pharmacyclics concerning the development and marketing of Imbruvica, is the co-plaintiff in this suit.</w:t>
      </w:r>
    </w:p>
    <w:p>
      <w:pPr>
        <w:spacing w:after="0" w:line="138" w:lineRule="exact"/>
        <w:rPr>
          <w:sz w:val="20"/>
          <w:szCs w:val="20"/>
          <w:color w:val="auto"/>
        </w:rPr>
      </w:pPr>
    </w:p>
    <w:p>
      <w:pPr>
        <w:ind w:right="460" w:firstLine="445"/>
        <w:spacing w:after="0" w:line="261" w:lineRule="auto"/>
        <w:rPr>
          <w:sz w:val="20"/>
          <w:szCs w:val="20"/>
          <w:color w:val="auto"/>
        </w:rPr>
      </w:pPr>
      <w:r>
        <w:rPr>
          <w:rFonts w:ascii="Arial" w:cs="Arial" w:eastAsia="Arial" w:hAnsi="Arial"/>
          <w:sz w:val="18"/>
          <w:szCs w:val="18"/>
          <w:color w:val="auto"/>
        </w:rPr>
        <w:t>Pharmacyclics LLC, a wholly owned subsidiary of AbbVie, is seeking to enforce its patent rights relating to ibrutinib tablets (a drug Pharmacyclics sells under the trademark Imbruvica). Cases were filed in the United States District Court for the</w:t>
      </w:r>
    </w:p>
    <w:p>
      <w:pPr>
        <w:spacing w:after="0" w:line="200" w:lineRule="exact"/>
        <w:rPr>
          <w:sz w:val="20"/>
          <w:szCs w:val="20"/>
          <w:color w:val="auto"/>
        </w:rPr>
      </w:pPr>
    </w:p>
    <w:p>
      <w:pPr>
        <w:spacing w:after="0" w:line="319"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91</w:t>
      </w:r>
      <w:r>
        <w:rPr>
          <w:sz w:val="20"/>
          <w:szCs w:val="20"/>
          <w:color w:val="auto"/>
        </w:rPr>
        <w:tab/>
      </w:r>
      <w:r>
        <w:rPr>
          <w:sz w:val="1"/>
          <w:szCs w:val="1"/>
          <w:color w:val="auto"/>
        </w:rPr>
        <w:drawing>
          <wp:inline distT="0" distB="0" distL="0" distR="0">
            <wp:extent cx="600075" cy="11112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5" w:right="359" w:bottom="1440" w:gutter="0" w:footer="0" w:header="0"/>
        </w:sectPr>
      </w:pPr>
    </w:p>
    <w:bookmarkStart w:id="94" w:name="page95"/>
    <w:bookmarkEnd w:id="94"/>
    <w:p>
      <w:pPr>
        <w:ind w:right="220"/>
        <w:spacing w:after="0" w:line="254" w:lineRule="auto"/>
        <w:rPr>
          <w:sz w:val="20"/>
          <w:szCs w:val="20"/>
          <w:color w:val="auto"/>
        </w:rPr>
      </w:pPr>
      <w:r>
        <w:rPr>
          <w:rFonts w:ascii="Arial" w:cs="Arial" w:eastAsia="Arial" w:hAnsi="Arial"/>
          <w:sz w:val="18"/>
          <w:szCs w:val="18"/>
          <w:color w:val="auto"/>
        </w:rPr>
        <w:t>District of Delaware in March 2019 and March 2020 against Alvogen Pine Brook LLC and Natco Pharma Ltd., and in April 2020 against Zydus Worldwide DMCC and Cadila Healthcare Limited. In each case, Pharmacyclics alleges defendants’ proposed generic ibrutinib tablet product infringes certain Pharmacyclics patents and seeks declaratory and injunctive relief. Janssen Biotech, Inc. which is in a global collaboration with Pharmacyclics concerning the development and marketing of Imbruvica, is the co-plaintiff in these suits.</w:t>
      </w:r>
    </w:p>
    <w:p>
      <w:pPr>
        <w:spacing w:after="0" w:line="123" w:lineRule="exact"/>
        <w:rPr>
          <w:sz w:val="20"/>
          <w:szCs w:val="20"/>
          <w:color w:val="auto"/>
        </w:rPr>
      </w:pPr>
    </w:p>
    <w:p>
      <w:pPr>
        <w:ind w:right="80" w:firstLine="445"/>
        <w:spacing w:after="0" w:line="270" w:lineRule="auto"/>
        <w:rPr>
          <w:sz w:val="20"/>
          <w:szCs w:val="20"/>
          <w:color w:val="auto"/>
        </w:rPr>
      </w:pPr>
      <w:r>
        <w:rPr>
          <w:rFonts w:ascii="Arial" w:cs="Arial" w:eastAsia="Arial" w:hAnsi="Arial"/>
          <w:sz w:val="17"/>
          <w:szCs w:val="17"/>
          <w:color w:val="auto"/>
        </w:rPr>
        <w:t>Allergan USA, Inc., Allergan Sales, LLC, and Forest Laboratories Holdings Limited, wholly owned subsidiaries of AbbVie, are seeking to enforce patent rights relating to cariprazine (a drug sold under the trademark Vraylar). Litigation was filed in the United States District Court for the District of Delaware in December 2019 against Sun Pharmaceutical Industries Limited and Sun Pharma Global FZE; Aurobindo Pharma Limited and Aurobindo Pharma USA, Inc.; and Zydus Pharmaceuticals (USA), Inc. and Cadila Healthcare Limited. Allergan alleges defendants' proposed generic cariprazine products infringe certain patents and seeks declaratory and injunctive relief. Gedeon Richter Plc, Inc. which is in a global collaboration with Allergan concerning the development and marketing of Vraylar, is the co-plaintiff in this suit.</w:t>
      </w:r>
    </w:p>
    <w:p>
      <w:pPr>
        <w:spacing w:after="0" w:line="125" w:lineRule="exact"/>
        <w:rPr>
          <w:sz w:val="20"/>
          <w:szCs w:val="20"/>
          <w:color w:val="auto"/>
        </w:rPr>
      </w:pPr>
    </w:p>
    <w:p>
      <w:pPr>
        <w:ind w:right="40" w:firstLine="445"/>
        <w:spacing w:after="0" w:line="237" w:lineRule="auto"/>
        <w:rPr>
          <w:sz w:val="20"/>
          <w:szCs w:val="20"/>
          <w:color w:val="auto"/>
        </w:rPr>
      </w:pPr>
      <w:r>
        <w:rPr>
          <w:rFonts w:ascii="Arial" w:cs="Arial" w:eastAsia="Arial" w:hAnsi="Arial"/>
          <w:sz w:val="18"/>
          <w:szCs w:val="18"/>
          <w:color w:val="auto"/>
        </w:rPr>
        <w:t>In January 2019, Allergan, Inc. and Allergan plc (now Allergan Limited) and Medytox Inc. (collectively, "Complainants") filed a complaint with the United States International Trade Commission (ITC) against Daewoong Pharmaceuticals Co., Ltd., Daewoong Co., Ltd., and Evolus Inc. (collectively, "Respondents") requesting the ITC commence an investigation regarding the importation into the United States of Respondents' botulinum neurotoxin products, including Jeuveau, which Complainants assert were developed using Medytox's trade secrets. Complainants seek permanent exclusion and cease and desist orders covering Respondents' products, including Jeuveau. In July 2020, the administrative law judge issued an initial ruling in favor of Allergan and Medytox. In December 2020, the full Commission affirmed, in part, and reversed, in part, the initial ruling.</w:t>
      </w:r>
    </w:p>
    <w:p>
      <w:pPr>
        <w:spacing w:after="0" w:line="135" w:lineRule="exact"/>
        <w:rPr>
          <w:sz w:val="20"/>
          <w:szCs w:val="20"/>
          <w:color w:val="auto"/>
        </w:rPr>
      </w:pPr>
    </w:p>
    <w:p>
      <w:pPr>
        <w:ind w:right="260" w:firstLine="405"/>
        <w:spacing w:after="0" w:line="254" w:lineRule="auto"/>
        <w:rPr>
          <w:sz w:val="20"/>
          <w:szCs w:val="20"/>
          <w:color w:val="auto"/>
        </w:rPr>
      </w:pPr>
      <w:r>
        <w:rPr>
          <w:rFonts w:ascii="Arial" w:cs="Arial" w:eastAsia="Arial" w:hAnsi="Arial"/>
          <w:sz w:val="18"/>
          <w:szCs w:val="18"/>
          <w:color w:val="auto"/>
        </w:rPr>
        <w:t>In August 2020, BTL Industries, Inc. (BTL) filed an ITC action against Allergan USA, Inc., Allergan Limited, Allergan, Inc., Zeltiq Aesthetics, Inc., Zeltiq Ireland Unlimited Company, and Zimmer Medizinsysteme GmbH, for patent infringement alleging that the CoolTone and CoolSculpting devices infringe its patents and seeking an exclusion order preventing importation of the devices and any components used to make or use the devices.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92</w:t>
            </w:r>
          </w:p>
        </w:tc>
      </w:tr>
      <w:tr>
        <w:trPr>
          <w:trHeight w:val="201"/>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-334010</wp:posOffset>
            </wp:positionV>
            <wp:extent cx="600075" cy="1111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0075" cy="11112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5" w:name="page96"/>
    <w:bookmarkEnd w:id="95"/>
    <w:p>
      <w:pPr>
        <w:spacing w:after="0"/>
        <w:rPr>
          <w:sz w:val="20"/>
          <w:szCs w:val="20"/>
          <w:color w:val="auto"/>
        </w:rPr>
      </w:pPr>
      <w:r>
        <w:rPr>
          <w:rFonts w:ascii="Arial" w:cs="Arial" w:eastAsia="Arial" w:hAnsi="Arial"/>
          <w:sz w:val="22"/>
          <w:szCs w:val="22"/>
          <w:b w:val="1"/>
          <w:bCs w:val="1"/>
          <w:color w:val="444867"/>
        </w:rPr>
        <w:t>Note 16 Segment and Geographic Area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45"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AbbVie operates as a single global business segment dedicated to the research and development, manufacturing, commercialization and sale of innovative medicines and therapies. This operating structure enables the Chief Executive Officer, as chief operating decision maker (CODM), to allocate resources and assess business performance on a global basis in order to achieve established long-term strategic goals. Consistent with this structure, a global research and development and supply chain organization is responsible for the discovery, manufacturing and supply of products. Commercial efforts that coordinate the marketing, sales and distribution of these products are organized by geographic region or therapeutic area. All of these activities are supported by a global corporate administrative staff. The determination of a single business segment is consistent with the consolidated financial information regularly reviewed by the CODM for purposes of assessing performance, allocating resources and planning and forecasting future periods.</w:t>
      </w:r>
    </w:p>
    <w:p>
      <w:pPr>
        <w:spacing w:after="0" w:line="138"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Substantially all of AbbVie's net revenues in the United States are to three wholesalers. Outside the United States, products are sold primarily to health care providers or through distributors, depending on the market served. The following tables detail AbbVie's worldwide net revenues: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 (in millions)</w:t>
            </w:r>
          </w:p>
        </w:tc>
        <w:tc>
          <w:tcPr>
            <w:tcW w:w="28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2018</w:t>
            </w:r>
          </w:p>
        </w:tc>
      </w:tr>
      <w:tr>
        <w:trPr>
          <w:trHeight w:val="209"/>
        </w:trPr>
        <w:tc>
          <w:tcPr>
            <w:tcW w:w="2680" w:type="dxa"/>
            <w:vAlign w:val="bottom"/>
          </w:tcPr>
          <w:p>
            <w:pPr>
              <w:ind w:left="20"/>
              <w:spacing w:after="0"/>
              <w:rPr>
                <w:sz w:val="20"/>
                <w:szCs w:val="20"/>
                <w:color w:val="auto"/>
              </w:rPr>
            </w:pPr>
            <w:r>
              <w:rPr>
                <w:rFonts w:ascii="Arial" w:cs="Arial" w:eastAsia="Arial" w:hAnsi="Arial"/>
                <w:sz w:val="16"/>
                <w:szCs w:val="16"/>
                <w:b w:val="1"/>
                <w:bCs w:val="1"/>
                <w:color w:val="auto"/>
              </w:rPr>
              <w:t>Immunology</w:t>
            </w:r>
          </w:p>
        </w:tc>
        <w:tc>
          <w:tcPr>
            <w:tcW w:w="2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Humira</w:t>
            </w:r>
          </w:p>
        </w:tc>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16,112</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14,864</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13,685</w:t>
            </w:r>
          </w:p>
        </w:tc>
      </w:tr>
      <w:tr>
        <w:trPr>
          <w:trHeight w:val="213"/>
        </w:trPr>
        <w:tc>
          <w:tcPr>
            <w:tcW w:w="26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International</w:t>
            </w:r>
          </w:p>
        </w:tc>
        <w:tc>
          <w:tcPr>
            <w:tcW w:w="1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3,720</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4,305</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6,251</w:t>
            </w:r>
          </w:p>
        </w:tc>
      </w:tr>
      <w:tr>
        <w:trPr>
          <w:trHeight w:val="209"/>
        </w:trPr>
        <w:tc>
          <w:tcPr>
            <w:tcW w:w="268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19,832</w:t>
            </w:r>
          </w:p>
        </w:tc>
        <w:tc>
          <w:tcPr>
            <w:tcW w:w="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19,169</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19,936</w:t>
            </w:r>
          </w:p>
        </w:tc>
      </w:tr>
      <w:tr>
        <w:trPr>
          <w:trHeight w:val="209"/>
        </w:trPr>
        <w:tc>
          <w:tcPr>
            <w:tcW w:w="2680" w:type="dxa"/>
            <w:vAlign w:val="bottom"/>
          </w:tcPr>
          <w:p>
            <w:pPr>
              <w:ind w:left="20"/>
              <w:spacing w:after="0"/>
              <w:rPr>
                <w:sz w:val="20"/>
                <w:szCs w:val="20"/>
                <w:color w:val="auto"/>
              </w:rPr>
            </w:pPr>
            <w:r>
              <w:rPr>
                <w:rFonts w:ascii="Arial" w:cs="Arial" w:eastAsia="Arial" w:hAnsi="Arial"/>
                <w:sz w:val="16"/>
                <w:szCs w:val="16"/>
                <w:color w:val="auto"/>
              </w:rPr>
              <w:t>Skyrizi</w:t>
            </w:r>
          </w:p>
        </w:tc>
        <w:tc>
          <w:tcPr>
            <w:tcW w:w="288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1,385</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311</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68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International</w:t>
            </w:r>
          </w:p>
        </w:tc>
        <w:tc>
          <w:tcPr>
            <w:tcW w:w="1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6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1,590</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355</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Rinvoq</w:t>
            </w:r>
          </w:p>
        </w:tc>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653</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6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International</w:t>
            </w:r>
          </w:p>
        </w:tc>
        <w:tc>
          <w:tcPr>
            <w:tcW w:w="1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68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731</w:t>
            </w:r>
          </w:p>
        </w:tc>
        <w:tc>
          <w:tcPr>
            <w:tcW w:w="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2680" w:type="dxa"/>
            <w:vAlign w:val="bottom"/>
          </w:tcPr>
          <w:p>
            <w:pPr>
              <w:ind w:left="20"/>
              <w:spacing w:after="0"/>
              <w:rPr>
                <w:sz w:val="20"/>
                <w:szCs w:val="20"/>
                <w:color w:val="auto"/>
              </w:rPr>
            </w:pPr>
            <w:r>
              <w:rPr>
                <w:rFonts w:ascii="Arial" w:cs="Arial" w:eastAsia="Arial" w:hAnsi="Arial"/>
                <w:sz w:val="16"/>
                <w:szCs w:val="16"/>
                <w:b w:val="1"/>
                <w:bCs w:val="1"/>
                <w:color w:val="auto"/>
              </w:rPr>
              <w:t>Hematologic Oncology</w:t>
            </w:r>
          </w:p>
        </w:tc>
        <w:tc>
          <w:tcPr>
            <w:tcW w:w="2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Imbruvica</w:t>
            </w:r>
          </w:p>
        </w:tc>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4,305</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3,830</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w:t>
            </w:r>
          </w:p>
        </w:tc>
      </w:tr>
      <w:tr>
        <w:trPr>
          <w:trHeight w:val="213"/>
        </w:trPr>
        <w:tc>
          <w:tcPr>
            <w:tcW w:w="26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Collaboration revenues</w:t>
            </w:r>
          </w:p>
        </w:tc>
        <w:tc>
          <w:tcPr>
            <w:tcW w:w="1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1,009</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844</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w:t>
            </w:r>
          </w:p>
        </w:tc>
      </w:tr>
      <w:tr>
        <w:trPr>
          <w:trHeight w:val="209"/>
        </w:trPr>
        <w:tc>
          <w:tcPr>
            <w:tcW w:w="268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5,314</w:t>
            </w:r>
          </w:p>
        </w:tc>
        <w:tc>
          <w:tcPr>
            <w:tcW w:w="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4,674</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r>
      <w:tr>
        <w:trPr>
          <w:trHeight w:val="210"/>
        </w:trPr>
        <w:tc>
          <w:tcPr>
            <w:tcW w:w="2680" w:type="dxa"/>
            <w:vAlign w:val="bottom"/>
          </w:tcPr>
          <w:p>
            <w:pPr>
              <w:ind w:left="20"/>
              <w:spacing w:after="0"/>
              <w:rPr>
                <w:sz w:val="20"/>
                <w:szCs w:val="20"/>
                <w:color w:val="auto"/>
              </w:rPr>
            </w:pPr>
            <w:r>
              <w:rPr>
                <w:rFonts w:ascii="Arial" w:cs="Arial" w:eastAsia="Arial" w:hAnsi="Arial"/>
                <w:sz w:val="16"/>
                <w:szCs w:val="16"/>
                <w:color w:val="auto"/>
              </w:rPr>
              <w:t>Venclexta</w:t>
            </w:r>
          </w:p>
        </w:tc>
        <w:tc>
          <w:tcPr>
            <w:tcW w:w="288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804</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521</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216"/>
        </w:trPr>
        <w:tc>
          <w:tcPr>
            <w:tcW w:w="268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International</w:t>
            </w:r>
          </w:p>
        </w:tc>
        <w:tc>
          <w:tcPr>
            <w:tcW w:w="1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533</w:t>
            </w: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09"/>
        </w:trPr>
        <w:tc>
          <w:tcPr>
            <w:tcW w:w="26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1,337</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792</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r>
      <w:tr>
        <w:trPr>
          <w:trHeight w:val="213"/>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Aesthetics</w:t>
            </w:r>
          </w:p>
        </w:tc>
        <w:tc>
          <w:tcPr>
            <w:tcW w:w="28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26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Botox Cosmetic </w:t>
            </w:r>
            <w:r>
              <w:rPr>
                <w:rFonts w:ascii="Arial" w:cs="Arial" w:eastAsia="Arial" w:hAnsi="Arial"/>
                <w:sz w:val="21"/>
                <w:szCs w:val="21"/>
                <w:color w:val="auto"/>
                <w:vertAlign w:val="superscript"/>
              </w:rPr>
              <w:t>(a)</w:t>
            </w:r>
          </w:p>
        </w:tc>
        <w:tc>
          <w:tcPr>
            <w:tcW w:w="288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687</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68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International</w:t>
            </w:r>
          </w:p>
        </w:tc>
        <w:tc>
          <w:tcPr>
            <w:tcW w:w="1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425</w:t>
            </w: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6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1,112</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68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Juvederm Collection </w:t>
            </w:r>
            <w:r>
              <w:rPr>
                <w:rFonts w:ascii="Arial" w:cs="Arial" w:eastAsia="Arial" w:hAnsi="Arial"/>
                <w:sz w:val="21"/>
                <w:szCs w:val="21"/>
                <w:color w:val="auto"/>
                <w:vertAlign w:val="superscript"/>
              </w:rPr>
              <w:t>(a)</w:t>
            </w:r>
          </w:p>
        </w:tc>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6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International</w:t>
            </w:r>
          </w:p>
        </w:tc>
        <w:tc>
          <w:tcPr>
            <w:tcW w:w="1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68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718</w:t>
            </w:r>
          </w:p>
        </w:tc>
        <w:tc>
          <w:tcPr>
            <w:tcW w:w="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680" w:type="dxa"/>
            <w:vAlign w:val="bottom"/>
          </w:tcPr>
          <w:p>
            <w:pPr>
              <w:ind w:left="20"/>
              <w:spacing w:after="0" w:line="213" w:lineRule="exact"/>
              <w:rPr>
                <w:sz w:val="20"/>
                <w:szCs w:val="20"/>
                <w:color w:val="auto"/>
              </w:rPr>
            </w:pPr>
            <w:r>
              <w:rPr>
                <w:rFonts w:ascii="Arial" w:cs="Arial" w:eastAsia="Arial" w:hAnsi="Arial"/>
                <w:sz w:val="16"/>
                <w:szCs w:val="16"/>
                <w:color w:val="auto"/>
              </w:rPr>
              <w:t xml:space="preserve">Other Aesthetics </w:t>
            </w:r>
            <w:r>
              <w:rPr>
                <w:rFonts w:ascii="Arial" w:cs="Arial" w:eastAsia="Arial" w:hAnsi="Arial"/>
                <w:sz w:val="21"/>
                <w:szCs w:val="21"/>
                <w:color w:val="auto"/>
                <w:vertAlign w:val="superscript"/>
              </w:rPr>
              <w:t>(a)</w:t>
            </w:r>
          </w:p>
        </w:tc>
        <w:tc>
          <w:tcPr>
            <w:tcW w:w="288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666</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68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International</w:t>
            </w:r>
          </w:p>
        </w:tc>
        <w:tc>
          <w:tcPr>
            <w:tcW w:w="1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6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760</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Neuroscience</w:t>
            </w:r>
          </w:p>
        </w:tc>
        <w:tc>
          <w:tcPr>
            <w:tcW w:w="28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26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Botox Therapeutic </w:t>
            </w:r>
            <w:r>
              <w:rPr>
                <w:rFonts w:ascii="Arial" w:cs="Arial" w:eastAsia="Arial" w:hAnsi="Arial"/>
                <w:sz w:val="21"/>
                <w:szCs w:val="21"/>
                <w:color w:val="auto"/>
                <w:vertAlign w:val="superscript"/>
              </w:rPr>
              <w:t>(a)</w:t>
            </w:r>
          </w:p>
        </w:tc>
        <w:tc>
          <w:tcPr>
            <w:tcW w:w="288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1,155</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68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International</w:t>
            </w:r>
          </w:p>
        </w:tc>
        <w:tc>
          <w:tcPr>
            <w:tcW w:w="1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6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1,387</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680" w:type="dxa"/>
            <w:vAlign w:val="bottom"/>
            <w:tcBorders>
              <w:bottom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Vraylar </w:t>
            </w:r>
            <w:r>
              <w:rPr>
                <w:rFonts w:ascii="Arial" w:cs="Arial" w:eastAsia="Arial" w:hAnsi="Arial"/>
                <w:sz w:val="21"/>
                <w:szCs w:val="21"/>
                <w:color w:val="auto"/>
                <w:vertAlign w:val="superscript"/>
              </w:rPr>
              <w:t>(a)</w:t>
            </w:r>
          </w:p>
        </w:tc>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4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951</w:t>
            </w:r>
          </w:p>
        </w:tc>
        <w:tc>
          <w:tcPr>
            <w:tcW w:w="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2680" w:type="dxa"/>
            <w:vAlign w:val="bottom"/>
          </w:tcPr>
          <w:p>
            <w:pPr>
              <w:ind w:left="20"/>
              <w:spacing w:after="0"/>
              <w:rPr>
                <w:sz w:val="20"/>
                <w:szCs w:val="20"/>
                <w:color w:val="auto"/>
              </w:rPr>
            </w:pPr>
            <w:r>
              <w:rPr>
                <w:rFonts w:ascii="Arial" w:cs="Arial" w:eastAsia="Arial" w:hAnsi="Arial"/>
                <w:sz w:val="16"/>
                <w:szCs w:val="16"/>
                <w:color w:val="auto"/>
              </w:rPr>
              <w:t>Duodopa</w:t>
            </w:r>
          </w:p>
        </w:tc>
        <w:tc>
          <w:tcPr>
            <w:tcW w:w="288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6"/>
        </w:trPr>
        <w:tc>
          <w:tcPr>
            <w:tcW w:w="268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International</w:t>
            </w:r>
          </w:p>
        </w:tc>
        <w:tc>
          <w:tcPr>
            <w:tcW w:w="1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391</w:t>
            </w: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364</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09"/>
        </w:trPr>
        <w:tc>
          <w:tcPr>
            <w:tcW w:w="26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494</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461</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w:t>
            </w:r>
          </w:p>
        </w:tc>
      </w:tr>
      <w:tr>
        <w:trPr>
          <w:trHeight w:val="213"/>
        </w:trPr>
        <w:tc>
          <w:tcPr>
            <w:tcW w:w="2680" w:type="dxa"/>
            <w:vAlign w:val="bottom"/>
            <w:tcBorders>
              <w:bottom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Ubrelvy </w:t>
            </w:r>
            <w:r>
              <w:rPr>
                <w:rFonts w:ascii="Arial" w:cs="Arial" w:eastAsia="Arial" w:hAnsi="Arial"/>
                <w:sz w:val="21"/>
                <w:szCs w:val="21"/>
                <w:color w:val="auto"/>
                <w:vertAlign w:val="superscript"/>
              </w:rPr>
              <w:t>(a)</w:t>
            </w:r>
          </w:p>
        </w:tc>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4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c>
          <w:tcPr>
            <w:tcW w:w="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68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Other Neuroscience </w:t>
            </w:r>
            <w:r>
              <w:rPr>
                <w:rFonts w:ascii="Arial" w:cs="Arial" w:eastAsia="Arial" w:hAnsi="Arial"/>
                <w:sz w:val="21"/>
                <w:szCs w:val="21"/>
                <w:color w:val="auto"/>
                <w:vertAlign w:val="superscript"/>
              </w:rPr>
              <w:t>(a)</w:t>
            </w:r>
          </w:p>
        </w:tc>
        <w:tc>
          <w:tcPr>
            <w:tcW w:w="288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528</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68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International</w:t>
            </w:r>
          </w:p>
        </w:tc>
        <w:tc>
          <w:tcPr>
            <w:tcW w:w="1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6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539</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147" w:right="339" w:bottom="1440" w:gutter="0" w:footer="0" w:header="0"/>
        </w:sectPr>
      </w:pPr>
    </w:p>
    <w:p>
      <w:pPr>
        <w:spacing w:after="0" w:line="337"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93</w:t>
      </w:r>
      <w:r>
        <w:rPr>
          <w:sz w:val="20"/>
          <w:szCs w:val="20"/>
          <w:color w:val="auto"/>
        </w:rPr>
        <w:tab/>
      </w:r>
      <w:r>
        <w:rPr>
          <w:sz w:val="1"/>
          <w:szCs w:val="1"/>
          <w:color w:val="auto"/>
        </w:rPr>
        <w:drawing>
          <wp:inline distT="0" distB="0" distL="0" distR="0">
            <wp:extent cx="600075" cy="111125"/>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189"/>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 (in millions)</w:t>
            </w:r>
          </w:p>
        </w:tc>
        <w:tc>
          <w:tcPr>
            <w:tcW w:w="25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2018</w:t>
            </w:r>
          </w:p>
        </w:tc>
      </w:tr>
      <w:tr>
        <w:trPr>
          <w:trHeight w:val="210"/>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Eye Care</w:t>
            </w:r>
          </w:p>
        </w:tc>
        <w:tc>
          <w:tcPr>
            <w:tcW w:w="25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27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Lumigan/Ganfort </w:t>
            </w:r>
            <w:r>
              <w:rPr>
                <w:rFonts w:ascii="Arial" w:cs="Arial" w:eastAsia="Arial" w:hAnsi="Arial"/>
                <w:sz w:val="21"/>
                <w:szCs w:val="21"/>
                <w:color w:val="auto"/>
                <w:vertAlign w:val="superscript"/>
              </w:rPr>
              <w:t>(a)</w:t>
            </w:r>
          </w:p>
        </w:tc>
        <w:tc>
          <w:tcPr>
            <w:tcW w:w="252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18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165</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700" w:type="dxa"/>
            <w:vAlign w:val="bottom"/>
            <w:tcBorders>
              <w:bottom w:val="single" w:sz="8" w:color="auto"/>
            </w:tcBorders>
            <w:shd w:val="clear" w:color="auto" w:fill="CCEEFF"/>
          </w:tcPr>
          <w:p>
            <w:pPr>
              <w:spacing w:after="0"/>
              <w:rPr>
                <w:sz w:val="18"/>
                <w:szCs w:val="18"/>
                <w:color w:val="auto"/>
              </w:rPr>
            </w:pPr>
          </w:p>
        </w:tc>
        <w:tc>
          <w:tcPr>
            <w:tcW w:w="2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International</w:t>
            </w:r>
          </w:p>
        </w:tc>
        <w:tc>
          <w:tcPr>
            <w:tcW w:w="18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213</w:t>
            </w: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7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1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378</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70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Alphagan/Combigan </w:t>
            </w:r>
            <w:r>
              <w:rPr>
                <w:rFonts w:ascii="Arial" w:cs="Arial" w:eastAsia="Arial" w:hAnsi="Arial"/>
                <w:sz w:val="21"/>
                <w:szCs w:val="21"/>
                <w:color w:val="auto"/>
                <w:vertAlign w:val="superscript"/>
              </w:rPr>
              <w:t>(a)</w:t>
            </w:r>
          </w:p>
        </w:tc>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7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International</w:t>
            </w:r>
          </w:p>
        </w:tc>
        <w:tc>
          <w:tcPr>
            <w:tcW w:w="18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2700" w:type="dxa"/>
            <w:vAlign w:val="bottom"/>
            <w:tcBorders>
              <w:bottom w:val="single" w:sz="8" w:color="auto"/>
            </w:tcBorders>
            <w:shd w:val="clear" w:color="auto" w:fill="CCEEFF"/>
          </w:tcPr>
          <w:p>
            <w:pPr>
              <w:spacing w:after="0"/>
              <w:rPr>
                <w:sz w:val="20"/>
                <w:szCs w:val="20"/>
                <w:color w:val="auto"/>
              </w:rPr>
            </w:pPr>
          </w:p>
        </w:tc>
        <w:tc>
          <w:tcPr>
            <w:tcW w:w="2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326</w:t>
            </w:r>
          </w:p>
        </w:tc>
        <w:tc>
          <w:tcPr>
            <w:tcW w:w="4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700" w:type="dxa"/>
            <w:vAlign w:val="bottom"/>
          </w:tcPr>
          <w:p>
            <w:pPr>
              <w:ind w:left="20"/>
              <w:spacing w:after="0" w:line="213" w:lineRule="exact"/>
              <w:rPr>
                <w:sz w:val="20"/>
                <w:szCs w:val="20"/>
                <w:color w:val="auto"/>
              </w:rPr>
            </w:pPr>
            <w:r>
              <w:rPr>
                <w:rFonts w:ascii="Arial" w:cs="Arial" w:eastAsia="Arial" w:hAnsi="Arial"/>
                <w:sz w:val="16"/>
                <w:szCs w:val="16"/>
                <w:color w:val="auto"/>
              </w:rPr>
              <w:t xml:space="preserve">Restasis </w:t>
            </w:r>
            <w:r>
              <w:rPr>
                <w:rFonts w:ascii="Arial" w:cs="Arial" w:eastAsia="Arial" w:hAnsi="Arial"/>
                <w:sz w:val="21"/>
                <w:szCs w:val="21"/>
                <w:color w:val="auto"/>
                <w:vertAlign w:val="superscript"/>
              </w:rPr>
              <w:t>(a)</w:t>
            </w:r>
          </w:p>
        </w:tc>
        <w:tc>
          <w:tcPr>
            <w:tcW w:w="252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18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755</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700" w:type="dxa"/>
            <w:vAlign w:val="bottom"/>
            <w:tcBorders>
              <w:bottom w:val="single" w:sz="8" w:color="auto"/>
            </w:tcBorders>
            <w:shd w:val="clear" w:color="auto" w:fill="CCEEFF"/>
          </w:tcPr>
          <w:p>
            <w:pPr>
              <w:spacing w:after="0"/>
              <w:rPr>
                <w:sz w:val="18"/>
                <w:szCs w:val="18"/>
                <w:color w:val="auto"/>
              </w:rPr>
            </w:pPr>
          </w:p>
        </w:tc>
        <w:tc>
          <w:tcPr>
            <w:tcW w:w="2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International</w:t>
            </w:r>
          </w:p>
        </w:tc>
        <w:tc>
          <w:tcPr>
            <w:tcW w:w="18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7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1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787</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70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Other Eye Care </w:t>
            </w:r>
            <w:r>
              <w:rPr>
                <w:rFonts w:ascii="Arial" w:cs="Arial" w:eastAsia="Arial" w:hAnsi="Arial"/>
                <w:sz w:val="21"/>
                <w:szCs w:val="21"/>
                <w:color w:val="auto"/>
                <w:vertAlign w:val="superscript"/>
              </w:rPr>
              <w:t>(a)</w:t>
            </w:r>
          </w:p>
        </w:tc>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7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International</w:t>
            </w:r>
          </w:p>
        </w:tc>
        <w:tc>
          <w:tcPr>
            <w:tcW w:w="18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388</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2700" w:type="dxa"/>
            <w:vAlign w:val="bottom"/>
            <w:tcBorders>
              <w:bottom w:val="single" w:sz="8" w:color="auto"/>
            </w:tcBorders>
            <w:shd w:val="clear" w:color="auto" w:fill="CCEEFF"/>
          </w:tcPr>
          <w:p>
            <w:pPr>
              <w:spacing w:after="0"/>
              <w:rPr>
                <w:sz w:val="20"/>
                <w:szCs w:val="20"/>
                <w:color w:val="auto"/>
              </w:rPr>
            </w:pPr>
          </w:p>
        </w:tc>
        <w:tc>
          <w:tcPr>
            <w:tcW w:w="2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693</w:t>
            </w:r>
          </w:p>
        </w:tc>
        <w:tc>
          <w:tcPr>
            <w:tcW w:w="4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2700" w:type="dxa"/>
            <w:vAlign w:val="bottom"/>
          </w:tcPr>
          <w:p>
            <w:pPr>
              <w:ind w:left="20"/>
              <w:spacing w:after="0"/>
              <w:rPr>
                <w:sz w:val="20"/>
                <w:szCs w:val="20"/>
                <w:color w:val="auto"/>
              </w:rPr>
            </w:pPr>
            <w:r>
              <w:rPr>
                <w:rFonts w:ascii="Arial" w:cs="Arial" w:eastAsia="Arial" w:hAnsi="Arial"/>
                <w:sz w:val="16"/>
                <w:szCs w:val="16"/>
                <w:b w:val="1"/>
                <w:bCs w:val="1"/>
                <w:color w:val="auto"/>
              </w:rPr>
              <w:t>Women's Health</w:t>
            </w:r>
          </w:p>
        </w:tc>
        <w:tc>
          <w:tcPr>
            <w:tcW w:w="2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27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Lo Loestrin </w:t>
            </w:r>
            <w:r>
              <w:rPr>
                <w:rFonts w:ascii="Arial" w:cs="Arial" w:eastAsia="Arial" w:hAnsi="Arial"/>
                <w:sz w:val="21"/>
                <w:szCs w:val="21"/>
                <w:color w:val="auto"/>
                <w:vertAlign w:val="superscript"/>
              </w:rPr>
              <w:t>(a)</w:t>
            </w:r>
          </w:p>
        </w:tc>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346</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7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International</w:t>
            </w:r>
          </w:p>
        </w:tc>
        <w:tc>
          <w:tcPr>
            <w:tcW w:w="18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2700" w:type="dxa"/>
            <w:vAlign w:val="bottom"/>
            <w:tcBorders>
              <w:bottom w:val="single" w:sz="8" w:color="auto"/>
            </w:tcBorders>
            <w:shd w:val="clear" w:color="auto" w:fill="CCEEFF"/>
          </w:tcPr>
          <w:p>
            <w:pPr>
              <w:spacing w:after="0"/>
              <w:rPr>
                <w:sz w:val="20"/>
                <w:szCs w:val="20"/>
                <w:color w:val="auto"/>
              </w:rPr>
            </w:pPr>
          </w:p>
        </w:tc>
        <w:tc>
          <w:tcPr>
            <w:tcW w:w="2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356</w:t>
            </w:r>
          </w:p>
        </w:tc>
        <w:tc>
          <w:tcPr>
            <w:tcW w:w="4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700" w:type="dxa"/>
            <w:vAlign w:val="bottom"/>
          </w:tcPr>
          <w:p>
            <w:pPr>
              <w:ind w:left="20"/>
              <w:spacing w:after="0"/>
              <w:rPr>
                <w:sz w:val="20"/>
                <w:szCs w:val="20"/>
                <w:color w:val="auto"/>
              </w:rPr>
            </w:pPr>
            <w:r>
              <w:rPr>
                <w:rFonts w:ascii="Arial" w:cs="Arial" w:eastAsia="Arial" w:hAnsi="Arial"/>
                <w:sz w:val="16"/>
                <w:szCs w:val="16"/>
                <w:color w:val="auto"/>
              </w:rPr>
              <w:t>Orilissa/Oriahnn</w:t>
            </w:r>
          </w:p>
        </w:tc>
        <w:tc>
          <w:tcPr>
            <w:tcW w:w="252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18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2700" w:type="dxa"/>
            <w:vAlign w:val="bottom"/>
            <w:tcBorders>
              <w:bottom w:val="single" w:sz="8" w:color="auto"/>
            </w:tcBorders>
            <w:shd w:val="clear" w:color="auto" w:fill="CCEEFF"/>
          </w:tcPr>
          <w:p>
            <w:pPr>
              <w:spacing w:after="0"/>
              <w:rPr>
                <w:sz w:val="18"/>
                <w:szCs w:val="18"/>
                <w:color w:val="auto"/>
              </w:rPr>
            </w:pPr>
          </w:p>
        </w:tc>
        <w:tc>
          <w:tcPr>
            <w:tcW w:w="2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International</w:t>
            </w:r>
          </w:p>
        </w:tc>
        <w:tc>
          <w:tcPr>
            <w:tcW w:w="18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7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1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270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Other Women's Health </w:t>
            </w:r>
            <w:r>
              <w:rPr>
                <w:rFonts w:ascii="Arial" w:cs="Arial" w:eastAsia="Arial" w:hAnsi="Arial"/>
                <w:sz w:val="21"/>
                <w:szCs w:val="21"/>
                <w:color w:val="auto"/>
                <w:vertAlign w:val="superscript"/>
              </w:rPr>
              <w:t>(a)</w:t>
            </w:r>
          </w:p>
        </w:tc>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7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International</w:t>
            </w:r>
          </w:p>
        </w:tc>
        <w:tc>
          <w:tcPr>
            <w:tcW w:w="18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2700" w:type="dxa"/>
            <w:vAlign w:val="bottom"/>
            <w:tcBorders>
              <w:bottom w:val="single" w:sz="8" w:color="auto"/>
            </w:tcBorders>
            <w:shd w:val="clear" w:color="auto" w:fill="CCEEFF"/>
          </w:tcPr>
          <w:p>
            <w:pPr>
              <w:spacing w:after="0"/>
              <w:rPr>
                <w:sz w:val="20"/>
                <w:szCs w:val="20"/>
                <w:color w:val="auto"/>
              </w:rPr>
            </w:pPr>
          </w:p>
        </w:tc>
        <w:tc>
          <w:tcPr>
            <w:tcW w:w="2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c>
          <w:tcPr>
            <w:tcW w:w="4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2700" w:type="dxa"/>
            <w:vAlign w:val="bottom"/>
          </w:tcPr>
          <w:p>
            <w:pPr>
              <w:ind w:left="20"/>
              <w:spacing w:after="0"/>
              <w:rPr>
                <w:sz w:val="20"/>
                <w:szCs w:val="20"/>
                <w:color w:val="auto"/>
              </w:rPr>
            </w:pPr>
            <w:r>
              <w:rPr>
                <w:rFonts w:ascii="Arial" w:cs="Arial" w:eastAsia="Arial" w:hAnsi="Arial"/>
                <w:sz w:val="16"/>
                <w:szCs w:val="16"/>
                <w:b w:val="1"/>
                <w:bCs w:val="1"/>
                <w:color w:val="auto"/>
              </w:rPr>
              <w:t>Other Key Products</w:t>
            </w:r>
          </w:p>
        </w:tc>
        <w:tc>
          <w:tcPr>
            <w:tcW w:w="2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Mavyret</w:t>
            </w:r>
          </w:p>
        </w:tc>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785</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1,473</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w:t>
            </w:r>
          </w:p>
        </w:tc>
      </w:tr>
      <w:tr>
        <w:trPr>
          <w:trHeight w:val="213"/>
        </w:trPr>
        <w:tc>
          <w:tcPr>
            <w:tcW w:w="27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International</w:t>
            </w:r>
          </w:p>
        </w:tc>
        <w:tc>
          <w:tcPr>
            <w:tcW w:w="18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1,045</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1,420</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1,824</w:t>
            </w:r>
          </w:p>
        </w:tc>
      </w:tr>
      <w:tr>
        <w:trPr>
          <w:trHeight w:val="237"/>
        </w:trPr>
        <w:tc>
          <w:tcPr>
            <w:tcW w:w="2700" w:type="dxa"/>
            <w:vAlign w:val="bottom"/>
            <w:tcBorders>
              <w:bottom w:val="single" w:sz="8" w:color="auto"/>
            </w:tcBorders>
            <w:shd w:val="clear" w:color="auto" w:fill="CCEEFF"/>
          </w:tcPr>
          <w:p>
            <w:pPr>
              <w:spacing w:after="0"/>
              <w:rPr>
                <w:sz w:val="20"/>
                <w:szCs w:val="20"/>
                <w:color w:val="auto"/>
              </w:rPr>
            </w:pPr>
          </w:p>
        </w:tc>
        <w:tc>
          <w:tcPr>
            <w:tcW w:w="2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1,830</w:t>
            </w:r>
          </w:p>
        </w:tc>
        <w:tc>
          <w:tcPr>
            <w:tcW w:w="4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2,893</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w:t>
            </w:r>
          </w:p>
        </w:tc>
      </w:tr>
      <w:tr>
        <w:trPr>
          <w:trHeight w:val="209"/>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Creon</w:t>
            </w:r>
          </w:p>
        </w:tc>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United States</w:t>
            </w:r>
          </w:p>
        </w:tc>
        <w:tc>
          <w:tcPr>
            <w:tcW w:w="1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1,114</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1,041</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w:t>
            </w:r>
          </w:p>
        </w:tc>
      </w:tr>
      <w:tr>
        <w:trPr>
          <w:trHeight w:val="213"/>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Lupron</w:t>
            </w:r>
          </w:p>
        </w:tc>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720</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r>
      <w:tr>
        <w:trPr>
          <w:trHeight w:val="213"/>
        </w:trPr>
        <w:tc>
          <w:tcPr>
            <w:tcW w:w="27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International</w:t>
            </w:r>
          </w:p>
        </w:tc>
        <w:tc>
          <w:tcPr>
            <w:tcW w:w="18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r>
      <w:tr>
        <w:trPr>
          <w:trHeight w:val="236"/>
        </w:trPr>
        <w:tc>
          <w:tcPr>
            <w:tcW w:w="2700" w:type="dxa"/>
            <w:vAlign w:val="bottom"/>
            <w:tcBorders>
              <w:bottom w:val="single" w:sz="8" w:color="auto"/>
            </w:tcBorders>
            <w:shd w:val="clear" w:color="auto" w:fill="CCEEFF"/>
          </w:tcPr>
          <w:p>
            <w:pPr>
              <w:spacing w:after="0"/>
              <w:rPr>
                <w:sz w:val="20"/>
                <w:szCs w:val="20"/>
                <w:color w:val="auto"/>
              </w:rPr>
            </w:pPr>
          </w:p>
        </w:tc>
        <w:tc>
          <w:tcPr>
            <w:tcW w:w="2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752</w:t>
            </w:r>
          </w:p>
        </w:tc>
        <w:tc>
          <w:tcPr>
            <w:tcW w:w="4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887</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w:t>
            </w:r>
          </w:p>
        </w:tc>
      </w:tr>
      <w:tr>
        <w:trPr>
          <w:trHeight w:val="213"/>
        </w:trPr>
        <w:tc>
          <w:tcPr>
            <w:tcW w:w="2700" w:type="dxa"/>
            <w:vAlign w:val="bottom"/>
          </w:tcPr>
          <w:p>
            <w:pPr>
              <w:ind w:left="20"/>
              <w:spacing w:after="0" w:line="213" w:lineRule="exact"/>
              <w:rPr>
                <w:sz w:val="20"/>
                <w:szCs w:val="20"/>
                <w:color w:val="auto"/>
              </w:rPr>
            </w:pPr>
            <w:r>
              <w:rPr>
                <w:rFonts w:ascii="Arial" w:cs="Arial" w:eastAsia="Arial" w:hAnsi="Arial"/>
                <w:sz w:val="16"/>
                <w:szCs w:val="16"/>
                <w:color w:val="auto"/>
              </w:rPr>
              <w:t xml:space="preserve">Linzess/Constella </w:t>
            </w:r>
            <w:r>
              <w:rPr>
                <w:rFonts w:ascii="Arial" w:cs="Arial" w:eastAsia="Arial" w:hAnsi="Arial"/>
                <w:sz w:val="21"/>
                <w:szCs w:val="21"/>
                <w:color w:val="auto"/>
                <w:vertAlign w:val="superscript"/>
              </w:rPr>
              <w:t>(a)</w:t>
            </w:r>
          </w:p>
        </w:tc>
        <w:tc>
          <w:tcPr>
            <w:tcW w:w="252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18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649</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700" w:type="dxa"/>
            <w:vAlign w:val="bottom"/>
            <w:tcBorders>
              <w:bottom w:val="single" w:sz="8" w:color="auto"/>
            </w:tcBorders>
            <w:shd w:val="clear" w:color="auto" w:fill="CCEEFF"/>
          </w:tcPr>
          <w:p>
            <w:pPr>
              <w:spacing w:after="0"/>
              <w:rPr>
                <w:sz w:val="18"/>
                <w:szCs w:val="18"/>
                <w:color w:val="auto"/>
              </w:rPr>
            </w:pPr>
          </w:p>
        </w:tc>
        <w:tc>
          <w:tcPr>
            <w:tcW w:w="2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International</w:t>
            </w:r>
          </w:p>
        </w:tc>
        <w:tc>
          <w:tcPr>
            <w:tcW w:w="18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7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1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667</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Synthroid</w:t>
            </w:r>
          </w:p>
        </w:tc>
        <w:tc>
          <w:tcPr>
            <w:tcW w:w="2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8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771</w:t>
            </w:r>
          </w:p>
        </w:tc>
        <w:tc>
          <w:tcPr>
            <w:tcW w:w="4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786</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w:t>
            </w:r>
          </w:p>
        </w:tc>
      </w:tr>
      <w:tr>
        <w:trPr>
          <w:trHeight w:val="209"/>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 other</w:t>
            </w:r>
          </w:p>
        </w:tc>
        <w:tc>
          <w:tcPr>
            <w:tcW w:w="25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2,923</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2,068</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2,408</w:t>
            </w:r>
          </w:p>
        </w:tc>
      </w:tr>
      <w:tr>
        <w:trPr>
          <w:trHeight w:val="235"/>
        </w:trPr>
        <w:tc>
          <w:tcPr>
            <w:tcW w:w="2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net revenues</w:t>
            </w:r>
          </w:p>
        </w:tc>
        <w:tc>
          <w:tcPr>
            <w:tcW w:w="25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45,804</w:t>
            </w:r>
          </w:p>
        </w:tc>
        <w:tc>
          <w:tcPr>
            <w:tcW w:w="4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33,266</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32,753</w:t>
            </w:r>
          </w:p>
        </w:tc>
      </w:tr>
      <w:tr>
        <w:trPr>
          <w:trHeight w:val="20"/>
        </w:trPr>
        <w:tc>
          <w:tcPr>
            <w:tcW w:w="270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9"/>
          <w:szCs w:val="9"/>
          <w:color w:val="auto"/>
        </w:rPr>
      </w:pPr>
      <w:r>
        <w:rPr>
          <w:rFonts w:ascii="Arial" w:cs="Arial" w:eastAsia="Arial" w:hAnsi="Arial"/>
          <w:sz w:val="14"/>
          <w:szCs w:val="14"/>
          <w:color w:val="auto"/>
        </w:rPr>
        <w:t>Net revenues include Allergan product revenues from the date of the acquisition, May 8, 2020, through December 31, 2020.</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94</w:t>
            </w:r>
          </w:p>
        </w:tc>
      </w:tr>
      <w:tr>
        <w:trPr>
          <w:trHeight w:val="201"/>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-334010</wp:posOffset>
            </wp:positionV>
            <wp:extent cx="600075" cy="1111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0075" cy="11112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97" w:name="page98"/>
    <w:bookmarkEnd w:id="97"/>
    <w:p>
      <w:pPr>
        <w:ind w:left="460"/>
        <w:spacing w:after="0"/>
        <w:rPr>
          <w:sz w:val="20"/>
          <w:szCs w:val="20"/>
          <w:color w:val="auto"/>
        </w:rPr>
      </w:pPr>
      <w:r>
        <w:rPr>
          <w:rFonts w:ascii="Arial" w:cs="Arial" w:eastAsia="Arial" w:hAnsi="Arial"/>
          <w:sz w:val="18"/>
          <w:szCs w:val="18"/>
          <w:color w:val="auto"/>
        </w:rPr>
        <w:t>Net revenues to external customers by geographic area, based on product shipment destination, were as follows: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ended December 31 (in millions)</w:t>
            </w:r>
          </w:p>
        </w:tc>
        <w:tc>
          <w:tcPr>
            <w:tcW w:w="2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34,879</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23,907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21,524</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Japan</w:t>
            </w:r>
          </w:p>
        </w:tc>
        <w:tc>
          <w:tcPr>
            <w:tcW w:w="234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1,198</w:t>
            </w:r>
          </w:p>
        </w:tc>
        <w:tc>
          <w:tcPr>
            <w:tcW w:w="42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1,211</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1,591</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1,159</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813</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Germany</w:t>
            </w:r>
          </w:p>
        </w:tc>
        <w:tc>
          <w:tcPr>
            <w:tcW w:w="234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1,049</w:t>
            </w:r>
          </w:p>
        </w:tc>
        <w:tc>
          <w:tcPr>
            <w:tcW w:w="42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909</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1,292</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France</w:t>
            </w:r>
          </w:p>
        </w:tc>
        <w:tc>
          <w:tcPr>
            <w:tcW w:w="2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797</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695</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Australia</w:t>
            </w:r>
          </w:p>
        </w:tc>
        <w:tc>
          <w:tcPr>
            <w:tcW w:w="234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527</w:t>
            </w:r>
          </w:p>
        </w:tc>
        <w:tc>
          <w:tcPr>
            <w:tcW w:w="42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395</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2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372</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China</w:t>
            </w:r>
          </w:p>
        </w:tc>
        <w:tc>
          <w:tcPr>
            <w:tcW w:w="234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471</w:t>
            </w:r>
          </w:p>
        </w:tc>
        <w:tc>
          <w:tcPr>
            <w:tcW w:w="42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195</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Spain</w:t>
            </w:r>
          </w:p>
        </w:tc>
        <w:tc>
          <w:tcPr>
            <w:tcW w:w="2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453</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472</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Brazil</w:t>
            </w:r>
          </w:p>
        </w:tc>
        <w:tc>
          <w:tcPr>
            <w:tcW w:w="234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406</w:t>
            </w:r>
          </w:p>
        </w:tc>
        <w:tc>
          <w:tcPr>
            <w:tcW w:w="42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359</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Italy</w:t>
            </w:r>
          </w:p>
        </w:tc>
        <w:tc>
          <w:tcPr>
            <w:tcW w:w="2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379</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372</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29"/>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 other countries</w:t>
            </w:r>
          </w:p>
        </w:tc>
        <w:tc>
          <w:tcPr>
            <w:tcW w:w="2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3,977</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3,566</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3,863</w:t>
            </w:r>
          </w:p>
        </w:tc>
      </w:tr>
      <w:tr>
        <w:trPr>
          <w:trHeight w:val="248"/>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2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45,804</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33,266</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32,753</w:t>
            </w:r>
          </w:p>
        </w:tc>
      </w:tr>
      <w:tr>
        <w:trPr>
          <w:trHeight w:val="20"/>
        </w:trPr>
        <w:tc>
          <w:tcPr>
            <w:tcW w:w="8120" w:type="dxa"/>
            <w:vAlign w:val="bottom"/>
            <w:tcBorders>
              <w:top w:val="single" w:sz="8" w:color="CCEEFF"/>
              <w:bottom w:val="single" w:sz="8" w:color="auto"/>
            </w:tcBorders>
            <w:gridSpan w:val="3"/>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38"/>
        </w:trPr>
        <w:tc>
          <w:tcPr>
            <w:tcW w:w="8120" w:type="dxa"/>
            <w:vAlign w:val="bottom"/>
            <w:gridSpan w:val="3"/>
          </w:tcPr>
          <w:p>
            <w:pPr>
              <w:ind w:left="440"/>
              <w:spacing w:after="0"/>
              <w:rPr>
                <w:sz w:val="20"/>
                <w:szCs w:val="20"/>
                <w:color w:val="auto"/>
              </w:rPr>
            </w:pPr>
            <w:r>
              <w:rPr>
                <w:rFonts w:ascii="Arial" w:cs="Arial" w:eastAsia="Arial" w:hAnsi="Arial"/>
                <w:sz w:val="18"/>
                <w:szCs w:val="18"/>
                <w:color w:val="auto"/>
              </w:rPr>
              <w:t>Long-lived assets, primarily net property and equipment, by geographic area were as follows:</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4"/>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(in millions)</w:t>
            </w:r>
          </w:p>
        </w:tc>
        <w:tc>
          <w:tcPr>
            <w:tcW w:w="2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and Puerto Rico</w:t>
            </w:r>
          </w:p>
        </w:tc>
        <w:tc>
          <w:tcPr>
            <w:tcW w:w="2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3,354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Europe</w:t>
            </w:r>
          </w:p>
        </w:tc>
        <w:tc>
          <w:tcPr>
            <w:tcW w:w="2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1,534</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30"/>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2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360</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2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long-lived assets</w:t>
            </w:r>
          </w:p>
        </w:tc>
        <w:tc>
          <w:tcPr>
            <w:tcW w:w="2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5,248</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w:t>
            </w:r>
          </w:p>
        </w:tc>
      </w:tr>
      <w:tr>
        <w:trPr>
          <w:trHeight w:val="21"/>
        </w:trPr>
        <w:tc>
          <w:tcPr>
            <w:tcW w:w="46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17 Fourth Quarter Financial Results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quarter ended December 31 (in millions except per share data)</w:t>
            </w:r>
          </w:p>
        </w:tc>
        <w:tc>
          <w:tcPr>
            <w:tcW w:w="30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13,858</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0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9,174</w:t>
            </w:r>
          </w:p>
        </w:tc>
      </w:tr>
      <w:tr>
        <w:trPr>
          <w:trHeight w:val="230"/>
        </w:trPr>
        <w:tc>
          <w:tcPr>
            <w:tcW w:w="7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earnings attributable to AbbVie Inc.</w:t>
            </w:r>
            <w:r>
              <w:rPr>
                <w:rFonts w:ascii="Arial" w:cs="Arial" w:eastAsia="Arial" w:hAnsi="Arial"/>
                <w:sz w:val="23"/>
                <w:szCs w:val="23"/>
                <w:color w:val="auto"/>
                <w:vertAlign w:val="superscript"/>
              </w:rPr>
              <w:t>(a)</w:t>
            </w:r>
          </w:p>
        </w:tc>
        <w:tc>
          <w:tcPr>
            <w:tcW w:w="30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Basic earnings per share attributable to AbbVie Inc.</w:t>
            </w:r>
          </w:p>
        </w:tc>
        <w:tc>
          <w:tcPr>
            <w:tcW w:w="30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 attributable to AbbVie Inc.</w:t>
            </w:r>
          </w:p>
        </w:tc>
        <w:tc>
          <w:tcPr>
            <w:tcW w:w="3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3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bl>
    <w:p>
      <w:pPr>
        <w:spacing w:after="0" w:line="134" w:lineRule="exact"/>
        <w:rPr>
          <w:sz w:val="20"/>
          <w:szCs w:val="20"/>
          <w:color w:val="auto"/>
        </w:rPr>
      </w:pPr>
    </w:p>
    <w:p>
      <w:pPr>
        <w:ind w:left="460" w:right="260" w:hanging="452"/>
        <w:spacing w:after="0" w:line="261" w:lineRule="auto"/>
        <w:tabs>
          <w:tab w:leader="none" w:pos="472"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Fourth quarter results in 2020 included after-tax charges of $4.7 billion related to the change in fair value of contingent consideration liabilities partially offset by an after-tax benefit of $1.5 billion due to impacts related to tax law changes.</w:t>
      </w:r>
    </w:p>
    <w:p>
      <w:pPr>
        <w:spacing w:after="0" w:line="200" w:lineRule="exact"/>
        <w:rPr>
          <w:sz w:val="20"/>
          <w:szCs w:val="20"/>
          <w:color w:val="auto"/>
        </w:rPr>
      </w:pPr>
    </w:p>
    <w:p>
      <w:pPr>
        <w:spacing w:after="0" w:line="319"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95</w:t>
      </w:r>
      <w:r>
        <w:rPr>
          <w:sz w:val="20"/>
          <w:szCs w:val="20"/>
          <w:color w:val="auto"/>
        </w:rPr>
        <w:tab/>
      </w:r>
      <w:r>
        <w:rPr>
          <w:sz w:val="1"/>
          <w:szCs w:val="1"/>
          <w:color w:val="auto"/>
        </w:rPr>
        <w:drawing>
          <wp:inline distT="0" distB="0" distL="0" distR="0">
            <wp:extent cx="600075" cy="11176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0075" cy="11176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8" w:name="page99"/>
    <w:bookmarkEnd w:id="98"/>
    <w:p>
      <w:pPr>
        <w:ind w:left="2640"/>
        <w:spacing w:after="0"/>
        <w:rPr>
          <w:sz w:val="20"/>
          <w:szCs w:val="20"/>
          <w:color w:val="auto"/>
        </w:rPr>
      </w:pPr>
      <w:r>
        <w:rPr>
          <w:rFonts w:ascii="Arial" w:cs="Arial" w:eastAsia="Arial" w:hAnsi="Arial"/>
          <w:sz w:val="22"/>
          <w:szCs w:val="22"/>
          <w:b w:val="1"/>
          <w:bCs w:val="1"/>
          <w:color w:val="444867"/>
        </w:rPr>
        <w:t>Report of Independent Registered Public Accounting Firm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AbbVie Inc.</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have audited the accompanying consolidated balance sheets of AbbVie Inc. and subsidiaries (the Company) as of December 31, 2020 and 2019, and the related consolidated statements of earnings, comprehensive income,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2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19, 2021 expressed an unqualified opinion thereon.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8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10360" w:type="dxa"/>
            <w:vAlign w:val="bottom"/>
          </w:tcPr>
          <w:p>
            <w:pPr>
              <w:ind w:left="818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96</w:t>
            </w:r>
          </w:p>
        </w:tc>
      </w:tr>
      <w:tr>
        <w:trPr>
          <w:trHeight w:val="196"/>
        </w:trPr>
        <w:tc>
          <w:tcPr>
            <w:tcW w:w="103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-325120</wp:posOffset>
            </wp:positionV>
            <wp:extent cx="600075" cy="1111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0075" cy="11112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99" w:name="page100"/>
    <w:bookmarkEnd w:id="99"/>
    <w:tbl>
      <w:tblPr>
        <w:tblLayout w:type="fixed"/>
        <w:tblInd w:w="420" w:type="dxa"/>
        <w:tblCellMar>
          <w:top w:w="0" w:type="dxa"/>
          <w:left w:w="0" w:type="dxa"/>
          <w:bottom w:w="0" w:type="dxa"/>
          <w:right w:w="0" w:type="dxa"/>
        </w:tblCellMar>
      </w:tblPr>
      <w:tr>
        <w:trPr>
          <w:trHeight w:val="239"/>
        </w:trPr>
        <w:tc>
          <w:tcPr>
            <w:tcW w:w="1680" w:type="dxa"/>
            <w:vAlign w:val="bottom"/>
            <w:vMerge w:val="restart"/>
          </w:tcPr>
          <w:p>
            <w:pPr>
              <w:spacing w:after="0"/>
              <w:rPr>
                <w:sz w:val="20"/>
                <w:szCs w:val="20"/>
                <w:color w:val="auto"/>
              </w:rPr>
            </w:pPr>
            <w:r>
              <w:rPr>
                <w:rFonts w:ascii="Arial" w:cs="Arial" w:eastAsia="Arial" w:hAnsi="Arial"/>
                <w:sz w:val="18"/>
                <w:szCs w:val="18"/>
                <w:i w:val="1"/>
                <w:iCs w:val="1"/>
                <w:color w:val="auto"/>
              </w:rPr>
              <w:t>Description of the</w:t>
            </w:r>
          </w:p>
        </w:tc>
        <w:tc>
          <w:tcPr>
            <w:tcW w:w="864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Sales rebate accruals for Medicaid, Medicare and managed care programs</w:t>
            </w:r>
          </w:p>
        </w:tc>
        <w:tc>
          <w:tcPr>
            <w:tcW w:w="0" w:type="dxa"/>
            <w:vAlign w:val="bottom"/>
          </w:tcPr>
          <w:p>
            <w:pPr>
              <w:spacing w:after="0"/>
              <w:rPr>
                <w:sz w:val="1"/>
                <w:szCs w:val="1"/>
                <w:color w:val="auto"/>
              </w:rPr>
            </w:pPr>
          </w:p>
        </w:tc>
      </w:tr>
      <w:tr>
        <w:trPr>
          <w:trHeight w:val="175"/>
        </w:trPr>
        <w:tc>
          <w:tcPr>
            <w:tcW w:w="1680" w:type="dxa"/>
            <w:vAlign w:val="bottom"/>
            <w:vMerge w:val="continue"/>
          </w:tcPr>
          <w:p>
            <w:pPr>
              <w:spacing w:after="0"/>
              <w:rPr>
                <w:sz w:val="15"/>
                <w:szCs w:val="15"/>
                <w:color w:val="auto"/>
              </w:rPr>
            </w:pPr>
          </w:p>
        </w:tc>
        <w:tc>
          <w:tcPr>
            <w:tcW w:w="8640" w:type="dxa"/>
            <w:vAlign w:val="bottom"/>
          </w:tcPr>
          <w:p>
            <w:pPr>
              <w:ind w:left="160"/>
              <w:spacing w:after="0" w:line="176" w:lineRule="exact"/>
              <w:rPr>
                <w:sz w:val="20"/>
                <w:szCs w:val="20"/>
                <w:color w:val="auto"/>
              </w:rPr>
            </w:pPr>
            <w:r>
              <w:rPr>
                <w:rFonts w:ascii="Arial" w:cs="Arial" w:eastAsia="Arial" w:hAnsi="Arial"/>
                <w:sz w:val="18"/>
                <w:szCs w:val="18"/>
                <w:color w:val="auto"/>
              </w:rPr>
              <w:t>As discussed in Note 2 to the consolidated financial statements under the caption “Revenue Recognition,”</w:t>
            </w:r>
          </w:p>
        </w:tc>
        <w:tc>
          <w:tcPr>
            <w:tcW w:w="0" w:type="dxa"/>
            <w:vAlign w:val="bottom"/>
          </w:tcPr>
          <w:p>
            <w:pPr>
              <w:spacing w:after="0"/>
              <w:rPr>
                <w:sz w:val="1"/>
                <w:szCs w:val="1"/>
                <w:color w:val="auto"/>
              </w:rPr>
            </w:pPr>
          </w:p>
        </w:tc>
      </w:tr>
      <w:tr>
        <w:trPr>
          <w:trHeight w:val="188"/>
        </w:trPr>
        <w:tc>
          <w:tcPr>
            <w:tcW w:w="1680" w:type="dxa"/>
            <w:vAlign w:val="bottom"/>
          </w:tcPr>
          <w:p>
            <w:pPr>
              <w:spacing w:after="0" w:line="189" w:lineRule="exact"/>
              <w:rPr>
                <w:sz w:val="20"/>
                <w:szCs w:val="20"/>
                <w:color w:val="auto"/>
              </w:rPr>
            </w:pPr>
            <w:r>
              <w:rPr>
                <w:rFonts w:ascii="Arial" w:cs="Arial" w:eastAsia="Arial" w:hAnsi="Arial"/>
                <w:sz w:val="18"/>
                <w:szCs w:val="18"/>
                <w:i w:val="1"/>
                <w:iCs w:val="1"/>
                <w:color w:val="auto"/>
              </w:rPr>
              <w:t>Matter</w:t>
            </w:r>
          </w:p>
        </w:tc>
        <w:tc>
          <w:tcPr>
            <w:tcW w:w="8640" w:type="dxa"/>
            <w:vAlign w:val="bottom"/>
          </w:tcPr>
          <w:p>
            <w:pPr>
              <w:ind w:left="160"/>
              <w:spacing w:after="0" w:line="189" w:lineRule="exact"/>
              <w:rPr>
                <w:sz w:val="20"/>
                <w:szCs w:val="20"/>
                <w:color w:val="auto"/>
              </w:rPr>
            </w:pPr>
            <w:r>
              <w:rPr>
                <w:rFonts w:ascii="Arial" w:cs="Arial" w:eastAsia="Arial" w:hAnsi="Arial"/>
                <w:sz w:val="18"/>
                <w:szCs w:val="18"/>
                <w:color w:val="auto"/>
              </w:rPr>
              <w:t>the Company established provisions for sales rebates in the same period the related product is sold. At</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640" w:type="dxa"/>
            <w:vAlign w:val="bottom"/>
          </w:tcPr>
          <w:p>
            <w:pPr>
              <w:ind w:left="160"/>
              <w:spacing w:after="0" w:line="176" w:lineRule="exact"/>
              <w:rPr>
                <w:sz w:val="20"/>
                <w:szCs w:val="20"/>
                <w:color w:val="auto"/>
              </w:rPr>
            </w:pPr>
            <w:r>
              <w:rPr>
                <w:rFonts w:ascii="Arial" w:cs="Arial" w:eastAsia="Arial" w:hAnsi="Arial"/>
                <w:sz w:val="18"/>
                <w:szCs w:val="18"/>
                <w:color w:val="auto"/>
              </w:rPr>
              <w:t>December 31, 2020, the Company had $7,188 million in sales rebate accruals, a large portion of which</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640" w:type="dxa"/>
            <w:vAlign w:val="bottom"/>
          </w:tcPr>
          <w:p>
            <w:pPr>
              <w:ind w:left="160"/>
              <w:spacing w:after="0" w:line="176" w:lineRule="exact"/>
              <w:rPr>
                <w:sz w:val="20"/>
                <w:szCs w:val="20"/>
                <w:color w:val="auto"/>
              </w:rPr>
            </w:pPr>
            <w:r>
              <w:rPr>
                <w:rFonts w:ascii="Arial" w:cs="Arial" w:eastAsia="Arial" w:hAnsi="Arial"/>
                <w:sz w:val="18"/>
                <w:szCs w:val="18"/>
                <w:color w:val="auto"/>
                <w:w w:val="99"/>
              </w:rPr>
              <w:t>were for rebates provided to pharmacy benefit managers, state government Medicaid programs, insurance</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640" w:type="dxa"/>
            <w:vAlign w:val="bottom"/>
          </w:tcPr>
          <w:p>
            <w:pPr>
              <w:ind w:left="160"/>
              <w:spacing w:after="0" w:line="176" w:lineRule="exact"/>
              <w:rPr>
                <w:sz w:val="20"/>
                <w:szCs w:val="20"/>
                <w:color w:val="auto"/>
              </w:rPr>
            </w:pPr>
            <w:r>
              <w:rPr>
                <w:rFonts w:ascii="Arial" w:cs="Arial" w:eastAsia="Arial" w:hAnsi="Arial"/>
                <w:sz w:val="18"/>
                <w:szCs w:val="18"/>
                <w:color w:val="auto"/>
              </w:rPr>
              <w:t>companies that administer Medicare drug plans and private entities for Medicaid, Medicare and managed</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640" w:type="dxa"/>
            <w:vAlign w:val="bottom"/>
          </w:tcPr>
          <w:p>
            <w:pPr>
              <w:ind w:left="160"/>
              <w:spacing w:after="0" w:line="176" w:lineRule="exact"/>
              <w:rPr>
                <w:sz w:val="20"/>
                <w:szCs w:val="20"/>
                <w:color w:val="auto"/>
              </w:rPr>
            </w:pPr>
            <w:r>
              <w:rPr>
                <w:rFonts w:ascii="Arial" w:cs="Arial" w:eastAsia="Arial" w:hAnsi="Arial"/>
                <w:sz w:val="18"/>
                <w:szCs w:val="18"/>
                <w:color w:val="auto"/>
              </w:rPr>
              <w:t>care programs. In order to establish these sales rebate accruals, the Company estimated its rebates</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640" w:type="dxa"/>
            <w:vAlign w:val="bottom"/>
          </w:tcPr>
          <w:p>
            <w:pPr>
              <w:ind w:left="160"/>
              <w:spacing w:after="0" w:line="176" w:lineRule="exact"/>
              <w:rPr>
                <w:sz w:val="20"/>
                <w:szCs w:val="20"/>
                <w:color w:val="auto"/>
              </w:rPr>
            </w:pPr>
            <w:r>
              <w:rPr>
                <w:rFonts w:ascii="Arial" w:cs="Arial" w:eastAsia="Arial" w:hAnsi="Arial"/>
                <w:sz w:val="18"/>
                <w:szCs w:val="18"/>
                <w:color w:val="auto"/>
                <w:w w:val="99"/>
              </w:rPr>
              <w:t>based upon the identification of the products subject to a rebate, the applicable price and rebate terms and</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18"/>
                <w:szCs w:val="18"/>
                <w:color w:val="auto"/>
              </w:rPr>
            </w:pPr>
          </w:p>
        </w:tc>
        <w:tc>
          <w:tcPr>
            <w:tcW w:w="8640" w:type="dxa"/>
            <w:vAlign w:val="bottom"/>
          </w:tcPr>
          <w:p>
            <w:pPr>
              <w:ind w:left="160"/>
              <w:spacing w:after="0"/>
              <w:rPr>
                <w:sz w:val="20"/>
                <w:szCs w:val="20"/>
                <w:color w:val="auto"/>
              </w:rPr>
            </w:pPr>
            <w:r>
              <w:rPr>
                <w:rFonts w:ascii="Arial" w:cs="Arial" w:eastAsia="Arial" w:hAnsi="Arial"/>
                <w:sz w:val="18"/>
                <w:szCs w:val="18"/>
                <w:color w:val="auto"/>
              </w:rPr>
              <w:t>the estimated lag time between the sale and payment of the rebate.</w:t>
            </w:r>
          </w:p>
        </w:tc>
        <w:tc>
          <w:tcPr>
            <w:tcW w:w="0" w:type="dxa"/>
            <w:vAlign w:val="bottom"/>
          </w:tcPr>
          <w:p>
            <w:pPr>
              <w:spacing w:after="0"/>
              <w:rPr>
                <w:sz w:val="1"/>
                <w:szCs w:val="1"/>
                <w:color w:val="auto"/>
              </w:rPr>
            </w:pPr>
          </w:p>
        </w:tc>
      </w:tr>
      <w:tr>
        <w:trPr>
          <w:trHeight w:val="296"/>
        </w:trPr>
        <w:tc>
          <w:tcPr>
            <w:tcW w:w="1680" w:type="dxa"/>
            <w:vAlign w:val="bottom"/>
          </w:tcPr>
          <w:p>
            <w:pPr>
              <w:spacing w:after="0"/>
              <w:rPr>
                <w:sz w:val="24"/>
                <w:szCs w:val="24"/>
                <w:color w:val="auto"/>
              </w:rPr>
            </w:pPr>
          </w:p>
        </w:tc>
        <w:tc>
          <w:tcPr>
            <w:tcW w:w="8640" w:type="dxa"/>
            <w:vAlign w:val="bottom"/>
          </w:tcPr>
          <w:p>
            <w:pPr>
              <w:ind w:left="160"/>
              <w:spacing w:after="0"/>
              <w:rPr>
                <w:sz w:val="20"/>
                <w:szCs w:val="20"/>
                <w:color w:val="auto"/>
              </w:rPr>
            </w:pPr>
            <w:r>
              <w:rPr>
                <w:rFonts w:ascii="Arial" w:cs="Arial" w:eastAsia="Arial" w:hAnsi="Arial"/>
                <w:sz w:val="18"/>
                <w:szCs w:val="18"/>
                <w:color w:val="auto"/>
              </w:rPr>
              <w:t>Auditing the Medicaid, Medicare and managed care sales rebate accruals was complex and required</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640" w:type="dxa"/>
            <w:vAlign w:val="bottom"/>
          </w:tcPr>
          <w:p>
            <w:pPr>
              <w:ind w:left="160"/>
              <w:spacing w:after="0" w:line="176" w:lineRule="exact"/>
              <w:rPr>
                <w:sz w:val="20"/>
                <w:szCs w:val="20"/>
                <w:color w:val="auto"/>
              </w:rPr>
            </w:pPr>
            <w:r>
              <w:rPr>
                <w:rFonts w:ascii="Arial" w:cs="Arial" w:eastAsia="Arial" w:hAnsi="Arial"/>
                <w:sz w:val="18"/>
                <w:szCs w:val="18"/>
                <w:color w:val="auto"/>
              </w:rPr>
              <w:t>significant auditor judgment because the accruals consider multiple subjective and complex estimates and</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640" w:type="dxa"/>
            <w:vAlign w:val="bottom"/>
          </w:tcPr>
          <w:p>
            <w:pPr>
              <w:ind w:left="160"/>
              <w:spacing w:after="0" w:line="176" w:lineRule="exact"/>
              <w:rPr>
                <w:sz w:val="20"/>
                <w:szCs w:val="20"/>
                <w:color w:val="auto"/>
              </w:rPr>
            </w:pPr>
            <w:r>
              <w:rPr>
                <w:rFonts w:ascii="Arial" w:cs="Arial" w:eastAsia="Arial" w:hAnsi="Arial"/>
                <w:sz w:val="18"/>
                <w:szCs w:val="18"/>
                <w:color w:val="auto"/>
              </w:rPr>
              <w:t>assumptions. These estimates and assumptions included the estimated inventory in the distribution</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640" w:type="dxa"/>
            <w:vAlign w:val="bottom"/>
          </w:tcPr>
          <w:p>
            <w:pPr>
              <w:ind w:left="160"/>
              <w:spacing w:after="0" w:line="176" w:lineRule="exact"/>
              <w:rPr>
                <w:sz w:val="20"/>
                <w:szCs w:val="20"/>
                <w:color w:val="auto"/>
              </w:rPr>
            </w:pPr>
            <w:r>
              <w:rPr>
                <w:rFonts w:ascii="Arial" w:cs="Arial" w:eastAsia="Arial" w:hAnsi="Arial"/>
                <w:sz w:val="18"/>
                <w:szCs w:val="18"/>
                <w:color w:val="auto"/>
              </w:rPr>
              <w:t>channel, which impacts the lag time between the sale to the customer and payment of the rebate, and the</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640" w:type="dxa"/>
            <w:vAlign w:val="bottom"/>
          </w:tcPr>
          <w:p>
            <w:pPr>
              <w:ind w:left="160"/>
              <w:spacing w:after="0" w:line="176" w:lineRule="exact"/>
              <w:rPr>
                <w:sz w:val="20"/>
                <w:szCs w:val="20"/>
                <w:color w:val="auto"/>
              </w:rPr>
            </w:pPr>
            <w:r>
              <w:rPr>
                <w:rFonts w:ascii="Arial" w:cs="Arial" w:eastAsia="Arial" w:hAnsi="Arial"/>
                <w:sz w:val="18"/>
                <w:szCs w:val="18"/>
                <w:color w:val="auto"/>
              </w:rPr>
              <w:t>final payer related to product sales, which impacts the applicable price and rebate terms. In deriving these</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640" w:type="dxa"/>
            <w:vAlign w:val="bottom"/>
          </w:tcPr>
          <w:p>
            <w:pPr>
              <w:ind w:left="160"/>
              <w:spacing w:after="0" w:line="176" w:lineRule="exact"/>
              <w:rPr>
                <w:sz w:val="20"/>
                <w:szCs w:val="20"/>
                <w:color w:val="auto"/>
              </w:rPr>
            </w:pPr>
            <w:r>
              <w:rPr>
                <w:rFonts w:ascii="Arial" w:cs="Arial" w:eastAsia="Arial" w:hAnsi="Arial"/>
                <w:sz w:val="18"/>
                <w:szCs w:val="18"/>
                <w:color w:val="auto"/>
              </w:rPr>
              <w:t>estimates and assumptions, the Company used both internal and external sources of information to</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640" w:type="dxa"/>
            <w:vAlign w:val="bottom"/>
          </w:tcPr>
          <w:p>
            <w:pPr>
              <w:ind w:left="160"/>
              <w:spacing w:after="0" w:line="176" w:lineRule="exact"/>
              <w:rPr>
                <w:sz w:val="20"/>
                <w:szCs w:val="20"/>
                <w:color w:val="auto"/>
              </w:rPr>
            </w:pPr>
            <w:r>
              <w:rPr>
                <w:rFonts w:ascii="Arial" w:cs="Arial" w:eastAsia="Arial" w:hAnsi="Arial"/>
                <w:sz w:val="18"/>
                <w:szCs w:val="18"/>
                <w:color w:val="auto"/>
              </w:rPr>
              <w:t>estimate product in the distribution channels, payer mix, prescription volumes and historical experience.</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640" w:type="dxa"/>
            <w:vAlign w:val="bottom"/>
          </w:tcPr>
          <w:p>
            <w:pPr>
              <w:ind w:left="160"/>
              <w:spacing w:after="0" w:line="176" w:lineRule="exact"/>
              <w:rPr>
                <w:sz w:val="20"/>
                <w:szCs w:val="20"/>
                <w:color w:val="auto"/>
              </w:rPr>
            </w:pPr>
            <w:r>
              <w:rPr>
                <w:rFonts w:ascii="Arial" w:cs="Arial" w:eastAsia="Arial" w:hAnsi="Arial"/>
                <w:sz w:val="18"/>
                <w:szCs w:val="18"/>
                <w:color w:val="auto"/>
                <w:w w:val="99"/>
              </w:rPr>
              <w:t>Management supplemented its historical data analysis with qualitative adjustments based upon changes in</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640" w:type="dxa"/>
            <w:vAlign w:val="bottom"/>
          </w:tcPr>
          <w:p>
            <w:pPr>
              <w:ind w:left="160"/>
              <w:spacing w:after="0" w:line="176" w:lineRule="exact"/>
              <w:rPr>
                <w:sz w:val="20"/>
                <w:szCs w:val="20"/>
                <w:color w:val="auto"/>
              </w:rPr>
            </w:pPr>
            <w:r>
              <w:rPr>
                <w:rFonts w:ascii="Arial" w:cs="Arial" w:eastAsia="Arial" w:hAnsi="Arial"/>
                <w:sz w:val="18"/>
                <w:szCs w:val="18"/>
                <w:color w:val="auto"/>
              </w:rPr>
              <w:t>rebate trends, rebate programs and contract terms, legislative changes, or other significant events which</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18"/>
                <w:szCs w:val="18"/>
                <w:color w:val="auto"/>
              </w:rPr>
            </w:pPr>
          </w:p>
        </w:tc>
        <w:tc>
          <w:tcPr>
            <w:tcW w:w="8640" w:type="dxa"/>
            <w:vAlign w:val="bottom"/>
          </w:tcPr>
          <w:p>
            <w:pPr>
              <w:ind w:left="160"/>
              <w:spacing w:after="0"/>
              <w:rPr>
                <w:sz w:val="20"/>
                <w:szCs w:val="20"/>
                <w:color w:val="auto"/>
              </w:rPr>
            </w:pPr>
            <w:r>
              <w:rPr>
                <w:rFonts w:ascii="Arial" w:cs="Arial" w:eastAsia="Arial" w:hAnsi="Arial"/>
                <w:sz w:val="18"/>
                <w:szCs w:val="18"/>
                <w:color w:val="auto"/>
              </w:rPr>
              <w:t>indicate a change in the reserve is appropriate.</w:t>
            </w:r>
          </w:p>
        </w:tc>
        <w:tc>
          <w:tcPr>
            <w:tcW w:w="0" w:type="dxa"/>
            <w:vAlign w:val="bottom"/>
          </w:tcPr>
          <w:p>
            <w:pPr>
              <w:spacing w:after="0"/>
              <w:rPr>
                <w:sz w:val="1"/>
                <w:szCs w:val="1"/>
                <w:color w:val="auto"/>
              </w:rPr>
            </w:pPr>
          </w:p>
        </w:tc>
      </w:tr>
      <w:tr>
        <w:trPr>
          <w:trHeight w:val="392"/>
        </w:trPr>
        <w:tc>
          <w:tcPr>
            <w:tcW w:w="1680" w:type="dxa"/>
            <w:vAlign w:val="bottom"/>
          </w:tcPr>
          <w:p>
            <w:pPr>
              <w:spacing w:after="0"/>
              <w:rPr>
                <w:sz w:val="20"/>
                <w:szCs w:val="20"/>
                <w:color w:val="auto"/>
              </w:rPr>
            </w:pPr>
            <w:r>
              <w:rPr>
                <w:rFonts w:ascii="Arial" w:cs="Arial" w:eastAsia="Arial" w:hAnsi="Arial"/>
                <w:sz w:val="18"/>
                <w:szCs w:val="18"/>
                <w:i w:val="1"/>
                <w:iCs w:val="1"/>
                <w:color w:val="auto"/>
              </w:rPr>
              <w:t>How We</w:t>
            </w:r>
          </w:p>
        </w:tc>
        <w:tc>
          <w:tcPr>
            <w:tcW w:w="8640" w:type="dxa"/>
            <w:vAlign w:val="bottom"/>
          </w:tcPr>
          <w:p>
            <w:pPr>
              <w:ind w:left="160"/>
              <w:spacing w:after="0"/>
              <w:rPr>
                <w:sz w:val="20"/>
                <w:szCs w:val="20"/>
                <w:color w:val="auto"/>
              </w:rPr>
            </w:pPr>
            <w:r>
              <w:rPr>
                <w:rFonts w:ascii="Arial" w:cs="Arial" w:eastAsia="Arial" w:hAnsi="Arial"/>
                <w:sz w:val="18"/>
                <w:szCs w:val="18"/>
                <w:color w:val="auto"/>
              </w:rPr>
              <w:t>We obtained an understanding, evaluated the design and tested the operating effectiveness of controls</w:t>
            </w:r>
          </w:p>
        </w:tc>
        <w:tc>
          <w:tcPr>
            <w:tcW w:w="0" w:type="dxa"/>
            <w:vAlign w:val="bottom"/>
          </w:tcPr>
          <w:p>
            <w:pPr>
              <w:spacing w:after="0"/>
              <w:rPr>
                <w:sz w:val="1"/>
                <w:szCs w:val="1"/>
                <w:color w:val="auto"/>
              </w:rPr>
            </w:pPr>
          </w:p>
        </w:tc>
      </w:tr>
      <w:tr>
        <w:trPr>
          <w:trHeight w:val="176"/>
        </w:trPr>
        <w:tc>
          <w:tcPr>
            <w:tcW w:w="1680" w:type="dxa"/>
            <w:vAlign w:val="bottom"/>
          </w:tcPr>
          <w:p>
            <w:pPr>
              <w:spacing w:after="0" w:line="176" w:lineRule="exact"/>
              <w:rPr>
                <w:sz w:val="20"/>
                <w:szCs w:val="20"/>
                <w:color w:val="auto"/>
              </w:rPr>
            </w:pPr>
            <w:r>
              <w:rPr>
                <w:rFonts w:ascii="Arial" w:cs="Arial" w:eastAsia="Arial" w:hAnsi="Arial"/>
                <w:sz w:val="18"/>
                <w:szCs w:val="18"/>
                <w:i w:val="1"/>
                <w:iCs w:val="1"/>
                <w:color w:val="auto"/>
              </w:rPr>
              <w:t>Addressed the</w:t>
            </w:r>
          </w:p>
        </w:tc>
        <w:tc>
          <w:tcPr>
            <w:tcW w:w="8640" w:type="dxa"/>
            <w:vAlign w:val="bottom"/>
          </w:tcPr>
          <w:p>
            <w:pPr>
              <w:ind w:left="160"/>
              <w:spacing w:after="0" w:line="176" w:lineRule="exact"/>
              <w:rPr>
                <w:sz w:val="20"/>
                <w:szCs w:val="20"/>
                <w:color w:val="auto"/>
              </w:rPr>
            </w:pPr>
            <w:r>
              <w:rPr>
                <w:rFonts w:ascii="Arial" w:cs="Arial" w:eastAsia="Arial" w:hAnsi="Arial"/>
                <w:sz w:val="18"/>
                <w:szCs w:val="18"/>
                <w:color w:val="auto"/>
              </w:rPr>
              <w:t>over the Company’s sales rebate accruals for Medicaid, Medicare and managed care programs. This</w:t>
            </w:r>
          </w:p>
        </w:tc>
        <w:tc>
          <w:tcPr>
            <w:tcW w:w="0" w:type="dxa"/>
            <w:vAlign w:val="bottom"/>
          </w:tcPr>
          <w:p>
            <w:pPr>
              <w:spacing w:after="0"/>
              <w:rPr>
                <w:sz w:val="1"/>
                <w:szCs w:val="1"/>
                <w:color w:val="auto"/>
              </w:rPr>
            </w:pPr>
          </w:p>
        </w:tc>
      </w:tr>
      <w:tr>
        <w:trPr>
          <w:trHeight w:val="188"/>
        </w:trPr>
        <w:tc>
          <w:tcPr>
            <w:tcW w:w="1680" w:type="dxa"/>
            <w:vAlign w:val="bottom"/>
          </w:tcPr>
          <w:p>
            <w:pPr>
              <w:spacing w:after="0" w:line="189" w:lineRule="exact"/>
              <w:rPr>
                <w:sz w:val="20"/>
                <w:szCs w:val="20"/>
                <w:color w:val="auto"/>
              </w:rPr>
            </w:pPr>
            <w:r>
              <w:rPr>
                <w:rFonts w:ascii="Arial" w:cs="Arial" w:eastAsia="Arial" w:hAnsi="Arial"/>
                <w:sz w:val="18"/>
                <w:szCs w:val="18"/>
                <w:i w:val="1"/>
                <w:iCs w:val="1"/>
                <w:color w:val="auto"/>
              </w:rPr>
              <w:t>Matter in Our Audit</w:t>
            </w:r>
          </w:p>
        </w:tc>
        <w:tc>
          <w:tcPr>
            <w:tcW w:w="8640" w:type="dxa"/>
            <w:vAlign w:val="bottom"/>
          </w:tcPr>
          <w:p>
            <w:pPr>
              <w:ind w:left="160"/>
              <w:spacing w:after="0" w:line="189" w:lineRule="exact"/>
              <w:rPr>
                <w:sz w:val="20"/>
                <w:szCs w:val="20"/>
                <w:color w:val="auto"/>
              </w:rPr>
            </w:pPr>
            <w:r>
              <w:rPr>
                <w:rFonts w:ascii="Arial" w:cs="Arial" w:eastAsia="Arial" w:hAnsi="Arial"/>
                <w:sz w:val="18"/>
                <w:szCs w:val="18"/>
                <w:color w:val="auto"/>
              </w:rPr>
              <w:t>included testing controls over management’s review of the significant assumptions and other inputs used</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640" w:type="dxa"/>
            <w:vAlign w:val="bottom"/>
          </w:tcPr>
          <w:p>
            <w:pPr>
              <w:ind w:left="160"/>
              <w:spacing w:after="0" w:line="176" w:lineRule="exact"/>
              <w:rPr>
                <w:sz w:val="20"/>
                <w:szCs w:val="20"/>
                <w:color w:val="auto"/>
              </w:rPr>
            </w:pPr>
            <w:r>
              <w:rPr>
                <w:rFonts w:ascii="Arial" w:cs="Arial" w:eastAsia="Arial" w:hAnsi="Arial"/>
                <w:sz w:val="18"/>
                <w:szCs w:val="18"/>
                <w:color w:val="auto"/>
                <w:w w:val="99"/>
              </w:rPr>
              <w:t>in the estimation of Medicaid, Medicare and managed care rebates, among others, including the significant</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640" w:type="dxa"/>
            <w:vAlign w:val="bottom"/>
          </w:tcPr>
          <w:p>
            <w:pPr>
              <w:ind w:left="160"/>
              <w:spacing w:after="0" w:line="176" w:lineRule="exact"/>
              <w:rPr>
                <w:sz w:val="20"/>
                <w:szCs w:val="20"/>
                <w:color w:val="auto"/>
              </w:rPr>
            </w:pPr>
            <w:r>
              <w:rPr>
                <w:rFonts w:ascii="Arial" w:cs="Arial" w:eastAsia="Arial" w:hAnsi="Arial"/>
                <w:sz w:val="18"/>
                <w:szCs w:val="18"/>
                <w:color w:val="auto"/>
              </w:rPr>
              <w:t>assumptions discussed above. The testing was inclusive of management’s controls to evaluate the</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640" w:type="dxa"/>
            <w:vAlign w:val="bottom"/>
          </w:tcPr>
          <w:p>
            <w:pPr>
              <w:ind w:left="160"/>
              <w:spacing w:after="0" w:line="176" w:lineRule="exact"/>
              <w:rPr>
                <w:sz w:val="20"/>
                <w:szCs w:val="20"/>
                <w:color w:val="auto"/>
              </w:rPr>
            </w:pPr>
            <w:r>
              <w:rPr>
                <w:rFonts w:ascii="Arial" w:cs="Arial" w:eastAsia="Arial" w:hAnsi="Arial"/>
                <w:sz w:val="18"/>
                <w:szCs w:val="18"/>
                <w:color w:val="auto"/>
              </w:rPr>
              <w:t>accuracy of its reserve judgments to actual rebates paid, rebate validation and processing, and controls to</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640" w:type="dxa"/>
            <w:vAlign w:val="bottom"/>
          </w:tcPr>
          <w:p>
            <w:pPr>
              <w:ind w:left="160"/>
              <w:spacing w:after="0" w:line="176" w:lineRule="exact"/>
              <w:rPr>
                <w:sz w:val="20"/>
                <w:szCs w:val="20"/>
                <w:color w:val="auto"/>
              </w:rPr>
            </w:pPr>
            <w:r>
              <w:rPr>
                <w:rFonts w:ascii="Arial" w:cs="Arial" w:eastAsia="Arial" w:hAnsi="Arial"/>
                <w:sz w:val="18"/>
                <w:szCs w:val="18"/>
                <w:color w:val="auto"/>
              </w:rPr>
              <w:t>ensure that the data used to evaluate and support the significant assumptions was complete, accurate</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18"/>
                <w:szCs w:val="18"/>
                <w:color w:val="auto"/>
              </w:rPr>
            </w:pPr>
          </w:p>
        </w:tc>
        <w:tc>
          <w:tcPr>
            <w:tcW w:w="8640" w:type="dxa"/>
            <w:vAlign w:val="bottom"/>
          </w:tcPr>
          <w:p>
            <w:pPr>
              <w:ind w:left="160"/>
              <w:spacing w:after="0"/>
              <w:rPr>
                <w:sz w:val="20"/>
                <w:szCs w:val="20"/>
                <w:color w:val="auto"/>
              </w:rPr>
            </w:pPr>
            <w:r>
              <w:rPr>
                <w:rFonts w:ascii="Arial" w:cs="Arial" w:eastAsia="Arial" w:hAnsi="Arial"/>
                <w:sz w:val="18"/>
                <w:szCs w:val="18"/>
                <w:color w:val="auto"/>
              </w:rPr>
              <w:t>and, where applicable, verified to external data sources.</w:t>
            </w:r>
          </w:p>
        </w:tc>
        <w:tc>
          <w:tcPr>
            <w:tcW w:w="0" w:type="dxa"/>
            <w:vAlign w:val="bottom"/>
          </w:tcPr>
          <w:p>
            <w:pPr>
              <w:spacing w:after="0"/>
              <w:rPr>
                <w:sz w:val="1"/>
                <w:szCs w:val="1"/>
                <w:color w:val="auto"/>
              </w:rPr>
            </w:pPr>
          </w:p>
        </w:tc>
      </w:tr>
      <w:tr>
        <w:trPr>
          <w:trHeight w:val="296"/>
        </w:trPr>
        <w:tc>
          <w:tcPr>
            <w:tcW w:w="1680" w:type="dxa"/>
            <w:vAlign w:val="bottom"/>
          </w:tcPr>
          <w:p>
            <w:pPr>
              <w:spacing w:after="0"/>
              <w:rPr>
                <w:sz w:val="24"/>
                <w:szCs w:val="24"/>
                <w:color w:val="auto"/>
              </w:rPr>
            </w:pPr>
          </w:p>
        </w:tc>
        <w:tc>
          <w:tcPr>
            <w:tcW w:w="8640" w:type="dxa"/>
            <w:vAlign w:val="bottom"/>
          </w:tcPr>
          <w:p>
            <w:pPr>
              <w:ind w:left="160"/>
              <w:spacing w:after="0"/>
              <w:rPr>
                <w:sz w:val="20"/>
                <w:szCs w:val="20"/>
                <w:color w:val="auto"/>
              </w:rPr>
            </w:pPr>
            <w:r>
              <w:rPr>
                <w:rFonts w:ascii="Arial" w:cs="Arial" w:eastAsia="Arial" w:hAnsi="Arial"/>
                <w:sz w:val="18"/>
                <w:szCs w:val="18"/>
                <w:color w:val="auto"/>
              </w:rPr>
              <w:t>To test the sales rebate accruals for Medicaid, Medicare, and managed care programs, our audit</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640" w:type="dxa"/>
            <w:vAlign w:val="bottom"/>
          </w:tcPr>
          <w:p>
            <w:pPr>
              <w:ind w:left="160"/>
              <w:spacing w:after="0" w:line="176" w:lineRule="exact"/>
              <w:rPr>
                <w:sz w:val="20"/>
                <w:szCs w:val="20"/>
                <w:color w:val="auto"/>
              </w:rPr>
            </w:pPr>
            <w:r>
              <w:rPr>
                <w:rFonts w:ascii="Arial" w:cs="Arial" w:eastAsia="Arial" w:hAnsi="Arial"/>
                <w:sz w:val="18"/>
                <w:szCs w:val="18"/>
                <w:color w:val="auto"/>
              </w:rPr>
              <w:t>procedures included, among others, understanding and evaluating the significant assumptions and</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640" w:type="dxa"/>
            <w:vAlign w:val="bottom"/>
          </w:tcPr>
          <w:p>
            <w:pPr>
              <w:ind w:left="160"/>
              <w:spacing w:after="0" w:line="176" w:lineRule="exact"/>
              <w:rPr>
                <w:sz w:val="20"/>
                <w:szCs w:val="20"/>
                <w:color w:val="auto"/>
              </w:rPr>
            </w:pPr>
            <w:r>
              <w:rPr>
                <w:rFonts w:ascii="Arial" w:cs="Arial" w:eastAsia="Arial" w:hAnsi="Arial"/>
                <w:sz w:val="18"/>
                <w:szCs w:val="18"/>
                <w:color w:val="auto"/>
              </w:rPr>
              <w:t>underlying data used in management’s calculations. Our testing of significant assumptions included</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640" w:type="dxa"/>
            <w:vAlign w:val="bottom"/>
          </w:tcPr>
          <w:p>
            <w:pPr>
              <w:ind w:left="160"/>
              <w:spacing w:after="0" w:line="176" w:lineRule="exact"/>
              <w:rPr>
                <w:sz w:val="20"/>
                <w:szCs w:val="20"/>
                <w:color w:val="auto"/>
              </w:rPr>
            </w:pPr>
            <w:r>
              <w:rPr>
                <w:rFonts w:ascii="Arial" w:cs="Arial" w:eastAsia="Arial" w:hAnsi="Arial"/>
                <w:sz w:val="18"/>
                <w:szCs w:val="18"/>
                <w:color w:val="auto"/>
              </w:rPr>
              <w:t>corroboration to external data sources. We evaluated the reasonableness of assumptions considering</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640" w:type="dxa"/>
            <w:vAlign w:val="bottom"/>
          </w:tcPr>
          <w:p>
            <w:pPr>
              <w:ind w:left="160"/>
              <w:spacing w:after="0" w:line="176" w:lineRule="exact"/>
              <w:rPr>
                <w:sz w:val="20"/>
                <w:szCs w:val="20"/>
                <w:color w:val="auto"/>
              </w:rPr>
            </w:pPr>
            <w:r>
              <w:rPr>
                <w:rFonts w:ascii="Arial" w:cs="Arial" w:eastAsia="Arial" w:hAnsi="Arial"/>
                <w:sz w:val="18"/>
                <w:szCs w:val="18"/>
                <w:color w:val="auto"/>
              </w:rPr>
              <w:t>industry and economic trends, product profiles, and other regulatory factors. We assessed the historical</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640" w:type="dxa"/>
            <w:vAlign w:val="bottom"/>
          </w:tcPr>
          <w:p>
            <w:pPr>
              <w:ind w:left="160"/>
              <w:spacing w:after="0" w:line="176" w:lineRule="exact"/>
              <w:rPr>
                <w:sz w:val="20"/>
                <w:szCs w:val="20"/>
                <w:color w:val="auto"/>
              </w:rPr>
            </w:pPr>
            <w:r>
              <w:rPr>
                <w:rFonts w:ascii="Arial" w:cs="Arial" w:eastAsia="Arial" w:hAnsi="Arial"/>
                <w:sz w:val="18"/>
                <w:szCs w:val="18"/>
                <w:color w:val="auto"/>
              </w:rPr>
              <w:t>accuracy of management’s estimates by comparing actual activity to previous estimates and performed</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640" w:type="dxa"/>
            <w:vAlign w:val="bottom"/>
          </w:tcPr>
          <w:p>
            <w:pPr>
              <w:ind w:left="160"/>
              <w:spacing w:after="0" w:line="176" w:lineRule="exact"/>
              <w:rPr>
                <w:sz w:val="20"/>
                <w:szCs w:val="20"/>
                <w:color w:val="auto"/>
              </w:rPr>
            </w:pPr>
            <w:r>
              <w:rPr>
                <w:rFonts w:ascii="Arial" w:cs="Arial" w:eastAsia="Arial" w:hAnsi="Arial"/>
                <w:sz w:val="18"/>
                <w:szCs w:val="18"/>
                <w:color w:val="auto"/>
              </w:rPr>
              <w:t>analytical procedures, based on internal and external data sources, to evaluate the completeness of the</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640" w:type="dxa"/>
            <w:vAlign w:val="bottom"/>
          </w:tcPr>
          <w:p>
            <w:pPr>
              <w:ind w:left="160"/>
              <w:spacing w:after="0" w:line="176" w:lineRule="exact"/>
              <w:rPr>
                <w:sz w:val="20"/>
                <w:szCs w:val="20"/>
                <w:color w:val="auto"/>
              </w:rPr>
            </w:pPr>
            <w:r>
              <w:rPr>
                <w:rFonts w:ascii="Arial" w:cs="Arial" w:eastAsia="Arial" w:hAnsi="Arial"/>
                <w:sz w:val="18"/>
                <w:szCs w:val="18"/>
                <w:color w:val="auto"/>
              </w:rPr>
              <w:t>reserves. For Medicaid, we involved a specialist with an understanding of statutory reimbursement</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640" w:type="dxa"/>
            <w:vAlign w:val="bottom"/>
          </w:tcPr>
          <w:p>
            <w:pPr>
              <w:ind w:left="160"/>
              <w:spacing w:after="0" w:line="176" w:lineRule="exact"/>
              <w:rPr>
                <w:sz w:val="20"/>
                <w:szCs w:val="20"/>
                <w:color w:val="auto"/>
              </w:rPr>
            </w:pPr>
            <w:r>
              <w:rPr>
                <w:rFonts w:ascii="Arial" w:cs="Arial" w:eastAsia="Arial" w:hAnsi="Arial"/>
                <w:sz w:val="18"/>
                <w:szCs w:val="18"/>
                <w:color w:val="auto"/>
              </w:rPr>
              <w:t>requirements to assess the consistency of the Company’s calculation methodologies with applicable</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18"/>
                <w:szCs w:val="18"/>
                <w:color w:val="auto"/>
              </w:rPr>
            </w:pPr>
          </w:p>
        </w:tc>
        <w:tc>
          <w:tcPr>
            <w:tcW w:w="8640" w:type="dxa"/>
            <w:vAlign w:val="bottom"/>
          </w:tcPr>
          <w:p>
            <w:pPr>
              <w:ind w:left="160"/>
              <w:spacing w:after="0"/>
              <w:rPr>
                <w:sz w:val="20"/>
                <w:szCs w:val="20"/>
                <w:color w:val="auto"/>
              </w:rPr>
            </w:pPr>
            <w:r>
              <w:rPr>
                <w:rFonts w:ascii="Arial" w:cs="Arial" w:eastAsia="Arial" w:hAnsi="Arial"/>
                <w:sz w:val="18"/>
                <w:szCs w:val="18"/>
                <w:color w:val="auto"/>
              </w:rPr>
              <w:t>government regulations and policy.</w:t>
            </w:r>
          </w:p>
        </w:tc>
        <w:tc>
          <w:tcPr>
            <w:tcW w:w="0" w:type="dxa"/>
            <w:vAlign w:val="bottom"/>
          </w:tcPr>
          <w:p>
            <w:pPr>
              <w:spacing w:after="0"/>
              <w:rPr>
                <w:sz w:val="1"/>
                <w:szCs w:val="1"/>
                <w:color w:val="auto"/>
              </w:rPr>
            </w:pPr>
          </w:p>
        </w:tc>
      </w:tr>
    </w:tbl>
    <w:p>
      <w:pPr>
        <w:spacing w:after="0" w:line="315" w:lineRule="exact"/>
        <w:rPr>
          <w:sz w:val="20"/>
          <w:szCs w:val="20"/>
          <w:color w:val="auto"/>
        </w:rPr>
      </w:pPr>
    </w:p>
    <w:tbl>
      <w:tblPr>
        <w:tblLayout w:type="fixed"/>
        <w:tblInd w:w="420" w:type="dxa"/>
        <w:tblCellMar>
          <w:top w:w="0" w:type="dxa"/>
          <w:left w:w="0" w:type="dxa"/>
          <w:bottom w:w="0" w:type="dxa"/>
          <w:right w:w="0" w:type="dxa"/>
        </w:tblCellMar>
      </w:tblPr>
      <w:tr>
        <w:trPr>
          <w:trHeight w:val="239"/>
        </w:trPr>
        <w:tc>
          <w:tcPr>
            <w:tcW w:w="1620" w:type="dxa"/>
            <w:vAlign w:val="bottom"/>
            <w:vMerge w:val="restart"/>
          </w:tcPr>
          <w:p>
            <w:pPr>
              <w:spacing w:after="0"/>
              <w:rPr>
                <w:sz w:val="20"/>
                <w:szCs w:val="20"/>
                <w:color w:val="auto"/>
              </w:rPr>
            </w:pPr>
            <w:r>
              <w:rPr>
                <w:rFonts w:ascii="Arial" w:cs="Arial" w:eastAsia="Arial" w:hAnsi="Arial"/>
                <w:sz w:val="18"/>
                <w:szCs w:val="18"/>
                <w:i w:val="1"/>
                <w:iCs w:val="1"/>
                <w:color w:val="auto"/>
              </w:rPr>
              <w:t>Description of the</w:t>
            </w:r>
          </w:p>
        </w:tc>
        <w:tc>
          <w:tcPr>
            <w:tcW w:w="870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Valuation of contingent consideration</w:t>
            </w:r>
          </w:p>
        </w:tc>
        <w:tc>
          <w:tcPr>
            <w:tcW w:w="0" w:type="dxa"/>
            <w:vAlign w:val="bottom"/>
          </w:tcPr>
          <w:p>
            <w:pPr>
              <w:spacing w:after="0"/>
              <w:rPr>
                <w:sz w:val="1"/>
                <w:szCs w:val="1"/>
                <w:color w:val="auto"/>
              </w:rPr>
            </w:pPr>
          </w:p>
        </w:tc>
      </w:tr>
      <w:tr>
        <w:trPr>
          <w:trHeight w:val="175"/>
        </w:trPr>
        <w:tc>
          <w:tcPr>
            <w:tcW w:w="1620" w:type="dxa"/>
            <w:vAlign w:val="bottom"/>
            <w:vMerge w:val="continue"/>
          </w:tcPr>
          <w:p>
            <w:pPr>
              <w:spacing w:after="0"/>
              <w:rPr>
                <w:sz w:val="15"/>
                <w:szCs w:val="15"/>
                <w:color w:val="auto"/>
              </w:rPr>
            </w:pPr>
          </w:p>
        </w:tc>
        <w:tc>
          <w:tcPr>
            <w:tcW w:w="8700" w:type="dxa"/>
            <w:vAlign w:val="bottom"/>
          </w:tcPr>
          <w:p>
            <w:pPr>
              <w:ind w:left="220"/>
              <w:spacing w:after="0" w:line="176" w:lineRule="exact"/>
              <w:rPr>
                <w:sz w:val="20"/>
                <w:szCs w:val="20"/>
                <w:color w:val="auto"/>
              </w:rPr>
            </w:pPr>
            <w:r>
              <w:rPr>
                <w:rFonts w:ascii="Arial" w:cs="Arial" w:eastAsia="Arial" w:hAnsi="Arial"/>
                <w:sz w:val="18"/>
                <w:szCs w:val="18"/>
                <w:color w:val="auto"/>
              </w:rPr>
              <w:t>As discussed in Note 2 to the consolidated financial statements under the caption “Business</w:t>
            </w:r>
          </w:p>
        </w:tc>
        <w:tc>
          <w:tcPr>
            <w:tcW w:w="0" w:type="dxa"/>
            <w:vAlign w:val="bottom"/>
          </w:tcPr>
          <w:p>
            <w:pPr>
              <w:spacing w:after="0"/>
              <w:rPr>
                <w:sz w:val="1"/>
                <w:szCs w:val="1"/>
                <w:color w:val="auto"/>
              </w:rPr>
            </w:pPr>
          </w:p>
        </w:tc>
      </w:tr>
      <w:tr>
        <w:trPr>
          <w:trHeight w:val="188"/>
        </w:trPr>
        <w:tc>
          <w:tcPr>
            <w:tcW w:w="1620" w:type="dxa"/>
            <w:vAlign w:val="bottom"/>
          </w:tcPr>
          <w:p>
            <w:pPr>
              <w:spacing w:after="0" w:line="189" w:lineRule="exact"/>
              <w:rPr>
                <w:sz w:val="20"/>
                <w:szCs w:val="20"/>
                <w:color w:val="auto"/>
              </w:rPr>
            </w:pPr>
            <w:r>
              <w:rPr>
                <w:rFonts w:ascii="Arial" w:cs="Arial" w:eastAsia="Arial" w:hAnsi="Arial"/>
                <w:sz w:val="18"/>
                <w:szCs w:val="18"/>
                <w:i w:val="1"/>
                <w:iCs w:val="1"/>
                <w:color w:val="auto"/>
              </w:rPr>
              <w:t>Matter</w:t>
            </w:r>
          </w:p>
        </w:tc>
        <w:tc>
          <w:tcPr>
            <w:tcW w:w="8700" w:type="dxa"/>
            <w:vAlign w:val="bottom"/>
          </w:tcPr>
          <w:p>
            <w:pPr>
              <w:ind w:left="220"/>
              <w:spacing w:after="0" w:line="189" w:lineRule="exact"/>
              <w:rPr>
                <w:sz w:val="20"/>
                <w:szCs w:val="20"/>
                <w:color w:val="auto"/>
              </w:rPr>
            </w:pPr>
            <w:r>
              <w:rPr>
                <w:rFonts w:ascii="Arial" w:cs="Arial" w:eastAsia="Arial" w:hAnsi="Arial"/>
                <w:sz w:val="18"/>
                <w:szCs w:val="18"/>
                <w:color w:val="auto"/>
              </w:rPr>
              <w:t>Combinations” and in Note 11 under the caption “Financial Instruments and Fair Value Measures,” the</w:t>
            </w: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8700" w:type="dxa"/>
            <w:vAlign w:val="bottom"/>
          </w:tcPr>
          <w:p>
            <w:pPr>
              <w:ind w:left="220"/>
              <w:spacing w:after="0" w:line="176" w:lineRule="exact"/>
              <w:rPr>
                <w:sz w:val="20"/>
                <w:szCs w:val="20"/>
                <w:color w:val="auto"/>
              </w:rPr>
            </w:pPr>
            <w:r>
              <w:rPr>
                <w:rFonts w:ascii="Arial" w:cs="Arial" w:eastAsia="Arial" w:hAnsi="Arial"/>
                <w:sz w:val="18"/>
                <w:szCs w:val="18"/>
                <w:color w:val="auto"/>
              </w:rPr>
              <w:t>Company recognized contingent consideration liabilities at the estimated fair value on the acquisition date</w:t>
            </w: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8700" w:type="dxa"/>
            <w:vAlign w:val="bottom"/>
          </w:tcPr>
          <w:p>
            <w:pPr>
              <w:ind w:left="220"/>
              <w:spacing w:after="0" w:line="176" w:lineRule="exact"/>
              <w:rPr>
                <w:sz w:val="20"/>
                <w:szCs w:val="20"/>
                <w:color w:val="auto"/>
              </w:rPr>
            </w:pPr>
            <w:r>
              <w:rPr>
                <w:rFonts w:ascii="Arial" w:cs="Arial" w:eastAsia="Arial" w:hAnsi="Arial"/>
                <w:sz w:val="18"/>
                <w:szCs w:val="18"/>
                <w:color w:val="auto"/>
              </w:rPr>
              <w:t>in connection with applying the acquisition method of accounting for business combinations. Subsequent</w:t>
            </w: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8700" w:type="dxa"/>
            <w:vAlign w:val="bottom"/>
          </w:tcPr>
          <w:p>
            <w:pPr>
              <w:ind w:left="220"/>
              <w:spacing w:after="0" w:line="176" w:lineRule="exact"/>
              <w:rPr>
                <w:sz w:val="20"/>
                <w:szCs w:val="20"/>
                <w:color w:val="auto"/>
              </w:rPr>
            </w:pPr>
            <w:r>
              <w:rPr>
                <w:rFonts w:ascii="Arial" w:cs="Arial" w:eastAsia="Arial" w:hAnsi="Arial"/>
                <w:sz w:val="18"/>
                <w:szCs w:val="18"/>
                <w:color w:val="auto"/>
              </w:rPr>
              <w:t>changes to the fair value of the contingent consideration liabilities were recorded within the consolidated</w:t>
            </w: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8700" w:type="dxa"/>
            <w:vAlign w:val="bottom"/>
          </w:tcPr>
          <w:p>
            <w:pPr>
              <w:ind w:left="220"/>
              <w:spacing w:after="0" w:line="176" w:lineRule="exact"/>
              <w:rPr>
                <w:sz w:val="20"/>
                <w:szCs w:val="20"/>
                <w:color w:val="auto"/>
              </w:rPr>
            </w:pPr>
            <w:r>
              <w:rPr>
                <w:rFonts w:ascii="Arial" w:cs="Arial" w:eastAsia="Arial" w:hAnsi="Arial"/>
                <w:sz w:val="18"/>
                <w:szCs w:val="18"/>
                <w:color w:val="auto"/>
                <w:w w:val="99"/>
              </w:rPr>
              <w:t>statement of earnings in the period of change. At December 31, 2020, the Company had $12,997 million in</w:t>
            </w: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8700" w:type="dxa"/>
            <w:vAlign w:val="bottom"/>
          </w:tcPr>
          <w:p>
            <w:pPr>
              <w:ind w:left="220"/>
              <w:spacing w:after="0" w:line="176" w:lineRule="exact"/>
              <w:rPr>
                <w:sz w:val="20"/>
                <w:szCs w:val="20"/>
                <w:color w:val="auto"/>
              </w:rPr>
            </w:pPr>
            <w:r>
              <w:rPr>
                <w:rFonts w:ascii="Arial" w:cs="Arial" w:eastAsia="Arial" w:hAnsi="Arial"/>
                <w:sz w:val="18"/>
                <w:szCs w:val="18"/>
                <w:color w:val="auto"/>
              </w:rPr>
              <w:t>contingent consideration liabilities, which represented a ‘Level 3’ fair value measurement in the fair value</w:t>
            </w: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8700" w:type="dxa"/>
            <w:vAlign w:val="bottom"/>
          </w:tcPr>
          <w:p>
            <w:pPr>
              <w:ind w:left="220"/>
              <w:spacing w:after="0" w:line="176" w:lineRule="exact"/>
              <w:rPr>
                <w:sz w:val="20"/>
                <w:szCs w:val="20"/>
                <w:color w:val="auto"/>
              </w:rPr>
            </w:pPr>
            <w:r>
              <w:rPr>
                <w:rFonts w:ascii="Arial" w:cs="Arial" w:eastAsia="Arial" w:hAnsi="Arial"/>
                <w:sz w:val="18"/>
                <w:szCs w:val="18"/>
                <w:color w:val="auto"/>
              </w:rPr>
              <w:t>hierarchy due to the significant unobservable inputs used in determining the fair value and the use of</w:t>
            </w:r>
          </w:p>
        </w:tc>
        <w:tc>
          <w:tcPr>
            <w:tcW w:w="0" w:type="dxa"/>
            <w:vAlign w:val="bottom"/>
          </w:tcPr>
          <w:p>
            <w:pPr>
              <w:spacing w:after="0"/>
              <w:rPr>
                <w:sz w:val="1"/>
                <w:szCs w:val="1"/>
                <w:color w:val="auto"/>
              </w:rPr>
            </w:pPr>
          </w:p>
        </w:tc>
      </w:tr>
      <w:tr>
        <w:trPr>
          <w:trHeight w:val="217"/>
        </w:trPr>
        <w:tc>
          <w:tcPr>
            <w:tcW w:w="1620" w:type="dxa"/>
            <w:vAlign w:val="bottom"/>
          </w:tcPr>
          <w:p>
            <w:pPr>
              <w:spacing w:after="0"/>
              <w:rPr>
                <w:sz w:val="18"/>
                <w:szCs w:val="18"/>
                <w:color w:val="auto"/>
              </w:rPr>
            </w:pPr>
          </w:p>
        </w:tc>
        <w:tc>
          <w:tcPr>
            <w:tcW w:w="8700" w:type="dxa"/>
            <w:vAlign w:val="bottom"/>
          </w:tcPr>
          <w:p>
            <w:pPr>
              <w:ind w:left="220"/>
              <w:spacing w:after="0"/>
              <w:rPr>
                <w:sz w:val="20"/>
                <w:szCs w:val="20"/>
                <w:color w:val="auto"/>
              </w:rPr>
            </w:pPr>
            <w:r>
              <w:rPr>
                <w:rFonts w:ascii="Arial" w:cs="Arial" w:eastAsia="Arial" w:hAnsi="Arial"/>
                <w:sz w:val="18"/>
                <w:szCs w:val="18"/>
                <w:color w:val="auto"/>
              </w:rPr>
              <w:t>management judgment about the assumptions market participants would use in pricing the liabilities.</w:t>
            </w:r>
          </w:p>
        </w:tc>
        <w:tc>
          <w:tcPr>
            <w:tcW w:w="0" w:type="dxa"/>
            <w:vAlign w:val="bottom"/>
          </w:tcPr>
          <w:p>
            <w:pPr>
              <w:spacing w:after="0"/>
              <w:rPr>
                <w:sz w:val="1"/>
                <w:szCs w:val="1"/>
                <w:color w:val="auto"/>
              </w:rPr>
            </w:pPr>
          </w:p>
        </w:tc>
      </w:tr>
      <w:tr>
        <w:trPr>
          <w:trHeight w:val="310"/>
        </w:trPr>
        <w:tc>
          <w:tcPr>
            <w:tcW w:w="1620" w:type="dxa"/>
            <w:vAlign w:val="bottom"/>
          </w:tcPr>
          <w:p>
            <w:pPr>
              <w:spacing w:after="0"/>
              <w:rPr>
                <w:sz w:val="24"/>
                <w:szCs w:val="24"/>
                <w:color w:val="auto"/>
              </w:rPr>
            </w:pPr>
          </w:p>
        </w:tc>
        <w:tc>
          <w:tcPr>
            <w:tcW w:w="8700" w:type="dxa"/>
            <w:vAlign w:val="bottom"/>
          </w:tcPr>
          <w:p>
            <w:pPr>
              <w:ind w:left="220"/>
              <w:spacing w:after="0"/>
              <w:rPr>
                <w:sz w:val="20"/>
                <w:szCs w:val="20"/>
                <w:color w:val="auto"/>
              </w:rPr>
            </w:pPr>
            <w:r>
              <w:rPr>
                <w:rFonts w:ascii="Arial" w:cs="Arial" w:eastAsia="Arial" w:hAnsi="Arial"/>
                <w:sz w:val="18"/>
                <w:szCs w:val="18"/>
                <w:color w:val="auto"/>
              </w:rPr>
              <w:t>Auditing the valuation of contingent consideration liabilities was complex and required significant auditor</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8700" w:type="dxa"/>
            <w:vAlign w:val="bottom"/>
          </w:tcPr>
          <w:p>
            <w:pPr>
              <w:ind w:left="220"/>
              <w:spacing w:after="0" w:line="189" w:lineRule="exact"/>
              <w:rPr>
                <w:sz w:val="20"/>
                <w:szCs w:val="20"/>
                <w:color w:val="auto"/>
              </w:rPr>
            </w:pPr>
            <w:r>
              <w:rPr>
                <w:rFonts w:ascii="Arial" w:cs="Arial" w:eastAsia="Arial" w:hAnsi="Arial"/>
                <w:sz w:val="18"/>
                <w:szCs w:val="18"/>
                <w:color w:val="auto"/>
              </w:rPr>
              <w:t>judgment due to the use of a Monte Carlo simulation model and the high degree of subjectivity in</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8700" w:type="dxa"/>
            <w:vAlign w:val="bottom"/>
          </w:tcPr>
          <w:p>
            <w:pPr>
              <w:ind w:left="220"/>
              <w:spacing w:after="0" w:line="189" w:lineRule="exact"/>
              <w:rPr>
                <w:sz w:val="20"/>
                <w:szCs w:val="20"/>
                <w:color w:val="auto"/>
              </w:rPr>
            </w:pPr>
            <w:r>
              <w:rPr>
                <w:rFonts w:ascii="Arial" w:cs="Arial" w:eastAsia="Arial" w:hAnsi="Arial"/>
                <w:sz w:val="18"/>
                <w:szCs w:val="18"/>
                <w:color w:val="auto"/>
              </w:rPr>
              <w:t>evaluating certain assumptions required to estimate the fair value of contingent royalty payments. In</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8700" w:type="dxa"/>
            <w:vAlign w:val="bottom"/>
          </w:tcPr>
          <w:p>
            <w:pPr>
              <w:ind w:left="220"/>
              <w:spacing w:after="0" w:line="189" w:lineRule="exact"/>
              <w:rPr>
                <w:sz w:val="20"/>
                <w:szCs w:val="20"/>
                <w:color w:val="auto"/>
              </w:rPr>
            </w:pPr>
            <w:r>
              <w:rPr>
                <w:rFonts w:ascii="Arial" w:cs="Arial" w:eastAsia="Arial" w:hAnsi="Arial"/>
                <w:sz w:val="18"/>
                <w:szCs w:val="18"/>
                <w:color w:val="auto"/>
              </w:rPr>
              <w:t>particular, the fair value measurement was sensitive to the significant assumptions underlying the</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8700" w:type="dxa"/>
            <w:vAlign w:val="bottom"/>
          </w:tcPr>
          <w:p>
            <w:pPr>
              <w:ind w:left="220"/>
              <w:spacing w:after="0" w:line="189" w:lineRule="exact"/>
              <w:rPr>
                <w:sz w:val="20"/>
                <w:szCs w:val="20"/>
                <w:color w:val="auto"/>
              </w:rPr>
            </w:pPr>
            <w:r>
              <w:rPr>
                <w:rFonts w:ascii="Arial" w:cs="Arial" w:eastAsia="Arial" w:hAnsi="Arial"/>
                <w:sz w:val="18"/>
                <w:szCs w:val="18"/>
                <w:color w:val="auto"/>
              </w:rPr>
              <w:t>estimated amount of future sales of the acquired products. Management utilized its expertise within the</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8700" w:type="dxa"/>
            <w:vAlign w:val="bottom"/>
          </w:tcPr>
          <w:p>
            <w:pPr>
              <w:ind w:left="220"/>
              <w:spacing w:after="0" w:line="189" w:lineRule="exact"/>
              <w:rPr>
                <w:sz w:val="20"/>
                <w:szCs w:val="20"/>
                <w:color w:val="auto"/>
              </w:rPr>
            </w:pPr>
            <w:r>
              <w:rPr>
                <w:rFonts w:ascii="Arial" w:cs="Arial" w:eastAsia="Arial" w:hAnsi="Arial"/>
                <w:sz w:val="18"/>
                <w:szCs w:val="18"/>
                <w:color w:val="auto"/>
              </w:rPr>
              <w:t>industry, including commercial dynamics, trends and utilization, as well as knowledge of clinical</w:t>
            </w:r>
          </w:p>
        </w:tc>
        <w:tc>
          <w:tcPr>
            <w:tcW w:w="0" w:type="dxa"/>
            <w:vAlign w:val="bottom"/>
          </w:tcPr>
          <w:p>
            <w:pPr>
              <w:spacing w:after="0"/>
              <w:rPr>
                <w:sz w:val="1"/>
                <w:szCs w:val="1"/>
                <w:color w:val="auto"/>
              </w:rPr>
            </w:pPr>
          </w:p>
        </w:tc>
      </w:tr>
      <w:tr>
        <w:trPr>
          <w:trHeight w:val="217"/>
        </w:trPr>
        <w:tc>
          <w:tcPr>
            <w:tcW w:w="1620" w:type="dxa"/>
            <w:vAlign w:val="bottom"/>
          </w:tcPr>
          <w:p>
            <w:pPr>
              <w:spacing w:after="0"/>
              <w:rPr>
                <w:sz w:val="18"/>
                <w:szCs w:val="18"/>
                <w:color w:val="auto"/>
              </w:rPr>
            </w:pPr>
          </w:p>
        </w:tc>
        <w:tc>
          <w:tcPr>
            <w:tcW w:w="8700" w:type="dxa"/>
            <w:vAlign w:val="bottom"/>
          </w:tcPr>
          <w:p>
            <w:pPr>
              <w:ind w:left="220"/>
              <w:spacing w:after="0"/>
              <w:rPr>
                <w:sz w:val="20"/>
                <w:szCs w:val="20"/>
                <w:color w:val="auto"/>
              </w:rPr>
            </w:pPr>
            <w:r>
              <w:rPr>
                <w:rFonts w:ascii="Arial" w:cs="Arial" w:eastAsia="Arial" w:hAnsi="Arial"/>
                <w:sz w:val="18"/>
                <w:szCs w:val="18"/>
                <w:color w:val="auto"/>
              </w:rPr>
              <w:t>development and regulatory approval processes to determine certain of these assumptions.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i w:val="1"/>
          <w:iCs w:val="1"/>
          <w:color w:val="auto"/>
        </w:rPr>
        <w:t>97</w:t>
      </w:r>
      <w:r>
        <w:rPr>
          <w:sz w:val="20"/>
          <w:szCs w:val="20"/>
          <w:color w:val="auto"/>
        </w:rPr>
        <w:tab/>
      </w:r>
      <w:r>
        <w:rPr>
          <w:sz w:val="1"/>
          <w:szCs w:val="1"/>
          <w:color w:val="auto"/>
        </w:rPr>
        <w:drawing>
          <wp:inline distT="0" distB="0" distL="0" distR="0">
            <wp:extent cx="600075" cy="11176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0075" cy="11176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40" w:top="1210" w:right="8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2120" w:type="dxa"/>
            <w:vAlign w:val="bottom"/>
          </w:tcPr>
          <w:p>
            <w:pPr>
              <w:ind w:left="440"/>
              <w:spacing w:after="0"/>
              <w:rPr>
                <w:sz w:val="20"/>
                <w:szCs w:val="20"/>
                <w:color w:val="auto"/>
              </w:rPr>
            </w:pPr>
            <w:r>
              <w:rPr>
                <w:rFonts w:ascii="Arial" w:cs="Arial" w:eastAsia="Arial" w:hAnsi="Arial"/>
                <w:sz w:val="18"/>
                <w:szCs w:val="18"/>
                <w:i w:val="1"/>
                <w:iCs w:val="1"/>
                <w:color w:val="auto"/>
              </w:rPr>
              <w:t>How We</w:t>
            </w:r>
          </w:p>
        </w:tc>
        <w:tc>
          <w:tcPr>
            <w:tcW w:w="8780" w:type="dxa"/>
            <w:vAlign w:val="bottom"/>
          </w:tcPr>
          <w:p>
            <w:pPr>
              <w:ind w:left="160"/>
              <w:spacing w:after="0"/>
              <w:rPr>
                <w:sz w:val="20"/>
                <w:szCs w:val="20"/>
                <w:color w:val="auto"/>
              </w:rPr>
            </w:pPr>
            <w:r>
              <w:rPr>
                <w:rFonts w:ascii="Arial" w:cs="Arial" w:eastAsia="Arial" w:hAnsi="Arial"/>
                <w:sz w:val="18"/>
                <w:szCs w:val="18"/>
                <w:color w:val="auto"/>
              </w:rPr>
              <w:t>We obtained an understanding, evaluated the design and tested the operating effectiveness of controls</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120" w:type="dxa"/>
            <w:vAlign w:val="bottom"/>
          </w:tcPr>
          <w:p>
            <w:pPr>
              <w:ind w:left="440"/>
              <w:spacing w:after="0" w:line="176" w:lineRule="exact"/>
              <w:rPr>
                <w:sz w:val="20"/>
                <w:szCs w:val="20"/>
                <w:color w:val="auto"/>
              </w:rPr>
            </w:pPr>
            <w:r>
              <w:rPr>
                <w:rFonts w:ascii="Arial" w:cs="Arial" w:eastAsia="Arial" w:hAnsi="Arial"/>
                <w:sz w:val="18"/>
                <w:szCs w:val="18"/>
                <w:i w:val="1"/>
                <w:iCs w:val="1"/>
                <w:color w:val="auto"/>
              </w:rPr>
              <w:t>Addressed the</w:t>
            </w: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over the Company’s contingent consideration liabilities process including, among others, management’s</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120" w:type="dxa"/>
            <w:vAlign w:val="bottom"/>
          </w:tcPr>
          <w:p>
            <w:pPr>
              <w:ind w:left="440"/>
              <w:spacing w:after="0" w:line="189" w:lineRule="exact"/>
              <w:rPr>
                <w:sz w:val="20"/>
                <w:szCs w:val="20"/>
                <w:color w:val="auto"/>
              </w:rPr>
            </w:pPr>
            <w:r>
              <w:rPr>
                <w:rFonts w:ascii="Arial" w:cs="Arial" w:eastAsia="Arial" w:hAnsi="Arial"/>
                <w:sz w:val="18"/>
                <w:szCs w:val="18"/>
                <w:i w:val="1"/>
                <w:iCs w:val="1"/>
                <w:color w:val="auto"/>
              </w:rPr>
              <w:t>Matter in Our Audit</w:t>
            </w:r>
          </w:p>
        </w:tc>
        <w:tc>
          <w:tcPr>
            <w:tcW w:w="8780" w:type="dxa"/>
            <w:vAlign w:val="bottom"/>
          </w:tcPr>
          <w:p>
            <w:pPr>
              <w:ind w:left="160"/>
              <w:spacing w:after="0" w:line="189" w:lineRule="exact"/>
              <w:rPr>
                <w:sz w:val="20"/>
                <w:szCs w:val="20"/>
                <w:color w:val="auto"/>
              </w:rPr>
            </w:pPr>
            <w:r>
              <w:rPr>
                <w:rFonts w:ascii="Arial" w:cs="Arial" w:eastAsia="Arial" w:hAnsi="Arial"/>
                <w:sz w:val="18"/>
                <w:szCs w:val="18"/>
                <w:color w:val="auto"/>
              </w:rPr>
              <w:t>process to establish the significant assumptions and measure the liability. This included testing controls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over management’s review of the significant assumptions and other inputs used in the determination of fair</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value. The testing was inclusive of key management review controls to monitor and evaluate clinical</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development of the acquired products and estimated future sales, and controls to ensure that the data</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used to evaluate and support the significant assumptions was complete, accurate and, where applicable,</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120" w:type="dxa"/>
            <w:vAlign w:val="bottom"/>
          </w:tcPr>
          <w:p>
            <w:pPr>
              <w:spacing w:after="0"/>
              <w:rPr>
                <w:sz w:val="18"/>
                <w:szCs w:val="18"/>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verified to external data sources.</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2120" w:type="dxa"/>
            <w:vAlign w:val="bottom"/>
          </w:tcPr>
          <w:p>
            <w:pPr>
              <w:spacing w:after="0"/>
              <w:rPr>
                <w:sz w:val="24"/>
                <w:szCs w:val="24"/>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To test the estimated fair value of contingent consideration liabilities, our audit procedures included, among</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others, inspecting the terms of the executed agreement, assessing the Monte Carlo simulation model used</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and testing the key contractual inputs and significant assumptions discussed above. We evaluated the</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assumptions and judgments considering observable industry and economic trends and standards, external</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data sources and regulatory factors. Estimated amounts of future sales were evaluated for reasonableness</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in relation to internal and external analyses, clinical development progress and timelines, probability of</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success benchmarks, and regulatory notices. Our procedures included evaluating the data sources used</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by management in determining its assumptions and, where necessary, included an evaluation of available</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information that either corroborated or contradicted management’s conclusions. We involved a valuation</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specialist to assess the Company’s Monte Carlo simulation model and to perform corroborative fair value</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120" w:type="dxa"/>
            <w:vAlign w:val="bottom"/>
          </w:tcPr>
          <w:p>
            <w:pPr>
              <w:spacing w:after="0"/>
              <w:rPr>
                <w:sz w:val="18"/>
                <w:szCs w:val="18"/>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calculations.</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120" w:type="dxa"/>
            <w:vAlign w:val="bottom"/>
            <w:vMerge w:val="restart"/>
          </w:tcPr>
          <w:p>
            <w:pPr>
              <w:ind w:left="440"/>
              <w:spacing w:after="0"/>
              <w:rPr>
                <w:sz w:val="20"/>
                <w:szCs w:val="20"/>
                <w:color w:val="auto"/>
              </w:rPr>
            </w:pPr>
            <w:r>
              <w:rPr>
                <w:rFonts w:ascii="Arial" w:cs="Arial" w:eastAsia="Arial" w:hAnsi="Arial"/>
                <w:sz w:val="18"/>
                <w:szCs w:val="18"/>
                <w:i w:val="1"/>
                <w:iCs w:val="1"/>
                <w:color w:val="auto"/>
              </w:rPr>
              <w:t>Description of the</w:t>
            </w:r>
          </w:p>
        </w:tc>
        <w:tc>
          <w:tcPr>
            <w:tcW w:w="87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Accounting for Allergan plc acquisition – Valuation of intangible assets</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120" w:type="dxa"/>
            <w:vAlign w:val="bottom"/>
            <w:vMerge w:val="continue"/>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As discussed in Note 5 to the consolidated financial statements under the caption “Licensing, Acquisitions</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120" w:type="dxa"/>
            <w:vAlign w:val="bottom"/>
          </w:tcPr>
          <w:p>
            <w:pPr>
              <w:ind w:left="440"/>
              <w:spacing w:after="0" w:line="189" w:lineRule="exact"/>
              <w:rPr>
                <w:sz w:val="20"/>
                <w:szCs w:val="20"/>
                <w:color w:val="auto"/>
              </w:rPr>
            </w:pPr>
            <w:r>
              <w:rPr>
                <w:rFonts w:ascii="Arial" w:cs="Arial" w:eastAsia="Arial" w:hAnsi="Arial"/>
                <w:sz w:val="18"/>
                <w:szCs w:val="18"/>
                <w:i w:val="1"/>
                <w:iCs w:val="1"/>
                <w:color w:val="auto"/>
              </w:rPr>
              <w:t>Matter</w:t>
            </w:r>
          </w:p>
        </w:tc>
        <w:tc>
          <w:tcPr>
            <w:tcW w:w="8780" w:type="dxa"/>
            <w:vAlign w:val="bottom"/>
          </w:tcPr>
          <w:p>
            <w:pPr>
              <w:ind w:left="160"/>
              <w:spacing w:after="0" w:line="189" w:lineRule="exact"/>
              <w:rPr>
                <w:sz w:val="20"/>
                <w:szCs w:val="20"/>
                <w:color w:val="auto"/>
              </w:rPr>
            </w:pPr>
            <w:r>
              <w:rPr>
                <w:rFonts w:ascii="Arial" w:cs="Arial" w:eastAsia="Arial" w:hAnsi="Arial"/>
                <w:sz w:val="18"/>
                <w:szCs w:val="18"/>
                <w:color w:val="auto"/>
              </w:rPr>
              <w:t>and Other Arrangements”, the Company completed the acquisition of Allergan plc (“Allergan”) on May 8,</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2020 for approximately $64,084 million. The Company measured the assets acquired and liabilities</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assumed at fair value, which resulted in the recognition of $69,080 million of intangible assets, comprised</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of $67,330 million of developed product rights and $1,750 million of in-process research and development</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120" w:type="dxa"/>
            <w:vAlign w:val="bottom"/>
          </w:tcPr>
          <w:p>
            <w:pPr>
              <w:spacing w:after="0"/>
              <w:rPr>
                <w:sz w:val="18"/>
                <w:szCs w:val="18"/>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(“IPR&amp;D”).</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2120" w:type="dxa"/>
            <w:vAlign w:val="bottom"/>
          </w:tcPr>
          <w:p>
            <w:pPr>
              <w:spacing w:after="0"/>
              <w:rPr>
                <w:sz w:val="24"/>
                <w:szCs w:val="24"/>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Auditing the valuation of intangible assets was complex and required significant auditor judgment due to</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the high degree of subjectivity in evaluating certain assumptions required to estimate the fair value of the</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identified intangible assets. In particular, the fair value measurement was sensitive to management’s</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forecasts of net revenues, including growth rates used to estimate future net cash flows for acquired</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120" w:type="dxa"/>
            <w:vAlign w:val="bottom"/>
          </w:tcPr>
          <w:p>
            <w:pPr>
              <w:spacing w:after="0"/>
              <w:rPr>
                <w:sz w:val="18"/>
                <w:szCs w:val="18"/>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aesthetics and recently launched products.</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2120" w:type="dxa"/>
            <w:vAlign w:val="bottom"/>
          </w:tcPr>
          <w:p>
            <w:pPr>
              <w:ind w:left="440"/>
              <w:spacing w:after="0"/>
              <w:rPr>
                <w:sz w:val="20"/>
                <w:szCs w:val="20"/>
                <w:color w:val="auto"/>
              </w:rPr>
            </w:pPr>
            <w:r>
              <w:rPr>
                <w:rFonts w:ascii="Arial" w:cs="Arial" w:eastAsia="Arial" w:hAnsi="Arial"/>
                <w:sz w:val="18"/>
                <w:szCs w:val="18"/>
                <w:i w:val="1"/>
                <w:iCs w:val="1"/>
                <w:color w:val="auto"/>
              </w:rPr>
              <w:t>How We</w:t>
            </w:r>
          </w:p>
        </w:tc>
        <w:tc>
          <w:tcPr>
            <w:tcW w:w="8780" w:type="dxa"/>
            <w:vAlign w:val="bottom"/>
          </w:tcPr>
          <w:p>
            <w:pPr>
              <w:ind w:left="160"/>
              <w:spacing w:after="0"/>
              <w:rPr>
                <w:sz w:val="20"/>
                <w:szCs w:val="20"/>
                <w:color w:val="auto"/>
              </w:rPr>
            </w:pPr>
            <w:r>
              <w:rPr>
                <w:rFonts w:ascii="Arial" w:cs="Arial" w:eastAsia="Arial" w:hAnsi="Arial"/>
                <w:sz w:val="18"/>
                <w:szCs w:val="18"/>
                <w:color w:val="auto"/>
              </w:rPr>
              <w:t>We obtained an understanding, evaluated the design and tested the operating effectiveness of controls</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120" w:type="dxa"/>
            <w:vAlign w:val="bottom"/>
          </w:tcPr>
          <w:p>
            <w:pPr>
              <w:ind w:left="440"/>
              <w:spacing w:after="0" w:line="176" w:lineRule="exact"/>
              <w:rPr>
                <w:sz w:val="20"/>
                <w:szCs w:val="20"/>
                <w:color w:val="auto"/>
              </w:rPr>
            </w:pPr>
            <w:r>
              <w:rPr>
                <w:rFonts w:ascii="Arial" w:cs="Arial" w:eastAsia="Arial" w:hAnsi="Arial"/>
                <w:sz w:val="18"/>
                <w:szCs w:val="18"/>
                <w:i w:val="1"/>
                <w:iCs w:val="1"/>
                <w:color w:val="auto"/>
              </w:rPr>
              <w:t>Addressed the</w:t>
            </w: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over the Company’s accounting for acquisitions including, among others, management’s process to</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120" w:type="dxa"/>
            <w:vAlign w:val="bottom"/>
          </w:tcPr>
          <w:p>
            <w:pPr>
              <w:ind w:left="440"/>
              <w:spacing w:after="0" w:line="189" w:lineRule="exact"/>
              <w:rPr>
                <w:sz w:val="20"/>
                <w:szCs w:val="20"/>
                <w:color w:val="auto"/>
              </w:rPr>
            </w:pPr>
            <w:r>
              <w:rPr>
                <w:rFonts w:ascii="Arial" w:cs="Arial" w:eastAsia="Arial" w:hAnsi="Arial"/>
                <w:sz w:val="18"/>
                <w:szCs w:val="18"/>
                <w:i w:val="1"/>
                <w:iCs w:val="1"/>
                <w:color w:val="auto"/>
              </w:rPr>
              <w:t>Matter in Our Audit</w:t>
            </w:r>
          </w:p>
        </w:tc>
        <w:tc>
          <w:tcPr>
            <w:tcW w:w="8780" w:type="dxa"/>
            <w:vAlign w:val="bottom"/>
          </w:tcPr>
          <w:p>
            <w:pPr>
              <w:ind w:left="160"/>
              <w:spacing w:after="0" w:line="189" w:lineRule="exact"/>
              <w:rPr>
                <w:sz w:val="20"/>
                <w:szCs w:val="20"/>
                <w:color w:val="auto"/>
              </w:rPr>
            </w:pPr>
            <w:r>
              <w:rPr>
                <w:rFonts w:ascii="Arial" w:cs="Arial" w:eastAsia="Arial" w:hAnsi="Arial"/>
                <w:sz w:val="18"/>
                <w:szCs w:val="18"/>
                <w:color w:val="auto"/>
              </w:rPr>
              <w:t>establish the significant assumptions used in determining the fair values of intangible assets. This included</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testing controls over management’s review of the significant assumptions and other inputs used in the</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determination of estimated future net revenues, the determination of future net cash flows, estimated</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120" w:type="dxa"/>
            <w:vAlign w:val="bottom"/>
          </w:tcPr>
          <w:p>
            <w:pPr>
              <w:spacing w:after="0"/>
              <w:rPr>
                <w:sz w:val="18"/>
                <w:szCs w:val="18"/>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growth rates, and review of the valuation model.</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2120" w:type="dxa"/>
            <w:vAlign w:val="bottom"/>
          </w:tcPr>
          <w:p>
            <w:pPr>
              <w:spacing w:after="0"/>
              <w:rPr>
                <w:sz w:val="24"/>
                <w:szCs w:val="24"/>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To test the estimated fair value of intangible assets, our audit procedures included, among others,</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inspecting the terms of the executed agreement, evaluating the valuation methods used, and testing the</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significant assumptions discussed above. We evaluated the assumptions and judgments considering</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observable industry and economic trends and standards, external data sources, and historical product</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trends, including those of comparable products, to the extent applicable. Estimated future net revenues</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were evaluated for reasonableness against internal and external analyses, including analyst expectations,</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industry trends, and market trends. Our procedures included evaluating the data sources used by</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management in determining its assumptions and, where necessary, included an evaluation of available</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8780" w:type="dxa"/>
            <w:vAlign w:val="bottom"/>
          </w:tcPr>
          <w:p>
            <w:pPr>
              <w:ind w:left="160"/>
              <w:spacing w:after="0" w:line="176" w:lineRule="exact"/>
              <w:rPr>
                <w:sz w:val="20"/>
                <w:szCs w:val="20"/>
                <w:color w:val="auto"/>
              </w:rPr>
            </w:pPr>
            <w:r>
              <w:rPr>
                <w:rFonts w:ascii="Arial" w:cs="Arial" w:eastAsia="Arial" w:hAnsi="Arial"/>
                <w:sz w:val="18"/>
                <w:szCs w:val="18"/>
                <w:color w:val="auto"/>
              </w:rPr>
              <w:t>information that either corroborated or contradicted management’s conclusions. We involved a valuation</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120" w:type="dxa"/>
            <w:vAlign w:val="bottom"/>
          </w:tcPr>
          <w:p>
            <w:pPr>
              <w:spacing w:after="0"/>
              <w:rPr>
                <w:sz w:val="18"/>
                <w:szCs w:val="18"/>
                <w:color w:val="auto"/>
              </w:rPr>
            </w:pPr>
          </w:p>
        </w:tc>
        <w:tc>
          <w:tcPr>
            <w:tcW w:w="8780" w:type="dxa"/>
            <w:vAlign w:val="bottom"/>
          </w:tcPr>
          <w:p>
            <w:pPr>
              <w:ind w:left="160"/>
              <w:spacing w:after="0"/>
              <w:rPr>
                <w:sz w:val="20"/>
                <w:szCs w:val="20"/>
                <w:color w:val="auto"/>
              </w:rPr>
            </w:pPr>
            <w:r>
              <w:rPr>
                <w:rFonts w:ascii="Arial" w:cs="Arial" w:eastAsia="Arial" w:hAnsi="Arial"/>
                <w:sz w:val="18"/>
                <w:szCs w:val="18"/>
                <w:color w:val="auto"/>
              </w:rPr>
              <w:t>specialist to assess the valuation model and to perform corroborative fair value calculations.</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4"/>
        </w:trPr>
        <w:tc>
          <w:tcPr>
            <w:tcW w:w="2120" w:type="dxa"/>
            <w:vAlign w:val="bottom"/>
          </w:tcPr>
          <w:p>
            <w:pPr>
              <w:spacing w:after="0"/>
              <w:rPr>
                <w:sz w:val="24"/>
                <w:szCs w:val="24"/>
                <w:color w:val="auto"/>
              </w:rPr>
            </w:pPr>
          </w:p>
        </w:tc>
        <w:tc>
          <w:tcPr>
            <w:tcW w:w="8780" w:type="dxa"/>
            <w:vAlign w:val="bottom"/>
          </w:tcPr>
          <w:p>
            <w:pPr>
              <w:ind w:left="6060"/>
              <w:spacing w:after="0"/>
              <w:rPr>
                <w:sz w:val="20"/>
                <w:szCs w:val="20"/>
                <w:color w:val="auto"/>
              </w:rPr>
            </w:pPr>
            <w:r>
              <w:rPr>
                <w:rFonts w:ascii="Arial" w:cs="Arial" w:eastAsia="Arial" w:hAnsi="Arial"/>
                <w:sz w:val="18"/>
                <w:szCs w:val="18"/>
                <w:i w:val="1"/>
                <w:iCs w:val="1"/>
                <w:color w:val="auto"/>
              </w:rPr>
              <w:t xml:space="preserve">2020 Form 10-K  </w:t>
            </w:r>
            <w:r>
              <w:rPr>
                <w:rFonts w:ascii="Arial" w:cs="Arial" w:eastAsia="Arial" w:hAnsi="Arial"/>
                <w:sz w:val="25"/>
                <w:szCs w:val="25"/>
                <w:b w:val="1"/>
                <w:bCs w:val="1"/>
                <w:color w:val="444867"/>
              </w:rPr>
              <w:t>|</w:t>
            </w:r>
          </w:p>
        </w:tc>
        <w:tc>
          <w:tcPr>
            <w:tcW w:w="3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98</w:t>
            </w:r>
          </w:p>
        </w:tc>
        <w:tc>
          <w:tcPr>
            <w:tcW w:w="0" w:type="dxa"/>
            <w:vAlign w:val="bottom"/>
          </w:tcPr>
          <w:p>
            <w:pPr>
              <w:spacing w:after="0"/>
              <w:rPr>
                <w:sz w:val="1"/>
                <w:szCs w:val="1"/>
                <w:color w:val="auto"/>
              </w:rPr>
            </w:pPr>
          </w:p>
        </w:tc>
      </w:tr>
      <w:tr>
        <w:trPr>
          <w:trHeight w:val="201"/>
        </w:trPr>
        <w:tc>
          <w:tcPr>
            <w:tcW w:w="2120" w:type="dxa"/>
            <w:vAlign w:val="bottom"/>
            <w:tcBorders>
              <w:bottom w:val="single" w:sz="8" w:color="9A9A9A"/>
            </w:tcBorders>
          </w:tcPr>
          <w:p>
            <w:pPr>
              <w:spacing w:after="0"/>
              <w:rPr>
                <w:sz w:val="17"/>
                <w:szCs w:val="17"/>
                <w:color w:val="auto"/>
              </w:rPr>
            </w:pPr>
          </w:p>
        </w:tc>
        <w:tc>
          <w:tcPr>
            <w:tcW w:w="87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-334010</wp:posOffset>
            </wp:positionV>
            <wp:extent cx="600075" cy="1111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0075" cy="11112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01" w:name="page102"/>
    <w:bookmarkEnd w:id="101"/>
    <w:tbl>
      <w:tblPr>
        <w:tblLayout w:type="fixed"/>
        <w:tblInd w:w="440" w:type="dxa"/>
        <w:tblCellMar>
          <w:top w:w="0" w:type="dxa"/>
          <w:left w:w="0" w:type="dxa"/>
          <w:bottom w:w="0" w:type="dxa"/>
          <w:right w:w="0" w:type="dxa"/>
        </w:tblCellMar>
      </w:tblPr>
      <w:tr>
        <w:trPr>
          <w:trHeight w:val="239"/>
        </w:trPr>
        <w:tc>
          <w:tcPr>
            <w:tcW w:w="1680" w:type="dxa"/>
            <w:vAlign w:val="bottom"/>
            <w:vMerge w:val="restart"/>
          </w:tcPr>
          <w:p>
            <w:pPr>
              <w:spacing w:after="0"/>
              <w:rPr>
                <w:sz w:val="20"/>
                <w:szCs w:val="20"/>
                <w:color w:val="auto"/>
              </w:rPr>
            </w:pPr>
            <w:r>
              <w:rPr>
                <w:rFonts w:ascii="Arial" w:cs="Arial" w:eastAsia="Arial" w:hAnsi="Arial"/>
                <w:sz w:val="18"/>
                <w:szCs w:val="18"/>
                <w:i w:val="1"/>
                <w:iCs w:val="1"/>
                <w:color w:val="auto"/>
              </w:rPr>
              <w:t>Description of the</w:t>
            </w:r>
          </w:p>
        </w:tc>
        <w:tc>
          <w:tcPr>
            <w:tcW w:w="86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Accounting for Allergan plc acquisition – Unrecognized tax benefits</w:t>
            </w:r>
          </w:p>
        </w:tc>
        <w:tc>
          <w:tcPr>
            <w:tcW w:w="0" w:type="dxa"/>
            <w:vAlign w:val="bottom"/>
          </w:tcPr>
          <w:p>
            <w:pPr>
              <w:spacing w:after="0"/>
              <w:rPr>
                <w:sz w:val="1"/>
                <w:szCs w:val="1"/>
                <w:color w:val="auto"/>
              </w:rPr>
            </w:pPr>
          </w:p>
        </w:tc>
      </w:tr>
      <w:tr>
        <w:trPr>
          <w:trHeight w:val="176"/>
        </w:trPr>
        <w:tc>
          <w:tcPr>
            <w:tcW w:w="1680" w:type="dxa"/>
            <w:vAlign w:val="bottom"/>
            <w:vMerge w:val="continue"/>
          </w:tcPr>
          <w:p>
            <w:pPr>
              <w:spacing w:after="0"/>
              <w:rPr>
                <w:sz w:val="15"/>
                <w:szCs w:val="15"/>
                <w:color w:val="auto"/>
              </w:rPr>
            </w:pPr>
          </w:p>
        </w:tc>
        <w:tc>
          <w:tcPr>
            <w:tcW w:w="8680" w:type="dxa"/>
            <w:vAlign w:val="bottom"/>
          </w:tcPr>
          <w:p>
            <w:pPr>
              <w:ind w:left="160"/>
              <w:spacing w:after="0" w:line="176" w:lineRule="exact"/>
              <w:rPr>
                <w:sz w:val="20"/>
                <w:szCs w:val="20"/>
                <w:color w:val="auto"/>
              </w:rPr>
            </w:pPr>
            <w:r>
              <w:rPr>
                <w:rFonts w:ascii="Arial" w:cs="Arial" w:eastAsia="Arial" w:hAnsi="Arial"/>
                <w:sz w:val="18"/>
                <w:szCs w:val="18"/>
                <w:color w:val="auto"/>
              </w:rPr>
              <w:t>As discussed in Note 14 under the caption “Income Taxes,” as part of the acquisition of Allergan plc, the</w:t>
            </w:r>
          </w:p>
        </w:tc>
        <w:tc>
          <w:tcPr>
            <w:tcW w:w="0" w:type="dxa"/>
            <w:vAlign w:val="bottom"/>
          </w:tcPr>
          <w:p>
            <w:pPr>
              <w:spacing w:after="0"/>
              <w:rPr>
                <w:sz w:val="1"/>
                <w:szCs w:val="1"/>
                <w:color w:val="auto"/>
              </w:rPr>
            </w:pPr>
          </w:p>
        </w:tc>
      </w:tr>
      <w:tr>
        <w:trPr>
          <w:trHeight w:val="188"/>
        </w:trPr>
        <w:tc>
          <w:tcPr>
            <w:tcW w:w="1680" w:type="dxa"/>
            <w:vAlign w:val="bottom"/>
          </w:tcPr>
          <w:p>
            <w:pPr>
              <w:spacing w:after="0" w:line="189" w:lineRule="exact"/>
              <w:rPr>
                <w:sz w:val="20"/>
                <w:szCs w:val="20"/>
                <w:color w:val="auto"/>
              </w:rPr>
            </w:pPr>
            <w:r>
              <w:rPr>
                <w:rFonts w:ascii="Arial" w:cs="Arial" w:eastAsia="Arial" w:hAnsi="Arial"/>
                <w:sz w:val="18"/>
                <w:szCs w:val="18"/>
                <w:i w:val="1"/>
                <w:iCs w:val="1"/>
                <w:color w:val="auto"/>
              </w:rPr>
              <w:t>Matter</w:t>
            </w:r>
          </w:p>
        </w:tc>
        <w:tc>
          <w:tcPr>
            <w:tcW w:w="8680" w:type="dxa"/>
            <w:vAlign w:val="bottom"/>
          </w:tcPr>
          <w:p>
            <w:pPr>
              <w:ind w:left="160"/>
              <w:spacing w:after="0" w:line="189" w:lineRule="exact"/>
              <w:rPr>
                <w:sz w:val="20"/>
                <w:szCs w:val="20"/>
                <w:color w:val="auto"/>
              </w:rPr>
            </w:pPr>
            <w:r>
              <w:rPr>
                <w:rFonts w:ascii="Arial" w:cs="Arial" w:eastAsia="Arial" w:hAnsi="Arial"/>
                <w:sz w:val="18"/>
                <w:szCs w:val="18"/>
                <w:color w:val="auto"/>
              </w:rPr>
              <w:t>Company recorded $2,674 million of unrecognized tax benefits resulting from uncertain tax positions. The</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680" w:type="dxa"/>
            <w:vAlign w:val="bottom"/>
          </w:tcPr>
          <w:p>
            <w:pPr>
              <w:ind w:left="160"/>
              <w:spacing w:after="0" w:line="176" w:lineRule="exact"/>
              <w:rPr>
                <w:sz w:val="20"/>
                <w:szCs w:val="20"/>
                <w:color w:val="auto"/>
              </w:rPr>
            </w:pPr>
            <w:r>
              <w:rPr>
                <w:rFonts w:ascii="Arial" w:cs="Arial" w:eastAsia="Arial" w:hAnsi="Arial"/>
                <w:sz w:val="18"/>
                <w:szCs w:val="18"/>
                <w:color w:val="auto"/>
                <w:w w:val="99"/>
              </w:rPr>
              <w:t>Company applied judgment in evaluating the completeness of unrecognized tax benefits assumed as of the</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680" w:type="dxa"/>
            <w:vAlign w:val="bottom"/>
          </w:tcPr>
          <w:p>
            <w:pPr>
              <w:ind w:left="160"/>
              <w:spacing w:after="0" w:line="176" w:lineRule="exact"/>
              <w:rPr>
                <w:sz w:val="20"/>
                <w:szCs w:val="20"/>
                <w:color w:val="auto"/>
              </w:rPr>
            </w:pPr>
            <w:r>
              <w:rPr>
                <w:rFonts w:ascii="Arial" w:cs="Arial" w:eastAsia="Arial" w:hAnsi="Arial"/>
                <w:sz w:val="18"/>
                <w:szCs w:val="18"/>
                <w:color w:val="auto"/>
                <w:w w:val="99"/>
              </w:rPr>
              <w:t>acquisition date. Some of the more significant judgments inherent in the Company’s evaluation of assumed</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680" w:type="dxa"/>
            <w:vAlign w:val="bottom"/>
          </w:tcPr>
          <w:p>
            <w:pPr>
              <w:ind w:left="160"/>
              <w:spacing w:after="0" w:line="176" w:lineRule="exact"/>
              <w:rPr>
                <w:sz w:val="20"/>
                <w:szCs w:val="20"/>
                <w:color w:val="auto"/>
              </w:rPr>
            </w:pPr>
            <w:r>
              <w:rPr>
                <w:rFonts w:ascii="Arial" w:cs="Arial" w:eastAsia="Arial" w:hAnsi="Arial"/>
                <w:sz w:val="18"/>
                <w:szCs w:val="18"/>
                <w:color w:val="auto"/>
              </w:rPr>
              <w:t>uncertain tax positions included whether a tax position’s technical merits were more-likely-than-not to be</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680" w:type="dxa"/>
            <w:vAlign w:val="bottom"/>
          </w:tcPr>
          <w:p>
            <w:pPr>
              <w:ind w:left="160"/>
              <w:spacing w:after="0" w:line="176" w:lineRule="exact"/>
              <w:rPr>
                <w:sz w:val="20"/>
                <w:szCs w:val="20"/>
                <w:color w:val="auto"/>
              </w:rPr>
            </w:pPr>
            <w:r>
              <w:rPr>
                <w:rFonts w:ascii="Arial" w:cs="Arial" w:eastAsia="Arial" w:hAnsi="Arial"/>
                <w:sz w:val="18"/>
                <w:szCs w:val="18"/>
                <w:color w:val="auto"/>
                <w:w w:val="99"/>
              </w:rPr>
              <w:t>sustained, including consideration of applicable tax statutes and related interpretations and precedents and</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the expected outcome of proceedings (or negotiations) with taxing and legal authorities.</w:t>
            </w:r>
          </w:p>
        </w:tc>
        <w:tc>
          <w:tcPr>
            <w:tcW w:w="0" w:type="dxa"/>
            <w:vAlign w:val="bottom"/>
          </w:tcPr>
          <w:p>
            <w:pPr>
              <w:spacing w:after="0"/>
              <w:rPr>
                <w:sz w:val="1"/>
                <w:szCs w:val="1"/>
                <w:color w:val="auto"/>
              </w:rPr>
            </w:pPr>
          </w:p>
        </w:tc>
      </w:tr>
      <w:tr>
        <w:trPr>
          <w:trHeight w:val="296"/>
        </w:trPr>
        <w:tc>
          <w:tcPr>
            <w:tcW w:w="1680" w:type="dxa"/>
            <w:vAlign w:val="bottom"/>
          </w:tcPr>
          <w:p>
            <w:pPr>
              <w:spacing w:after="0"/>
              <w:rPr>
                <w:sz w:val="24"/>
                <w:szCs w:val="24"/>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Auditing the Company’s analysis and accounting for uncertain tax positions was complex due to the</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680" w:type="dxa"/>
            <w:vAlign w:val="bottom"/>
          </w:tcPr>
          <w:p>
            <w:pPr>
              <w:ind w:left="160"/>
              <w:spacing w:after="0" w:line="176" w:lineRule="exact"/>
              <w:rPr>
                <w:sz w:val="20"/>
                <w:szCs w:val="20"/>
                <w:color w:val="auto"/>
              </w:rPr>
            </w:pPr>
            <w:r>
              <w:rPr>
                <w:rFonts w:ascii="Arial" w:cs="Arial" w:eastAsia="Arial" w:hAnsi="Arial"/>
                <w:sz w:val="18"/>
                <w:szCs w:val="18"/>
                <w:color w:val="auto"/>
              </w:rPr>
              <w:t>interpretation of tax laws and legal rulings in multiple tax paying jurisdictions and required significant</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680" w:type="dxa"/>
            <w:vAlign w:val="bottom"/>
          </w:tcPr>
          <w:p>
            <w:pPr>
              <w:ind w:left="160"/>
              <w:spacing w:after="0" w:line="176" w:lineRule="exact"/>
              <w:rPr>
                <w:sz w:val="20"/>
                <w:szCs w:val="20"/>
                <w:color w:val="auto"/>
              </w:rPr>
            </w:pPr>
            <w:r>
              <w:rPr>
                <w:rFonts w:ascii="Arial" w:cs="Arial" w:eastAsia="Arial" w:hAnsi="Arial"/>
                <w:sz w:val="18"/>
                <w:szCs w:val="18"/>
                <w:color w:val="auto"/>
              </w:rPr>
              <w:t>judgment in determining whether an assumed tax position’s technical merits were more-likely-than-not to</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680" w:type="dxa"/>
            <w:vAlign w:val="bottom"/>
          </w:tcPr>
          <w:p>
            <w:pPr>
              <w:ind w:left="160"/>
              <w:spacing w:after="0" w:line="176" w:lineRule="exact"/>
              <w:rPr>
                <w:sz w:val="20"/>
                <w:szCs w:val="20"/>
                <w:color w:val="auto"/>
              </w:rPr>
            </w:pPr>
            <w:r>
              <w:rPr>
                <w:rFonts w:ascii="Arial" w:cs="Arial" w:eastAsia="Arial" w:hAnsi="Arial"/>
                <w:sz w:val="18"/>
                <w:szCs w:val="18"/>
                <w:color w:val="auto"/>
              </w:rPr>
              <w:t>be sustained. In particular, each assumed unrecognized tax benefit involved unique facts and</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680" w:type="dxa"/>
            <w:vAlign w:val="bottom"/>
          </w:tcPr>
          <w:p>
            <w:pPr>
              <w:ind w:left="160"/>
              <w:spacing w:after="0" w:line="176" w:lineRule="exact"/>
              <w:rPr>
                <w:sz w:val="20"/>
                <w:szCs w:val="20"/>
                <w:color w:val="auto"/>
              </w:rPr>
            </w:pPr>
            <w:r>
              <w:rPr>
                <w:rFonts w:ascii="Arial" w:cs="Arial" w:eastAsia="Arial" w:hAnsi="Arial"/>
                <w:sz w:val="18"/>
                <w:szCs w:val="18"/>
                <w:color w:val="auto"/>
              </w:rPr>
              <w:t>circumstances and multiple potential outcomes that were evaluated, with many uncertainties around initial</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680" w:type="dxa"/>
            <w:vAlign w:val="bottom"/>
          </w:tcPr>
          <w:p>
            <w:pPr>
              <w:ind w:left="160"/>
              <w:spacing w:after="0" w:line="176" w:lineRule="exact"/>
              <w:rPr>
                <w:sz w:val="20"/>
                <w:szCs w:val="20"/>
                <w:color w:val="auto"/>
              </w:rPr>
            </w:pPr>
            <w:r>
              <w:rPr>
                <w:rFonts w:ascii="Arial" w:cs="Arial" w:eastAsia="Arial" w:hAnsi="Arial"/>
                <w:sz w:val="18"/>
                <w:szCs w:val="18"/>
                <w:color w:val="auto"/>
              </w:rPr>
              <w:t>recognition, including regulatory changes, litigation and examination activity. Management utilized outside</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tax and legal counsel, where appropriate, in its evaluation.</w:t>
            </w:r>
          </w:p>
        </w:tc>
        <w:tc>
          <w:tcPr>
            <w:tcW w:w="0" w:type="dxa"/>
            <w:vAlign w:val="bottom"/>
          </w:tcPr>
          <w:p>
            <w:pPr>
              <w:spacing w:after="0"/>
              <w:rPr>
                <w:sz w:val="1"/>
                <w:szCs w:val="1"/>
                <w:color w:val="auto"/>
              </w:rPr>
            </w:pPr>
          </w:p>
        </w:tc>
      </w:tr>
      <w:tr>
        <w:trPr>
          <w:trHeight w:val="337"/>
        </w:trPr>
        <w:tc>
          <w:tcPr>
            <w:tcW w:w="1680" w:type="dxa"/>
            <w:vAlign w:val="bottom"/>
          </w:tcPr>
          <w:p>
            <w:pPr>
              <w:spacing w:after="0"/>
              <w:rPr>
                <w:sz w:val="20"/>
                <w:szCs w:val="20"/>
                <w:color w:val="auto"/>
              </w:rPr>
            </w:pPr>
            <w:r>
              <w:rPr>
                <w:rFonts w:ascii="Arial" w:cs="Arial" w:eastAsia="Arial" w:hAnsi="Arial"/>
                <w:sz w:val="18"/>
                <w:szCs w:val="18"/>
                <w:i w:val="1"/>
                <w:iCs w:val="1"/>
                <w:color w:val="auto"/>
              </w:rPr>
              <w:t>How We</w:t>
            </w:r>
          </w:p>
        </w:tc>
        <w:tc>
          <w:tcPr>
            <w:tcW w:w="8680" w:type="dxa"/>
            <w:vAlign w:val="bottom"/>
          </w:tcPr>
          <w:p>
            <w:pPr>
              <w:ind w:left="160"/>
              <w:spacing w:after="0"/>
              <w:rPr>
                <w:sz w:val="20"/>
                <w:szCs w:val="20"/>
                <w:color w:val="auto"/>
              </w:rPr>
            </w:pPr>
            <w:r>
              <w:rPr>
                <w:rFonts w:ascii="Arial" w:cs="Arial" w:eastAsia="Arial" w:hAnsi="Arial"/>
                <w:sz w:val="18"/>
                <w:szCs w:val="18"/>
                <w:color w:val="auto"/>
              </w:rPr>
              <w:t>We obtained an understanding, evaluated the design and tested the operating effectiveness of controls</w:t>
            </w:r>
          </w:p>
        </w:tc>
        <w:tc>
          <w:tcPr>
            <w:tcW w:w="0" w:type="dxa"/>
            <w:vAlign w:val="bottom"/>
          </w:tcPr>
          <w:p>
            <w:pPr>
              <w:spacing w:after="0"/>
              <w:rPr>
                <w:sz w:val="1"/>
                <w:szCs w:val="1"/>
                <w:color w:val="auto"/>
              </w:rPr>
            </w:pPr>
          </w:p>
        </w:tc>
      </w:tr>
      <w:tr>
        <w:trPr>
          <w:trHeight w:val="176"/>
        </w:trPr>
        <w:tc>
          <w:tcPr>
            <w:tcW w:w="1680" w:type="dxa"/>
            <w:vAlign w:val="bottom"/>
          </w:tcPr>
          <w:p>
            <w:pPr>
              <w:spacing w:after="0" w:line="176" w:lineRule="exact"/>
              <w:rPr>
                <w:sz w:val="20"/>
                <w:szCs w:val="20"/>
                <w:color w:val="auto"/>
              </w:rPr>
            </w:pPr>
            <w:r>
              <w:rPr>
                <w:rFonts w:ascii="Arial" w:cs="Arial" w:eastAsia="Arial" w:hAnsi="Arial"/>
                <w:sz w:val="18"/>
                <w:szCs w:val="18"/>
                <w:i w:val="1"/>
                <w:iCs w:val="1"/>
                <w:color w:val="auto"/>
              </w:rPr>
              <w:t>Addressed the</w:t>
            </w:r>
          </w:p>
        </w:tc>
        <w:tc>
          <w:tcPr>
            <w:tcW w:w="8680" w:type="dxa"/>
            <w:vAlign w:val="bottom"/>
          </w:tcPr>
          <w:p>
            <w:pPr>
              <w:ind w:left="160"/>
              <w:spacing w:after="0" w:line="176" w:lineRule="exact"/>
              <w:rPr>
                <w:sz w:val="20"/>
                <w:szCs w:val="20"/>
                <w:color w:val="auto"/>
              </w:rPr>
            </w:pPr>
            <w:r>
              <w:rPr>
                <w:rFonts w:ascii="Arial" w:cs="Arial" w:eastAsia="Arial" w:hAnsi="Arial"/>
                <w:sz w:val="18"/>
                <w:szCs w:val="18"/>
                <w:color w:val="auto"/>
              </w:rPr>
              <w:t>over the Company’s accounting for acquisitions including, among others, management’s process to</w:t>
            </w:r>
          </w:p>
        </w:tc>
        <w:tc>
          <w:tcPr>
            <w:tcW w:w="0" w:type="dxa"/>
            <w:vAlign w:val="bottom"/>
          </w:tcPr>
          <w:p>
            <w:pPr>
              <w:spacing w:after="0"/>
              <w:rPr>
                <w:sz w:val="1"/>
                <w:szCs w:val="1"/>
                <w:color w:val="auto"/>
              </w:rPr>
            </w:pPr>
          </w:p>
        </w:tc>
      </w:tr>
      <w:tr>
        <w:trPr>
          <w:trHeight w:val="188"/>
        </w:trPr>
        <w:tc>
          <w:tcPr>
            <w:tcW w:w="1680" w:type="dxa"/>
            <w:vAlign w:val="bottom"/>
          </w:tcPr>
          <w:p>
            <w:pPr>
              <w:spacing w:after="0" w:line="189" w:lineRule="exact"/>
              <w:rPr>
                <w:sz w:val="20"/>
                <w:szCs w:val="20"/>
                <w:color w:val="auto"/>
              </w:rPr>
            </w:pPr>
            <w:r>
              <w:rPr>
                <w:rFonts w:ascii="Arial" w:cs="Arial" w:eastAsia="Arial" w:hAnsi="Arial"/>
                <w:sz w:val="18"/>
                <w:szCs w:val="18"/>
                <w:i w:val="1"/>
                <w:iCs w:val="1"/>
                <w:color w:val="auto"/>
              </w:rPr>
              <w:t>Matter in Our Audit</w:t>
            </w:r>
          </w:p>
        </w:tc>
        <w:tc>
          <w:tcPr>
            <w:tcW w:w="8680" w:type="dxa"/>
            <w:vAlign w:val="bottom"/>
          </w:tcPr>
          <w:p>
            <w:pPr>
              <w:ind w:left="160"/>
              <w:spacing w:after="0" w:line="189" w:lineRule="exact"/>
              <w:rPr>
                <w:sz w:val="20"/>
                <w:szCs w:val="20"/>
                <w:color w:val="auto"/>
              </w:rPr>
            </w:pPr>
            <w:r>
              <w:rPr>
                <w:rFonts w:ascii="Arial" w:cs="Arial" w:eastAsia="Arial" w:hAnsi="Arial"/>
                <w:sz w:val="18"/>
                <w:szCs w:val="18"/>
                <w:color w:val="auto"/>
              </w:rPr>
              <w:t>evaluate the completeness and estimation of unrecognized tax benefits. This included testing controls over</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680" w:type="dxa"/>
            <w:vAlign w:val="bottom"/>
          </w:tcPr>
          <w:p>
            <w:pPr>
              <w:ind w:left="160"/>
              <w:spacing w:after="0" w:line="176" w:lineRule="exact"/>
              <w:rPr>
                <w:sz w:val="20"/>
                <w:szCs w:val="20"/>
                <w:color w:val="auto"/>
              </w:rPr>
            </w:pPr>
            <w:r>
              <w:rPr>
                <w:rFonts w:ascii="Arial" w:cs="Arial" w:eastAsia="Arial" w:hAnsi="Arial"/>
                <w:sz w:val="18"/>
                <w:szCs w:val="18"/>
                <w:color w:val="auto"/>
              </w:rPr>
              <w:t>management’s determination of whether an assumed tax position’s technical merits were more-likely-than-</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680" w:type="dxa"/>
            <w:vAlign w:val="bottom"/>
          </w:tcPr>
          <w:p>
            <w:pPr>
              <w:ind w:left="160"/>
              <w:spacing w:after="0" w:line="176" w:lineRule="exact"/>
              <w:rPr>
                <w:sz w:val="20"/>
                <w:szCs w:val="20"/>
                <w:color w:val="auto"/>
              </w:rPr>
            </w:pPr>
            <w:r>
              <w:rPr>
                <w:rFonts w:ascii="Arial" w:cs="Arial" w:eastAsia="Arial" w:hAnsi="Arial"/>
                <w:sz w:val="18"/>
                <w:szCs w:val="18"/>
                <w:color w:val="auto"/>
              </w:rPr>
              <w:t>not to be sustained and, if so, recognizing the estimated amount of qualified tax benefit. We also obtained</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680" w:type="dxa"/>
            <w:vAlign w:val="bottom"/>
          </w:tcPr>
          <w:p>
            <w:pPr>
              <w:ind w:left="160"/>
              <w:spacing w:after="0" w:line="176" w:lineRule="exact"/>
              <w:rPr>
                <w:sz w:val="20"/>
                <w:szCs w:val="20"/>
                <w:color w:val="auto"/>
              </w:rPr>
            </w:pPr>
            <w:r>
              <w:rPr>
                <w:rFonts w:ascii="Arial" w:cs="Arial" w:eastAsia="Arial" w:hAnsi="Arial"/>
                <w:sz w:val="18"/>
                <w:szCs w:val="18"/>
                <w:color w:val="auto"/>
              </w:rPr>
              <w:t>an understanding, evaluated the design and tested the operating effectiveness of controls to ensure that</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680" w:type="dxa"/>
            <w:vAlign w:val="bottom"/>
          </w:tcPr>
          <w:p>
            <w:pPr>
              <w:ind w:left="160"/>
              <w:spacing w:after="0" w:line="176" w:lineRule="exact"/>
              <w:rPr>
                <w:sz w:val="20"/>
                <w:szCs w:val="20"/>
                <w:color w:val="auto"/>
              </w:rPr>
            </w:pPr>
            <w:r>
              <w:rPr>
                <w:rFonts w:ascii="Arial" w:cs="Arial" w:eastAsia="Arial" w:hAnsi="Arial"/>
                <w:sz w:val="18"/>
                <w:szCs w:val="18"/>
                <w:color w:val="auto"/>
              </w:rPr>
              <w:t>the data used to evaluate and support the significant fair value assumptions and unrecognized tax benefits</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was complete, accurate and, where applicable, verified to external data sources.</w:t>
            </w:r>
          </w:p>
        </w:tc>
        <w:tc>
          <w:tcPr>
            <w:tcW w:w="0" w:type="dxa"/>
            <w:vAlign w:val="bottom"/>
          </w:tcPr>
          <w:p>
            <w:pPr>
              <w:spacing w:after="0"/>
              <w:rPr>
                <w:sz w:val="1"/>
                <w:szCs w:val="1"/>
                <w:color w:val="auto"/>
              </w:rPr>
            </w:pPr>
          </w:p>
        </w:tc>
      </w:tr>
      <w:tr>
        <w:trPr>
          <w:trHeight w:val="296"/>
        </w:trPr>
        <w:tc>
          <w:tcPr>
            <w:tcW w:w="1680" w:type="dxa"/>
            <w:vAlign w:val="bottom"/>
          </w:tcPr>
          <w:p>
            <w:pPr>
              <w:spacing w:after="0"/>
              <w:rPr>
                <w:sz w:val="24"/>
                <w:szCs w:val="24"/>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To test the completeness and recognition of unrecognized tax benefits, our audit procedures included,</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680" w:type="dxa"/>
            <w:vAlign w:val="bottom"/>
          </w:tcPr>
          <w:p>
            <w:pPr>
              <w:ind w:left="160"/>
              <w:spacing w:after="0" w:line="176" w:lineRule="exact"/>
              <w:rPr>
                <w:sz w:val="20"/>
                <w:szCs w:val="20"/>
                <w:color w:val="auto"/>
              </w:rPr>
            </w:pPr>
            <w:r>
              <w:rPr>
                <w:rFonts w:ascii="Arial" w:cs="Arial" w:eastAsia="Arial" w:hAnsi="Arial"/>
                <w:sz w:val="18"/>
                <w:szCs w:val="18"/>
                <w:color w:val="auto"/>
              </w:rPr>
              <w:t>among others, testing management’s process for estimating the unrecognized tax benefits. Testing</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680" w:type="dxa"/>
            <w:vAlign w:val="bottom"/>
          </w:tcPr>
          <w:p>
            <w:pPr>
              <w:ind w:left="160"/>
              <w:spacing w:after="0" w:line="176" w:lineRule="exact"/>
              <w:rPr>
                <w:sz w:val="20"/>
                <w:szCs w:val="20"/>
                <w:color w:val="auto"/>
              </w:rPr>
            </w:pPr>
            <w:r>
              <w:rPr>
                <w:rFonts w:ascii="Arial" w:cs="Arial" w:eastAsia="Arial" w:hAnsi="Arial"/>
                <w:sz w:val="18"/>
                <w:szCs w:val="18"/>
                <w:color w:val="auto"/>
                <w:w w:val="99"/>
              </w:rPr>
              <w:t>management’s process included assessing management’s interpretation of the unique facts, circumstances</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680" w:type="dxa"/>
            <w:vAlign w:val="bottom"/>
          </w:tcPr>
          <w:p>
            <w:pPr>
              <w:ind w:left="160"/>
              <w:spacing w:after="0" w:line="176" w:lineRule="exact"/>
              <w:rPr>
                <w:sz w:val="20"/>
                <w:szCs w:val="20"/>
                <w:color w:val="auto"/>
              </w:rPr>
            </w:pPr>
            <w:r>
              <w:rPr>
                <w:rFonts w:ascii="Arial" w:cs="Arial" w:eastAsia="Arial" w:hAnsi="Arial"/>
                <w:sz w:val="18"/>
                <w:szCs w:val="18"/>
                <w:color w:val="auto"/>
              </w:rPr>
              <w:t>and related tax laws and legal rulings in each tax paying jurisdiction, examining whether the technical</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680" w:type="dxa"/>
            <w:vAlign w:val="bottom"/>
          </w:tcPr>
          <w:p>
            <w:pPr>
              <w:ind w:left="160"/>
              <w:spacing w:after="0" w:line="176" w:lineRule="exact"/>
              <w:rPr>
                <w:sz w:val="20"/>
                <w:szCs w:val="20"/>
                <w:color w:val="auto"/>
              </w:rPr>
            </w:pPr>
            <w:r>
              <w:rPr>
                <w:rFonts w:ascii="Arial" w:cs="Arial" w:eastAsia="Arial" w:hAnsi="Arial"/>
                <w:sz w:val="18"/>
                <w:szCs w:val="18"/>
                <w:color w:val="auto"/>
              </w:rPr>
              <w:t>merits of each tax position were more-likely-than-not to be sustained, and evaluating the recognition of the</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680" w:type="dxa"/>
            <w:vAlign w:val="bottom"/>
          </w:tcPr>
          <w:p>
            <w:pPr>
              <w:ind w:left="160"/>
              <w:spacing w:after="0" w:line="176" w:lineRule="exact"/>
              <w:rPr>
                <w:sz w:val="20"/>
                <w:szCs w:val="20"/>
                <w:color w:val="auto"/>
              </w:rPr>
            </w:pPr>
            <w:r>
              <w:rPr>
                <w:rFonts w:ascii="Arial" w:cs="Arial" w:eastAsia="Arial" w:hAnsi="Arial"/>
                <w:sz w:val="18"/>
                <w:szCs w:val="18"/>
                <w:color w:val="auto"/>
              </w:rPr>
              <w:t>amount of qualified tax benefit. Professionals with specialized skill and knowledge were used to assist in</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680" w:type="dxa"/>
            <w:vAlign w:val="bottom"/>
          </w:tcPr>
          <w:p>
            <w:pPr>
              <w:ind w:left="160"/>
              <w:spacing w:after="0" w:line="176" w:lineRule="exact"/>
              <w:rPr>
                <w:sz w:val="20"/>
                <w:szCs w:val="20"/>
                <w:color w:val="auto"/>
              </w:rPr>
            </w:pPr>
            <w:r>
              <w:rPr>
                <w:rFonts w:ascii="Arial" w:cs="Arial" w:eastAsia="Arial" w:hAnsi="Arial"/>
                <w:sz w:val="18"/>
                <w:szCs w:val="18"/>
                <w:color w:val="auto"/>
              </w:rPr>
              <w:t>the evaluation of the completeness and recognition of the Company’s unrecognized tax benefits, including</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consideration of applicable tax statutes and related interpretations and precedents.</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served as the Company’s auditor since 2013.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b w:val="1"/>
          <w:bCs w:val="1"/>
          <w:i w:val="1"/>
          <w:iCs w:val="1"/>
          <w:color w:val="auto"/>
        </w:rPr>
        <w:t>99</w:t>
      </w:r>
      <w:r>
        <w:rPr>
          <w:sz w:val="20"/>
          <w:szCs w:val="20"/>
          <w:color w:val="auto"/>
        </w:rPr>
        <w:tab/>
      </w:r>
      <w:r>
        <w:rPr>
          <w:sz w:val="1"/>
          <w:szCs w:val="1"/>
          <w:color w:val="auto"/>
        </w:rPr>
        <w:drawing>
          <wp:inline distT="0" distB="0" distL="0" distR="0">
            <wp:extent cx="600075" cy="11112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967" w:right="779" w:bottom="1440" w:gutter="0" w:footer="0" w:header="0"/>
        </w:sectPr>
      </w:pPr>
    </w:p>
    <w:bookmarkStart w:id="102" w:name="page103"/>
    <w:bookmarkEnd w:id="102"/>
    <w:p>
      <w:pPr>
        <w:ind w:right="600"/>
        <w:spacing w:after="0" w:line="274" w:lineRule="auto"/>
        <w:rPr>
          <w:sz w:val="20"/>
          <w:szCs w:val="20"/>
          <w:color w:val="auto"/>
        </w:rPr>
      </w:pPr>
      <w:r>
        <w:rPr>
          <w:rFonts w:ascii="Arial" w:cs="Arial" w:eastAsia="Arial" w:hAnsi="Arial"/>
          <w:sz w:val="22"/>
          <w:szCs w:val="22"/>
          <w:b w:val="1"/>
          <w:bCs w:val="1"/>
          <w:color w:val="444867"/>
        </w:rPr>
        <w:t>ITEM 9. 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ITEM 9A.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Disclosure Controls and Procedures; Internal Control Over Financial Reporting</w:t>
      </w:r>
    </w:p>
    <w:p>
      <w:pPr>
        <w:spacing w:after="0" w:line="158" w:lineRule="exact"/>
        <w:rPr>
          <w:sz w:val="20"/>
          <w:szCs w:val="20"/>
          <w:color w:val="auto"/>
        </w:rPr>
      </w:pPr>
    </w:p>
    <w:p>
      <w:pPr>
        <w:ind w:right="40" w:firstLine="400"/>
        <w:spacing w:after="0" w:line="255" w:lineRule="auto"/>
        <w:rPr>
          <w:sz w:val="20"/>
          <w:szCs w:val="20"/>
          <w:color w:val="auto"/>
        </w:rPr>
      </w:pPr>
      <w:r>
        <w:rPr>
          <w:rFonts w:ascii="Arial" w:cs="Arial" w:eastAsia="Arial" w:hAnsi="Arial"/>
          <w:sz w:val="18"/>
          <w:szCs w:val="18"/>
          <w:b w:val="1"/>
          <w:bCs w:val="1"/>
          <w:i w:val="1"/>
          <w:iCs w:val="1"/>
          <w:color w:val="444867"/>
        </w:rPr>
        <w:t xml:space="preserve">Evaluation of disclosure controls and procedures. </w:t>
      </w:r>
      <w:r>
        <w:rPr>
          <w:rFonts w:ascii="Arial" w:cs="Arial" w:eastAsia="Arial" w:hAnsi="Arial"/>
          <w:sz w:val="18"/>
          <w:szCs w:val="18"/>
          <w:color w:val="000000"/>
        </w:rPr>
        <w:t>The Chief Executive Officer, Richard A. Gonzalez, and the Chief Financial</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Officer, Robert A. Michael, evaluated the effectiveness of AbbVie's disclosure controls and procedures as of the end of the period covered by this report, and concluded that AbbVie's disclosure controls and procedures were effective to ensure that information AbbVie is required to disclose in the reports that it files or submits with the Securities and Exchange Commission under the Securities Exchange Act of 1934 is recorded, processed, summarized and reported, within the time periods specified in the Commission's rules and forms, and to ensure that information required to be disclosed by AbbVie in the reports that it files or submits under the Securities Exchange Act of 1934 is accumulated and communicated to AbbVie's management, including its principal executive officer and principal financial officer, as appropriate to allow timely decisions regarding required disclosure.</w:t>
      </w:r>
    </w:p>
    <w:p>
      <w:pPr>
        <w:spacing w:after="0" w:line="104" w:lineRule="exact"/>
        <w:rPr>
          <w:sz w:val="20"/>
          <w:szCs w:val="20"/>
          <w:color w:val="auto"/>
        </w:rPr>
      </w:pPr>
    </w:p>
    <w:p>
      <w:pPr>
        <w:ind w:right="20" w:firstLine="400"/>
        <w:spacing w:after="0" w:line="268" w:lineRule="auto"/>
        <w:rPr>
          <w:sz w:val="20"/>
          <w:szCs w:val="20"/>
          <w:color w:val="auto"/>
        </w:rPr>
      </w:pPr>
      <w:r>
        <w:rPr>
          <w:rFonts w:ascii="Arial" w:cs="Arial" w:eastAsia="Arial" w:hAnsi="Arial"/>
          <w:sz w:val="18"/>
          <w:szCs w:val="18"/>
          <w:b w:val="1"/>
          <w:bCs w:val="1"/>
          <w:i w:val="1"/>
          <w:iCs w:val="1"/>
          <w:color w:val="444867"/>
        </w:rPr>
        <w:t xml:space="preserve">Changes in internal control over financial reporting. </w:t>
      </w:r>
      <w:r>
        <w:rPr>
          <w:rFonts w:ascii="Arial" w:cs="Arial" w:eastAsia="Arial" w:hAnsi="Arial"/>
          <w:sz w:val="18"/>
          <w:szCs w:val="18"/>
          <w:color w:val="000000"/>
        </w:rPr>
        <w:t>There were no changes in AbbVie's internal control over financial reporting (as</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defined in Rule 13a-15(f) under the Securities Exchange Act of 1934) that have materially affected, or are reasonably likely to materially affect, AbbVie's internal control over financial reporting during the quarter ended December 31, 2020.</w:t>
      </w:r>
    </w:p>
    <w:p>
      <w:pPr>
        <w:spacing w:after="0" w:line="103" w:lineRule="exact"/>
        <w:rPr>
          <w:sz w:val="20"/>
          <w:szCs w:val="20"/>
          <w:color w:val="auto"/>
        </w:rPr>
      </w:pPr>
    </w:p>
    <w:p>
      <w:pPr>
        <w:ind w:firstLine="400"/>
        <w:spacing w:after="0" w:line="255" w:lineRule="auto"/>
        <w:rPr>
          <w:sz w:val="20"/>
          <w:szCs w:val="20"/>
          <w:color w:val="auto"/>
        </w:rPr>
      </w:pPr>
      <w:r>
        <w:rPr>
          <w:rFonts w:ascii="Arial" w:cs="Arial" w:eastAsia="Arial" w:hAnsi="Arial"/>
          <w:sz w:val="18"/>
          <w:szCs w:val="18"/>
          <w:b w:val="1"/>
          <w:bCs w:val="1"/>
          <w:i w:val="1"/>
          <w:iCs w:val="1"/>
          <w:color w:val="444867"/>
        </w:rPr>
        <w:t xml:space="preserve">Inherent limitations on effectiveness of controls. </w:t>
      </w:r>
      <w:r>
        <w:rPr>
          <w:rFonts w:ascii="Arial" w:cs="Arial" w:eastAsia="Arial" w:hAnsi="Arial"/>
          <w:sz w:val="18"/>
          <w:szCs w:val="18"/>
          <w:color w:val="000000"/>
        </w:rPr>
        <w:t>AbbVie's management, including its Chief Executive Officer and its Chief</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Financial Officer, do not expect that AbbVie's disclosure controls or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w:t>
      </w:r>
    </w:p>
    <w:p>
      <w:pPr>
        <w:spacing w:after="0" w:line="13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01" w:lineRule="exact"/>
        <w:rPr>
          <w:sz w:val="20"/>
          <w:szCs w:val="20"/>
          <w:color w:val="auto"/>
        </w:rPr>
      </w:pPr>
    </w:p>
    <w:p>
      <w:pPr>
        <w:ind w:firstLine="400"/>
        <w:spacing w:after="0" w:line="257" w:lineRule="auto"/>
        <w:rPr>
          <w:sz w:val="20"/>
          <w:szCs w:val="20"/>
          <w:color w:val="auto"/>
        </w:rPr>
      </w:pPr>
      <w:r>
        <w:rPr>
          <w:rFonts w:ascii="Arial" w:cs="Arial" w:eastAsia="Arial" w:hAnsi="Arial"/>
          <w:sz w:val="18"/>
          <w:szCs w:val="18"/>
          <w:b w:val="1"/>
          <w:bCs w:val="1"/>
          <w:i w:val="1"/>
          <w:iCs w:val="1"/>
          <w:color w:val="444867"/>
        </w:rPr>
        <w:t xml:space="preserve">Management's annual report on internal control over financial reporting. </w:t>
      </w:r>
      <w:r>
        <w:rPr>
          <w:rFonts w:ascii="Arial" w:cs="Arial" w:eastAsia="Arial" w:hAnsi="Arial"/>
          <w:sz w:val="18"/>
          <w:szCs w:val="18"/>
          <w:color w:val="000000"/>
        </w:rPr>
        <w:t>Management of AbbVie is responsible for establishing</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and maintaining adequate internal control over financial reporting, as such term is defined in Rule 13a-15(f) under the Securities Exchange Act of 1934. AbbVie's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However, all internal control systems, no matter how well designed, have inherent limitations. Therefore, even those systems determined to be effective can provide only reasonable assurance with respect to financial statement preparation and reporting.</w:t>
      </w:r>
    </w:p>
    <w:p>
      <w:pPr>
        <w:spacing w:after="0" w:line="13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 xml:space="preserve">Management assessed the effectiveness of AbbVie's internal control over financial reporting as of December 31, 2020.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(2013 framework). Based on that assessment, management concluded that AbbVie maintained</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internal control over financial reporting as of December 31, 2020, based on the COSO criteria.</w:t>
      </w:r>
    </w:p>
    <w:p>
      <w:pPr>
        <w:spacing w:after="0" w:line="136"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effectiveness of AbbVie's internal control over financial reporting as of December 31, 2020 has been audited by Ernst &amp; Young LLP, an independent registered public accounting firm, as stated in their attestation report below, which expresses an unqualified opinion on the effectiveness of AbbVie's internal control over financial reporting as of December 31, 2020.</w:t>
      </w:r>
    </w:p>
    <w:p>
      <w:pPr>
        <w:spacing w:after="0" w:line="99" w:lineRule="exact"/>
        <w:rPr>
          <w:sz w:val="20"/>
          <w:szCs w:val="20"/>
          <w:color w:val="auto"/>
        </w:rPr>
      </w:pPr>
    </w:p>
    <w:p>
      <w:pPr>
        <w:ind w:right="440" w:firstLine="405"/>
        <w:spacing w:after="0" w:line="287" w:lineRule="auto"/>
        <w:rPr>
          <w:sz w:val="20"/>
          <w:szCs w:val="20"/>
          <w:color w:val="auto"/>
        </w:rPr>
      </w:pPr>
      <w:r>
        <w:rPr>
          <w:rFonts w:ascii="Arial" w:cs="Arial" w:eastAsia="Arial" w:hAnsi="Arial"/>
          <w:sz w:val="18"/>
          <w:szCs w:val="18"/>
          <w:b w:val="1"/>
          <w:bCs w:val="1"/>
          <w:i w:val="1"/>
          <w:iCs w:val="1"/>
          <w:color w:val="444867"/>
        </w:rPr>
        <w:t xml:space="preserve">Report of independent registered public accounting firm. </w:t>
      </w:r>
      <w:r>
        <w:rPr>
          <w:rFonts w:ascii="Arial" w:cs="Arial" w:eastAsia="Arial" w:hAnsi="Arial"/>
          <w:sz w:val="18"/>
          <w:szCs w:val="18"/>
          <w:color w:val="000000"/>
        </w:rPr>
        <w:t>The report of AbbVie's independent registered public accounting firm</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related to its assessment of the effectiveness of internal control over financial reporting is included below.</w:t>
      </w:r>
    </w:p>
    <w:p>
      <w:pPr>
        <w:spacing w:after="0" w:line="200" w:lineRule="exact"/>
        <w:rPr>
          <w:sz w:val="20"/>
          <w:szCs w:val="20"/>
          <w:color w:val="auto"/>
        </w:rPr>
      </w:pPr>
    </w:p>
    <w:p>
      <w:pPr>
        <w:spacing w:after="0" w:line="296" w:lineRule="exact"/>
        <w:rPr>
          <w:sz w:val="20"/>
          <w:szCs w:val="20"/>
          <w:color w:val="auto"/>
        </w:rPr>
      </w:pPr>
    </w:p>
    <w:p>
      <w:pPr>
        <w:ind w:left="8180"/>
        <w:spacing w:after="0"/>
        <w:tabs>
          <w:tab w:leader="none" w:pos="9620" w:val="left"/>
        </w:tabs>
        <w:rPr>
          <w:sz w:val="20"/>
          <w:szCs w:val="20"/>
          <w:color w:val="auto"/>
        </w:rPr>
      </w:pPr>
      <w:r>
        <w:rPr>
          <w:rFonts w:ascii="Arial" w:cs="Arial" w:eastAsia="Arial" w:hAnsi="Arial"/>
          <w:sz w:val="18"/>
          <w:szCs w:val="18"/>
          <w:i w:val="1"/>
          <w:iCs w:val="1"/>
          <w:color w:val="auto"/>
        </w:rPr>
        <w:t>2020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600075" cy="111125"/>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3" w:name="page104"/>
    <w:bookmarkEnd w:id="103"/>
    <w:p>
      <w:pPr>
        <w:ind w:left="2640"/>
        <w:spacing w:after="0"/>
        <w:rPr>
          <w:sz w:val="20"/>
          <w:szCs w:val="20"/>
          <w:color w:val="auto"/>
        </w:rPr>
      </w:pPr>
      <w:r>
        <w:rPr>
          <w:rFonts w:ascii="Arial" w:cs="Arial" w:eastAsia="Arial" w:hAnsi="Arial"/>
          <w:sz w:val="22"/>
          <w:szCs w:val="22"/>
          <w:b w:val="1"/>
          <w:bCs w:val="1"/>
          <w:color w:val="444867"/>
        </w:rPr>
        <w:t>Report of Independent Registered Public Accounting Firm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AbbVie Inc.</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have audited AbbVie Inc. and subsidiaries' internal control over financial reporting as of December 31, 2020, based on criteria established in Internal Control—Integrated Framework issued by the Committee of Sponsoring Organizations of the Treadway Commission (2013 framework) (the COSO criteria). In our opinion, AbbVie Inc. and subsidiaries (the Company) maintained, in all material respects, effective internal control over financial reporting as of December 31, 2020, based on the COSO criteria.</w:t>
      </w:r>
    </w:p>
    <w:p>
      <w:pPr>
        <w:spacing w:after="0" w:line="1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AbbVie Inc. and subsidiaries as of December 31, 2020 and 2019, and the related consolidated statements of earnings, comprehensive income, equity and cash flows for each of the three years in the period ended December 31, 2020, and the related notes and our report dated February 19, 2021 expressed an unqualified opinion thereon.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on Internal Control Over Financial Reporting</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 xml:space="preserve">101  </w:t>
      </w:r>
      <w:r>
        <w:rPr>
          <w:sz w:val="1"/>
          <w:szCs w:val="1"/>
          <w:color w:val="auto"/>
        </w:rPr>
        <w:drawing>
          <wp:inline distT="0" distB="0" distL="0" distR="0">
            <wp:extent cx="600075" cy="111125"/>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79" w:right="37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b w:val="1"/>
          <w:bCs w:val="1"/>
          <w:color w:val="444867"/>
        </w:rPr>
        <w:t>ITEM 9B.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6" w:lineRule="exact"/>
        <w:rPr>
          <w:sz w:val="20"/>
          <w:szCs w:val="20"/>
          <w:color w:val="auto"/>
        </w:rPr>
      </w:pPr>
    </w:p>
    <w:p>
      <w:pPr>
        <w:jc w:val="right"/>
        <w:spacing w:after="0"/>
        <w:tabs>
          <w:tab w:leader="none" w:pos="1560" w:val="left"/>
        </w:tabs>
        <w:rPr>
          <w:sz w:val="20"/>
          <w:szCs w:val="20"/>
          <w:color w:val="auto"/>
        </w:rPr>
      </w:pPr>
      <w:r>
        <w:rPr>
          <w:rFonts w:ascii="Arial" w:cs="Arial" w:eastAsia="Arial" w:hAnsi="Arial"/>
          <w:sz w:val="18"/>
          <w:szCs w:val="18"/>
          <w:i w:val="1"/>
          <w:iCs w:val="1"/>
          <w:color w:val="auto"/>
        </w:rPr>
        <w:t>2020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600075" cy="11176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0075" cy="11176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22"/>
          <w:szCs w:val="22"/>
          <w:b w:val="1"/>
          <w:bCs w:val="1"/>
          <w:color w:val="444867"/>
        </w:rPr>
        <w:t>PART III</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ITEM 10. 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26" w:lineRule="exact"/>
        <w:rPr>
          <w:sz w:val="20"/>
          <w:szCs w:val="20"/>
          <w:color w:val="auto"/>
        </w:rPr>
      </w:pPr>
    </w:p>
    <w:p>
      <w:pPr>
        <w:ind w:right="320" w:firstLine="445"/>
        <w:spacing w:after="0" w:line="253" w:lineRule="auto"/>
        <w:rPr>
          <w:sz w:val="20"/>
          <w:szCs w:val="20"/>
          <w:color w:val="auto"/>
        </w:rPr>
      </w:pPr>
      <w:r>
        <w:rPr>
          <w:rFonts w:ascii="Arial" w:cs="Arial" w:eastAsia="Arial" w:hAnsi="Arial"/>
          <w:sz w:val="18"/>
          <w:szCs w:val="18"/>
          <w:color w:val="auto"/>
        </w:rPr>
        <w:t>Incorporated herein by reference are "Information Concerning Director Nominees," "The Board of Directors and its Committees— Committees of the Board of Directors," and "Procedure for Recommendation and Nomination of Directors and Transaction of Business at Annual Meeting" to be included in the 2021 AbbVie Inc. Proxy Statement. The 2021 Definitive Proxy Statement will be filed on or about March 22, 2021. Also incorporated herein by reference is the text found in this Form 10-K under the caption, "Information about Our Executive Officers."</w:t>
      </w:r>
    </w:p>
    <w:p>
      <w:pPr>
        <w:spacing w:after="0" w:line="124"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AbbVie's code of business conduct requires all its business activities to be conducted in compliance with all applicable laws, regulations and ethical principles and values. All directors, officers and employees of AbbVie are required to read, understand and abide by the requirements of the code of business conduct applicable to them. AbbVie's code of business conduct is available in the corporate governance section of AbbVie's investor relations website at www.abbvieinvestor.com.</w:t>
      </w:r>
    </w:p>
    <w:p>
      <w:pPr>
        <w:spacing w:after="0" w:line="136"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Any waiver of the code of business conduct for directors or executive officers may be made only by AbbVie's audit committee. AbbVie will disclose any amendment to, or waiver from, a provision of the code of conduct for the principal executive officer, principal financial officer, principal accounting officer or controller, or persons performing similar functions, on its website within four business days following the date of the amendment or waiver. In addition, AbbVie will disclose any waiver from the code of business conduct for the other executive officers and for directors on the website.</w:t>
      </w:r>
    </w:p>
    <w:p>
      <w:pPr>
        <w:spacing w:after="0" w:line="138"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AbbVie has a chief ethics and compliance officer who reports to the Vice Chairman, External Affairs and Chief Legal Officer and to the public policy committee. The chief ethics and compliance officer is responsible for overseeing, administering and monitoring AbbVie's compliance program.</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ITEM 11.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12" w:lineRule="exact"/>
        <w:rPr>
          <w:sz w:val="20"/>
          <w:szCs w:val="20"/>
          <w:color w:val="auto"/>
        </w:rPr>
      </w:pPr>
    </w:p>
    <w:p>
      <w:pPr>
        <w:ind w:right="320" w:firstLine="445"/>
        <w:spacing w:after="0" w:line="256" w:lineRule="auto"/>
        <w:rPr>
          <w:sz w:val="20"/>
          <w:szCs w:val="20"/>
          <w:color w:val="auto"/>
        </w:rPr>
      </w:pPr>
      <w:r>
        <w:rPr>
          <w:rFonts w:ascii="Arial" w:cs="Arial" w:eastAsia="Arial" w:hAnsi="Arial"/>
          <w:sz w:val="18"/>
          <w:szCs w:val="18"/>
          <w:color w:val="auto"/>
        </w:rPr>
        <w:t>The material to be included in the 2021 AbbVie Inc. Proxy Statement under the headings "Director Compensation," "Executive Compensation," and "Compensation Committee Report" is incorporated herein by reference. The 2021 Definitive Proxy Statement will be filed on or about March 22, 2021.</w:t>
      </w: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 xml:space="preserve">103  </w:t>
      </w:r>
      <w:r>
        <w:rPr>
          <w:sz w:val="1"/>
          <w:szCs w:val="1"/>
          <w:color w:val="auto"/>
        </w:rPr>
        <w:drawing>
          <wp:inline distT="0" distB="0" distL="0" distR="0">
            <wp:extent cx="600075" cy="111125"/>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106" w:name="page107"/>
    <w:bookmarkEnd w:id="106"/>
    <w:p>
      <w:pPr>
        <w:ind w:right="280"/>
        <w:spacing w:after="0" w:line="274" w:lineRule="auto"/>
        <w:rPr>
          <w:sz w:val="20"/>
          <w:szCs w:val="20"/>
          <w:color w:val="auto"/>
        </w:rPr>
      </w:pPr>
      <w:r>
        <w:rPr>
          <w:rFonts w:ascii="Arial" w:cs="Arial" w:eastAsia="Arial" w:hAnsi="Arial"/>
          <w:sz w:val="22"/>
          <w:szCs w:val="22"/>
          <w:b w:val="1"/>
          <w:bCs w:val="1"/>
          <w:color w:val="444867"/>
        </w:rPr>
        <w:t>ITEM 12. 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26" w:lineRule="exact"/>
        <w:rPr>
          <w:sz w:val="20"/>
          <w:szCs w:val="20"/>
          <w:color w:val="auto"/>
        </w:rPr>
      </w:pPr>
    </w:p>
    <w:p>
      <w:pPr>
        <w:ind w:left="420" w:hanging="412"/>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Equity Compensation Plan Information.</w:t>
      </w:r>
    </w:p>
    <w:p>
      <w:pPr>
        <w:spacing w:after="0" w:line="176" w:lineRule="exact"/>
        <w:rPr>
          <w:sz w:val="20"/>
          <w:szCs w:val="20"/>
          <w:color w:val="auto"/>
        </w:rPr>
      </w:pPr>
    </w:p>
    <w:p>
      <w:pPr>
        <w:ind w:right="440" w:firstLine="445"/>
        <w:spacing w:after="0" w:line="261" w:lineRule="auto"/>
        <w:rPr>
          <w:sz w:val="20"/>
          <w:szCs w:val="20"/>
          <w:color w:val="auto"/>
        </w:rPr>
      </w:pPr>
      <w:r>
        <w:rPr>
          <w:rFonts w:ascii="Arial" w:cs="Arial" w:eastAsia="Arial" w:hAnsi="Arial"/>
          <w:sz w:val="18"/>
          <w:szCs w:val="18"/>
          <w:color w:val="auto"/>
        </w:rPr>
        <w:t>The following table presents information as of December 31, 2020 about AbbVie's equity compensation plans under which AbbVie common stock has been authorized for issuance:</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180" w:type="dxa"/>
            <w:vAlign w:val="bottom"/>
            <w:vMerge w:val="restart"/>
          </w:tcPr>
          <w:p>
            <w:pPr>
              <w:jc w:val="center"/>
              <w:ind w:left="464"/>
              <w:spacing w:after="0"/>
              <w:rPr>
                <w:sz w:val="20"/>
                <w:szCs w:val="20"/>
                <w:color w:val="auto"/>
              </w:rPr>
            </w:pPr>
            <w:r>
              <w:rPr>
                <w:rFonts w:ascii="Arial" w:cs="Arial" w:eastAsia="Arial" w:hAnsi="Arial"/>
                <w:sz w:val="14"/>
                <w:szCs w:val="14"/>
                <w:b w:val="1"/>
                <w:bCs w:val="1"/>
                <w:color w:val="auto"/>
                <w:w w:val="93"/>
              </w:rPr>
              <w:t>(a)</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2180" w:type="dxa"/>
            <w:vAlign w:val="bottom"/>
          </w:tcPr>
          <w:p>
            <w:pPr>
              <w:jc w:val="center"/>
              <w:ind w:left="464"/>
              <w:spacing w:after="0" w:line="135" w:lineRule="exact"/>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1"/>
                <w:szCs w:val="11"/>
                <w:color w:val="auto"/>
              </w:rPr>
            </w:pPr>
          </w:p>
        </w:tc>
        <w:tc>
          <w:tcPr>
            <w:tcW w:w="1420" w:type="dxa"/>
            <w:vAlign w:val="bottom"/>
            <w:vMerge w:val="restart"/>
          </w:tcPr>
          <w:p>
            <w:pPr>
              <w:jc w:val="center"/>
              <w:ind w:right="241"/>
              <w:spacing w:after="0"/>
              <w:rPr>
                <w:sz w:val="20"/>
                <w:szCs w:val="20"/>
                <w:color w:val="auto"/>
              </w:rPr>
            </w:pPr>
            <w:r>
              <w:rPr>
                <w:rFonts w:ascii="Arial" w:cs="Arial" w:eastAsia="Arial" w:hAnsi="Arial"/>
                <w:sz w:val="14"/>
                <w:szCs w:val="14"/>
                <w:b w:val="1"/>
                <w:bCs w:val="1"/>
                <w:color w:val="auto"/>
              </w:rPr>
              <w:t>(b)</w:t>
            </w: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 available</w:t>
            </w: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2180" w:type="dxa"/>
            <w:vAlign w:val="bottom"/>
          </w:tcPr>
          <w:p>
            <w:pPr>
              <w:jc w:val="center"/>
              <w:ind w:left="464"/>
              <w:spacing w:after="0" w:line="135" w:lineRule="exact"/>
              <w:rPr>
                <w:sz w:val="20"/>
                <w:szCs w:val="20"/>
                <w:color w:val="auto"/>
              </w:rPr>
            </w:pPr>
            <w:r>
              <w:rPr>
                <w:rFonts w:ascii="Arial" w:cs="Arial" w:eastAsia="Arial" w:hAnsi="Arial"/>
                <w:sz w:val="14"/>
                <w:szCs w:val="14"/>
                <w:b w:val="1"/>
                <w:bCs w:val="1"/>
                <w:color w:val="auto"/>
              </w:rPr>
              <w:t>securities to be</w:t>
            </w:r>
          </w:p>
        </w:tc>
        <w:tc>
          <w:tcPr>
            <w:tcW w:w="3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for</w:t>
            </w: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2180" w:type="dxa"/>
            <w:vAlign w:val="bottom"/>
          </w:tcPr>
          <w:p>
            <w:pPr>
              <w:jc w:val="center"/>
              <w:ind w:left="464"/>
              <w:spacing w:after="0" w:line="135" w:lineRule="exact"/>
              <w:rPr>
                <w:sz w:val="20"/>
                <w:szCs w:val="20"/>
                <w:color w:val="auto"/>
              </w:rPr>
            </w:pPr>
            <w:r>
              <w:rPr>
                <w:rFonts w:ascii="Arial" w:cs="Arial" w:eastAsia="Arial" w:hAnsi="Arial"/>
                <w:sz w:val="14"/>
                <w:szCs w:val="14"/>
                <w:b w:val="1"/>
                <w:bCs w:val="1"/>
                <w:color w:val="auto"/>
              </w:rPr>
              <w:t>issued upon</w:t>
            </w:r>
          </w:p>
        </w:tc>
        <w:tc>
          <w:tcPr>
            <w:tcW w:w="320" w:type="dxa"/>
            <w:vAlign w:val="bottom"/>
          </w:tcPr>
          <w:p>
            <w:pPr>
              <w:spacing w:after="0"/>
              <w:rPr>
                <w:sz w:val="11"/>
                <w:szCs w:val="11"/>
                <w:color w:val="auto"/>
              </w:rPr>
            </w:pPr>
          </w:p>
        </w:tc>
        <w:tc>
          <w:tcPr>
            <w:tcW w:w="1420" w:type="dxa"/>
            <w:vAlign w:val="bottom"/>
          </w:tcPr>
          <w:p>
            <w:pPr>
              <w:jc w:val="center"/>
              <w:ind w:right="241"/>
              <w:spacing w:after="0" w:line="135" w:lineRule="exact"/>
              <w:rPr>
                <w:sz w:val="20"/>
                <w:szCs w:val="20"/>
                <w:color w:val="auto"/>
              </w:rPr>
            </w:pPr>
            <w:r>
              <w:rPr>
                <w:rFonts w:ascii="Arial" w:cs="Arial" w:eastAsia="Arial" w:hAnsi="Arial"/>
                <w:sz w:val="14"/>
                <w:szCs w:val="14"/>
                <w:b w:val="1"/>
                <w:bCs w:val="1"/>
                <w:color w:val="auto"/>
              </w:rPr>
              <w:t>Weighted-</w:t>
            </w: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2180" w:type="dxa"/>
            <w:vAlign w:val="bottom"/>
          </w:tcPr>
          <w:p>
            <w:pPr>
              <w:jc w:val="center"/>
              <w:ind w:left="464"/>
              <w:spacing w:after="0" w:line="135" w:lineRule="exact"/>
              <w:rPr>
                <w:sz w:val="20"/>
                <w:szCs w:val="20"/>
                <w:color w:val="auto"/>
              </w:rPr>
            </w:pPr>
            <w:r>
              <w:rPr>
                <w:rFonts w:ascii="Arial" w:cs="Arial" w:eastAsia="Arial" w:hAnsi="Arial"/>
                <w:sz w:val="14"/>
                <w:szCs w:val="14"/>
                <w:b w:val="1"/>
                <w:bCs w:val="1"/>
                <w:color w:val="auto"/>
              </w:rPr>
              <w:t>exercise of</w:t>
            </w:r>
          </w:p>
        </w:tc>
        <w:tc>
          <w:tcPr>
            <w:tcW w:w="17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average exercise price</w:t>
            </w: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2180" w:type="dxa"/>
            <w:vAlign w:val="bottom"/>
          </w:tcPr>
          <w:p>
            <w:pPr>
              <w:jc w:val="center"/>
              <w:ind w:left="484"/>
              <w:spacing w:after="0" w:line="135" w:lineRule="exact"/>
              <w:rPr>
                <w:sz w:val="20"/>
                <w:szCs w:val="20"/>
                <w:color w:val="auto"/>
              </w:rPr>
            </w:pPr>
            <w:r>
              <w:rPr>
                <w:rFonts w:ascii="Arial" w:cs="Arial" w:eastAsia="Arial" w:hAnsi="Arial"/>
                <w:sz w:val="14"/>
                <w:szCs w:val="14"/>
                <w:b w:val="1"/>
                <w:bCs w:val="1"/>
                <w:color w:val="auto"/>
              </w:rPr>
              <w:t>outstanding</w:t>
            </w:r>
          </w:p>
        </w:tc>
        <w:tc>
          <w:tcPr>
            <w:tcW w:w="320" w:type="dxa"/>
            <w:vAlign w:val="bottom"/>
          </w:tcPr>
          <w:p>
            <w:pPr>
              <w:spacing w:after="0"/>
              <w:rPr>
                <w:sz w:val="11"/>
                <w:szCs w:val="11"/>
                <w:color w:val="auto"/>
              </w:rPr>
            </w:pPr>
          </w:p>
        </w:tc>
        <w:tc>
          <w:tcPr>
            <w:tcW w:w="1420" w:type="dxa"/>
            <w:vAlign w:val="bottom"/>
          </w:tcPr>
          <w:p>
            <w:pPr>
              <w:jc w:val="center"/>
              <w:ind w:right="241"/>
              <w:spacing w:after="0" w:line="135" w:lineRule="exact"/>
              <w:rPr>
                <w:sz w:val="20"/>
                <w:szCs w:val="20"/>
                <w:color w:val="auto"/>
              </w:rPr>
            </w:pPr>
            <w:r>
              <w:rPr>
                <w:rFonts w:ascii="Arial" w:cs="Arial" w:eastAsia="Arial" w:hAnsi="Arial"/>
                <w:sz w:val="14"/>
                <w:szCs w:val="14"/>
                <w:b w:val="1"/>
                <w:bCs w:val="1"/>
                <w:color w:val="auto"/>
              </w:rPr>
              <w:t>of</w:t>
            </w: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plans (excluding</w:t>
            </w: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2180" w:type="dxa"/>
            <w:vAlign w:val="bottom"/>
          </w:tcPr>
          <w:p>
            <w:pPr>
              <w:jc w:val="center"/>
              <w:ind w:left="464"/>
              <w:spacing w:after="0" w:line="135" w:lineRule="exact"/>
              <w:rPr>
                <w:sz w:val="20"/>
                <w:szCs w:val="20"/>
                <w:color w:val="auto"/>
              </w:rPr>
            </w:pPr>
            <w:r>
              <w:rPr>
                <w:rFonts w:ascii="Arial" w:cs="Arial" w:eastAsia="Arial" w:hAnsi="Arial"/>
                <w:sz w:val="14"/>
                <w:szCs w:val="14"/>
                <w:b w:val="1"/>
                <w:bCs w:val="1"/>
                <w:color w:val="auto"/>
              </w:rPr>
              <w:t>options,</w:t>
            </w:r>
          </w:p>
        </w:tc>
        <w:tc>
          <w:tcPr>
            <w:tcW w:w="17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outstanding options,</w:t>
            </w: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35"/>
        </w:trPr>
        <w:tc>
          <w:tcPr>
            <w:tcW w:w="564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180" w:type="dxa"/>
            <w:vAlign w:val="bottom"/>
          </w:tcPr>
          <w:p>
            <w:pPr>
              <w:jc w:val="center"/>
              <w:ind w:left="464"/>
              <w:spacing w:after="0" w:line="135" w:lineRule="exact"/>
              <w:rPr>
                <w:sz w:val="20"/>
                <w:szCs w:val="20"/>
                <w:color w:val="auto"/>
              </w:rPr>
            </w:pPr>
            <w:r>
              <w:rPr>
                <w:rFonts w:ascii="Arial" w:cs="Arial" w:eastAsia="Arial" w:hAnsi="Arial"/>
                <w:sz w:val="14"/>
                <w:szCs w:val="14"/>
                <w:b w:val="1"/>
                <w:bCs w:val="1"/>
                <w:color w:val="auto"/>
              </w:rPr>
              <w:t>warrants and</w:t>
            </w:r>
          </w:p>
        </w:tc>
        <w:tc>
          <w:tcPr>
            <w:tcW w:w="320" w:type="dxa"/>
            <w:vAlign w:val="bottom"/>
          </w:tcPr>
          <w:p>
            <w:pPr>
              <w:spacing w:after="0"/>
              <w:rPr>
                <w:sz w:val="11"/>
                <w:szCs w:val="11"/>
                <w:color w:val="auto"/>
              </w:rPr>
            </w:pPr>
          </w:p>
        </w:tc>
        <w:tc>
          <w:tcPr>
            <w:tcW w:w="1420" w:type="dxa"/>
            <w:vAlign w:val="bottom"/>
          </w:tcPr>
          <w:p>
            <w:pPr>
              <w:jc w:val="center"/>
              <w:ind w:right="241"/>
              <w:spacing w:after="0" w:line="135" w:lineRule="exact"/>
              <w:rPr>
                <w:sz w:val="20"/>
                <w:szCs w:val="20"/>
                <w:color w:val="auto"/>
              </w:rPr>
            </w:pPr>
            <w:r>
              <w:rPr>
                <w:rFonts w:ascii="Arial" w:cs="Arial" w:eastAsia="Arial" w:hAnsi="Arial"/>
                <w:sz w:val="14"/>
                <w:szCs w:val="14"/>
                <w:b w:val="1"/>
                <w:bCs w:val="1"/>
                <w:color w:val="auto"/>
              </w:rPr>
              <w:t>warrants and</w:t>
            </w: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reflected in</w:t>
            </w:r>
          </w:p>
        </w:tc>
        <w:tc>
          <w:tcPr>
            <w:tcW w:w="0" w:type="dxa"/>
            <w:vAlign w:val="bottom"/>
          </w:tcPr>
          <w:p>
            <w:pPr>
              <w:spacing w:after="0"/>
              <w:rPr>
                <w:sz w:val="1"/>
                <w:szCs w:val="1"/>
                <w:color w:val="auto"/>
              </w:rPr>
            </w:pPr>
          </w:p>
        </w:tc>
      </w:tr>
      <w:tr>
        <w:trPr>
          <w:trHeight w:val="175"/>
        </w:trPr>
        <w:tc>
          <w:tcPr>
            <w:tcW w:w="5640" w:type="dxa"/>
            <w:vAlign w:val="bottom"/>
            <w:tcBorders>
              <w:bottom w:val="single" w:sz="8" w:color="auto"/>
            </w:tcBorders>
            <w:vMerge w:val="continue"/>
          </w:tcPr>
          <w:p>
            <w:pPr>
              <w:spacing w:after="0"/>
              <w:rPr>
                <w:sz w:val="15"/>
                <w:szCs w:val="15"/>
                <w:color w:val="auto"/>
              </w:rPr>
            </w:pPr>
          </w:p>
        </w:tc>
        <w:tc>
          <w:tcPr>
            <w:tcW w:w="2180" w:type="dxa"/>
            <w:vAlign w:val="bottom"/>
            <w:tcBorders>
              <w:bottom w:val="single" w:sz="8" w:color="auto"/>
            </w:tcBorders>
          </w:tcPr>
          <w:p>
            <w:pPr>
              <w:jc w:val="center"/>
              <w:ind w:left="464"/>
              <w:spacing w:after="0"/>
              <w:rPr>
                <w:sz w:val="20"/>
                <w:szCs w:val="20"/>
                <w:color w:val="auto"/>
              </w:rPr>
            </w:pPr>
            <w:r>
              <w:rPr>
                <w:rFonts w:ascii="Arial" w:cs="Arial" w:eastAsia="Arial" w:hAnsi="Arial"/>
                <w:sz w:val="14"/>
                <w:szCs w:val="14"/>
                <w:b w:val="1"/>
                <w:bCs w:val="1"/>
                <w:color w:val="auto"/>
              </w:rPr>
              <w:t>rights (1)</w:t>
            </w: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rPr>
              <w:t>rights (2)</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column (a)) (3)</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1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31,608,617</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73.90</w:t>
            </w: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36,857,294</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18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31,608,617</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8"/>
                <w:szCs w:val="18"/>
                <w:color w:val="auto"/>
              </w:rPr>
              <w:t>73.90</w:t>
            </w: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36,857,294</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60" w:right="140" w:hanging="328"/>
        <w:spacing w:after="0" w:line="261" w:lineRule="auto"/>
        <w:tabs>
          <w:tab w:leader="none" w:pos="677"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Includes 377,583 shares issuable under AbbVie's Incentive Stock Program pursuant to awards granted by Abbott and adjusted into AbbVie awards in connection with AbbVie's separation from Abbott.</w:t>
      </w:r>
    </w:p>
    <w:p>
      <w:pPr>
        <w:spacing w:after="0" w:line="130" w:lineRule="exact"/>
        <w:rPr>
          <w:rFonts w:ascii="Arial" w:cs="Arial" w:eastAsia="Arial" w:hAnsi="Arial"/>
          <w:sz w:val="18"/>
          <w:szCs w:val="18"/>
          <w:color w:val="auto"/>
        </w:rPr>
      </w:pPr>
    </w:p>
    <w:p>
      <w:pPr>
        <w:ind w:left="660" w:right="220" w:hanging="328"/>
        <w:spacing w:after="0" w:line="261" w:lineRule="auto"/>
        <w:tabs>
          <w:tab w:leader="none" w:pos="677"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weighted-average exercise price does not include outstanding restricted stock units, restricted stock awards and performance shares that have no exercise price.</w:t>
      </w:r>
    </w:p>
    <w:p>
      <w:pPr>
        <w:spacing w:after="0" w:line="116" w:lineRule="exact"/>
        <w:rPr>
          <w:rFonts w:ascii="Arial" w:cs="Arial" w:eastAsia="Arial" w:hAnsi="Arial"/>
          <w:sz w:val="18"/>
          <w:szCs w:val="18"/>
          <w:color w:val="auto"/>
        </w:rPr>
      </w:pPr>
    </w:p>
    <w:p>
      <w:pPr>
        <w:ind w:left="660" w:right="60" w:hanging="328"/>
        <w:spacing w:after="0" w:line="254" w:lineRule="auto"/>
        <w:tabs>
          <w:tab w:leader="none" w:pos="677" w:val="left"/>
        </w:tabs>
        <w:numPr>
          <w:ilvl w:val="1"/>
          <w:numId w:val="47"/>
        </w:numPr>
        <w:rPr>
          <w:rFonts w:ascii="Arial" w:cs="Arial" w:eastAsia="Arial" w:hAnsi="Arial"/>
          <w:sz w:val="18"/>
          <w:szCs w:val="18"/>
          <w:color w:val="auto"/>
        </w:rPr>
      </w:pPr>
      <w:r>
        <w:rPr>
          <w:rFonts w:ascii="Arial" w:cs="Arial" w:eastAsia="Arial" w:hAnsi="Arial"/>
          <w:sz w:val="18"/>
          <w:szCs w:val="18"/>
          <w:color w:val="auto"/>
        </w:rPr>
        <w:t>Excludes shares issuable upon the exercise of stock options and pursuant to other rights granted under the Stemcentrx 2011 Equity Incentive Plan, which was assumed by AbbVie upon the consummation of its acquisition of Stemcentrx, Inc. As of December 31, 2020, 77,467 options remained outstanding under this plan. The options have a weighted-average exercise price of $16.55. No further awards will be granted under this plan.</w:t>
      </w:r>
    </w:p>
    <w:p>
      <w:pPr>
        <w:spacing w:after="0" w:line="118" w:lineRule="exact"/>
        <w:rPr>
          <w:rFonts w:ascii="Arial" w:cs="Arial" w:eastAsia="Arial" w:hAnsi="Arial"/>
          <w:sz w:val="18"/>
          <w:szCs w:val="18"/>
          <w:color w:val="auto"/>
        </w:rPr>
      </w:pPr>
    </w:p>
    <w:p>
      <w:pPr>
        <w:ind w:left="340" w:right="40" w:hanging="332"/>
        <w:spacing w:after="0" w:line="266" w:lineRule="auto"/>
        <w:tabs>
          <w:tab w:leader="none" w:pos="357"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Information Concerning Security Ownership. </w:t>
      </w:r>
      <w:r>
        <w:rPr>
          <w:rFonts w:ascii="Arial" w:cs="Arial" w:eastAsia="Arial" w:hAnsi="Arial"/>
          <w:sz w:val="18"/>
          <w:szCs w:val="18"/>
          <w:color w:val="auto"/>
        </w:rPr>
        <w:t>Incorporated herein by reference is the material under the heading "Securities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Ownership of Executive Officers and Directors" in the 2021 AbbVie Inc. Proxy Statement. The 2021 Definitive Proxy Statement will be filed on or about March 22, 2021.</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ITEM 13. 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5" w:lineRule="exact"/>
        <w:rPr>
          <w:sz w:val="20"/>
          <w:szCs w:val="20"/>
          <w:color w:val="auto"/>
        </w:rPr>
      </w:pPr>
    </w:p>
    <w:p>
      <w:pPr>
        <w:jc w:val="both"/>
        <w:ind w:right="100" w:firstLine="445"/>
        <w:spacing w:after="0" w:line="256" w:lineRule="auto"/>
        <w:rPr>
          <w:sz w:val="20"/>
          <w:szCs w:val="20"/>
          <w:color w:val="auto"/>
        </w:rPr>
      </w:pPr>
      <w:r>
        <w:rPr>
          <w:rFonts w:ascii="Arial" w:cs="Arial" w:eastAsia="Arial" w:hAnsi="Arial"/>
          <w:sz w:val="18"/>
          <w:szCs w:val="18"/>
          <w:color w:val="auto"/>
        </w:rPr>
        <w:t>The material to be included in the 2021 AbbVie Inc. Proxy Statement under the headings "The Board of Directors and its Committees," "Corporate Governance Materials," and "Procedures for Approval of Related Person Transactions" is incorporated herein by reference. The 2021 Definitive Proxy Statement will be filed on or about March 22, 2021.</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ITEM 14. PRINCIPAL ACCOUNTING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72"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The material to be included in the 2021 AbbVie Inc. Proxy Statement under the headings "Audit Fees and Non-Audit Fees" and "Policy on Audit Committee Pre-Approval of Audit and Permissible Non-Audit Services of the Independent Registered Public Accounting Firm" is incorporated herein by reference. The 2021 Definitive Proxy Statement will be filed on or about March 22, 2021.</w:t>
      </w:r>
    </w:p>
    <w:p>
      <w:pPr>
        <w:spacing w:after="0" w:line="200" w:lineRule="exact"/>
        <w:rPr>
          <w:sz w:val="20"/>
          <w:szCs w:val="20"/>
          <w:color w:val="auto"/>
        </w:rPr>
      </w:pPr>
    </w:p>
    <w:p>
      <w:pPr>
        <w:spacing w:after="0" w:line="323" w:lineRule="exact"/>
        <w:rPr>
          <w:sz w:val="20"/>
          <w:szCs w:val="20"/>
          <w:color w:val="auto"/>
        </w:rPr>
      </w:pPr>
    </w:p>
    <w:p>
      <w:pPr>
        <w:jc w:val="right"/>
        <w:spacing w:after="0"/>
        <w:tabs>
          <w:tab w:leader="none" w:pos="1560" w:val="left"/>
        </w:tabs>
        <w:rPr>
          <w:sz w:val="20"/>
          <w:szCs w:val="20"/>
          <w:color w:val="auto"/>
        </w:rPr>
      </w:pPr>
      <w:r>
        <w:rPr>
          <w:rFonts w:ascii="Arial" w:cs="Arial" w:eastAsia="Arial" w:hAnsi="Arial"/>
          <w:sz w:val="18"/>
          <w:szCs w:val="18"/>
          <w:i w:val="1"/>
          <w:iCs w:val="1"/>
          <w:color w:val="auto"/>
        </w:rPr>
        <w:t>2020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600075" cy="11176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0075" cy="11176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07" w:name="page108"/>
    <w:bookmarkEnd w:id="107"/>
    <w:p>
      <w:pPr>
        <w:jc w:val="right"/>
        <w:ind w:right="5140"/>
        <w:spacing w:after="0"/>
        <w:rPr>
          <w:sz w:val="20"/>
          <w:szCs w:val="20"/>
          <w:color w:val="auto"/>
        </w:rPr>
      </w:pPr>
      <w:r>
        <w:rPr>
          <w:rFonts w:ascii="Arial" w:cs="Arial" w:eastAsia="Arial" w:hAnsi="Arial"/>
          <w:sz w:val="22"/>
          <w:szCs w:val="22"/>
          <w:b w:val="1"/>
          <w:bCs w:val="1"/>
          <w:color w:val="444867"/>
        </w:rPr>
        <w:t>PART IV</w:t>
      </w:r>
    </w:p>
    <w:p>
      <w:pPr>
        <w:spacing w:after="0" w:line="220" w:lineRule="exact"/>
        <w:rPr>
          <w:sz w:val="20"/>
          <w:szCs w:val="20"/>
          <w:color w:val="auto"/>
        </w:rPr>
      </w:pPr>
    </w:p>
    <w:p>
      <w:pPr>
        <w:jc w:val="right"/>
        <w:ind w:right="5220"/>
        <w:spacing w:after="0"/>
        <w:rPr>
          <w:sz w:val="20"/>
          <w:szCs w:val="20"/>
          <w:color w:val="auto"/>
        </w:rPr>
      </w:pPr>
      <w:r>
        <w:rPr>
          <w:rFonts w:ascii="Arial" w:cs="Arial" w:eastAsia="Arial" w:hAnsi="Arial"/>
          <w:sz w:val="21"/>
          <w:szCs w:val="21"/>
          <w:b w:val="1"/>
          <w:bCs w:val="1"/>
          <w:color w:val="444867"/>
        </w:rPr>
        <w:t>ITEM 15. EXHIBITS,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680" w:hanging="348"/>
        <w:spacing w:after="0"/>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Documents filed as part of this Form 10-K.</w:t>
      </w:r>
    </w:p>
    <w:p>
      <w:pPr>
        <w:spacing w:after="0" w:line="171" w:lineRule="exact"/>
        <w:rPr>
          <w:rFonts w:ascii="Arial" w:cs="Arial" w:eastAsia="Arial" w:hAnsi="Arial"/>
          <w:sz w:val="18"/>
          <w:szCs w:val="18"/>
          <w:color w:val="auto"/>
        </w:rPr>
      </w:pPr>
    </w:p>
    <w:p>
      <w:pPr>
        <w:ind w:left="980" w:right="240" w:hanging="324"/>
        <w:spacing w:after="0" w:line="282" w:lineRule="auto"/>
        <w:tabs>
          <w:tab w:leader="none" w:pos="997" w:val="left"/>
        </w:tabs>
        <w:numPr>
          <w:ilvl w:val="1"/>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See Item 8, "Financial Statements and Supplementary Data," on page 48 hereof, for a list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w:t>
      </w:r>
    </w:p>
    <w:p>
      <w:pPr>
        <w:spacing w:after="0" w:line="107" w:lineRule="exact"/>
        <w:rPr>
          <w:rFonts w:ascii="Arial" w:cs="Arial" w:eastAsia="Arial" w:hAnsi="Arial"/>
          <w:sz w:val="18"/>
          <w:szCs w:val="18"/>
          <w:i w:val="1"/>
          <w:iCs w:val="1"/>
          <w:color w:val="auto"/>
        </w:rPr>
      </w:pPr>
    </w:p>
    <w:p>
      <w:pPr>
        <w:ind w:left="980" w:hanging="324"/>
        <w:spacing w:after="0" w:line="282" w:lineRule="auto"/>
        <w:tabs>
          <w:tab w:leader="none" w:pos="997" w:val="left"/>
        </w:tabs>
        <w:numPr>
          <w:ilvl w:val="1"/>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All schedules omitted are inapplicable or the information required is shown in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or notes thereto.</w:t>
      </w:r>
    </w:p>
    <w:p>
      <w:pPr>
        <w:spacing w:after="0" w:line="107" w:lineRule="exact"/>
        <w:rPr>
          <w:rFonts w:ascii="Arial" w:cs="Arial" w:eastAsia="Arial" w:hAnsi="Arial"/>
          <w:sz w:val="18"/>
          <w:szCs w:val="18"/>
          <w:i w:val="1"/>
          <w:iCs w:val="1"/>
          <w:color w:val="auto"/>
        </w:rPr>
      </w:pPr>
    </w:p>
    <w:p>
      <w:pPr>
        <w:ind w:left="1000" w:hanging="344"/>
        <w:spacing w:after="0"/>
        <w:tabs>
          <w:tab w:leader="none" w:pos="1000" w:val="left"/>
        </w:tabs>
        <w:numPr>
          <w:ilvl w:val="1"/>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Exhibits Required by Item 601 of Regulation S-K:  </w:t>
      </w:r>
      <w:r>
        <w:rPr>
          <w:rFonts w:ascii="Arial" w:cs="Arial" w:eastAsia="Arial" w:hAnsi="Arial"/>
          <w:sz w:val="18"/>
          <w:szCs w:val="18"/>
          <w:color w:val="auto"/>
        </w:rPr>
        <w:t>The information called for by this paragraph is set forth in Item 15(b) below.</w:t>
      </w:r>
    </w:p>
    <w:p>
      <w:pPr>
        <w:spacing w:after="0" w:line="252" w:lineRule="exact"/>
        <w:rPr>
          <w:rFonts w:ascii="Arial" w:cs="Arial" w:eastAsia="Arial" w:hAnsi="Arial"/>
          <w:sz w:val="18"/>
          <w:szCs w:val="18"/>
          <w:i w:val="1"/>
          <w:iCs w:val="1"/>
          <w:color w:val="auto"/>
        </w:rPr>
      </w:pPr>
    </w:p>
    <w:p>
      <w:pPr>
        <w:ind w:left="760" w:hanging="428"/>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8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660" w:type="dxa"/>
            <w:vAlign w:val="bottom"/>
            <w:vMerge w:val="restart"/>
          </w:tcPr>
          <w:p>
            <w:pPr>
              <w:ind w:left="23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29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1320" w:right="700" w:hanging="393"/>
        <w:spacing w:after="0" w:line="241" w:lineRule="auto"/>
        <w:tabs>
          <w:tab w:leader="none" w:pos="1300" w:val="left"/>
        </w:tabs>
        <w:rPr>
          <w:rFonts w:ascii="Arial" w:cs="Arial" w:eastAsia="Arial" w:hAnsi="Arial"/>
          <w:sz w:val="17"/>
          <w:szCs w:val="17"/>
          <w:color w:val="auto"/>
        </w:rPr>
      </w:pPr>
      <w:hyperlink r:id="rId300">
        <w:r>
          <w:rPr>
            <w:rFonts w:ascii="Arial" w:cs="Arial" w:eastAsia="Arial" w:hAnsi="Arial"/>
            <w:sz w:val="18"/>
            <w:szCs w:val="18"/>
            <w:color w:val="auto"/>
          </w:rPr>
          <w:t>2.1</w:t>
        </w:r>
      </w:hyperlink>
      <w:r>
        <w:rPr>
          <w:rFonts w:ascii="Arial" w:cs="Arial" w:eastAsia="Arial" w:hAnsi="Arial"/>
          <w:sz w:val="18"/>
          <w:szCs w:val="18"/>
          <w:color w:val="auto"/>
        </w:rPr>
        <w:tab/>
      </w:r>
      <w:hyperlink r:id="rId300">
        <w:r>
          <w:rPr>
            <w:rFonts w:ascii="Arial" w:cs="Arial" w:eastAsia="Arial" w:hAnsi="Arial"/>
            <w:sz w:val="17"/>
            <w:szCs w:val="17"/>
            <w:color w:val="auto"/>
          </w:rPr>
          <w:t>*Transaction Agreement, dated as of June 25, 2019, between AbbVie Inc., Allergan plc and Venice Subsidiary, LLC</w:t>
        </w:r>
      </w:hyperlink>
      <w:r>
        <w:rPr>
          <w:rFonts w:ascii="Arial" w:cs="Arial" w:eastAsia="Arial" w:hAnsi="Arial"/>
          <w:sz w:val="17"/>
          <w:szCs w:val="17"/>
          <w:color w:val="auto"/>
        </w:rPr>
        <w:t xml:space="preserve"> </w:t>
      </w:r>
      <w:hyperlink r:id="rId300">
        <w:r>
          <w:rPr>
            <w:rFonts w:ascii="Arial" w:cs="Arial" w:eastAsia="Arial" w:hAnsi="Arial"/>
            <w:sz w:val="17"/>
            <w:szCs w:val="17"/>
            <w:color w:val="auto"/>
          </w:rPr>
          <w:t>(incorporated by reference to Exhibit 2.1 of the company’s Current Report on Form 8-K filed on June 25, 2019).</w:t>
        </w:r>
      </w:hyperlink>
    </w:p>
    <w:p>
      <w:pPr>
        <w:spacing w:after="0" w:line="12" w:lineRule="exact"/>
        <w:rPr>
          <w:rFonts w:ascii="Arial" w:cs="Arial" w:eastAsia="Arial" w:hAnsi="Arial"/>
          <w:sz w:val="18"/>
          <w:szCs w:val="18"/>
          <w:color w:val="auto"/>
        </w:rPr>
      </w:pPr>
    </w:p>
    <w:p>
      <w:pPr>
        <w:ind w:left="1320" w:right="200" w:hanging="393"/>
        <w:spacing w:after="0" w:line="227" w:lineRule="auto"/>
        <w:tabs>
          <w:tab w:leader="none" w:pos="1300" w:val="left"/>
        </w:tabs>
        <w:rPr>
          <w:rFonts w:ascii="Arial" w:cs="Arial" w:eastAsia="Arial" w:hAnsi="Arial"/>
          <w:sz w:val="18"/>
          <w:szCs w:val="18"/>
          <w:color w:val="auto"/>
        </w:rPr>
      </w:pPr>
      <w:hyperlink r:id="rId301">
        <w:r>
          <w:rPr>
            <w:rFonts w:ascii="Arial" w:cs="Arial" w:eastAsia="Arial" w:hAnsi="Arial"/>
            <w:sz w:val="18"/>
            <w:szCs w:val="18"/>
            <w:color w:val="auto"/>
          </w:rPr>
          <w:t>2.2</w:t>
        </w:r>
      </w:hyperlink>
      <w:r>
        <w:rPr>
          <w:rFonts w:ascii="Arial" w:cs="Arial" w:eastAsia="Arial" w:hAnsi="Arial"/>
          <w:sz w:val="18"/>
          <w:szCs w:val="18"/>
          <w:color w:val="auto"/>
        </w:rPr>
        <w:tab/>
      </w:r>
      <w:hyperlink r:id="rId301">
        <w:r>
          <w:rPr>
            <w:rFonts w:ascii="Arial" w:cs="Arial" w:eastAsia="Arial" w:hAnsi="Arial"/>
            <w:sz w:val="18"/>
            <w:szCs w:val="18"/>
            <w:color w:val="auto"/>
          </w:rPr>
          <w:t>*Appendix III to the Rule 2.5 Announcement, dated as of June 25, 2019 (Conditions Appendix) (incorporated by reference</w:t>
        </w:r>
      </w:hyperlink>
      <w:r>
        <w:rPr>
          <w:rFonts w:ascii="Arial" w:cs="Arial" w:eastAsia="Arial" w:hAnsi="Arial"/>
          <w:sz w:val="18"/>
          <w:szCs w:val="18"/>
          <w:color w:val="auto"/>
        </w:rPr>
        <w:t xml:space="preserve"> </w:t>
      </w:r>
      <w:hyperlink r:id="rId301">
        <w:r>
          <w:rPr>
            <w:rFonts w:ascii="Arial" w:cs="Arial" w:eastAsia="Arial" w:hAnsi="Arial"/>
            <w:sz w:val="18"/>
            <w:szCs w:val="18"/>
            <w:color w:val="auto"/>
          </w:rPr>
          <w:t>to Exhibit 2.2 of the company’s Current Report on Form 8-K filed on June 25, 2019).</w:t>
        </w:r>
      </w:hyperlink>
    </w:p>
    <w:p>
      <w:pPr>
        <w:spacing w:after="0" w:line="13" w:lineRule="exact"/>
        <w:rPr>
          <w:rFonts w:ascii="Arial" w:cs="Arial" w:eastAsia="Arial" w:hAnsi="Arial"/>
          <w:sz w:val="18"/>
          <w:szCs w:val="18"/>
          <w:color w:val="auto"/>
        </w:rPr>
      </w:pPr>
    </w:p>
    <w:p>
      <w:pPr>
        <w:ind w:left="1320" w:right="120" w:hanging="393"/>
        <w:spacing w:after="0" w:line="227" w:lineRule="auto"/>
        <w:tabs>
          <w:tab w:leader="none" w:pos="1300" w:val="left"/>
        </w:tabs>
        <w:rPr>
          <w:rFonts w:ascii="Arial" w:cs="Arial" w:eastAsia="Arial" w:hAnsi="Arial"/>
          <w:sz w:val="18"/>
          <w:szCs w:val="18"/>
          <w:color w:val="auto"/>
        </w:rPr>
      </w:pPr>
      <w:hyperlink r:id="rId302">
        <w:r>
          <w:rPr>
            <w:rFonts w:ascii="Arial" w:cs="Arial" w:eastAsia="Arial" w:hAnsi="Arial"/>
            <w:sz w:val="18"/>
            <w:szCs w:val="18"/>
            <w:color w:val="auto"/>
          </w:rPr>
          <w:t>2.3</w:t>
        </w:r>
      </w:hyperlink>
      <w:r>
        <w:rPr>
          <w:rFonts w:ascii="Arial" w:cs="Arial" w:eastAsia="Arial" w:hAnsi="Arial"/>
          <w:sz w:val="18"/>
          <w:szCs w:val="18"/>
          <w:color w:val="auto"/>
        </w:rPr>
        <w:tab/>
      </w:r>
      <w:hyperlink r:id="rId302">
        <w:r>
          <w:rPr>
            <w:rFonts w:ascii="Arial" w:cs="Arial" w:eastAsia="Arial" w:hAnsi="Arial"/>
            <w:sz w:val="18"/>
            <w:szCs w:val="18"/>
            <w:color w:val="auto"/>
          </w:rPr>
          <w:t>*Expenses Reimbursement Agreement, dated as of June 25, 2019, between AbbVie Inc. and Allergan plc (incorporated by</w:t>
        </w:r>
      </w:hyperlink>
      <w:r>
        <w:rPr>
          <w:rFonts w:ascii="Arial" w:cs="Arial" w:eastAsia="Arial" w:hAnsi="Arial"/>
          <w:sz w:val="18"/>
          <w:szCs w:val="18"/>
          <w:color w:val="auto"/>
        </w:rPr>
        <w:t xml:space="preserve"> </w:t>
      </w:r>
      <w:hyperlink r:id="rId302">
        <w:r>
          <w:rPr>
            <w:rFonts w:ascii="Arial" w:cs="Arial" w:eastAsia="Arial" w:hAnsi="Arial"/>
            <w:sz w:val="18"/>
            <w:szCs w:val="18"/>
            <w:color w:val="auto"/>
          </w:rPr>
          <w:t>reference to Exhibit 2.3 of the company’s Current Report on Form 8-K filed on June 25, 2019).</w:t>
        </w:r>
      </w:hyperlink>
    </w:p>
    <w:p>
      <w:pPr>
        <w:spacing w:after="0" w:line="13" w:lineRule="exact"/>
        <w:rPr>
          <w:rFonts w:ascii="Arial" w:cs="Arial" w:eastAsia="Arial" w:hAnsi="Arial"/>
          <w:sz w:val="18"/>
          <w:szCs w:val="18"/>
          <w:color w:val="auto"/>
        </w:rPr>
      </w:pPr>
    </w:p>
    <w:p>
      <w:pPr>
        <w:ind w:left="1320" w:right="80" w:hanging="393"/>
        <w:spacing w:after="0" w:line="219" w:lineRule="auto"/>
        <w:tabs>
          <w:tab w:leader="none" w:pos="1300" w:val="left"/>
        </w:tabs>
        <w:rPr>
          <w:rFonts w:ascii="Arial" w:cs="Arial" w:eastAsia="Arial" w:hAnsi="Arial"/>
          <w:sz w:val="18"/>
          <w:szCs w:val="18"/>
          <w:color w:val="auto"/>
        </w:rPr>
      </w:pPr>
      <w:hyperlink r:id="rId303">
        <w:r>
          <w:rPr>
            <w:rFonts w:ascii="Arial" w:cs="Arial" w:eastAsia="Arial" w:hAnsi="Arial"/>
            <w:sz w:val="18"/>
            <w:szCs w:val="18"/>
            <w:color w:val="auto"/>
          </w:rPr>
          <w:t>2.4</w:t>
        </w:r>
      </w:hyperlink>
      <w:r>
        <w:rPr>
          <w:rFonts w:ascii="Arial" w:cs="Arial" w:eastAsia="Arial" w:hAnsi="Arial"/>
          <w:sz w:val="18"/>
          <w:szCs w:val="18"/>
          <w:color w:val="auto"/>
        </w:rPr>
        <w:tab/>
      </w:r>
      <w:hyperlink r:id="rId303">
        <w:r>
          <w:rPr>
            <w:rFonts w:ascii="Arial" w:cs="Arial" w:eastAsia="Arial" w:hAnsi="Arial"/>
            <w:sz w:val="18"/>
            <w:szCs w:val="18"/>
            <w:color w:val="auto"/>
          </w:rPr>
          <w:t>*Amendment to the Transaction Agreement, dated as of May 5, 2020, between AbbVie Inc., Allergan plc and Venice</w:t>
        </w:r>
      </w:hyperlink>
      <w:r>
        <w:rPr>
          <w:rFonts w:ascii="Arial" w:cs="Arial" w:eastAsia="Arial" w:hAnsi="Arial"/>
          <w:sz w:val="18"/>
          <w:szCs w:val="18"/>
          <w:color w:val="auto"/>
        </w:rPr>
        <w:t xml:space="preserve"> </w:t>
      </w:r>
      <w:hyperlink r:id="rId303">
        <w:r>
          <w:rPr>
            <w:rFonts w:ascii="Arial" w:cs="Arial" w:eastAsia="Arial" w:hAnsi="Arial"/>
            <w:sz w:val="18"/>
            <w:szCs w:val="18"/>
            <w:color w:val="auto"/>
          </w:rPr>
          <w:t>Subsidiary, LLC (incorporated by reference to Exhibit 2.1 of the company’s Quarterly Report on Form 10-Q for the quarterly</w:t>
        </w:r>
      </w:hyperlink>
      <w:r>
        <w:rPr>
          <w:rFonts w:ascii="Arial" w:cs="Arial" w:eastAsia="Arial" w:hAnsi="Arial"/>
          <w:sz w:val="18"/>
          <w:szCs w:val="18"/>
          <w:color w:val="auto"/>
        </w:rPr>
        <w:t xml:space="preserve"> </w:t>
      </w:r>
      <w:hyperlink r:id="rId303">
        <w:r>
          <w:rPr>
            <w:rFonts w:ascii="Arial" w:cs="Arial" w:eastAsia="Arial" w:hAnsi="Arial"/>
            <w:sz w:val="18"/>
            <w:szCs w:val="18"/>
            <w:color w:val="auto"/>
          </w:rPr>
          <w:t>period ended March 31, 2020).</w:t>
        </w:r>
      </w:hyperlink>
    </w:p>
    <w:p>
      <w:pPr>
        <w:spacing w:after="0" w:line="14" w:lineRule="exact"/>
        <w:rPr>
          <w:rFonts w:ascii="Arial" w:cs="Arial" w:eastAsia="Arial" w:hAnsi="Arial"/>
          <w:sz w:val="18"/>
          <w:szCs w:val="18"/>
          <w:color w:val="auto"/>
        </w:rPr>
      </w:pPr>
    </w:p>
    <w:p>
      <w:pPr>
        <w:ind w:left="1320" w:right="820" w:hanging="393"/>
        <w:spacing w:after="0" w:line="227" w:lineRule="auto"/>
        <w:tabs>
          <w:tab w:leader="none" w:pos="1300" w:val="left"/>
        </w:tabs>
        <w:rPr>
          <w:rFonts w:ascii="Arial" w:cs="Arial" w:eastAsia="Arial" w:hAnsi="Arial"/>
          <w:sz w:val="18"/>
          <w:szCs w:val="18"/>
          <w:color w:val="auto"/>
        </w:rPr>
      </w:pPr>
      <w:hyperlink r:id="rId304">
        <w:r>
          <w:rPr>
            <w:rFonts w:ascii="Arial" w:cs="Arial" w:eastAsia="Arial" w:hAnsi="Arial"/>
            <w:sz w:val="18"/>
            <w:szCs w:val="18"/>
            <w:color w:val="auto"/>
          </w:rPr>
          <w:t>3.1</w:t>
        </w:r>
      </w:hyperlink>
      <w:r>
        <w:rPr>
          <w:rFonts w:ascii="Arial" w:cs="Arial" w:eastAsia="Arial" w:hAnsi="Arial"/>
          <w:sz w:val="18"/>
          <w:szCs w:val="18"/>
          <w:color w:val="auto"/>
        </w:rPr>
        <w:tab/>
      </w:r>
      <w:hyperlink r:id="rId304">
        <w:r>
          <w:rPr>
            <w:rFonts w:ascii="Arial" w:cs="Arial" w:eastAsia="Arial" w:hAnsi="Arial"/>
            <w:sz w:val="18"/>
            <w:szCs w:val="18"/>
            <w:color w:val="auto"/>
          </w:rPr>
          <w:t>*Amended and Restated Certificate of Incorporation of AbbVie Inc. (incorporated by reference to Exhibit 3.1 of the</w:t>
        </w:r>
      </w:hyperlink>
      <w:r>
        <w:rPr>
          <w:rFonts w:ascii="Arial" w:cs="Arial" w:eastAsia="Arial" w:hAnsi="Arial"/>
          <w:sz w:val="18"/>
          <w:szCs w:val="18"/>
          <w:color w:val="auto"/>
        </w:rPr>
        <w:t xml:space="preserve"> </w:t>
      </w:r>
      <w:hyperlink r:id="rId304">
        <w:r>
          <w:rPr>
            <w:rFonts w:ascii="Arial" w:cs="Arial" w:eastAsia="Arial" w:hAnsi="Arial"/>
            <w:sz w:val="18"/>
            <w:szCs w:val="18"/>
            <w:color w:val="auto"/>
          </w:rPr>
          <w:t>company's Current Report on Form 8-K filed on January 2, 2013).</w:t>
        </w:r>
      </w:hyperlink>
    </w:p>
    <w:p>
      <w:pPr>
        <w:spacing w:after="0" w:line="13" w:lineRule="exact"/>
        <w:rPr>
          <w:rFonts w:ascii="Arial" w:cs="Arial" w:eastAsia="Arial" w:hAnsi="Arial"/>
          <w:sz w:val="18"/>
          <w:szCs w:val="18"/>
          <w:color w:val="auto"/>
        </w:rPr>
      </w:pPr>
    </w:p>
    <w:p>
      <w:pPr>
        <w:ind w:left="1320" w:right="100" w:hanging="393"/>
        <w:spacing w:after="0" w:line="227" w:lineRule="auto"/>
        <w:tabs>
          <w:tab w:leader="none" w:pos="1300" w:val="left"/>
        </w:tabs>
        <w:rPr>
          <w:rFonts w:ascii="Arial" w:cs="Arial" w:eastAsia="Arial" w:hAnsi="Arial"/>
          <w:sz w:val="18"/>
          <w:szCs w:val="18"/>
          <w:color w:val="auto"/>
        </w:rPr>
      </w:pPr>
      <w:hyperlink r:id="rId305">
        <w:r>
          <w:rPr>
            <w:rFonts w:ascii="Arial" w:cs="Arial" w:eastAsia="Arial" w:hAnsi="Arial"/>
            <w:sz w:val="18"/>
            <w:szCs w:val="18"/>
            <w:color w:val="auto"/>
          </w:rPr>
          <w:t>3.2</w:t>
        </w:r>
      </w:hyperlink>
      <w:r>
        <w:rPr>
          <w:rFonts w:ascii="Arial" w:cs="Arial" w:eastAsia="Arial" w:hAnsi="Arial"/>
          <w:sz w:val="18"/>
          <w:szCs w:val="18"/>
          <w:color w:val="auto"/>
        </w:rPr>
        <w:tab/>
      </w:r>
      <w:hyperlink r:id="rId305">
        <w:r>
          <w:rPr>
            <w:rFonts w:ascii="Arial" w:cs="Arial" w:eastAsia="Arial" w:hAnsi="Arial"/>
            <w:sz w:val="18"/>
            <w:szCs w:val="18"/>
            <w:color w:val="auto"/>
          </w:rPr>
          <w:t>*Amended and Restated By-Laws of AbbVie Inc. (incorporated by reference to Exhibit 3.1 of the company's Current Report</w:t>
        </w:r>
      </w:hyperlink>
      <w:r>
        <w:rPr>
          <w:rFonts w:ascii="Arial" w:cs="Arial" w:eastAsia="Arial" w:hAnsi="Arial"/>
          <w:sz w:val="18"/>
          <w:szCs w:val="18"/>
          <w:color w:val="auto"/>
        </w:rPr>
        <w:t xml:space="preserve"> </w:t>
      </w:r>
      <w:hyperlink r:id="rId305">
        <w:r>
          <w:rPr>
            <w:rFonts w:ascii="Arial" w:cs="Arial" w:eastAsia="Arial" w:hAnsi="Arial"/>
            <w:sz w:val="18"/>
            <w:szCs w:val="18"/>
            <w:color w:val="auto"/>
          </w:rPr>
          <w:t>on Form 8-K filed on October 22, 2019).</w:t>
        </w:r>
      </w:hyperlink>
    </w:p>
    <w:p>
      <w:pPr>
        <w:spacing w:after="0" w:line="13" w:lineRule="exact"/>
        <w:rPr>
          <w:rFonts w:ascii="Arial" w:cs="Arial" w:eastAsia="Arial" w:hAnsi="Arial"/>
          <w:sz w:val="18"/>
          <w:szCs w:val="18"/>
          <w:color w:val="auto"/>
        </w:rPr>
      </w:pPr>
    </w:p>
    <w:p>
      <w:pPr>
        <w:ind w:left="920"/>
        <w:spacing w:after="0"/>
        <w:tabs>
          <w:tab w:leader="none" w:pos="1300" w:val="left"/>
        </w:tabs>
        <w:rPr>
          <w:rFonts w:ascii="Arial" w:cs="Arial" w:eastAsia="Arial" w:hAnsi="Arial"/>
          <w:sz w:val="17"/>
          <w:szCs w:val="17"/>
          <w:color w:val="auto"/>
        </w:rPr>
      </w:pPr>
      <w:hyperlink w:anchor="page114">
        <w:r>
          <w:rPr>
            <w:rFonts w:ascii="Arial" w:cs="Arial" w:eastAsia="Arial" w:hAnsi="Arial"/>
            <w:sz w:val="18"/>
            <w:szCs w:val="18"/>
            <w:color w:val="auto"/>
          </w:rPr>
          <w:t>4.1</w:t>
        </w:r>
      </w:hyperlink>
      <w:r>
        <w:rPr>
          <w:rFonts w:ascii="Arial" w:cs="Arial" w:eastAsia="Arial" w:hAnsi="Arial"/>
          <w:sz w:val="18"/>
          <w:szCs w:val="18"/>
          <w:color w:val="auto"/>
        </w:rPr>
        <w:tab/>
      </w:r>
      <w:hyperlink w:anchor="page114">
        <w:r>
          <w:rPr>
            <w:rFonts w:ascii="Arial" w:cs="Arial" w:eastAsia="Arial" w:hAnsi="Arial"/>
            <w:sz w:val="17"/>
            <w:szCs w:val="17"/>
            <w:color w:val="auto"/>
          </w:rPr>
          <w:t>Description of the company’s securities registered pursuant to Section 12 of the Securities Exchange Act of 1934.</w:t>
        </w:r>
      </w:hyperlink>
    </w:p>
    <w:p>
      <w:pPr>
        <w:spacing w:after="0" w:line="23" w:lineRule="exact"/>
        <w:rPr>
          <w:sz w:val="20"/>
          <w:szCs w:val="20"/>
          <w:color w:val="auto"/>
        </w:rPr>
      </w:pPr>
    </w:p>
    <w:p>
      <w:pPr>
        <w:ind w:left="1320" w:right="240" w:hanging="393"/>
        <w:spacing w:after="0" w:line="219" w:lineRule="auto"/>
        <w:tabs>
          <w:tab w:leader="none" w:pos="1300" w:val="left"/>
        </w:tabs>
        <w:rPr>
          <w:rFonts w:ascii="Arial" w:cs="Arial" w:eastAsia="Arial" w:hAnsi="Arial"/>
          <w:sz w:val="18"/>
          <w:szCs w:val="18"/>
          <w:color w:val="auto"/>
        </w:rPr>
      </w:pPr>
      <w:hyperlink r:id="rId306">
        <w:r>
          <w:rPr>
            <w:rFonts w:ascii="Arial" w:cs="Arial" w:eastAsia="Arial" w:hAnsi="Arial"/>
            <w:sz w:val="18"/>
            <w:szCs w:val="18"/>
            <w:color w:val="auto"/>
          </w:rPr>
          <w:t>4.2</w:t>
        </w:r>
      </w:hyperlink>
      <w:r>
        <w:rPr>
          <w:rFonts w:ascii="Arial" w:cs="Arial" w:eastAsia="Arial" w:hAnsi="Arial"/>
          <w:sz w:val="18"/>
          <w:szCs w:val="18"/>
          <w:color w:val="auto"/>
        </w:rPr>
        <w:tab/>
      </w:r>
      <w:hyperlink r:id="rId306">
        <w:r>
          <w:rPr>
            <w:rFonts w:ascii="Arial" w:cs="Arial" w:eastAsia="Arial" w:hAnsi="Arial"/>
            <w:sz w:val="18"/>
            <w:szCs w:val="18"/>
            <w:color w:val="auto"/>
          </w:rPr>
          <w:t>*Indenture dated as of November 8, 2012 between AbbVie Inc. and U.S. Bank National Association (incorporated by</w:t>
        </w:r>
      </w:hyperlink>
      <w:r>
        <w:rPr>
          <w:rFonts w:ascii="Arial" w:cs="Arial" w:eastAsia="Arial" w:hAnsi="Arial"/>
          <w:sz w:val="18"/>
          <w:szCs w:val="18"/>
          <w:color w:val="auto"/>
        </w:rPr>
        <w:t xml:space="preserve"> </w:t>
      </w:r>
      <w:hyperlink r:id="rId306">
        <w:r>
          <w:rPr>
            <w:rFonts w:ascii="Arial" w:cs="Arial" w:eastAsia="Arial" w:hAnsi="Arial"/>
            <w:sz w:val="18"/>
            <w:szCs w:val="18"/>
            <w:color w:val="auto"/>
          </w:rPr>
          <w:t>reference to Exhibit 4.1 of Amendment No. 5 to the company's Registration Statement on Form 10 filed on November 16,</w:t>
        </w:r>
      </w:hyperlink>
      <w:r>
        <w:rPr>
          <w:rFonts w:ascii="Arial" w:cs="Arial" w:eastAsia="Arial" w:hAnsi="Arial"/>
          <w:sz w:val="18"/>
          <w:szCs w:val="18"/>
          <w:color w:val="auto"/>
        </w:rPr>
        <w:t xml:space="preserve"> </w:t>
      </w:r>
      <w:hyperlink r:id="rId306">
        <w:r>
          <w:rPr>
            <w:rFonts w:ascii="Arial" w:cs="Arial" w:eastAsia="Arial" w:hAnsi="Arial"/>
            <w:sz w:val="18"/>
            <w:szCs w:val="18"/>
            <w:color w:val="auto"/>
          </w:rPr>
          <w:t>2012).</w:t>
        </w:r>
      </w:hyperlink>
    </w:p>
    <w:p>
      <w:pPr>
        <w:spacing w:after="0" w:line="14" w:lineRule="exact"/>
        <w:rPr>
          <w:rFonts w:ascii="Arial" w:cs="Arial" w:eastAsia="Arial" w:hAnsi="Arial"/>
          <w:sz w:val="18"/>
          <w:szCs w:val="18"/>
          <w:color w:val="auto"/>
        </w:rPr>
      </w:pPr>
    </w:p>
    <w:p>
      <w:pPr>
        <w:ind w:left="1320" w:right="420" w:hanging="393"/>
        <w:spacing w:after="0" w:line="219" w:lineRule="auto"/>
        <w:tabs>
          <w:tab w:leader="none" w:pos="1300" w:val="left"/>
        </w:tabs>
        <w:rPr>
          <w:rFonts w:ascii="Arial" w:cs="Arial" w:eastAsia="Arial" w:hAnsi="Arial"/>
          <w:sz w:val="18"/>
          <w:szCs w:val="18"/>
          <w:color w:val="auto"/>
        </w:rPr>
      </w:pPr>
      <w:hyperlink r:id="rId307">
        <w:r>
          <w:rPr>
            <w:rFonts w:ascii="Arial" w:cs="Arial" w:eastAsia="Arial" w:hAnsi="Arial"/>
            <w:sz w:val="18"/>
            <w:szCs w:val="18"/>
            <w:color w:val="auto"/>
          </w:rPr>
          <w:t>4.3</w:t>
        </w:r>
      </w:hyperlink>
      <w:r>
        <w:rPr>
          <w:rFonts w:ascii="Arial" w:cs="Arial" w:eastAsia="Arial" w:hAnsi="Arial"/>
          <w:sz w:val="18"/>
          <w:szCs w:val="18"/>
          <w:color w:val="auto"/>
        </w:rPr>
        <w:tab/>
      </w:r>
      <w:hyperlink r:id="rId307">
        <w:r>
          <w:rPr>
            <w:rFonts w:ascii="Arial" w:cs="Arial" w:eastAsia="Arial" w:hAnsi="Arial"/>
            <w:sz w:val="18"/>
            <w:szCs w:val="18"/>
            <w:color w:val="auto"/>
          </w:rPr>
          <w:t>*Supplemental Indenture No. 1 dated as of November 8, 2012 among AbbVie Inc. and U.S. Bank National Association,</w:t>
        </w:r>
      </w:hyperlink>
      <w:r>
        <w:rPr>
          <w:rFonts w:ascii="Arial" w:cs="Arial" w:eastAsia="Arial" w:hAnsi="Arial"/>
          <w:sz w:val="18"/>
          <w:szCs w:val="18"/>
          <w:color w:val="auto"/>
        </w:rPr>
        <w:t xml:space="preserve"> </w:t>
      </w:r>
      <w:hyperlink r:id="rId307">
        <w:r>
          <w:rPr>
            <w:rFonts w:ascii="Arial" w:cs="Arial" w:eastAsia="Arial" w:hAnsi="Arial"/>
            <w:sz w:val="18"/>
            <w:szCs w:val="18"/>
            <w:color w:val="auto"/>
          </w:rPr>
          <w:t>including forms of notes (incorporated by reference to Exhibit 4.2 of Amendment No. 5 to the company's Registration</w:t>
        </w:r>
      </w:hyperlink>
      <w:r>
        <w:rPr>
          <w:rFonts w:ascii="Arial" w:cs="Arial" w:eastAsia="Arial" w:hAnsi="Arial"/>
          <w:sz w:val="18"/>
          <w:szCs w:val="18"/>
          <w:color w:val="auto"/>
        </w:rPr>
        <w:t xml:space="preserve"> </w:t>
      </w:r>
      <w:hyperlink r:id="rId307">
        <w:r>
          <w:rPr>
            <w:rFonts w:ascii="Arial" w:cs="Arial" w:eastAsia="Arial" w:hAnsi="Arial"/>
            <w:sz w:val="18"/>
            <w:szCs w:val="18"/>
            <w:color w:val="auto"/>
          </w:rPr>
          <w:t>Statement on Form 10 filed on November 16, 2012).</w:t>
        </w:r>
      </w:hyperlink>
    </w:p>
    <w:p>
      <w:pPr>
        <w:spacing w:after="0" w:line="14" w:lineRule="exact"/>
        <w:rPr>
          <w:rFonts w:ascii="Arial" w:cs="Arial" w:eastAsia="Arial" w:hAnsi="Arial"/>
          <w:sz w:val="18"/>
          <w:szCs w:val="18"/>
          <w:color w:val="auto"/>
        </w:rPr>
      </w:pPr>
    </w:p>
    <w:p>
      <w:pPr>
        <w:ind w:left="1320" w:right="180" w:hanging="393"/>
        <w:spacing w:after="0" w:line="219" w:lineRule="auto"/>
        <w:tabs>
          <w:tab w:leader="none" w:pos="1300" w:val="left"/>
        </w:tabs>
        <w:rPr>
          <w:rFonts w:ascii="Arial" w:cs="Arial" w:eastAsia="Arial" w:hAnsi="Arial"/>
          <w:sz w:val="18"/>
          <w:szCs w:val="18"/>
          <w:color w:val="auto"/>
        </w:rPr>
      </w:pPr>
      <w:hyperlink r:id="rId308">
        <w:r>
          <w:rPr>
            <w:rFonts w:ascii="Arial" w:cs="Arial" w:eastAsia="Arial" w:hAnsi="Arial"/>
            <w:sz w:val="18"/>
            <w:szCs w:val="18"/>
            <w:color w:val="auto"/>
          </w:rPr>
          <w:t>4.4</w:t>
        </w:r>
      </w:hyperlink>
      <w:r>
        <w:rPr>
          <w:rFonts w:ascii="Arial" w:cs="Arial" w:eastAsia="Arial" w:hAnsi="Arial"/>
          <w:sz w:val="18"/>
          <w:szCs w:val="18"/>
          <w:color w:val="auto"/>
        </w:rPr>
        <w:tab/>
      </w:r>
      <w:hyperlink r:id="rId308">
        <w:r>
          <w:rPr>
            <w:rFonts w:ascii="Arial" w:cs="Arial" w:eastAsia="Arial" w:hAnsi="Arial"/>
            <w:sz w:val="18"/>
            <w:szCs w:val="18"/>
            <w:color w:val="auto"/>
          </w:rPr>
          <w:t>*Supplemental Indenture No. 2 dated May 14, 2015, between AbbVie Inc. and U.S. Bank National Association, as trustee,</w:t>
        </w:r>
      </w:hyperlink>
      <w:r>
        <w:rPr>
          <w:rFonts w:ascii="Arial" w:cs="Arial" w:eastAsia="Arial" w:hAnsi="Arial"/>
          <w:sz w:val="18"/>
          <w:szCs w:val="18"/>
          <w:color w:val="auto"/>
        </w:rPr>
        <w:t xml:space="preserve"> </w:t>
      </w:r>
      <w:hyperlink r:id="rId308">
        <w:r>
          <w:rPr>
            <w:rFonts w:ascii="Arial" w:cs="Arial" w:eastAsia="Arial" w:hAnsi="Arial"/>
            <w:sz w:val="18"/>
            <w:szCs w:val="18"/>
            <w:color w:val="auto"/>
          </w:rPr>
          <w:t>including forms of notes (incorporated by reference to Exhibit 4.1 of the company's Current Report on Form 8-K filed on</w:t>
        </w:r>
      </w:hyperlink>
      <w:r>
        <w:rPr>
          <w:rFonts w:ascii="Arial" w:cs="Arial" w:eastAsia="Arial" w:hAnsi="Arial"/>
          <w:sz w:val="18"/>
          <w:szCs w:val="18"/>
          <w:color w:val="auto"/>
        </w:rPr>
        <w:t xml:space="preserve"> </w:t>
      </w:r>
      <w:hyperlink r:id="rId308">
        <w:r>
          <w:rPr>
            <w:rFonts w:ascii="Arial" w:cs="Arial" w:eastAsia="Arial" w:hAnsi="Arial"/>
            <w:sz w:val="18"/>
            <w:szCs w:val="18"/>
            <w:color w:val="auto"/>
          </w:rPr>
          <w:t>May 14, 2015).</w:t>
        </w:r>
      </w:hyperlink>
    </w:p>
    <w:p>
      <w:pPr>
        <w:spacing w:after="0" w:line="14" w:lineRule="exact"/>
        <w:rPr>
          <w:rFonts w:ascii="Arial" w:cs="Arial" w:eastAsia="Arial" w:hAnsi="Arial"/>
          <w:sz w:val="18"/>
          <w:szCs w:val="18"/>
          <w:color w:val="auto"/>
        </w:rPr>
      </w:pPr>
    </w:p>
    <w:p>
      <w:pPr>
        <w:ind w:left="1320" w:right="180" w:hanging="393"/>
        <w:spacing w:after="0" w:line="219" w:lineRule="auto"/>
        <w:tabs>
          <w:tab w:leader="none" w:pos="1300" w:val="left"/>
        </w:tabs>
        <w:rPr>
          <w:rFonts w:ascii="Arial" w:cs="Arial" w:eastAsia="Arial" w:hAnsi="Arial"/>
          <w:sz w:val="18"/>
          <w:szCs w:val="18"/>
          <w:color w:val="auto"/>
        </w:rPr>
      </w:pPr>
      <w:hyperlink r:id="rId309">
        <w:r>
          <w:rPr>
            <w:rFonts w:ascii="Arial" w:cs="Arial" w:eastAsia="Arial" w:hAnsi="Arial"/>
            <w:sz w:val="18"/>
            <w:szCs w:val="18"/>
            <w:color w:val="auto"/>
          </w:rPr>
          <w:t>4.5</w:t>
        </w:r>
      </w:hyperlink>
      <w:r>
        <w:rPr>
          <w:rFonts w:ascii="Arial" w:cs="Arial" w:eastAsia="Arial" w:hAnsi="Arial"/>
          <w:sz w:val="18"/>
          <w:szCs w:val="18"/>
          <w:color w:val="auto"/>
        </w:rPr>
        <w:tab/>
      </w:r>
      <w:hyperlink r:id="rId309">
        <w:r>
          <w:rPr>
            <w:rFonts w:ascii="Arial" w:cs="Arial" w:eastAsia="Arial" w:hAnsi="Arial"/>
            <w:sz w:val="18"/>
            <w:szCs w:val="18"/>
            <w:color w:val="auto"/>
          </w:rPr>
          <w:t>*Supplemental Indenture No. 3 dated May 12, 2016, between AbbVie Inc. and U.S. Bank National Association, as trustee,</w:t>
        </w:r>
      </w:hyperlink>
      <w:r>
        <w:rPr>
          <w:rFonts w:ascii="Arial" w:cs="Arial" w:eastAsia="Arial" w:hAnsi="Arial"/>
          <w:sz w:val="18"/>
          <w:szCs w:val="18"/>
          <w:color w:val="auto"/>
        </w:rPr>
        <w:t xml:space="preserve"> </w:t>
      </w:r>
      <w:hyperlink r:id="rId309">
        <w:r>
          <w:rPr>
            <w:rFonts w:ascii="Arial" w:cs="Arial" w:eastAsia="Arial" w:hAnsi="Arial"/>
            <w:sz w:val="18"/>
            <w:szCs w:val="18"/>
            <w:color w:val="auto"/>
          </w:rPr>
          <w:t>including forms of notes (incorporated by reference to Exhibit 4.1 of the company’s Current Report on Form 8-K filed on</w:t>
        </w:r>
      </w:hyperlink>
      <w:r>
        <w:rPr>
          <w:rFonts w:ascii="Arial" w:cs="Arial" w:eastAsia="Arial" w:hAnsi="Arial"/>
          <w:sz w:val="18"/>
          <w:szCs w:val="18"/>
          <w:color w:val="auto"/>
        </w:rPr>
        <w:t xml:space="preserve"> </w:t>
      </w:r>
      <w:hyperlink r:id="rId309">
        <w:r>
          <w:rPr>
            <w:rFonts w:ascii="Arial" w:cs="Arial" w:eastAsia="Arial" w:hAnsi="Arial"/>
            <w:sz w:val="18"/>
            <w:szCs w:val="18"/>
            <w:color w:val="auto"/>
          </w:rPr>
          <w:t>May 12, 2016).</w:t>
        </w:r>
      </w:hyperlink>
    </w:p>
    <w:p>
      <w:pPr>
        <w:spacing w:after="0" w:line="14" w:lineRule="exact"/>
        <w:rPr>
          <w:rFonts w:ascii="Arial" w:cs="Arial" w:eastAsia="Arial" w:hAnsi="Arial"/>
          <w:sz w:val="18"/>
          <w:szCs w:val="18"/>
          <w:color w:val="auto"/>
        </w:rPr>
      </w:pPr>
    </w:p>
    <w:p>
      <w:pPr>
        <w:ind w:left="1320" w:right="220" w:hanging="393"/>
        <w:spacing w:after="0" w:line="215" w:lineRule="auto"/>
        <w:tabs>
          <w:tab w:leader="none" w:pos="1300" w:val="left"/>
        </w:tabs>
        <w:rPr>
          <w:rFonts w:ascii="Arial" w:cs="Arial" w:eastAsia="Arial" w:hAnsi="Arial"/>
          <w:sz w:val="18"/>
          <w:szCs w:val="18"/>
          <w:color w:val="auto"/>
        </w:rPr>
      </w:pPr>
      <w:hyperlink r:id="rId310">
        <w:r>
          <w:rPr>
            <w:rFonts w:ascii="Arial" w:cs="Arial" w:eastAsia="Arial" w:hAnsi="Arial"/>
            <w:sz w:val="18"/>
            <w:szCs w:val="18"/>
            <w:color w:val="auto"/>
          </w:rPr>
          <w:t>4.6</w:t>
        </w:r>
      </w:hyperlink>
      <w:r>
        <w:rPr>
          <w:rFonts w:ascii="Arial" w:cs="Arial" w:eastAsia="Arial" w:hAnsi="Arial"/>
          <w:sz w:val="18"/>
          <w:szCs w:val="18"/>
          <w:color w:val="auto"/>
        </w:rPr>
        <w:tab/>
      </w:r>
      <w:hyperlink r:id="rId310">
        <w:r>
          <w:rPr>
            <w:rFonts w:ascii="Arial" w:cs="Arial" w:eastAsia="Arial" w:hAnsi="Arial"/>
            <w:sz w:val="18"/>
            <w:szCs w:val="18"/>
            <w:color w:val="auto"/>
          </w:rPr>
          <w:t>*Supplemental Indenture No. 4, dated as of November 17, 2016, among AbbVie Inc., U.S. Bank National Association, as</w:t>
        </w:r>
      </w:hyperlink>
      <w:r>
        <w:rPr>
          <w:rFonts w:ascii="Arial" w:cs="Arial" w:eastAsia="Arial" w:hAnsi="Arial"/>
          <w:sz w:val="18"/>
          <w:szCs w:val="18"/>
          <w:color w:val="auto"/>
        </w:rPr>
        <w:t xml:space="preserve"> </w:t>
      </w:r>
      <w:hyperlink r:id="rId310">
        <w:r>
          <w:rPr>
            <w:rFonts w:ascii="Arial" w:cs="Arial" w:eastAsia="Arial" w:hAnsi="Arial"/>
            <w:sz w:val="18"/>
            <w:szCs w:val="18"/>
            <w:color w:val="auto"/>
          </w:rPr>
          <w:t>trustee, Elavon Financial Services DAC, U.K. Branch, as paying agent and Elavon Financial Services DAC, as transfer</w:t>
        </w:r>
      </w:hyperlink>
      <w:r>
        <w:rPr>
          <w:rFonts w:ascii="Arial" w:cs="Arial" w:eastAsia="Arial" w:hAnsi="Arial"/>
          <w:sz w:val="18"/>
          <w:szCs w:val="18"/>
          <w:color w:val="auto"/>
        </w:rPr>
        <w:t xml:space="preserve"> </w:t>
      </w:r>
      <w:hyperlink r:id="rId310">
        <w:r>
          <w:rPr>
            <w:rFonts w:ascii="Arial" w:cs="Arial" w:eastAsia="Arial" w:hAnsi="Arial"/>
            <w:sz w:val="18"/>
            <w:szCs w:val="18"/>
            <w:color w:val="auto"/>
          </w:rPr>
          <w:t>agent and registrar, including forms of notes (incorporated by reference to Exhibit 4.1 of the company's Current Report on</w:t>
        </w:r>
      </w:hyperlink>
      <w:r>
        <w:rPr>
          <w:rFonts w:ascii="Arial" w:cs="Arial" w:eastAsia="Arial" w:hAnsi="Arial"/>
          <w:sz w:val="18"/>
          <w:szCs w:val="18"/>
          <w:color w:val="auto"/>
        </w:rPr>
        <w:t xml:space="preserve"> </w:t>
      </w:r>
      <w:hyperlink r:id="rId310">
        <w:r>
          <w:rPr>
            <w:rFonts w:ascii="Arial" w:cs="Arial" w:eastAsia="Arial" w:hAnsi="Arial"/>
            <w:sz w:val="18"/>
            <w:szCs w:val="18"/>
            <w:color w:val="auto"/>
          </w:rPr>
          <w:t>Form 8-K filed on November 17, 2016).</w:t>
        </w:r>
      </w:hyperlink>
    </w:p>
    <w:p>
      <w:pPr>
        <w:spacing w:after="0" w:line="14" w:lineRule="exact"/>
        <w:rPr>
          <w:rFonts w:ascii="Arial" w:cs="Arial" w:eastAsia="Arial" w:hAnsi="Arial"/>
          <w:sz w:val="18"/>
          <w:szCs w:val="18"/>
          <w:color w:val="auto"/>
        </w:rPr>
      </w:pPr>
    </w:p>
    <w:p>
      <w:pPr>
        <w:ind w:left="1320" w:right="240" w:hanging="393"/>
        <w:spacing w:after="0" w:line="219" w:lineRule="auto"/>
        <w:tabs>
          <w:tab w:leader="none" w:pos="1300" w:val="left"/>
        </w:tabs>
        <w:rPr>
          <w:rFonts w:ascii="Arial" w:cs="Arial" w:eastAsia="Arial" w:hAnsi="Arial"/>
          <w:sz w:val="18"/>
          <w:szCs w:val="18"/>
          <w:color w:val="auto"/>
        </w:rPr>
      </w:pPr>
      <w:hyperlink r:id="rId311">
        <w:r>
          <w:rPr>
            <w:rFonts w:ascii="Arial" w:cs="Arial" w:eastAsia="Arial" w:hAnsi="Arial"/>
            <w:sz w:val="18"/>
            <w:szCs w:val="18"/>
            <w:color w:val="auto"/>
          </w:rPr>
          <w:t>4.7</w:t>
        </w:r>
      </w:hyperlink>
      <w:r>
        <w:rPr>
          <w:rFonts w:ascii="Arial" w:cs="Arial" w:eastAsia="Arial" w:hAnsi="Arial"/>
          <w:sz w:val="18"/>
          <w:szCs w:val="18"/>
          <w:color w:val="auto"/>
        </w:rPr>
        <w:tab/>
      </w:r>
      <w:hyperlink r:id="rId311">
        <w:r>
          <w:rPr>
            <w:rFonts w:ascii="Arial" w:cs="Arial" w:eastAsia="Arial" w:hAnsi="Arial"/>
            <w:sz w:val="18"/>
            <w:szCs w:val="18"/>
            <w:color w:val="auto"/>
          </w:rPr>
          <w:t>*Supplemental Indenture No. 5, dated September 18, 2018, between AbbVie Inc. and U.S. Bank National Association, as</w:t>
        </w:r>
      </w:hyperlink>
      <w:r>
        <w:rPr>
          <w:rFonts w:ascii="Arial" w:cs="Arial" w:eastAsia="Arial" w:hAnsi="Arial"/>
          <w:sz w:val="18"/>
          <w:szCs w:val="18"/>
          <w:color w:val="auto"/>
        </w:rPr>
        <w:t xml:space="preserve"> </w:t>
      </w:r>
      <w:hyperlink r:id="rId311">
        <w:r>
          <w:rPr>
            <w:rFonts w:ascii="Arial" w:cs="Arial" w:eastAsia="Arial" w:hAnsi="Arial"/>
            <w:sz w:val="18"/>
            <w:szCs w:val="18"/>
            <w:color w:val="auto"/>
          </w:rPr>
          <w:t>trustee, including forms of notes (incorporated by reference to Exhibit 4.2 of the company’s Current Report on Form 8-K</w:t>
        </w:r>
      </w:hyperlink>
      <w:r>
        <w:rPr>
          <w:rFonts w:ascii="Arial" w:cs="Arial" w:eastAsia="Arial" w:hAnsi="Arial"/>
          <w:sz w:val="18"/>
          <w:szCs w:val="18"/>
          <w:color w:val="auto"/>
        </w:rPr>
        <w:t xml:space="preserve"> </w:t>
      </w:r>
      <w:hyperlink r:id="rId311">
        <w:r>
          <w:rPr>
            <w:rFonts w:ascii="Arial" w:cs="Arial" w:eastAsia="Arial" w:hAnsi="Arial"/>
            <w:sz w:val="18"/>
            <w:szCs w:val="18"/>
            <w:color w:val="auto"/>
          </w:rPr>
          <w:t>filed on September 18, 2018).</w:t>
        </w:r>
      </w:hyperlink>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b w:val="1"/>
          <w:bCs w:val="1"/>
          <w:i w:val="1"/>
          <w:iCs w:val="1"/>
          <w:color w:val="auto"/>
        </w:rPr>
        <w:t xml:space="preserve">105  </w:t>
      </w:r>
      <w:r>
        <w:rPr>
          <w:sz w:val="1"/>
          <w:szCs w:val="1"/>
          <w:color w:val="auto"/>
        </w:rPr>
        <w:drawing>
          <wp:inline distT="0" distB="0" distL="0" distR="0">
            <wp:extent cx="600075" cy="11176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2">
                      <a:extLst>
                        <a:ext uri="{28A0092B-C50C-407E-A947-70E740481C1C}"/>
                      </a:extLst>
                    </a:blip>
                    <a:srcRect/>
                    <a:stretch>
                      <a:fillRect/>
                    </a:stretch>
                  </pic:blipFill>
                  <pic:spPr bwMode="auto">
                    <a:xfrm>
                      <a:off x="0" y="0"/>
                      <a:ext cx="600075" cy="11176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79" w:right="39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61"/>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660" w:type="dxa"/>
            <w:vAlign w:val="bottom"/>
            <w:vMerge w:val="restart"/>
          </w:tcPr>
          <w:p>
            <w:pPr>
              <w:ind w:left="23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29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jc w:val="center"/>
        <w:ind w:left="820"/>
        <w:spacing w:after="0" w:line="215" w:lineRule="auto"/>
        <w:tabs>
          <w:tab w:leader="none" w:pos="120" w:val="left"/>
        </w:tabs>
        <w:rPr>
          <w:rFonts w:ascii="Arial" w:cs="Arial" w:eastAsia="Arial" w:hAnsi="Arial"/>
          <w:sz w:val="17"/>
          <w:szCs w:val="17"/>
          <w:color w:val="auto"/>
        </w:rPr>
      </w:pPr>
      <w:hyperlink r:id="rId314">
        <w:r>
          <w:rPr>
            <w:rFonts w:ascii="Arial" w:cs="Arial" w:eastAsia="Arial" w:hAnsi="Arial"/>
            <w:sz w:val="18"/>
            <w:szCs w:val="18"/>
            <w:color w:val="auto"/>
          </w:rPr>
          <w:t>4.8</w:t>
        </w:r>
      </w:hyperlink>
      <w:r>
        <w:rPr>
          <w:rFonts w:ascii="Arial" w:cs="Arial" w:eastAsia="Arial" w:hAnsi="Arial"/>
          <w:sz w:val="18"/>
          <w:szCs w:val="18"/>
          <w:color w:val="auto"/>
        </w:rPr>
        <w:tab/>
      </w:r>
      <w:hyperlink r:id="rId314">
        <w:r>
          <w:rPr>
            <w:rFonts w:ascii="Arial" w:cs="Arial" w:eastAsia="Arial" w:hAnsi="Arial"/>
            <w:sz w:val="17"/>
            <w:szCs w:val="17"/>
            <w:color w:val="auto"/>
          </w:rPr>
          <w:t>*Supplemental Indenture No. 6, dated September 26, 2019, among AbbVie Inc., U.S. Bank National Association, as trustee,</w:t>
        </w:r>
      </w:hyperlink>
    </w:p>
    <w:p>
      <w:pPr>
        <w:ind w:left="980" w:right="460"/>
        <w:spacing w:after="0" w:line="241" w:lineRule="auto"/>
        <w:rPr>
          <w:rFonts w:ascii="Arial" w:cs="Arial" w:eastAsia="Arial" w:hAnsi="Arial"/>
          <w:sz w:val="17"/>
          <w:szCs w:val="17"/>
          <w:color w:val="auto"/>
        </w:rPr>
      </w:pPr>
      <w:hyperlink r:id="rId314">
        <w:r>
          <w:rPr>
            <w:rFonts w:ascii="Arial" w:cs="Arial" w:eastAsia="Arial" w:hAnsi="Arial"/>
            <w:sz w:val="17"/>
            <w:szCs w:val="17"/>
            <w:color w:val="auto"/>
          </w:rPr>
          <w:t>transfer agent and registrar, and Elavon Financial Services DAC, UK Branch, as paying agent, including forms of notes</w:t>
        </w:r>
      </w:hyperlink>
      <w:r>
        <w:rPr>
          <w:rFonts w:ascii="Arial" w:cs="Arial" w:eastAsia="Arial" w:hAnsi="Arial"/>
          <w:sz w:val="17"/>
          <w:szCs w:val="17"/>
          <w:color w:val="auto"/>
        </w:rPr>
        <w:t xml:space="preserve"> </w:t>
      </w:r>
      <w:hyperlink r:id="rId314">
        <w:r>
          <w:rPr>
            <w:rFonts w:ascii="Arial" w:cs="Arial" w:eastAsia="Arial" w:hAnsi="Arial"/>
            <w:sz w:val="17"/>
            <w:szCs w:val="17"/>
            <w:color w:val="auto"/>
          </w:rPr>
          <w:t>(incorporated by reference to Exhibit 4.2 of the company’s Current Report on Form 8-K filed on September 26, 2019).</w:t>
        </w:r>
      </w:hyperlink>
    </w:p>
    <w:p>
      <w:pPr>
        <w:spacing w:after="0" w:line="12" w:lineRule="exact"/>
        <w:rPr>
          <w:sz w:val="20"/>
          <w:szCs w:val="20"/>
          <w:color w:val="auto"/>
        </w:rPr>
      </w:pPr>
    </w:p>
    <w:p>
      <w:pPr>
        <w:ind w:left="980" w:right="200" w:hanging="393"/>
        <w:spacing w:after="0" w:line="219" w:lineRule="auto"/>
        <w:tabs>
          <w:tab w:leader="none" w:pos="960" w:val="left"/>
        </w:tabs>
        <w:rPr>
          <w:rFonts w:ascii="Arial" w:cs="Arial" w:eastAsia="Arial" w:hAnsi="Arial"/>
          <w:sz w:val="18"/>
          <w:szCs w:val="18"/>
          <w:color w:val="auto"/>
        </w:rPr>
      </w:pPr>
      <w:hyperlink r:id="rId315">
        <w:r>
          <w:rPr>
            <w:rFonts w:ascii="Arial" w:cs="Arial" w:eastAsia="Arial" w:hAnsi="Arial"/>
            <w:sz w:val="18"/>
            <w:szCs w:val="18"/>
            <w:color w:val="auto"/>
          </w:rPr>
          <w:t>4.9</w:t>
        </w:r>
      </w:hyperlink>
      <w:r>
        <w:rPr>
          <w:rFonts w:ascii="Arial" w:cs="Arial" w:eastAsia="Arial" w:hAnsi="Arial"/>
          <w:sz w:val="18"/>
          <w:szCs w:val="18"/>
          <w:color w:val="auto"/>
        </w:rPr>
        <w:tab/>
      </w:r>
      <w:hyperlink r:id="rId315">
        <w:r>
          <w:rPr>
            <w:rFonts w:ascii="Arial" w:cs="Arial" w:eastAsia="Arial" w:hAnsi="Arial"/>
            <w:sz w:val="18"/>
            <w:szCs w:val="18"/>
            <w:color w:val="auto"/>
          </w:rPr>
          <w:t>*Supplemental Indenture No. 7, dated November 21, 2019, by and between AbbVie Inc. and U.S. Bank National</w:t>
        </w:r>
      </w:hyperlink>
      <w:r>
        <w:rPr>
          <w:rFonts w:ascii="Arial" w:cs="Arial" w:eastAsia="Arial" w:hAnsi="Arial"/>
          <w:sz w:val="18"/>
          <w:szCs w:val="18"/>
          <w:color w:val="auto"/>
        </w:rPr>
        <w:t xml:space="preserve"> </w:t>
      </w:r>
      <w:hyperlink r:id="rId315">
        <w:r>
          <w:rPr>
            <w:rFonts w:ascii="Arial" w:cs="Arial" w:eastAsia="Arial" w:hAnsi="Arial"/>
            <w:sz w:val="18"/>
            <w:szCs w:val="18"/>
            <w:color w:val="auto"/>
          </w:rPr>
          <w:t>Association, as trustee, including forms of notes (incorporated by reference to Exhibit 4.2 of the company’s Current Report</w:t>
        </w:r>
      </w:hyperlink>
      <w:r>
        <w:rPr>
          <w:rFonts w:ascii="Arial" w:cs="Arial" w:eastAsia="Arial" w:hAnsi="Arial"/>
          <w:sz w:val="18"/>
          <w:szCs w:val="18"/>
          <w:color w:val="auto"/>
        </w:rPr>
        <w:t xml:space="preserve"> </w:t>
      </w:r>
      <w:hyperlink r:id="rId315">
        <w:r>
          <w:rPr>
            <w:rFonts w:ascii="Arial" w:cs="Arial" w:eastAsia="Arial" w:hAnsi="Arial"/>
            <w:sz w:val="18"/>
            <w:szCs w:val="18"/>
            <w:color w:val="auto"/>
          </w:rPr>
          <w:t>on Form 8-K filed on November 26, 2019).</w:t>
        </w:r>
      </w:hyperlink>
    </w:p>
    <w:p>
      <w:pPr>
        <w:spacing w:after="0" w:line="14" w:lineRule="exact"/>
        <w:rPr>
          <w:rFonts w:ascii="Arial" w:cs="Arial" w:eastAsia="Arial" w:hAnsi="Arial"/>
          <w:sz w:val="18"/>
          <w:szCs w:val="18"/>
          <w:color w:val="auto"/>
        </w:rPr>
      </w:pPr>
    </w:p>
    <w:p>
      <w:pPr>
        <w:ind w:left="980" w:right="220" w:hanging="493"/>
        <w:spacing w:after="0" w:line="227" w:lineRule="auto"/>
        <w:tabs>
          <w:tab w:leader="none" w:pos="960" w:val="left"/>
        </w:tabs>
        <w:rPr>
          <w:rFonts w:ascii="Arial" w:cs="Arial" w:eastAsia="Arial" w:hAnsi="Arial"/>
          <w:sz w:val="18"/>
          <w:szCs w:val="18"/>
          <w:color w:val="auto"/>
        </w:rPr>
      </w:pPr>
      <w:hyperlink r:id="rId316">
        <w:r>
          <w:rPr>
            <w:rFonts w:ascii="Arial" w:cs="Arial" w:eastAsia="Arial" w:hAnsi="Arial"/>
            <w:sz w:val="18"/>
            <w:szCs w:val="18"/>
            <w:color w:val="auto"/>
          </w:rPr>
          <w:t>4.10</w:t>
        </w:r>
      </w:hyperlink>
      <w:r>
        <w:rPr>
          <w:rFonts w:ascii="Arial" w:cs="Arial" w:eastAsia="Arial" w:hAnsi="Arial"/>
          <w:sz w:val="18"/>
          <w:szCs w:val="18"/>
          <w:color w:val="auto"/>
        </w:rPr>
        <w:tab/>
      </w:r>
      <w:hyperlink r:id="rId316">
        <w:r>
          <w:rPr>
            <w:rFonts w:ascii="Arial" w:cs="Arial" w:eastAsia="Arial" w:hAnsi="Arial"/>
            <w:sz w:val="18"/>
            <w:szCs w:val="18"/>
            <w:color w:val="auto"/>
          </w:rPr>
          <w:t>*Supplemental Indenture No. 8, dated May 14, 2020, by and between AbbVie Inc. and U.S. Bank National Association, as</w:t>
        </w:r>
      </w:hyperlink>
      <w:r>
        <w:rPr>
          <w:rFonts w:ascii="Arial" w:cs="Arial" w:eastAsia="Arial" w:hAnsi="Arial"/>
          <w:sz w:val="18"/>
          <w:szCs w:val="18"/>
          <w:color w:val="auto"/>
        </w:rPr>
        <w:t xml:space="preserve"> </w:t>
      </w:r>
      <w:hyperlink r:id="rId316">
        <w:r>
          <w:rPr>
            <w:rFonts w:ascii="Arial" w:cs="Arial" w:eastAsia="Arial" w:hAnsi="Arial"/>
            <w:sz w:val="18"/>
            <w:szCs w:val="18"/>
            <w:color w:val="auto"/>
          </w:rPr>
          <w:t>trustee (incorporated by reference to Exhibit 4.2 of the company's Current Report on Form 8-K filed on May 14, 2020).</w:t>
        </w:r>
      </w:hyperlink>
    </w:p>
    <w:p>
      <w:pPr>
        <w:spacing w:after="0" w:line="13" w:lineRule="exact"/>
        <w:rPr>
          <w:rFonts w:ascii="Arial" w:cs="Arial" w:eastAsia="Arial" w:hAnsi="Arial"/>
          <w:sz w:val="18"/>
          <w:szCs w:val="18"/>
          <w:color w:val="auto"/>
        </w:rPr>
      </w:pPr>
    </w:p>
    <w:p>
      <w:pPr>
        <w:jc w:val="both"/>
        <w:ind w:left="980" w:right="200" w:hanging="493"/>
        <w:spacing w:after="0" w:line="219" w:lineRule="auto"/>
        <w:tabs>
          <w:tab w:leader="none" w:pos="960" w:val="left"/>
        </w:tabs>
        <w:rPr>
          <w:rFonts w:ascii="Arial" w:cs="Arial" w:eastAsia="Arial" w:hAnsi="Arial"/>
          <w:sz w:val="18"/>
          <w:szCs w:val="18"/>
          <w:color w:val="auto"/>
        </w:rPr>
      </w:pPr>
      <w:hyperlink r:id="rId317">
        <w:r>
          <w:rPr>
            <w:rFonts w:ascii="Arial" w:cs="Arial" w:eastAsia="Arial" w:hAnsi="Arial"/>
            <w:sz w:val="18"/>
            <w:szCs w:val="18"/>
            <w:color w:val="auto"/>
          </w:rPr>
          <w:t>4.11</w:t>
        </w:r>
      </w:hyperlink>
      <w:r>
        <w:rPr>
          <w:rFonts w:ascii="Arial" w:cs="Arial" w:eastAsia="Arial" w:hAnsi="Arial"/>
          <w:sz w:val="18"/>
          <w:szCs w:val="18"/>
          <w:color w:val="auto"/>
        </w:rPr>
        <w:tab/>
      </w:r>
      <w:hyperlink r:id="rId317">
        <w:r>
          <w:rPr>
            <w:rFonts w:ascii="Arial" w:cs="Arial" w:eastAsia="Arial" w:hAnsi="Arial"/>
            <w:sz w:val="18"/>
            <w:szCs w:val="18"/>
            <w:color w:val="auto"/>
          </w:rPr>
          <w:t>*Supplemental Indenture No. 9, dated May 14, 2020, among AbbVie Inc., U.S. Bank and National Association, as trustee,</w:t>
        </w:r>
      </w:hyperlink>
      <w:r>
        <w:rPr>
          <w:rFonts w:ascii="Arial" w:cs="Arial" w:eastAsia="Arial" w:hAnsi="Arial"/>
          <w:sz w:val="18"/>
          <w:szCs w:val="18"/>
          <w:color w:val="auto"/>
        </w:rPr>
        <w:t xml:space="preserve"> </w:t>
      </w:r>
      <w:hyperlink r:id="rId317">
        <w:r>
          <w:rPr>
            <w:rFonts w:ascii="Arial" w:cs="Arial" w:eastAsia="Arial" w:hAnsi="Arial"/>
            <w:sz w:val="18"/>
            <w:szCs w:val="18"/>
            <w:color w:val="auto"/>
          </w:rPr>
          <w:t>transfer agent and registrar, and Elavon Financial Services DAC, U.K. Branch, as paying agent (incorporated by reference</w:t>
        </w:r>
      </w:hyperlink>
      <w:r>
        <w:rPr>
          <w:rFonts w:ascii="Arial" w:cs="Arial" w:eastAsia="Arial" w:hAnsi="Arial"/>
          <w:sz w:val="18"/>
          <w:szCs w:val="18"/>
          <w:color w:val="auto"/>
        </w:rPr>
        <w:t xml:space="preserve"> </w:t>
      </w:r>
      <w:hyperlink r:id="rId317">
        <w:r>
          <w:rPr>
            <w:rFonts w:ascii="Arial" w:cs="Arial" w:eastAsia="Arial" w:hAnsi="Arial"/>
            <w:sz w:val="18"/>
            <w:szCs w:val="18"/>
            <w:color w:val="auto"/>
          </w:rPr>
          <w:t>to Exhibit 4.15 of the company's Current Report on Form 8-K filed on May 14, 2020).</w:t>
        </w:r>
      </w:hyperlink>
    </w:p>
    <w:p>
      <w:pPr>
        <w:spacing w:after="0" w:line="14" w:lineRule="exact"/>
        <w:rPr>
          <w:rFonts w:ascii="Arial" w:cs="Arial" w:eastAsia="Arial" w:hAnsi="Arial"/>
          <w:sz w:val="18"/>
          <w:szCs w:val="18"/>
          <w:color w:val="auto"/>
        </w:rPr>
      </w:pPr>
    </w:p>
    <w:p>
      <w:pPr>
        <w:ind w:left="980" w:right="280" w:hanging="493"/>
        <w:spacing w:after="0" w:line="215" w:lineRule="auto"/>
        <w:tabs>
          <w:tab w:leader="none" w:pos="960" w:val="left"/>
        </w:tabs>
        <w:rPr>
          <w:rFonts w:ascii="Arial" w:cs="Arial" w:eastAsia="Arial" w:hAnsi="Arial"/>
          <w:sz w:val="18"/>
          <w:szCs w:val="18"/>
          <w:color w:val="auto"/>
        </w:rPr>
      </w:pPr>
      <w:hyperlink r:id="rId318">
        <w:r>
          <w:rPr>
            <w:rFonts w:ascii="Arial" w:cs="Arial" w:eastAsia="Arial" w:hAnsi="Arial"/>
            <w:sz w:val="18"/>
            <w:szCs w:val="18"/>
            <w:color w:val="auto"/>
          </w:rPr>
          <w:t>4.12</w:t>
        </w:r>
      </w:hyperlink>
      <w:r>
        <w:rPr>
          <w:rFonts w:ascii="Arial" w:cs="Arial" w:eastAsia="Arial" w:hAnsi="Arial"/>
          <w:sz w:val="18"/>
          <w:szCs w:val="18"/>
          <w:color w:val="auto"/>
        </w:rPr>
        <w:tab/>
      </w:r>
      <w:hyperlink r:id="rId318">
        <w:r>
          <w:rPr>
            <w:rFonts w:ascii="Arial" w:cs="Arial" w:eastAsia="Arial" w:hAnsi="Arial"/>
            <w:sz w:val="18"/>
            <w:szCs w:val="18"/>
            <w:color w:val="auto"/>
          </w:rPr>
          <w:t>*Agency Agreement, dated as of November 17, 2016, among AbbVie Inc., U.S. Bank National Association, as trustee,</w:t>
        </w:r>
      </w:hyperlink>
      <w:r>
        <w:rPr>
          <w:rFonts w:ascii="Arial" w:cs="Arial" w:eastAsia="Arial" w:hAnsi="Arial"/>
          <w:sz w:val="18"/>
          <w:szCs w:val="18"/>
          <w:color w:val="auto"/>
        </w:rPr>
        <w:t xml:space="preserve"> </w:t>
      </w:r>
      <w:hyperlink r:id="rId318">
        <w:r>
          <w:rPr>
            <w:rFonts w:ascii="Arial" w:cs="Arial" w:eastAsia="Arial" w:hAnsi="Arial"/>
            <w:sz w:val="18"/>
            <w:szCs w:val="18"/>
            <w:color w:val="auto"/>
          </w:rPr>
          <w:t>Elavon Financial Services DAC, U.K. Branch, as paying agent and Elavon Financial Services DAC, as transfer agent and</w:t>
        </w:r>
      </w:hyperlink>
      <w:r>
        <w:rPr>
          <w:rFonts w:ascii="Arial" w:cs="Arial" w:eastAsia="Arial" w:hAnsi="Arial"/>
          <w:sz w:val="18"/>
          <w:szCs w:val="18"/>
          <w:color w:val="auto"/>
        </w:rPr>
        <w:t xml:space="preserve"> </w:t>
      </w:r>
      <w:hyperlink r:id="rId318">
        <w:r>
          <w:rPr>
            <w:rFonts w:ascii="Arial" w:cs="Arial" w:eastAsia="Arial" w:hAnsi="Arial"/>
            <w:sz w:val="18"/>
            <w:szCs w:val="18"/>
            <w:color w:val="auto"/>
          </w:rPr>
          <w:t>registrar (incorporated by reference to Exhibit 4.2 of the company's Current Report on Form 8-K filed on November 17,</w:t>
        </w:r>
      </w:hyperlink>
      <w:r>
        <w:rPr>
          <w:rFonts w:ascii="Arial" w:cs="Arial" w:eastAsia="Arial" w:hAnsi="Arial"/>
          <w:sz w:val="18"/>
          <w:szCs w:val="18"/>
          <w:color w:val="auto"/>
        </w:rPr>
        <w:t xml:space="preserve"> </w:t>
      </w:r>
      <w:hyperlink r:id="rId318">
        <w:r>
          <w:rPr>
            <w:rFonts w:ascii="Arial" w:cs="Arial" w:eastAsia="Arial" w:hAnsi="Arial"/>
            <w:sz w:val="18"/>
            <w:szCs w:val="18"/>
            <w:color w:val="auto"/>
          </w:rPr>
          <w:t>2016).</w:t>
        </w:r>
      </w:hyperlink>
    </w:p>
    <w:p>
      <w:pPr>
        <w:spacing w:after="0" w:line="14" w:lineRule="exact"/>
        <w:rPr>
          <w:rFonts w:ascii="Arial" w:cs="Arial" w:eastAsia="Arial" w:hAnsi="Arial"/>
          <w:sz w:val="18"/>
          <w:szCs w:val="18"/>
          <w:color w:val="auto"/>
        </w:rPr>
      </w:pPr>
    </w:p>
    <w:p>
      <w:pPr>
        <w:ind w:left="980" w:right="60" w:hanging="493"/>
        <w:spacing w:after="0" w:line="219" w:lineRule="auto"/>
        <w:tabs>
          <w:tab w:leader="none" w:pos="960" w:val="left"/>
        </w:tabs>
        <w:rPr>
          <w:rFonts w:ascii="Arial" w:cs="Arial" w:eastAsia="Arial" w:hAnsi="Arial"/>
          <w:sz w:val="18"/>
          <w:szCs w:val="18"/>
          <w:color w:val="auto"/>
        </w:rPr>
      </w:pPr>
      <w:hyperlink r:id="rId319">
        <w:r>
          <w:rPr>
            <w:rFonts w:ascii="Arial" w:cs="Arial" w:eastAsia="Arial" w:hAnsi="Arial"/>
            <w:sz w:val="18"/>
            <w:szCs w:val="18"/>
            <w:color w:val="auto"/>
          </w:rPr>
          <w:t>4.13</w:t>
        </w:r>
      </w:hyperlink>
      <w:r>
        <w:rPr>
          <w:rFonts w:ascii="Arial" w:cs="Arial" w:eastAsia="Arial" w:hAnsi="Arial"/>
          <w:sz w:val="18"/>
          <w:szCs w:val="18"/>
          <w:color w:val="auto"/>
        </w:rPr>
        <w:tab/>
      </w:r>
      <w:hyperlink r:id="rId319">
        <w:r>
          <w:rPr>
            <w:rFonts w:ascii="Arial" w:cs="Arial" w:eastAsia="Arial" w:hAnsi="Arial"/>
            <w:sz w:val="18"/>
            <w:szCs w:val="18"/>
            <w:color w:val="auto"/>
          </w:rPr>
          <w:t>*Agency Agreement, dated September 26, 2019, among AbbVie Inc., U.S. Bank National Association, as trustee, transfer</w:t>
        </w:r>
      </w:hyperlink>
      <w:r>
        <w:rPr>
          <w:rFonts w:ascii="Arial" w:cs="Arial" w:eastAsia="Arial" w:hAnsi="Arial"/>
          <w:sz w:val="18"/>
          <w:szCs w:val="18"/>
          <w:color w:val="auto"/>
        </w:rPr>
        <w:t xml:space="preserve"> </w:t>
      </w:r>
      <w:hyperlink r:id="rId319">
        <w:r>
          <w:rPr>
            <w:rFonts w:ascii="Arial" w:cs="Arial" w:eastAsia="Arial" w:hAnsi="Arial"/>
            <w:sz w:val="18"/>
            <w:szCs w:val="18"/>
            <w:color w:val="auto"/>
          </w:rPr>
          <w:t>agent and registrar, and Elavon Financial Services DAC, U.K. Branch, as paying agent (incorporated by reference to Exhibit</w:t>
        </w:r>
      </w:hyperlink>
      <w:r>
        <w:rPr>
          <w:rFonts w:ascii="Arial" w:cs="Arial" w:eastAsia="Arial" w:hAnsi="Arial"/>
          <w:sz w:val="18"/>
          <w:szCs w:val="18"/>
          <w:color w:val="auto"/>
        </w:rPr>
        <w:t xml:space="preserve"> </w:t>
      </w:r>
      <w:hyperlink r:id="rId319">
        <w:r>
          <w:rPr>
            <w:rFonts w:ascii="Arial" w:cs="Arial" w:eastAsia="Arial" w:hAnsi="Arial"/>
            <w:sz w:val="18"/>
            <w:szCs w:val="18"/>
            <w:color w:val="auto"/>
          </w:rPr>
          <w:t>4.3 of the company’s Current Report on Form 8-K filed on September 26, 2019).</w:t>
        </w:r>
      </w:hyperlink>
    </w:p>
    <w:p>
      <w:pPr>
        <w:spacing w:after="0" w:line="14" w:lineRule="exact"/>
        <w:rPr>
          <w:rFonts w:ascii="Arial" w:cs="Arial" w:eastAsia="Arial" w:hAnsi="Arial"/>
          <w:sz w:val="18"/>
          <w:szCs w:val="18"/>
          <w:color w:val="auto"/>
        </w:rPr>
      </w:pPr>
    </w:p>
    <w:p>
      <w:pPr>
        <w:ind w:left="980" w:right="400" w:hanging="493"/>
        <w:spacing w:after="0" w:line="219" w:lineRule="auto"/>
        <w:tabs>
          <w:tab w:leader="none" w:pos="960" w:val="left"/>
        </w:tabs>
        <w:rPr>
          <w:rFonts w:ascii="Arial" w:cs="Arial" w:eastAsia="Arial" w:hAnsi="Arial"/>
          <w:sz w:val="18"/>
          <w:szCs w:val="18"/>
          <w:color w:val="auto"/>
        </w:rPr>
      </w:pPr>
      <w:hyperlink r:id="rId320">
        <w:r>
          <w:rPr>
            <w:rFonts w:ascii="Arial" w:cs="Arial" w:eastAsia="Arial" w:hAnsi="Arial"/>
            <w:sz w:val="18"/>
            <w:szCs w:val="18"/>
            <w:color w:val="auto"/>
          </w:rPr>
          <w:t>4.14</w:t>
        </w:r>
      </w:hyperlink>
      <w:r>
        <w:rPr>
          <w:rFonts w:ascii="Arial" w:cs="Arial" w:eastAsia="Arial" w:hAnsi="Arial"/>
          <w:sz w:val="18"/>
          <w:szCs w:val="18"/>
          <w:color w:val="auto"/>
        </w:rPr>
        <w:tab/>
      </w:r>
      <w:hyperlink r:id="rId320">
        <w:r>
          <w:rPr>
            <w:rFonts w:ascii="Arial" w:cs="Arial" w:eastAsia="Arial" w:hAnsi="Arial"/>
            <w:sz w:val="18"/>
            <w:szCs w:val="18"/>
            <w:color w:val="auto"/>
          </w:rPr>
          <w:t>*Registration Rights Agreement, dated November 21, 2019, among AbbVie Inc. and Morgan Stanley &amp; Co. LLC, BofA</w:t>
        </w:r>
      </w:hyperlink>
      <w:r>
        <w:rPr>
          <w:rFonts w:ascii="Arial" w:cs="Arial" w:eastAsia="Arial" w:hAnsi="Arial"/>
          <w:sz w:val="18"/>
          <w:szCs w:val="18"/>
          <w:color w:val="auto"/>
        </w:rPr>
        <w:t xml:space="preserve"> </w:t>
      </w:r>
      <w:hyperlink r:id="rId320">
        <w:r>
          <w:rPr>
            <w:rFonts w:ascii="Arial" w:cs="Arial" w:eastAsia="Arial" w:hAnsi="Arial"/>
            <w:sz w:val="18"/>
            <w:szCs w:val="18"/>
            <w:color w:val="auto"/>
          </w:rPr>
          <w:t>Securities, Inc. and Barclays Capital Inc. (acting for themselves and as representatives of the several initial purchasers)</w:t>
        </w:r>
      </w:hyperlink>
      <w:r>
        <w:rPr>
          <w:rFonts w:ascii="Arial" w:cs="Arial" w:eastAsia="Arial" w:hAnsi="Arial"/>
          <w:sz w:val="18"/>
          <w:szCs w:val="18"/>
          <w:color w:val="auto"/>
        </w:rPr>
        <w:t xml:space="preserve"> </w:t>
      </w:r>
      <w:hyperlink r:id="rId320">
        <w:r>
          <w:rPr>
            <w:rFonts w:ascii="Arial" w:cs="Arial" w:eastAsia="Arial" w:hAnsi="Arial"/>
            <w:sz w:val="18"/>
            <w:szCs w:val="18"/>
            <w:color w:val="auto"/>
          </w:rPr>
          <w:t>(incorporated by reference to Exhibit 4.13 of the company’s Current Report on Form 8-K filed on November 26, 2019).</w:t>
        </w:r>
      </w:hyperlink>
    </w:p>
    <w:p>
      <w:pPr>
        <w:spacing w:after="0" w:line="14" w:lineRule="exact"/>
        <w:rPr>
          <w:rFonts w:ascii="Arial" w:cs="Arial" w:eastAsia="Arial" w:hAnsi="Arial"/>
          <w:sz w:val="18"/>
          <w:szCs w:val="18"/>
          <w:color w:val="auto"/>
        </w:rPr>
      </w:pPr>
    </w:p>
    <w:p>
      <w:pPr>
        <w:ind w:left="980" w:right="300" w:hanging="493"/>
        <w:spacing w:after="0" w:line="219" w:lineRule="auto"/>
        <w:tabs>
          <w:tab w:leader="none" w:pos="960" w:val="left"/>
        </w:tabs>
        <w:rPr>
          <w:rFonts w:ascii="Arial" w:cs="Arial" w:eastAsia="Arial" w:hAnsi="Arial"/>
          <w:sz w:val="18"/>
          <w:szCs w:val="18"/>
          <w:color w:val="auto"/>
        </w:rPr>
      </w:pPr>
      <w:hyperlink r:id="rId321">
        <w:r>
          <w:rPr>
            <w:rFonts w:ascii="Arial" w:cs="Arial" w:eastAsia="Arial" w:hAnsi="Arial"/>
            <w:sz w:val="18"/>
            <w:szCs w:val="18"/>
            <w:color w:val="auto"/>
          </w:rPr>
          <w:t>4.15</w:t>
        </w:r>
      </w:hyperlink>
      <w:r>
        <w:rPr>
          <w:rFonts w:ascii="Arial" w:cs="Arial" w:eastAsia="Arial" w:hAnsi="Arial"/>
          <w:sz w:val="18"/>
          <w:szCs w:val="18"/>
          <w:color w:val="auto"/>
        </w:rPr>
        <w:tab/>
      </w:r>
      <w:hyperlink r:id="rId321">
        <w:r>
          <w:rPr>
            <w:rFonts w:ascii="Arial" w:cs="Arial" w:eastAsia="Arial" w:hAnsi="Arial"/>
            <w:sz w:val="18"/>
            <w:szCs w:val="18"/>
            <w:color w:val="auto"/>
          </w:rPr>
          <w:t>*Agency Agreement, dated May 14, 2020, among AbbVie Inc., U.S. Bank National Association, as trustee, transfer agent</w:t>
        </w:r>
      </w:hyperlink>
      <w:r>
        <w:rPr>
          <w:rFonts w:ascii="Arial" w:cs="Arial" w:eastAsia="Arial" w:hAnsi="Arial"/>
          <w:sz w:val="18"/>
          <w:szCs w:val="18"/>
          <w:color w:val="auto"/>
        </w:rPr>
        <w:t xml:space="preserve"> </w:t>
      </w:r>
      <w:hyperlink r:id="rId321">
        <w:r>
          <w:rPr>
            <w:rFonts w:ascii="Arial" w:cs="Arial" w:eastAsia="Arial" w:hAnsi="Arial"/>
            <w:sz w:val="18"/>
            <w:szCs w:val="18"/>
            <w:color w:val="auto"/>
          </w:rPr>
          <w:t>and registrar, and Elavon Financial Services DAC, U.K. Branch, as paying agent and calculation agent (incorporated by</w:t>
        </w:r>
      </w:hyperlink>
      <w:r>
        <w:rPr>
          <w:rFonts w:ascii="Arial" w:cs="Arial" w:eastAsia="Arial" w:hAnsi="Arial"/>
          <w:sz w:val="18"/>
          <w:szCs w:val="18"/>
          <w:color w:val="auto"/>
        </w:rPr>
        <w:t xml:space="preserve"> </w:t>
      </w:r>
      <w:hyperlink r:id="rId321">
        <w:r>
          <w:rPr>
            <w:rFonts w:ascii="Arial" w:cs="Arial" w:eastAsia="Arial" w:hAnsi="Arial"/>
            <w:sz w:val="18"/>
            <w:szCs w:val="18"/>
            <w:color w:val="auto"/>
          </w:rPr>
          <w:t>reference to Exhibit 4.16 of the company’s Current Report on Form 8-K filed on May 14, 2020).</w:t>
        </w:r>
      </w:hyperlink>
    </w:p>
    <w:p>
      <w:pPr>
        <w:spacing w:after="0" w:line="14" w:lineRule="exact"/>
        <w:rPr>
          <w:rFonts w:ascii="Arial" w:cs="Arial" w:eastAsia="Arial" w:hAnsi="Arial"/>
          <w:sz w:val="18"/>
          <w:szCs w:val="18"/>
          <w:color w:val="auto"/>
        </w:rPr>
      </w:pPr>
    </w:p>
    <w:p>
      <w:pPr>
        <w:ind w:left="980" w:right="80" w:hanging="493"/>
        <w:spacing w:after="0" w:line="215" w:lineRule="auto"/>
        <w:tabs>
          <w:tab w:leader="none" w:pos="960" w:val="left"/>
        </w:tabs>
        <w:rPr>
          <w:rFonts w:ascii="Arial" w:cs="Arial" w:eastAsia="Arial" w:hAnsi="Arial"/>
          <w:sz w:val="18"/>
          <w:szCs w:val="18"/>
          <w:color w:val="auto"/>
        </w:rPr>
      </w:pPr>
      <w:hyperlink r:id="rId322">
        <w:r>
          <w:rPr>
            <w:rFonts w:ascii="Arial" w:cs="Arial" w:eastAsia="Arial" w:hAnsi="Arial"/>
            <w:sz w:val="18"/>
            <w:szCs w:val="18"/>
            <w:color w:val="auto"/>
          </w:rPr>
          <w:t>4.16</w:t>
        </w:r>
      </w:hyperlink>
      <w:r>
        <w:rPr>
          <w:rFonts w:ascii="Arial" w:cs="Arial" w:eastAsia="Arial" w:hAnsi="Arial"/>
          <w:sz w:val="18"/>
          <w:szCs w:val="18"/>
          <w:color w:val="auto"/>
        </w:rPr>
        <w:tab/>
      </w:r>
      <w:hyperlink r:id="rId322">
        <w:r>
          <w:rPr>
            <w:rFonts w:ascii="Arial" w:cs="Arial" w:eastAsia="Arial" w:hAnsi="Arial"/>
            <w:sz w:val="18"/>
            <w:szCs w:val="18"/>
            <w:color w:val="auto"/>
          </w:rPr>
          <w:t>*Registration Rights Agreement, dated May 14, 2020, among AbbVie Inc. and Morgan Stanley &amp; Co. LLC, BofA Securities,</w:t>
        </w:r>
      </w:hyperlink>
      <w:r>
        <w:rPr>
          <w:rFonts w:ascii="Arial" w:cs="Arial" w:eastAsia="Arial" w:hAnsi="Arial"/>
          <w:sz w:val="18"/>
          <w:szCs w:val="18"/>
          <w:color w:val="auto"/>
        </w:rPr>
        <w:t xml:space="preserve"> </w:t>
      </w:r>
      <w:hyperlink r:id="rId322">
        <w:r>
          <w:rPr>
            <w:rFonts w:ascii="Arial" w:cs="Arial" w:eastAsia="Arial" w:hAnsi="Arial"/>
            <w:sz w:val="18"/>
            <w:szCs w:val="18"/>
            <w:color w:val="auto"/>
          </w:rPr>
          <w:t>Inc., Citigroup Global Markets Inc., BNP Paribas Securities Corp., HSBC Securities (USA) Inc., Mizuho Securities USA LLC</w:t>
        </w:r>
      </w:hyperlink>
      <w:r>
        <w:rPr>
          <w:rFonts w:ascii="Arial" w:cs="Arial" w:eastAsia="Arial" w:hAnsi="Arial"/>
          <w:sz w:val="18"/>
          <w:szCs w:val="18"/>
          <w:color w:val="auto"/>
        </w:rPr>
        <w:t xml:space="preserve"> </w:t>
      </w:r>
      <w:hyperlink r:id="rId322">
        <w:r>
          <w:rPr>
            <w:rFonts w:ascii="Arial" w:cs="Arial" w:eastAsia="Arial" w:hAnsi="Arial"/>
            <w:sz w:val="18"/>
            <w:szCs w:val="18"/>
            <w:color w:val="auto"/>
          </w:rPr>
          <w:t>and Wells Fargo Securities, LLC (incorporated by reference to Exhibit 4.23 of the company’s Current Report on Form 8-K</w:t>
        </w:r>
      </w:hyperlink>
      <w:r>
        <w:rPr>
          <w:rFonts w:ascii="Arial" w:cs="Arial" w:eastAsia="Arial" w:hAnsi="Arial"/>
          <w:sz w:val="18"/>
          <w:szCs w:val="18"/>
          <w:color w:val="auto"/>
        </w:rPr>
        <w:t xml:space="preserve"> </w:t>
      </w:r>
      <w:hyperlink r:id="rId322">
        <w:r>
          <w:rPr>
            <w:rFonts w:ascii="Arial" w:cs="Arial" w:eastAsia="Arial" w:hAnsi="Arial"/>
            <w:sz w:val="18"/>
            <w:szCs w:val="18"/>
            <w:color w:val="auto"/>
          </w:rPr>
          <w:t>filed on May 14, 2020).</w:t>
        </w:r>
      </w:hyperlink>
    </w:p>
    <w:p>
      <w:pPr>
        <w:spacing w:after="0" w:line="14" w:lineRule="exact"/>
        <w:rPr>
          <w:rFonts w:ascii="Arial" w:cs="Arial" w:eastAsia="Arial" w:hAnsi="Arial"/>
          <w:sz w:val="18"/>
          <w:szCs w:val="18"/>
          <w:color w:val="auto"/>
        </w:rPr>
      </w:pPr>
    </w:p>
    <w:p>
      <w:pPr>
        <w:ind w:left="980" w:right="120" w:hanging="493"/>
        <w:spacing w:after="0" w:line="219" w:lineRule="auto"/>
        <w:tabs>
          <w:tab w:leader="none" w:pos="960" w:val="left"/>
        </w:tabs>
        <w:rPr>
          <w:rFonts w:ascii="Arial" w:cs="Arial" w:eastAsia="Arial" w:hAnsi="Arial"/>
          <w:sz w:val="18"/>
          <w:szCs w:val="18"/>
          <w:color w:val="auto"/>
        </w:rPr>
      </w:pPr>
      <w:hyperlink r:id="rId323">
        <w:r>
          <w:rPr>
            <w:rFonts w:ascii="Arial" w:cs="Arial" w:eastAsia="Arial" w:hAnsi="Arial"/>
            <w:sz w:val="18"/>
            <w:szCs w:val="18"/>
            <w:color w:val="auto"/>
          </w:rPr>
          <w:t>10.1</w:t>
        </w:r>
      </w:hyperlink>
      <w:r>
        <w:rPr>
          <w:rFonts w:ascii="Arial" w:cs="Arial" w:eastAsia="Arial" w:hAnsi="Arial"/>
          <w:sz w:val="18"/>
          <w:szCs w:val="18"/>
          <w:color w:val="auto"/>
        </w:rPr>
        <w:tab/>
      </w:r>
      <w:hyperlink r:id="rId324">
        <w:r>
          <w:rPr>
            <w:rFonts w:ascii="Arial" w:cs="Arial" w:eastAsia="Arial" w:hAnsi="Arial"/>
            <w:sz w:val="18"/>
            <w:szCs w:val="18"/>
            <w:color w:val="auto"/>
          </w:rPr>
          <w:t>*Form of Agreement Regarding Change in Control by and between AbbVie Inc. and its named executive officers</w:t>
        </w:r>
      </w:hyperlink>
      <w:r>
        <w:rPr>
          <w:rFonts w:ascii="Arial" w:cs="Arial" w:eastAsia="Arial" w:hAnsi="Arial"/>
          <w:sz w:val="18"/>
          <w:szCs w:val="18"/>
          <w:color w:val="auto"/>
        </w:rPr>
        <w:t xml:space="preserve"> </w:t>
      </w:r>
      <w:hyperlink r:id="rId324">
        <w:r>
          <w:rPr>
            <w:rFonts w:ascii="Arial" w:cs="Arial" w:eastAsia="Arial" w:hAnsi="Arial"/>
            <w:sz w:val="18"/>
            <w:szCs w:val="18"/>
            <w:color w:val="auto"/>
          </w:rPr>
          <w:t>(incorporated by reference to Exhibit 10.13 of Amendment No. 5 to the Company's Registration Statement on Form 10 filed</w:t>
        </w:r>
      </w:hyperlink>
      <w:r>
        <w:rPr>
          <w:rFonts w:ascii="Arial" w:cs="Arial" w:eastAsia="Arial" w:hAnsi="Arial"/>
          <w:sz w:val="18"/>
          <w:szCs w:val="18"/>
          <w:color w:val="auto"/>
        </w:rPr>
        <w:t xml:space="preserve"> </w:t>
      </w:r>
      <w:hyperlink r:id="rId324">
        <w:r>
          <w:rPr>
            <w:rFonts w:ascii="Arial" w:cs="Arial" w:eastAsia="Arial" w:hAnsi="Arial"/>
            <w:sz w:val="18"/>
            <w:szCs w:val="18"/>
            <w:color w:val="auto"/>
          </w:rPr>
          <w:t>on November 16, 2012).**</w:t>
        </w:r>
      </w:hyperlink>
    </w:p>
    <w:p>
      <w:pPr>
        <w:spacing w:after="0" w:line="14" w:lineRule="exact"/>
        <w:rPr>
          <w:rFonts w:ascii="Arial" w:cs="Arial" w:eastAsia="Arial" w:hAnsi="Arial"/>
          <w:sz w:val="18"/>
          <w:szCs w:val="18"/>
          <w:color w:val="auto"/>
        </w:rPr>
      </w:pPr>
    </w:p>
    <w:p>
      <w:pPr>
        <w:ind w:left="980" w:right="40" w:hanging="493"/>
        <w:spacing w:after="0" w:line="227" w:lineRule="auto"/>
        <w:tabs>
          <w:tab w:leader="none" w:pos="960" w:val="left"/>
        </w:tabs>
        <w:rPr>
          <w:rFonts w:ascii="Arial" w:cs="Arial" w:eastAsia="Arial" w:hAnsi="Arial"/>
          <w:sz w:val="18"/>
          <w:szCs w:val="18"/>
          <w:color w:val="auto"/>
        </w:rPr>
      </w:pPr>
      <w:hyperlink r:id="rId325">
        <w:r>
          <w:rPr>
            <w:rFonts w:ascii="Arial" w:cs="Arial" w:eastAsia="Arial" w:hAnsi="Arial"/>
            <w:sz w:val="18"/>
            <w:szCs w:val="18"/>
            <w:color w:val="auto"/>
          </w:rPr>
          <w:t>10.2</w:t>
        </w:r>
      </w:hyperlink>
      <w:r>
        <w:rPr>
          <w:rFonts w:ascii="Arial" w:cs="Arial" w:eastAsia="Arial" w:hAnsi="Arial"/>
          <w:sz w:val="18"/>
          <w:szCs w:val="18"/>
          <w:color w:val="auto"/>
        </w:rPr>
        <w:tab/>
      </w:r>
      <w:hyperlink r:id="rId325">
        <w:r>
          <w:rPr>
            <w:rFonts w:ascii="Arial" w:cs="Arial" w:eastAsia="Arial" w:hAnsi="Arial"/>
            <w:sz w:val="18"/>
            <w:szCs w:val="18"/>
            <w:color w:val="auto"/>
          </w:rPr>
          <w:t>*AbbVie 2013 Incentive Stock Program (incorporated by reference to Exhibit A to the AbbVie Inc. Definitive Proxy Statement</w:t>
        </w:r>
      </w:hyperlink>
      <w:r>
        <w:rPr>
          <w:rFonts w:ascii="Arial" w:cs="Arial" w:eastAsia="Arial" w:hAnsi="Arial"/>
          <w:sz w:val="18"/>
          <w:szCs w:val="18"/>
          <w:color w:val="auto"/>
        </w:rPr>
        <w:t xml:space="preserve"> </w:t>
      </w:r>
      <w:hyperlink r:id="rId325">
        <w:r>
          <w:rPr>
            <w:rFonts w:ascii="Arial" w:cs="Arial" w:eastAsia="Arial" w:hAnsi="Arial"/>
            <w:sz w:val="18"/>
            <w:szCs w:val="18"/>
            <w:color w:val="auto"/>
          </w:rPr>
          <w:t>on Schedule 14A dated March 15, 2013).**</w:t>
        </w:r>
      </w:hyperlink>
    </w:p>
    <w:p>
      <w:pPr>
        <w:spacing w:after="0" w:line="13" w:lineRule="exact"/>
        <w:rPr>
          <w:rFonts w:ascii="Arial" w:cs="Arial" w:eastAsia="Arial" w:hAnsi="Arial"/>
          <w:sz w:val="18"/>
          <w:szCs w:val="18"/>
          <w:color w:val="auto"/>
        </w:rPr>
      </w:pPr>
    </w:p>
    <w:p>
      <w:pPr>
        <w:ind w:left="980" w:right="920" w:hanging="493"/>
        <w:spacing w:after="0" w:line="227" w:lineRule="auto"/>
        <w:tabs>
          <w:tab w:leader="none" w:pos="960" w:val="left"/>
        </w:tabs>
        <w:rPr>
          <w:rFonts w:ascii="Arial" w:cs="Arial" w:eastAsia="Arial" w:hAnsi="Arial"/>
          <w:sz w:val="18"/>
          <w:szCs w:val="18"/>
          <w:color w:val="auto"/>
        </w:rPr>
      </w:pPr>
      <w:hyperlink r:id="rId326">
        <w:r>
          <w:rPr>
            <w:rFonts w:ascii="Arial" w:cs="Arial" w:eastAsia="Arial" w:hAnsi="Arial"/>
            <w:sz w:val="18"/>
            <w:szCs w:val="18"/>
            <w:color w:val="auto"/>
          </w:rPr>
          <w:t>10.3</w:t>
        </w:r>
      </w:hyperlink>
      <w:r>
        <w:rPr>
          <w:rFonts w:ascii="Arial" w:cs="Arial" w:eastAsia="Arial" w:hAnsi="Arial"/>
          <w:sz w:val="18"/>
          <w:szCs w:val="18"/>
          <w:color w:val="auto"/>
        </w:rPr>
        <w:tab/>
      </w:r>
      <w:hyperlink r:id="rId326">
        <w:r>
          <w:rPr>
            <w:rFonts w:ascii="Arial" w:cs="Arial" w:eastAsia="Arial" w:hAnsi="Arial"/>
            <w:sz w:val="18"/>
            <w:szCs w:val="18"/>
            <w:color w:val="auto"/>
          </w:rPr>
          <w:t>*AbbVie Inc. 2013 Incentive Stock Program Second Amendment (incorporated by reference to Exhibit 10.5 of the</w:t>
        </w:r>
      </w:hyperlink>
      <w:r>
        <w:rPr>
          <w:rFonts w:ascii="Arial" w:cs="Arial" w:eastAsia="Arial" w:hAnsi="Arial"/>
          <w:sz w:val="18"/>
          <w:szCs w:val="18"/>
          <w:color w:val="auto"/>
        </w:rPr>
        <w:t xml:space="preserve"> </w:t>
      </w:r>
      <w:hyperlink r:id="rId326">
        <w:r>
          <w:rPr>
            <w:rFonts w:ascii="Arial" w:cs="Arial" w:eastAsia="Arial" w:hAnsi="Arial"/>
            <w:sz w:val="18"/>
            <w:szCs w:val="18"/>
            <w:color w:val="auto"/>
          </w:rPr>
          <w:t>company’s Quarterly Report on Form 10-Q for the quarterly period ended June 30, 2019).**</w:t>
        </w:r>
      </w:hyperlink>
    </w:p>
    <w:p>
      <w:pPr>
        <w:spacing w:after="0" w:line="13" w:lineRule="exact"/>
        <w:rPr>
          <w:rFonts w:ascii="Arial" w:cs="Arial" w:eastAsia="Arial" w:hAnsi="Arial"/>
          <w:sz w:val="18"/>
          <w:szCs w:val="18"/>
          <w:color w:val="auto"/>
        </w:rPr>
      </w:pPr>
    </w:p>
    <w:p>
      <w:pPr>
        <w:ind w:left="980" w:right="100" w:hanging="493"/>
        <w:spacing w:after="0" w:line="227" w:lineRule="auto"/>
        <w:tabs>
          <w:tab w:leader="none" w:pos="960" w:val="left"/>
        </w:tabs>
        <w:rPr>
          <w:rFonts w:ascii="Arial" w:cs="Arial" w:eastAsia="Arial" w:hAnsi="Arial"/>
          <w:sz w:val="18"/>
          <w:szCs w:val="18"/>
          <w:color w:val="auto"/>
        </w:rPr>
      </w:pPr>
      <w:hyperlink r:id="rId327">
        <w:r>
          <w:rPr>
            <w:rFonts w:ascii="Arial" w:cs="Arial" w:eastAsia="Arial" w:hAnsi="Arial"/>
            <w:sz w:val="18"/>
            <w:szCs w:val="18"/>
            <w:color w:val="auto"/>
          </w:rPr>
          <w:t>10.4</w:t>
        </w:r>
      </w:hyperlink>
      <w:r>
        <w:rPr>
          <w:rFonts w:ascii="Arial" w:cs="Arial" w:eastAsia="Arial" w:hAnsi="Arial"/>
          <w:sz w:val="18"/>
          <w:szCs w:val="18"/>
          <w:color w:val="auto"/>
        </w:rPr>
        <w:tab/>
      </w:r>
      <w:hyperlink r:id="rId327">
        <w:r>
          <w:rPr>
            <w:rFonts w:ascii="Arial" w:cs="Arial" w:eastAsia="Arial" w:hAnsi="Arial"/>
            <w:sz w:val="18"/>
            <w:szCs w:val="18"/>
            <w:color w:val="auto"/>
          </w:rPr>
          <w:t>*AbbVie Performance Incentive Plan, as amended and restated (incorporated by reference to Exhibit 10.4 of the company's</w:t>
        </w:r>
      </w:hyperlink>
      <w:r>
        <w:rPr>
          <w:rFonts w:ascii="Arial" w:cs="Arial" w:eastAsia="Arial" w:hAnsi="Arial"/>
          <w:sz w:val="18"/>
          <w:szCs w:val="18"/>
          <w:color w:val="auto"/>
        </w:rPr>
        <w:t xml:space="preserve"> </w:t>
      </w:r>
      <w:hyperlink r:id="rId327">
        <w:r>
          <w:rPr>
            <w:rFonts w:ascii="Arial" w:cs="Arial" w:eastAsia="Arial" w:hAnsi="Arial"/>
            <w:sz w:val="18"/>
            <w:szCs w:val="18"/>
            <w:color w:val="auto"/>
          </w:rPr>
          <w:t>Annual Report on Form 10-K for the fiscal year ended December 31, 2015).**</w:t>
        </w:r>
      </w:hyperlink>
    </w:p>
    <w:p>
      <w:pPr>
        <w:spacing w:after="0" w:line="13" w:lineRule="exact"/>
        <w:rPr>
          <w:rFonts w:ascii="Arial" w:cs="Arial" w:eastAsia="Arial" w:hAnsi="Arial"/>
          <w:sz w:val="18"/>
          <w:szCs w:val="18"/>
          <w:color w:val="auto"/>
        </w:rPr>
      </w:pPr>
    </w:p>
    <w:p>
      <w:pPr>
        <w:ind w:left="980" w:right="880" w:hanging="493"/>
        <w:spacing w:after="0" w:line="227" w:lineRule="auto"/>
        <w:tabs>
          <w:tab w:leader="none" w:pos="960" w:val="left"/>
        </w:tabs>
        <w:rPr>
          <w:rFonts w:ascii="Arial" w:cs="Arial" w:eastAsia="Arial" w:hAnsi="Arial"/>
          <w:sz w:val="18"/>
          <w:szCs w:val="18"/>
          <w:color w:val="auto"/>
        </w:rPr>
      </w:pPr>
      <w:hyperlink r:id="rId328">
        <w:r>
          <w:rPr>
            <w:rFonts w:ascii="Arial" w:cs="Arial" w:eastAsia="Arial" w:hAnsi="Arial"/>
            <w:sz w:val="18"/>
            <w:szCs w:val="18"/>
            <w:color w:val="auto"/>
          </w:rPr>
          <w:t>10.5</w:t>
        </w:r>
      </w:hyperlink>
      <w:r>
        <w:rPr>
          <w:rFonts w:ascii="Arial" w:cs="Arial" w:eastAsia="Arial" w:hAnsi="Arial"/>
          <w:sz w:val="18"/>
          <w:szCs w:val="18"/>
          <w:color w:val="auto"/>
        </w:rPr>
        <w:tab/>
      </w:r>
      <w:hyperlink r:id="rId328">
        <w:r>
          <w:rPr>
            <w:rFonts w:ascii="Arial" w:cs="Arial" w:eastAsia="Arial" w:hAnsi="Arial"/>
            <w:sz w:val="18"/>
            <w:szCs w:val="18"/>
            <w:color w:val="auto"/>
          </w:rPr>
          <w:t>*AbbVie Deferred Compensation Plan, as amended and restated (incorporated by reference to Exhibit 10.5 of the</w:t>
        </w:r>
      </w:hyperlink>
      <w:r>
        <w:rPr>
          <w:rFonts w:ascii="Arial" w:cs="Arial" w:eastAsia="Arial" w:hAnsi="Arial"/>
          <w:sz w:val="18"/>
          <w:szCs w:val="18"/>
          <w:color w:val="auto"/>
        </w:rPr>
        <w:t xml:space="preserve"> </w:t>
      </w:r>
      <w:hyperlink r:id="rId328">
        <w:r>
          <w:rPr>
            <w:rFonts w:ascii="Arial" w:cs="Arial" w:eastAsia="Arial" w:hAnsi="Arial"/>
            <w:sz w:val="18"/>
            <w:szCs w:val="18"/>
            <w:color w:val="auto"/>
          </w:rPr>
          <w:t>company's Annual Report on Form 10-K for the fiscal year ended December 31, 2016).**</w:t>
        </w:r>
      </w:hyperlink>
    </w:p>
    <w:p>
      <w:pPr>
        <w:spacing w:after="0" w:line="13" w:lineRule="exact"/>
        <w:rPr>
          <w:rFonts w:ascii="Arial" w:cs="Arial" w:eastAsia="Arial" w:hAnsi="Arial"/>
          <w:sz w:val="18"/>
          <w:szCs w:val="18"/>
          <w:color w:val="auto"/>
        </w:rPr>
      </w:pPr>
    </w:p>
    <w:p>
      <w:pPr>
        <w:ind w:left="980" w:right="660" w:hanging="493"/>
        <w:spacing w:after="0" w:line="227" w:lineRule="auto"/>
        <w:tabs>
          <w:tab w:leader="none" w:pos="960" w:val="left"/>
        </w:tabs>
        <w:rPr>
          <w:rFonts w:ascii="Arial" w:cs="Arial" w:eastAsia="Arial" w:hAnsi="Arial"/>
          <w:sz w:val="18"/>
          <w:szCs w:val="18"/>
          <w:color w:val="auto"/>
        </w:rPr>
      </w:pPr>
      <w:hyperlink r:id="rId329">
        <w:r>
          <w:rPr>
            <w:rFonts w:ascii="Arial" w:cs="Arial" w:eastAsia="Arial" w:hAnsi="Arial"/>
            <w:sz w:val="18"/>
            <w:szCs w:val="18"/>
            <w:color w:val="auto"/>
          </w:rPr>
          <w:t>10.6</w:t>
        </w:r>
      </w:hyperlink>
      <w:r>
        <w:rPr>
          <w:rFonts w:ascii="Arial" w:cs="Arial" w:eastAsia="Arial" w:hAnsi="Arial"/>
          <w:sz w:val="18"/>
          <w:szCs w:val="18"/>
          <w:color w:val="auto"/>
        </w:rPr>
        <w:tab/>
      </w:r>
      <w:hyperlink r:id="rId329">
        <w:r>
          <w:rPr>
            <w:rFonts w:ascii="Arial" w:cs="Arial" w:eastAsia="Arial" w:hAnsi="Arial"/>
            <w:sz w:val="18"/>
            <w:szCs w:val="18"/>
            <w:color w:val="auto"/>
          </w:rPr>
          <w:t>*AbbVie Inc. Supplemental Pension Plan, as amended and restated (incorporated by reference to Exhibit 10.2 of the</w:t>
        </w:r>
      </w:hyperlink>
      <w:r>
        <w:rPr>
          <w:rFonts w:ascii="Arial" w:cs="Arial" w:eastAsia="Arial" w:hAnsi="Arial"/>
          <w:sz w:val="18"/>
          <w:szCs w:val="18"/>
          <w:color w:val="auto"/>
        </w:rPr>
        <w:t xml:space="preserve"> </w:t>
      </w:r>
      <w:hyperlink r:id="rId329">
        <w:r>
          <w:rPr>
            <w:rFonts w:ascii="Arial" w:cs="Arial" w:eastAsia="Arial" w:hAnsi="Arial"/>
            <w:sz w:val="18"/>
            <w:szCs w:val="18"/>
            <w:color w:val="auto"/>
          </w:rPr>
          <w:t>company’s Quarterly Report on Form 10-Q for the quarterly period ended June 30, 2019).**</w:t>
        </w:r>
      </w:hyperlink>
    </w:p>
    <w:p>
      <w:pPr>
        <w:spacing w:after="0" w:line="13" w:lineRule="exact"/>
        <w:rPr>
          <w:rFonts w:ascii="Arial" w:cs="Arial" w:eastAsia="Arial" w:hAnsi="Arial"/>
          <w:sz w:val="18"/>
          <w:szCs w:val="18"/>
          <w:color w:val="auto"/>
        </w:rPr>
      </w:pPr>
    </w:p>
    <w:p>
      <w:pPr>
        <w:ind w:left="980" w:right="660" w:hanging="493"/>
        <w:spacing w:after="0" w:line="227" w:lineRule="auto"/>
        <w:tabs>
          <w:tab w:leader="none" w:pos="960" w:val="left"/>
        </w:tabs>
        <w:rPr>
          <w:rFonts w:ascii="Arial" w:cs="Arial" w:eastAsia="Arial" w:hAnsi="Arial"/>
          <w:sz w:val="18"/>
          <w:szCs w:val="18"/>
          <w:color w:val="auto"/>
        </w:rPr>
      </w:pPr>
      <w:hyperlink r:id="rId330">
        <w:r>
          <w:rPr>
            <w:rFonts w:ascii="Arial" w:cs="Arial" w:eastAsia="Arial" w:hAnsi="Arial"/>
            <w:sz w:val="18"/>
            <w:szCs w:val="18"/>
            <w:color w:val="auto"/>
          </w:rPr>
          <w:t>10.7</w:t>
        </w:r>
      </w:hyperlink>
      <w:r>
        <w:rPr>
          <w:rFonts w:ascii="Arial" w:cs="Arial" w:eastAsia="Arial" w:hAnsi="Arial"/>
          <w:sz w:val="18"/>
          <w:szCs w:val="18"/>
          <w:color w:val="auto"/>
        </w:rPr>
        <w:tab/>
      </w:r>
      <w:hyperlink r:id="rId330">
        <w:r>
          <w:rPr>
            <w:rFonts w:ascii="Arial" w:cs="Arial" w:eastAsia="Arial" w:hAnsi="Arial"/>
            <w:sz w:val="18"/>
            <w:szCs w:val="18"/>
            <w:color w:val="auto"/>
          </w:rPr>
          <w:t>*AbbVie Inc. Supplemental Savings Plan, as amended and restated (incorporated by reference to Exhibit 10.8 of the</w:t>
        </w:r>
      </w:hyperlink>
      <w:r>
        <w:rPr>
          <w:rFonts w:ascii="Arial" w:cs="Arial" w:eastAsia="Arial" w:hAnsi="Arial"/>
          <w:sz w:val="18"/>
          <w:szCs w:val="18"/>
          <w:color w:val="auto"/>
        </w:rPr>
        <w:t xml:space="preserve"> </w:t>
      </w:r>
      <w:hyperlink r:id="rId330">
        <w:r>
          <w:rPr>
            <w:rFonts w:ascii="Arial" w:cs="Arial" w:eastAsia="Arial" w:hAnsi="Arial"/>
            <w:sz w:val="18"/>
            <w:szCs w:val="18"/>
            <w:color w:val="auto"/>
          </w:rPr>
          <w:t>company's Annual Report on Form 10-K for the fiscal year ended December 31, 2015). **</w:t>
        </w:r>
      </w:hyperlink>
    </w:p>
    <w:p>
      <w:pPr>
        <w:spacing w:after="0" w:line="13" w:lineRule="exact"/>
        <w:rPr>
          <w:rFonts w:ascii="Arial" w:cs="Arial" w:eastAsia="Arial" w:hAnsi="Arial"/>
          <w:sz w:val="18"/>
          <w:szCs w:val="18"/>
          <w:color w:val="auto"/>
        </w:rPr>
      </w:pPr>
    </w:p>
    <w:p>
      <w:pPr>
        <w:ind w:left="980" w:right="320" w:hanging="493"/>
        <w:spacing w:after="0" w:line="227" w:lineRule="auto"/>
        <w:tabs>
          <w:tab w:leader="none" w:pos="960" w:val="left"/>
        </w:tabs>
        <w:rPr>
          <w:rFonts w:ascii="Arial" w:cs="Arial" w:eastAsia="Arial" w:hAnsi="Arial"/>
          <w:sz w:val="18"/>
          <w:szCs w:val="18"/>
          <w:color w:val="auto"/>
        </w:rPr>
      </w:pPr>
      <w:hyperlink r:id="rId331">
        <w:r>
          <w:rPr>
            <w:rFonts w:ascii="Arial" w:cs="Arial" w:eastAsia="Arial" w:hAnsi="Arial"/>
            <w:sz w:val="18"/>
            <w:szCs w:val="18"/>
            <w:color w:val="auto"/>
          </w:rPr>
          <w:t>10.8</w:t>
        </w:r>
      </w:hyperlink>
      <w:r>
        <w:rPr>
          <w:rFonts w:ascii="Arial" w:cs="Arial" w:eastAsia="Arial" w:hAnsi="Arial"/>
          <w:sz w:val="18"/>
          <w:szCs w:val="18"/>
          <w:color w:val="auto"/>
        </w:rPr>
        <w:tab/>
      </w:r>
      <w:hyperlink r:id="rId331">
        <w:r>
          <w:rPr>
            <w:rFonts w:ascii="Arial" w:cs="Arial" w:eastAsia="Arial" w:hAnsi="Arial"/>
            <w:sz w:val="18"/>
            <w:szCs w:val="18"/>
            <w:color w:val="auto"/>
          </w:rPr>
          <w:t>*Form of AbbVie Inc. Non-Qualified Stock Option Agreement (incorporated by reference to Exhibit 10.7 of the company's</w:t>
        </w:r>
      </w:hyperlink>
      <w:r>
        <w:rPr>
          <w:rFonts w:ascii="Arial" w:cs="Arial" w:eastAsia="Arial" w:hAnsi="Arial"/>
          <w:sz w:val="18"/>
          <w:szCs w:val="18"/>
          <w:color w:val="auto"/>
        </w:rPr>
        <w:t xml:space="preserve"> </w:t>
      </w:r>
      <w:hyperlink r:id="rId331">
        <w:r>
          <w:rPr>
            <w:rFonts w:ascii="Arial" w:cs="Arial" w:eastAsia="Arial" w:hAnsi="Arial"/>
            <w:sz w:val="18"/>
            <w:szCs w:val="18"/>
            <w:color w:val="auto"/>
          </w:rPr>
          <w:t>Quarterly Report on Form 10-Q for the quarterly period ended March 31, 2013).**</w:t>
        </w:r>
      </w:hyperlink>
    </w:p>
    <w:p>
      <w:pPr>
        <w:spacing w:after="0" w:line="13" w:lineRule="exact"/>
        <w:rPr>
          <w:rFonts w:ascii="Arial" w:cs="Arial" w:eastAsia="Arial" w:hAnsi="Arial"/>
          <w:sz w:val="18"/>
          <w:szCs w:val="18"/>
          <w:color w:val="auto"/>
        </w:rPr>
      </w:pPr>
    </w:p>
    <w:p>
      <w:pPr>
        <w:ind w:left="980" w:right="120" w:hanging="493"/>
        <w:spacing w:after="0" w:line="227" w:lineRule="auto"/>
        <w:tabs>
          <w:tab w:leader="none" w:pos="960" w:val="left"/>
        </w:tabs>
        <w:rPr>
          <w:rFonts w:ascii="Arial" w:cs="Arial" w:eastAsia="Arial" w:hAnsi="Arial"/>
          <w:sz w:val="18"/>
          <w:szCs w:val="18"/>
          <w:color w:val="auto"/>
        </w:rPr>
      </w:pPr>
      <w:hyperlink r:id="rId332">
        <w:r>
          <w:rPr>
            <w:rFonts w:ascii="Arial" w:cs="Arial" w:eastAsia="Arial" w:hAnsi="Arial"/>
            <w:sz w:val="18"/>
            <w:szCs w:val="18"/>
            <w:color w:val="auto"/>
          </w:rPr>
          <w:t>10.9</w:t>
        </w:r>
      </w:hyperlink>
      <w:r>
        <w:rPr>
          <w:rFonts w:ascii="Arial" w:cs="Arial" w:eastAsia="Arial" w:hAnsi="Arial"/>
          <w:sz w:val="18"/>
          <w:szCs w:val="18"/>
          <w:color w:val="auto"/>
        </w:rPr>
        <w:tab/>
      </w:r>
      <w:hyperlink r:id="rId332">
        <w:r>
          <w:rPr>
            <w:rFonts w:ascii="Arial" w:cs="Arial" w:eastAsia="Arial" w:hAnsi="Arial"/>
            <w:sz w:val="18"/>
            <w:szCs w:val="18"/>
            <w:color w:val="auto"/>
          </w:rPr>
          <w:t>*Form of AbbVie Inc. Non-Employee Director Restricted Stock Unit Agreement (incorporated by reference to Exhibit 10.1 of</w:t>
        </w:r>
      </w:hyperlink>
      <w:r>
        <w:rPr>
          <w:rFonts w:ascii="Arial" w:cs="Arial" w:eastAsia="Arial" w:hAnsi="Arial"/>
          <w:sz w:val="18"/>
          <w:szCs w:val="18"/>
          <w:color w:val="auto"/>
        </w:rPr>
        <w:t xml:space="preserve"> </w:t>
      </w:r>
      <w:hyperlink r:id="rId332">
        <w:r>
          <w:rPr>
            <w:rFonts w:ascii="Arial" w:cs="Arial" w:eastAsia="Arial" w:hAnsi="Arial"/>
            <w:sz w:val="18"/>
            <w:szCs w:val="18"/>
            <w:color w:val="auto"/>
          </w:rPr>
          <w:t>the company's Quarterly Report on Form 10-Q for the quarterly period ended March 31, 2016).**</w:t>
        </w:r>
      </w:hyperlink>
    </w:p>
    <w:p>
      <w:pPr>
        <w:spacing w:after="0" w:line="13" w:lineRule="exact"/>
        <w:rPr>
          <w:rFonts w:ascii="Arial" w:cs="Arial" w:eastAsia="Arial" w:hAnsi="Arial"/>
          <w:sz w:val="18"/>
          <w:szCs w:val="18"/>
          <w:color w:val="auto"/>
        </w:rPr>
      </w:pPr>
    </w:p>
    <w:p>
      <w:pPr>
        <w:ind w:left="980" w:right="320" w:hanging="593"/>
        <w:spacing w:after="0" w:line="227" w:lineRule="auto"/>
        <w:tabs>
          <w:tab w:leader="none" w:pos="960" w:val="left"/>
        </w:tabs>
        <w:rPr>
          <w:rFonts w:ascii="Arial" w:cs="Arial" w:eastAsia="Arial" w:hAnsi="Arial"/>
          <w:sz w:val="18"/>
          <w:szCs w:val="18"/>
          <w:color w:val="auto"/>
        </w:rPr>
      </w:pPr>
      <w:hyperlink r:id="rId333">
        <w:r>
          <w:rPr>
            <w:rFonts w:ascii="Arial" w:cs="Arial" w:eastAsia="Arial" w:hAnsi="Arial"/>
            <w:sz w:val="18"/>
            <w:szCs w:val="18"/>
            <w:color w:val="auto"/>
          </w:rPr>
          <w:t>10.10</w:t>
        </w:r>
      </w:hyperlink>
      <w:r>
        <w:rPr>
          <w:rFonts w:ascii="Arial" w:cs="Arial" w:eastAsia="Arial" w:hAnsi="Arial"/>
          <w:sz w:val="18"/>
          <w:szCs w:val="18"/>
          <w:color w:val="auto"/>
        </w:rPr>
        <w:tab/>
      </w:r>
      <w:hyperlink r:id="rId333">
        <w:r>
          <w:rPr>
            <w:rFonts w:ascii="Arial" w:cs="Arial" w:eastAsia="Arial" w:hAnsi="Arial"/>
            <w:sz w:val="18"/>
            <w:szCs w:val="18"/>
            <w:color w:val="auto"/>
          </w:rPr>
          <w:t>*Form of AbbVie Inc. Non-Qualified Stock Option Agreement (incorporated by reference to Exhibit 10.2 of the company's</w:t>
        </w:r>
      </w:hyperlink>
      <w:r>
        <w:rPr>
          <w:rFonts w:ascii="Arial" w:cs="Arial" w:eastAsia="Arial" w:hAnsi="Arial"/>
          <w:sz w:val="18"/>
          <w:szCs w:val="18"/>
          <w:color w:val="auto"/>
        </w:rPr>
        <w:t xml:space="preserve"> </w:t>
      </w:r>
      <w:hyperlink r:id="rId333">
        <w:r>
          <w:rPr>
            <w:rFonts w:ascii="Arial" w:cs="Arial" w:eastAsia="Arial" w:hAnsi="Arial"/>
            <w:sz w:val="18"/>
            <w:szCs w:val="18"/>
            <w:color w:val="auto"/>
          </w:rPr>
          <w:t>Quarterly Report on Form 10-Q for the quarterly period ended March 31, 2016).**</w:t>
        </w:r>
      </w:hyperlink>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jc w:val="right"/>
        <w:spacing w:after="0"/>
        <w:tabs>
          <w:tab w:leader="none" w:pos="1560" w:val="left"/>
        </w:tabs>
        <w:rPr>
          <w:sz w:val="20"/>
          <w:szCs w:val="20"/>
          <w:color w:val="auto"/>
        </w:rPr>
      </w:pPr>
      <w:r>
        <w:rPr>
          <w:rFonts w:ascii="Arial" w:cs="Arial" w:eastAsia="Arial" w:hAnsi="Arial"/>
          <w:sz w:val="18"/>
          <w:szCs w:val="18"/>
          <w:i w:val="1"/>
          <w:iCs w:val="1"/>
          <w:color w:val="auto"/>
        </w:rPr>
        <w:t>2020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600075" cy="111125"/>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4">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106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-210185</wp:posOffset>
            </wp:positionH>
            <wp:positionV relativeFrom="paragraph">
              <wp:posOffset>154305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660" w:top="964" w:right="359" w:bottom="1440" w:gutter="0" w:footer="0" w:header="0"/>
        </w:sectPr>
      </w:pPr>
    </w:p>
    <w:bookmarkStart w:id="109" w:name="page110"/>
    <w:bookmarkEnd w:id="109"/>
    <w:tbl>
      <w:tblPr>
        <w:tblLayout w:type="fixed"/>
        <w:tblInd w:w="320" w:type="dxa"/>
        <w:tblCellMar>
          <w:top w:w="0" w:type="dxa"/>
          <w:left w:w="0" w:type="dxa"/>
          <w:bottom w:w="0" w:type="dxa"/>
          <w:right w:w="0" w:type="dxa"/>
        </w:tblCellMar>
      </w:tblPr>
      <w:tr>
        <w:trPr>
          <w:trHeight w:val="161"/>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660" w:type="dxa"/>
            <w:vAlign w:val="bottom"/>
            <w:vMerge w:val="restart"/>
          </w:tcPr>
          <w:p>
            <w:pPr>
              <w:ind w:left="23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29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1300" w:right="80" w:hanging="593"/>
        <w:spacing w:after="0" w:line="227" w:lineRule="auto"/>
        <w:tabs>
          <w:tab w:leader="none" w:pos="1280" w:val="left"/>
        </w:tabs>
        <w:rPr>
          <w:rFonts w:ascii="Arial" w:cs="Arial" w:eastAsia="Arial" w:hAnsi="Arial"/>
          <w:sz w:val="18"/>
          <w:szCs w:val="18"/>
          <w:color w:val="auto"/>
        </w:rPr>
      </w:pPr>
      <w:hyperlink r:id="rId336">
        <w:r>
          <w:rPr>
            <w:rFonts w:ascii="Arial" w:cs="Arial" w:eastAsia="Arial" w:hAnsi="Arial"/>
            <w:sz w:val="18"/>
            <w:szCs w:val="18"/>
            <w:color w:val="auto"/>
          </w:rPr>
          <w:t>10.11</w:t>
        </w:r>
      </w:hyperlink>
      <w:r>
        <w:rPr>
          <w:rFonts w:ascii="Arial" w:cs="Arial" w:eastAsia="Arial" w:hAnsi="Arial"/>
          <w:sz w:val="18"/>
          <w:szCs w:val="18"/>
          <w:color w:val="auto"/>
        </w:rPr>
        <w:tab/>
      </w:r>
      <w:hyperlink r:id="rId336">
        <w:r>
          <w:rPr>
            <w:rFonts w:ascii="Arial" w:cs="Arial" w:eastAsia="Arial" w:hAnsi="Arial"/>
            <w:sz w:val="18"/>
            <w:szCs w:val="18"/>
            <w:color w:val="auto"/>
          </w:rPr>
          <w:t>*Form of AbbVie Inc. Non-Employee Director Restricted Stock Unit Agreement (incorporated by reference to Exhibit 10.1 of</w:t>
        </w:r>
      </w:hyperlink>
      <w:r>
        <w:rPr>
          <w:rFonts w:ascii="Arial" w:cs="Arial" w:eastAsia="Arial" w:hAnsi="Arial"/>
          <w:sz w:val="18"/>
          <w:szCs w:val="18"/>
          <w:color w:val="auto"/>
        </w:rPr>
        <w:t xml:space="preserve"> </w:t>
      </w:r>
      <w:hyperlink r:id="rId336">
        <w:r>
          <w:rPr>
            <w:rFonts w:ascii="Arial" w:cs="Arial" w:eastAsia="Arial" w:hAnsi="Arial"/>
            <w:sz w:val="18"/>
            <w:szCs w:val="18"/>
            <w:color w:val="auto"/>
          </w:rPr>
          <w:t>the company's Quarterly Report on Form 10-Q for the quarterly period ended March 31, 2017).**</w:t>
        </w:r>
      </w:hyperlink>
    </w:p>
    <w:p>
      <w:pPr>
        <w:spacing w:after="0" w:line="13" w:lineRule="exact"/>
        <w:rPr>
          <w:rFonts w:ascii="Arial" w:cs="Arial" w:eastAsia="Arial" w:hAnsi="Arial"/>
          <w:sz w:val="18"/>
          <w:szCs w:val="18"/>
          <w:color w:val="auto"/>
        </w:rPr>
      </w:pPr>
    </w:p>
    <w:p>
      <w:pPr>
        <w:ind w:left="1300" w:right="280" w:hanging="593"/>
        <w:spacing w:after="0" w:line="227" w:lineRule="auto"/>
        <w:tabs>
          <w:tab w:leader="none" w:pos="1280" w:val="left"/>
        </w:tabs>
        <w:rPr>
          <w:rFonts w:ascii="Arial" w:cs="Arial" w:eastAsia="Arial" w:hAnsi="Arial"/>
          <w:sz w:val="18"/>
          <w:szCs w:val="18"/>
          <w:color w:val="auto"/>
        </w:rPr>
      </w:pPr>
      <w:hyperlink r:id="rId337">
        <w:r>
          <w:rPr>
            <w:rFonts w:ascii="Arial" w:cs="Arial" w:eastAsia="Arial" w:hAnsi="Arial"/>
            <w:sz w:val="18"/>
            <w:szCs w:val="18"/>
            <w:color w:val="auto"/>
          </w:rPr>
          <w:t>10.12</w:t>
        </w:r>
      </w:hyperlink>
      <w:r>
        <w:rPr>
          <w:rFonts w:ascii="Arial" w:cs="Arial" w:eastAsia="Arial" w:hAnsi="Arial"/>
          <w:sz w:val="18"/>
          <w:szCs w:val="18"/>
          <w:color w:val="auto"/>
        </w:rPr>
        <w:tab/>
      </w:r>
      <w:hyperlink r:id="rId338">
        <w:r>
          <w:rPr>
            <w:rFonts w:ascii="Arial" w:cs="Arial" w:eastAsia="Arial" w:hAnsi="Arial"/>
            <w:sz w:val="18"/>
            <w:szCs w:val="18"/>
            <w:color w:val="auto"/>
          </w:rPr>
          <w:t>*Form of AbbVie Inc. Non-Qualified Stock Option Agreement (incorporated by reference to Exhibit 10.2 of the company's</w:t>
        </w:r>
      </w:hyperlink>
      <w:r>
        <w:rPr>
          <w:rFonts w:ascii="Arial" w:cs="Arial" w:eastAsia="Arial" w:hAnsi="Arial"/>
          <w:sz w:val="18"/>
          <w:szCs w:val="18"/>
          <w:color w:val="auto"/>
        </w:rPr>
        <w:t xml:space="preserve"> </w:t>
      </w:r>
      <w:hyperlink r:id="rId338">
        <w:r>
          <w:rPr>
            <w:rFonts w:ascii="Arial" w:cs="Arial" w:eastAsia="Arial" w:hAnsi="Arial"/>
            <w:sz w:val="18"/>
            <w:szCs w:val="18"/>
            <w:color w:val="auto"/>
          </w:rPr>
          <w:t>Quarterly Report on Form 10-Q for the quarterly period ended March 31, 2017).**</w:t>
        </w:r>
      </w:hyperlink>
    </w:p>
    <w:p>
      <w:pPr>
        <w:spacing w:after="0" w:line="13" w:lineRule="exact"/>
        <w:rPr>
          <w:rFonts w:ascii="Arial" w:cs="Arial" w:eastAsia="Arial" w:hAnsi="Arial"/>
          <w:sz w:val="18"/>
          <w:szCs w:val="18"/>
          <w:color w:val="auto"/>
        </w:rPr>
      </w:pPr>
    </w:p>
    <w:p>
      <w:pPr>
        <w:ind w:left="1300" w:right="340" w:hanging="593"/>
        <w:spacing w:after="0" w:line="227" w:lineRule="auto"/>
        <w:tabs>
          <w:tab w:leader="none" w:pos="1280" w:val="left"/>
        </w:tabs>
        <w:rPr>
          <w:rFonts w:ascii="Arial" w:cs="Arial" w:eastAsia="Arial" w:hAnsi="Arial"/>
          <w:sz w:val="18"/>
          <w:szCs w:val="18"/>
          <w:color w:val="auto"/>
        </w:rPr>
      </w:pPr>
      <w:hyperlink r:id="rId339">
        <w:r>
          <w:rPr>
            <w:rFonts w:ascii="Arial" w:cs="Arial" w:eastAsia="Arial" w:hAnsi="Arial"/>
            <w:sz w:val="18"/>
            <w:szCs w:val="18"/>
            <w:color w:val="auto"/>
          </w:rPr>
          <w:t>10.13</w:t>
        </w:r>
      </w:hyperlink>
      <w:r>
        <w:rPr>
          <w:rFonts w:ascii="Arial" w:cs="Arial" w:eastAsia="Arial" w:hAnsi="Arial"/>
          <w:sz w:val="18"/>
          <w:szCs w:val="18"/>
          <w:color w:val="auto"/>
        </w:rPr>
        <w:tab/>
      </w:r>
      <w:hyperlink r:id="rId339">
        <w:r>
          <w:rPr>
            <w:rFonts w:ascii="Arial" w:cs="Arial" w:eastAsia="Arial" w:hAnsi="Arial"/>
            <w:sz w:val="18"/>
            <w:szCs w:val="18"/>
            <w:color w:val="auto"/>
          </w:rPr>
          <w:t>*Form of AbbVie Inc. Performance Share Award Agreement (incorporated by reference to Exhibit 10.2 of the company’s</w:t>
        </w:r>
      </w:hyperlink>
      <w:r>
        <w:rPr>
          <w:rFonts w:ascii="Arial" w:cs="Arial" w:eastAsia="Arial" w:hAnsi="Arial"/>
          <w:sz w:val="18"/>
          <w:szCs w:val="18"/>
          <w:color w:val="auto"/>
        </w:rPr>
        <w:t xml:space="preserve"> </w:t>
      </w:r>
      <w:hyperlink r:id="rId339">
        <w:r>
          <w:rPr>
            <w:rFonts w:ascii="Arial" w:cs="Arial" w:eastAsia="Arial" w:hAnsi="Arial"/>
            <w:sz w:val="18"/>
            <w:szCs w:val="18"/>
            <w:color w:val="auto"/>
          </w:rPr>
          <w:t>Quarterly Report on Form 10-Q for the quarterly period ended March 31, 2018).**</w:t>
        </w:r>
      </w:hyperlink>
    </w:p>
    <w:p>
      <w:pPr>
        <w:spacing w:after="0" w:line="13" w:lineRule="exact"/>
        <w:rPr>
          <w:rFonts w:ascii="Arial" w:cs="Arial" w:eastAsia="Arial" w:hAnsi="Arial"/>
          <w:sz w:val="18"/>
          <w:szCs w:val="18"/>
          <w:color w:val="auto"/>
        </w:rPr>
      </w:pPr>
    </w:p>
    <w:p>
      <w:pPr>
        <w:ind w:left="1300" w:hanging="593"/>
        <w:spacing w:after="0" w:line="227" w:lineRule="auto"/>
        <w:tabs>
          <w:tab w:leader="none" w:pos="1280" w:val="left"/>
        </w:tabs>
        <w:rPr>
          <w:rFonts w:ascii="Arial" w:cs="Arial" w:eastAsia="Arial" w:hAnsi="Arial"/>
          <w:sz w:val="18"/>
          <w:szCs w:val="18"/>
          <w:color w:val="auto"/>
        </w:rPr>
      </w:pPr>
      <w:hyperlink r:id="rId340">
        <w:r>
          <w:rPr>
            <w:rFonts w:ascii="Arial" w:cs="Arial" w:eastAsia="Arial" w:hAnsi="Arial"/>
            <w:sz w:val="18"/>
            <w:szCs w:val="18"/>
            <w:color w:val="auto"/>
          </w:rPr>
          <w:t>10.14</w:t>
        </w:r>
      </w:hyperlink>
      <w:r>
        <w:rPr>
          <w:rFonts w:ascii="Arial" w:cs="Arial" w:eastAsia="Arial" w:hAnsi="Arial"/>
          <w:sz w:val="18"/>
          <w:szCs w:val="18"/>
          <w:color w:val="auto"/>
        </w:rPr>
        <w:tab/>
      </w:r>
      <w:hyperlink r:id="rId340">
        <w:r>
          <w:rPr>
            <w:rFonts w:ascii="Arial" w:cs="Arial" w:eastAsia="Arial" w:hAnsi="Arial"/>
            <w:sz w:val="18"/>
            <w:szCs w:val="18"/>
            <w:color w:val="auto"/>
          </w:rPr>
          <w:t>*Form of AbbVie Inc. Performance-Vested Restricted Stock Unit Agreement (incorporated by reference to Exhibit 10.1 of the</w:t>
        </w:r>
      </w:hyperlink>
      <w:r>
        <w:rPr>
          <w:rFonts w:ascii="Arial" w:cs="Arial" w:eastAsia="Arial" w:hAnsi="Arial"/>
          <w:sz w:val="18"/>
          <w:szCs w:val="18"/>
          <w:color w:val="auto"/>
        </w:rPr>
        <w:t xml:space="preserve"> </w:t>
      </w:r>
      <w:hyperlink r:id="rId340">
        <w:r>
          <w:rPr>
            <w:rFonts w:ascii="Arial" w:cs="Arial" w:eastAsia="Arial" w:hAnsi="Arial"/>
            <w:sz w:val="18"/>
            <w:szCs w:val="18"/>
            <w:color w:val="auto"/>
          </w:rPr>
          <w:t>company’s Quarterly Report on Form 10-Q for the quarterly period ended March 31, 2018).**</w:t>
        </w:r>
      </w:hyperlink>
    </w:p>
    <w:p>
      <w:pPr>
        <w:spacing w:after="0" w:line="13" w:lineRule="exact"/>
        <w:rPr>
          <w:rFonts w:ascii="Arial" w:cs="Arial" w:eastAsia="Arial" w:hAnsi="Arial"/>
          <w:sz w:val="18"/>
          <w:szCs w:val="18"/>
          <w:color w:val="auto"/>
        </w:rPr>
      </w:pPr>
    </w:p>
    <w:p>
      <w:pPr>
        <w:ind w:left="1300" w:right="660" w:hanging="593"/>
        <w:spacing w:after="0" w:line="227" w:lineRule="auto"/>
        <w:tabs>
          <w:tab w:leader="none" w:pos="1280" w:val="left"/>
        </w:tabs>
        <w:rPr>
          <w:rFonts w:ascii="Arial" w:cs="Arial" w:eastAsia="Arial" w:hAnsi="Arial"/>
          <w:sz w:val="18"/>
          <w:szCs w:val="18"/>
          <w:color w:val="auto"/>
        </w:rPr>
      </w:pPr>
      <w:hyperlink r:id="rId341">
        <w:r>
          <w:rPr>
            <w:rFonts w:ascii="Arial" w:cs="Arial" w:eastAsia="Arial" w:hAnsi="Arial"/>
            <w:sz w:val="18"/>
            <w:szCs w:val="18"/>
            <w:color w:val="auto"/>
          </w:rPr>
          <w:t>10.15</w:t>
        </w:r>
      </w:hyperlink>
      <w:r>
        <w:rPr>
          <w:rFonts w:ascii="Arial" w:cs="Arial" w:eastAsia="Arial" w:hAnsi="Arial"/>
          <w:sz w:val="18"/>
          <w:szCs w:val="18"/>
          <w:color w:val="auto"/>
        </w:rPr>
        <w:tab/>
      </w:r>
      <w:hyperlink r:id="rId341">
        <w:r>
          <w:rPr>
            <w:rFonts w:ascii="Arial" w:cs="Arial" w:eastAsia="Arial" w:hAnsi="Arial"/>
            <w:sz w:val="18"/>
            <w:szCs w:val="18"/>
            <w:color w:val="auto"/>
          </w:rPr>
          <w:t>*Form of AbbVie Inc. Non-Employee Director RSU Agreement (US) (incorporated by reference to Exhibit 10.3 of the</w:t>
        </w:r>
      </w:hyperlink>
      <w:r>
        <w:rPr>
          <w:rFonts w:ascii="Arial" w:cs="Arial" w:eastAsia="Arial" w:hAnsi="Arial"/>
          <w:sz w:val="18"/>
          <w:szCs w:val="18"/>
          <w:color w:val="auto"/>
        </w:rPr>
        <w:t xml:space="preserve"> </w:t>
      </w:r>
      <w:hyperlink r:id="rId341">
        <w:r>
          <w:rPr>
            <w:rFonts w:ascii="Arial" w:cs="Arial" w:eastAsia="Arial" w:hAnsi="Arial"/>
            <w:sz w:val="18"/>
            <w:szCs w:val="18"/>
            <w:color w:val="auto"/>
          </w:rPr>
          <w:t>company’s Quarterly Report on Form 10-Q for the quarterly period ended March 31, 2018).**</w:t>
        </w:r>
      </w:hyperlink>
    </w:p>
    <w:p>
      <w:pPr>
        <w:spacing w:after="0" w:line="13" w:lineRule="exact"/>
        <w:rPr>
          <w:rFonts w:ascii="Arial" w:cs="Arial" w:eastAsia="Arial" w:hAnsi="Arial"/>
          <w:sz w:val="18"/>
          <w:szCs w:val="18"/>
          <w:color w:val="auto"/>
        </w:rPr>
      </w:pPr>
    </w:p>
    <w:p>
      <w:pPr>
        <w:ind w:left="1300" w:right="280" w:hanging="593"/>
        <w:spacing w:after="0" w:line="227" w:lineRule="auto"/>
        <w:tabs>
          <w:tab w:leader="none" w:pos="1280" w:val="left"/>
        </w:tabs>
        <w:rPr>
          <w:rFonts w:ascii="Arial" w:cs="Arial" w:eastAsia="Arial" w:hAnsi="Arial"/>
          <w:sz w:val="18"/>
          <w:szCs w:val="18"/>
          <w:color w:val="auto"/>
        </w:rPr>
      </w:pPr>
      <w:hyperlink r:id="rId342">
        <w:r>
          <w:rPr>
            <w:rFonts w:ascii="Arial" w:cs="Arial" w:eastAsia="Arial" w:hAnsi="Arial"/>
            <w:sz w:val="18"/>
            <w:szCs w:val="18"/>
            <w:color w:val="auto"/>
          </w:rPr>
          <w:t>10.16</w:t>
        </w:r>
      </w:hyperlink>
      <w:r>
        <w:rPr>
          <w:rFonts w:ascii="Arial" w:cs="Arial" w:eastAsia="Arial" w:hAnsi="Arial"/>
          <w:sz w:val="18"/>
          <w:szCs w:val="18"/>
          <w:color w:val="auto"/>
        </w:rPr>
        <w:tab/>
      </w:r>
      <w:hyperlink r:id="rId342">
        <w:r>
          <w:rPr>
            <w:rFonts w:ascii="Arial" w:cs="Arial" w:eastAsia="Arial" w:hAnsi="Arial"/>
            <w:sz w:val="18"/>
            <w:szCs w:val="18"/>
            <w:color w:val="auto"/>
          </w:rPr>
          <w:t>*Form of AbbVie Inc. Non-Qualified Stock Option Agreement (incorporated by reference to Exhibit 10.4 of the company’s</w:t>
        </w:r>
      </w:hyperlink>
      <w:r>
        <w:rPr>
          <w:rFonts w:ascii="Arial" w:cs="Arial" w:eastAsia="Arial" w:hAnsi="Arial"/>
          <w:sz w:val="18"/>
          <w:szCs w:val="18"/>
          <w:color w:val="auto"/>
        </w:rPr>
        <w:t xml:space="preserve"> </w:t>
      </w:r>
      <w:hyperlink r:id="rId342">
        <w:r>
          <w:rPr>
            <w:rFonts w:ascii="Arial" w:cs="Arial" w:eastAsia="Arial" w:hAnsi="Arial"/>
            <w:sz w:val="18"/>
            <w:szCs w:val="18"/>
            <w:color w:val="auto"/>
          </w:rPr>
          <w:t>Quarterly Report on Form 10-Q for the quarterly period ended March 31, 2018).**</w:t>
        </w:r>
      </w:hyperlink>
    </w:p>
    <w:p>
      <w:pPr>
        <w:spacing w:after="0" w:line="13" w:lineRule="exact"/>
        <w:rPr>
          <w:rFonts w:ascii="Arial" w:cs="Arial" w:eastAsia="Arial" w:hAnsi="Arial"/>
          <w:sz w:val="18"/>
          <w:szCs w:val="18"/>
          <w:color w:val="auto"/>
        </w:rPr>
      </w:pPr>
    </w:p>
    <w:p>
      <w:pPr>
        <w:ind w:left="1300" w:right="340" w:hanging="593"/>
        <w:spacing w:after="0" w:line="227" w:lineRule="auto"/>
        <w:tabs>
          <w:tab w:leader="none" w:pos="1280" w:val="left"/>
        </w:tabs>
        <w:rPr>
          <w:rFonts w:ascii="Arial" w:cs="Arial" w:eastAsia="Arial" w:hAnsi="Arial"/>
          <w:sz w:val="18"/>
          <w:szCs w:val="18"/>
          <w:color w:val="auto"/>
        </w:rPr>
      </w:pPr>
      <w:hyperlink r:id="rId343">
        <w:r>
          <w:rPr>
            <w:rFonts w:ascii="Arial" w:cs="Arial" w:eastAsia="Arial" w:hAnsi="Arial"/>
            <w:sz w:val="18"/>
            <w:szCs w:val="18"/>
            <w:color w:val="auto"/>
          </w:rPr>
          <w:t>10.17</w:t>
        </w:r>
      </w:hyperlink>
      <w:r>
        <w:rPr>
          <w:rFonts w:ascii="Arial" w:cs="Arial" w:eastAsia="Arial" w:hAnsi="Arial"/>
          <w:sz w:val="18"/>
          <w:szCs w:val="18"/>
          <w:color w:val="auto"/>
        </w:rPr>
        <w:tab/>
      </w:r>
      <w:hyperlink r:id="rId343">
        <w:r>
          <w:rPr>
            <w:rFonts w:ascii="Arial" w:cs="Arial" w:eastAsia="Arial" w:hAnsi="Arial"/>
            <w:sz w:val="18"/>
            <w:szCs w:val="18"/>
            <w:color w:val="auto"/>
          </w:rPr>
          <w:t>*Form of AbbVie Inc. Performance Share Award Agreement (incorporated by reference to Exhibit 10.2 of the company’s</w:t>
        </w:r>
      </w:hyperlink>
      <w:r>
        <w:rPr>
          <w:rFonts w:ascii="Arial" w:cs="Arial" w:eastAsia="Arial" w:hAnsi="Arial"/>
          <w:sz w:val="18"/>
          <w:szCs w:val="18"/>
          <w:color w:val="auto"/>
        </w:rPr>
        <w:t xml:space="preserve"> </w:t>
      </w:r>
      <w:hyperlink r:id="rId343">
        <w:r>
          <w:rPr>
            <w:rFonts w:ascii="Arial" w:cs="Arial" w:eastAsia="Arial" w:hAnsi="Arial"/>
            <w:sz w:val="18"/>
            <w:szCs w:val="18"/>
            <w:color w:val="auto"/>
          </w:rPr>
          <w:t>Quarterly Report on Form 10-Q for the quarterly period ended March 31, 2019).**</w:t>
        </w:r>
      </w:hyperlink>
    </w:p>
    <w:p>
      <w:pPr>
        <w:spacing w:after="0" w:line="13" w:lineRule="exact"/>
        <w:rPr>
          <w:rFonts w:ascii="Arial" w:cs="Arial" w:eastAsia="Arial" w:hAnsi="Arial"/>
          <w:sz w:val="18"/>
          <w:szCs w:val="18"/>
          <w:color w:val="auto"/>
        </w:rPr>
      </w:pPr>
    </w:p>
    <w:p>
      <w:pPr>
        <w:ind w:left="1300" w:hanging="593"/>
        <w:spacing w:after="0" w:line="227" w:lineRule="auto"/>
        <w:tabs>
          <w:tab w:leader="none" w:pos="1280" w:val="left"/>
        </w:tabs>
        <w:rPr>
          <w:rFonts w:ascii="Arial" w:cs="Arial" w:eastAsia="Arial" w:hAnsi="Arial"/>
          <w:sz w:val="18"/>
          <w:szCs w:val="18"/>
          <w:color w:val="auto"/>
        </w:rPr>
      </w:pPr>
      <w:hyperlink r:id="rId344">
        <w:r>
          <w:rPr>
            <w:rFonts w:ascii="Arial" w:cs="Arial" w:eastAsia="Arial" w:hAnsi="Arial"/>
            <w:sz w:val="18"/>
            <w:szCs w:val="18"/>
            <w:color w:val="auto"/>
          </w:rPr>
          <w:t>10.18</w:t>
        </w:r>
      </w:hyperlink>
      <w:r>
        <w:rPr>
          <w:rFonts w:ascii="Arial" w:cs="Arial" w:eastAsia="Arial" w:hAnsi="Arial"/>
          <w:sz w:val="18"/>
          <w:szCs w:val="18"/>
          <w:color w:val="auto"/>
        </w:rPr>
        <w:tab/>
      </w:r>
      <w:hyperlink r:id="rId344">
        <w:r>
          <w:rPr>
            <w:rFonts w:ascii="Arial" w:cs="Arial" w:eastAsia="Arial" w:hAnsi="Arial"/>
            <w:sz w:val="18"/>
            <w:szCs w:val="18"/>
            <w:color w:val="auto"/>
          </w:rPr>
          <w:t>*Form of AbbVie Inc. Performance-Vested Restricted Stock Unit Agreement (incorporated by reference to Exhibit 10.1 of the</w:t>
        </w:r>
      </w:hyperlink>
      <w:r>
        <w:rPr>
          <w:rFonts w:ascii="Arial" w:cs="Arial" w:eastAsia="Arial" w:hAnsi="Arial"/>
          <w:sz w:val="18"/>
          <w:szCs w:val="18"/>
          <w:color w:val="auto"/>
        </w:rPr>
        <w:t xml:space="preserve"> </w:t>
      </w:r>
      <w:hyperlink r:id="rId344">
        <w:r>
          <w:rPr>
            <w:rFonts w:ascii="Arial" w:cs="Arial" w:eastAsia="Arial" w:hAnsi="Arial"/>
            <w:sz w:val="18"/>
            <w:szCs w:val="18"/>
            <w:color w:val="auto"/>
          </w:rPr>
          <w:t>company’s Quarterly Report on Form 10-Q for the quarterly period ended March 31, 2019).**</w:t>
        </w:r>
      </w:hyperlink>
    </w:p>
    <w:p>
      <w:pPr>
        <w:spacing w:after="0" w:line="13" w:lineRule="exact"/>
        <w:rPr>
          <w:rFonts w:ascii="Arial" w:cs="Arial" w:eastAsia="Arial" w:hAnsi="Arial"/>
          <w:sz w:val="18"/>
          <w:szCs w:val="18"/>
          <w:color w:val="auto"/>
        </w:rPr>
      </w:pPr>
    </w:p>
    <w:p>
      <w:pPr>
        <w:ind w:left="1300" w:right="400" w:hanging="593"/>
        <w:spacing w:after="0" w:line="227" w:lineRule="auto"/>
        <w:tabs>
          <w:tab w:leader="none" w:pos="1280" w:val="left"/>
        </w:tabs>
        <w:rPr>
          <w:rFonts w:ascii="Arial" w:cs="Arial" w:eastAsia="Arial" w:hAnsi="Arial"/>
          <w:sz w:val="18"/>
          <w:szCs w:val="18"/>
          <w:color w:val="auto"/>
        </w:rPr>
      </w:pPr>
      <w:hyperlink r:id="rId345">
        <w:r>
          <w:rPr>
            <w:rFonts w:ascii="Arial" w:cs="Arial" w:eastAsia="Arial" w:hAnsi="Arial"/>
            <w:sz w:val="18"/>
            <w:szCs w:val="18"/>
            <w:color w:val="auto"/>
          </w:rPr>
          <w:t>10.19</w:t>
        </w:r>
      </w:hyperlink>
      <w:r>
        <w:rPr>
          <w:rFonts w:ascii="Arial" w:cs="Arial" w:eastAsia="Arial" w:hAnsi="Arial"/>
          <w:sz w:val="18"/>
          <w:szCs w:val="18"/>
          <w:color w:val="auto"/>
        </w:rPr>
        <w:tab/>
      </w:r>
      <w:hyperlink r:id="rId345">
        <w:r>
          <w:rPr>
            <w:rFonts w:ascii="Arial" w:cs="Arial" w:eastAsia="Arial" w:hAnsi="Arial"/>
            <w:sz w:val="18"/>
            <w:szCs w:val="18"/>
            <w:color w:val="auto"/>
          </w:rPr>
          <w:t>*AbbVie Non-Employee Directors' Fee Plan, as amended and restated (incorporated by reference to Exhibit 10.6 of the</w:t>
        </w:r>
      </w:hyperlink>
      <w:r>
        <w:rPr>
          <w:rFonts w:ascii="Arial" w:cs="Arial" w:eastAsia="Arial" w:hAnsi="Arial"/>
          <w:sz w:val="18"/>
          <w:szCs w:val="18"/>
          <w:color w:val="auto"/>
        </w:rPr>
        <w:t xml:space="preserve"> </w:t>
      </w:r>
      <w:hyperlink r:id="rId345">
        <w:r>
          <w:rPr>
            <w:rFonts w:ascii="Arial" w:cs="Arial" w:eastAsia="Arial" w:hAnsi="Arial"/>
            <w:sz w:val="18"/>
            <w:szCs w:val="18"/>
            <w:color w:val="auto"/>
          </w:rPr>
          <w:t>company’s Quarterly Report on Form 10-Q for the quarterly period ended March 31, 2020).**</w:t>
        </w:r>
      </w:hyperlink>
    </w:p>
    <w:p>
      <w:pPr>
        <w:spacing w:after="0" w:line="13" w:lineRule="exact"/>
        <w:rPr>
          <w:rFonts w:ascii="Arial" w:cs="Arial" w:eastAsia="Arial" w:hAnsi="Arial"/>
          <w:sz w:val="18"/>
          <w:szCs w:val="18"/>
          <w:color w:val="auto"/>
        </w:rPr>
      </w:pPr>
    </w:p>
    <w:p>
      <w:pPr>
        <w:ind w:left="1300" w:right="660" w:hanging="593"/>
        <w:spacing w:after="0" w:line="227" w:lineRule="auto"/>
        <w:tabs>
          <w:tab w:leader="none" w:pos="1280" w:val="left"/>
        </w:tabs>
        <w:rPr>
          <w:rFonts w:ascii="Arial" w:cs="Arial" w:eastAsia="Arial" w:hAnsi="Arial"/>
          <w:sz w:val="18"/>
          <w:szCs w:val="18"/>
          <w:color w:val="auto"/>
        </w:rPr>
      </w:pPr>
      <w:hyperlink r:id="rId346">
        <w:r>
          <w:rPr>
            <w:rFonts w:ascii="Arial" w:cs="Arial" w:eastAsia="Arial" w:hAnsi="Arial"/>
            <w:sz w:val="18"/>
            <w:szCs w:val="18"/>
            <w:color w:val="auto"/>
          </w:rPr>
          <w:t>10.20</w:t>
        </w:r>
      </w:hyperlink>
      <w:r>
        <w:rPr>
          <w:rFonts w:ascii="Arial" w:cs="Arial" w:eastAsia="Arial" w:hAnsi="Arial"/>
          <w:sz w:val="18"/>
          <w:szCs w:val="18"/>
          <w:color w:val="auto"/>
        </w:rPr>
        <w:tab/>
      </w:r>
      <w:hyperlink r:id="rId346">
        <w:r>
          <w:rPr>
            <w:rFonts w:ascii="Arial" w:cs="Arial" w:eastAsia="Arial" w:hAnsi="Arial"/>
            <w:sz w:val="18"/>
            <w:szCs w:val="18"/>
            <w:color w:val="auto"/>
          </w:rPr>
          <w:t>*Form of AbbVie Inc. Non-Employee Director RSU Agreement (US) (incorporated by reference to Exhibit 10.3 of the</w:t>
        </w:r>
      </w:hyperlink>
      <w:r>
        <w:rPr>
          <w:rFonts w:ascii="Arial" w:cs="Arial" w:eastAsia="Arial" w:hAnsi="Arial"/>
          <w:sz w:val="18"/>
          <w:szCs w:val="18"/>
          <w:color w:val="auto"/>
        </w:rPr>
        <w:t xml:space="preserve"> </w:t>
      </w:r>
      <w:hyperlink r:id="rId346">
        <w:r>
          <w:rPr>
            <w:rFonts w:ascii="Arial" w:cs="Arial" w:eastAsia="Arial" w:hAnsi="Arial"/>
            <w:sz w:val="18"/>
            <w:szCs w:val="18"/>
            <w:color w:val="auto"/>
          </w:rPr>
          <w:t>company’s Quarterly Report on Form 10-Q for the quarterly period ended March 31, 2019).**</w:t>
        </w:r>
      </w:hyperlink>
    </w:p>
    <w:p>
      <w:pPr>
        <w:spacing w:after="0" w:line="13" w:lineRule="exact"/>
        <w:rPr>
          <w:rFonts w:ascii="Arial" w:cs="Arial" w:eastAsia="Arial" w:hAnsi="Arial"/>
          <w:sz w:val="18"/>
          <w:szCs w:val="18"/>
          <w:color w:val="auto"/>
        </w:rPr>
      </w:pPr>
    </w:p>
    <w:p>
      <w:pPr>
        <w:ind w:left="1300" w:right="280" w:hanging="593"/>
        <w:spacing w:after="0" w:line="227" w:lineRule="auto"/>
        <w:tabs>
          <w:tab w:leader="none" w:pos="1280" w:val="left"/>
        </w:tabs>
        <w:rPr>
          <w:rFonts w:ascii="Arial" w:cs="Arial" w:eastAsia="Arial" w:hAnsi="Arial"/>
          <w:sz w:val="18"/>
          <w:szCs w:val="18"/>
          <w:color w:val="auto"/>
        </w:rPr>
      </w:pPr>
      <w:hyperlink r:id="rId347">
        <w:r>
          <w:rPr>
            <w:rFonts w:ascii="Arial" w:cs="Arial" w:eastAsia="Arial" w:hAnsi="Arial"/>
            <w:sz w:val="18"/>
            <w:szCs w:val="18"/>
            <w:color w:val="auto"/>
          </w:rPr>
          <w:t>10.21</w:t>
        </w:r>
      </w:hyperlink>
      <w:r>
        <w:rPr>
          <w:rFonts w:ascii="Arial" w:cs="Arial" w:eastAsia="Arial" w:hAnsi="Arial"/>
          <w:sz w:val="18"/>
          <w:szCs w:val="18"/>
          <w:color w:val="auto"/>
        </w:rPr>
        <w:tab/>
      </w:r>
      <w:hyperlink r:id="rId347">
        <w:r>
          <w:rPr>
            <w:rFonts w:ascii="Arial" w:cs="Arial" w:eastAsia="Arial" w:hAnsi="Arial"/>
            <w:sz w:val="18"/>
            <w:szCs w:val="18"/>
            <w:color w:val="auto"/>
          </w:rPr>
          <w:t>*Form of AbbVie Inc. Non-Qualified Stock Option Agreement (incorporated by reference to Exhibit 10.4 of the company’s</w:t>
        </w:r>
      </w:hyperlink>
      <w:r>
        <w:rPr>
          <w:rFonts w:ascii="Arial" w:cs="Arial" w:eastAsia="Arial" w:hAnsi="Arial"/>
          <w:sz w:val="18"/>
          <w:szCs w:val="18"/>
          <w:color w:val="auto"/>
        </w:rPr>
        <w:t xml:space="preserve"> </w:t>
      </w:r>
      <w:hyperlink r:id="rId347">
        <w:r>
          <w:rPr>
            <w:rFonts w:ascii="Arial" w:cs="Arial" w:eastAsia="Arial" w:hAnsi="Arial"/>
            <w:sz w:val="18"/>
            <w:szCs w:val="18"/>
            <w:color w:val="auto"/>
          </w:rPr>
          <w:t>Quarterly Report on Form 10-Q for the quarterly period ended March 31, 2019).**</w:t>
        </w:r>
      </w:hyperlink>
    </w:p>
    <w:p>
      <w:pPr>
        <w:spacing w:after="0" w:line="13" w:lineRule="exact"/>
        <w:rPr>
          <w:rFonts w:ascii="Arial" w:cs="Arial" w:eastAsia="Arial" w:hAnsi="Arial"/>
          <w:sz w:val="18"/>
          <w:szCs w:val="18"/>
          <w:color w:val="auto"/>
        </w:rPr>
      </w:pPr>
    </w:p>
    <w:p>
      <w:pPr>
        <w:ind w:left="1300" w:right="340" w:hanging="593"/>
        <w:spacing w:after="0" w:line="227" w:lineRule="auto"/>
        <w:tabs>
          <w:tab w:leader="none" w:pos="1280" w:val="left"/>
        </w:tabs>
        <w:rPr>
          <w:rFonts w:ascii="Arial" w:cs="Arial" w:eastAsia="Arial" w:hAnsi="Arial"/>
          <w:sz w:val="18"/>
          <w:szCs w:val="18"/>
          <w:color w:val="auto"/>
        </w:rPr>
      </w:pPr>
      <w:hyperlink r:id="rId348">
        <w:r>
          <w:rPr>
            <w:rFonts w:ascii="Arial" w:cs="Arial" w:eastAsia="Arial" w:hAnsi="Arial"/>
            <w:sz w:val="18"/>
            <w:szCs w:val="18"/>
            <w:color w:val="auto"/>
          </w:rPr>
          <w:t>10.22</w:t>
        </w:r>
      </w:hyperlink>
      <w:r>
        <w:rPr>
          <w:rFonts w:ascii="Arial" w:cs="Arial" w:eastAsia="Arial" w:hAnsi="Arial"/>
          <w:sz w:val="18"/>
          <w:szCs w:val="18"/>
          <w:color w:val="auto"/>
        </w:rPr>
        <w:tab/>
      </w:r>
      <w:hyperlink r:id="rId348">
        <w:r>
          <w:rPr>
            <w:rFonts w:ascii="Arial" w:cs="Arial" w:eastAsia="Arial" w:hAnsi="Arial"/>
            <w:sz w:val="18"/>
            <w:szCs w:val="18"/>
            <w:color w:val="auto"/>
          </w:rPr>
          <w:t>*Form of AbbVie Inc. Performance Share Award Agreement (incorporated by reference to Exhibit 10.2 of the company’s</w:t>
        </w:r>
      </w:hyperlink>
      <w:r>
        <w:rPr>
          <w:rFonts w:ascii="Arial" w:cs="Arial" w:eastAsia="Arial" w:hAnsi="Arial"/>
          <w:sz w:val="18"/>
          <w:szCs w:val="18"/>
          <w:color w:val="auto"/>
        </w:rPr>
        <w:t xml:space="preserve"> </w:t>
      </w:r>
      <w:hyperlink r:id="rId348">
        <w:r>
          <w:rPr>
            <w:rFonts w:ascii="Arial" w:cs="Arial" w:eastAsia="Arial" w:hAnsi="Arial"/>
            <w:sz w:val="18"/>
            <w:szCs w:val="18"/>
            <w:color w:val="auto"/>
          </w:rPr>
          <w:t>Quarterly Report on Form 10-Q for the quarterly period ended March 31, 2020).**</w:t>
        </w:r>
      </w:hyperlink>
    </w:p>
    <w:p>
      <w:pPr>
        <w:spacing w:after="0" w:line="13" w:lineRule="exact"/>
        <w:rPr>
          <w:rFonts w:ascii="Arial" w:cs="Arial" w:eastAsia="Arial" w:hAnsi="Arial"/>
          <w:sz w:val="18"/>
          <w:szCs w:val="18"/>
          <w:color w:val="auto"/>
        </w:rPr>
      </w:pPr>
    </w:p>
    <w:p>
      <w:pPr>
        <w:ind w:left="1300" w:hanging="593"/>
        <w:spacing w:after="0" w:line="227" w:lineRule="auto"/>
        <w:tabs>
          <w:tab w:leader="none" w:pos="1280" w:val="left"/>
        </w:tabs>
        <w:rPr>
          <w:rFonts w:ascii="Arial" w:cs="Arial" w:eastAsia="Arial" w:hAnsi="Arial"/>
          <w:sz w:val="18"/>
          <w:szCs w:val="18"/>
          <w:color w:val="auto"/>
        </w:rPr>
      </w:pPr>
      <w:hyperlink r:id="rId349">
        <w:r>
          <w:rPr>
            <w:rFonts w:ascii="Arial" w:cs="Arial" w:eastAsia="Arial" w:hAnsi="Arial"/>
            <w:sz w:val="18"/>
            <w:szCs w:val="18"/>
            <w:color w:val="auto"/>
          </w:rPr>
          <w:t>10.23</w:t>
        </w:r>
      </w:hyperlink>
      <w:r>
        <w:rPr>
          <w:rFonts w:ascii="Arial" w:cs="Arial" w:eastAsia="Arial" w:hAnsi="Arial"/>
          <w:sz w:val="18"/>
          <w:szCs w:val="18"/>
          <w:color w:val="auto"/>
        </w:rPr>
        <w:tab/>
      </w:r>
      <w:hyperlink r:id="rId349">
        <w:r>
          <w:rPr>
            <w:rFonts w:ascii="Arial" w:cs="Arial" w:eastAsia="Arial" w:hAnsi="Arial"/>
            <w:sz w:val="18"/>
            <w:szCs w:val="18"/>
            <w:color w:val="auto"/>
          </w:rPr>
          <w:t>*Form of AbbVie Inc. Performance-Vested Restricted Stock Unit Agreement (incorporated by reference to Exhibit 10.1 of the</w:t>
        </w:r>
      </w:hyperlink>
      <w:r>
        <w:rPr>
          <w:rFonts w:ascii="Arial" w:cs="Arial" w:eastAsia="Arial" w:hAnsi="Arial"/>
          <w:sz w:val="18"/>
          <w:szCs w:val="18"/>
          <w:color w:val="auto"/>
        </w:rPr>
        <w:t xml:space="preserve"> </w:t>
      </w:r>
      <w:hyperlink r:id="rId349">
        <w:r>
          <w:rPr>
            <w:rFonts w:ascii="Arial" w:cs="Arial" w:eastAsia="Arial" w:hAnsi="Arial"/>
            <w:sz w:val="18"/>
            <w:szCs w:val="18"/>
            <w:color w:val="auto"/>
          </w:rPr>
          <w:t>company’s Quarterly Report on Form 10-Q for the quarterly period ended March 31, 2020).**</w:t>
        </w:r>
      </w:hyperlink>
    </w:p>
    <w:p>
      <w:pPr>
        <w:spacing w:after="0" w:line="13" w:lineRule="exact"/>
        <w:rPr>
          <w:rFonts w:ascii="Arial" w:cs="Arial" w:eastAsia="Arial" w:hAnsi="Arial"/>
          <w:sz w:val="18"/>
          <w:szCs w:val="18"/>
          <w:color w:val="auto"/>
        </w:rPr>
      </w:pPr>
    </w:p>
    <w:p>
      <w:pPr>
        <w:ind w:left="1300" w:right="660" w:hanging="593"/>
        <w:spacing w:after="0" w:line="227" w:lineRule="auto"/>
        <w:tabs>
          <w:tab w:leader="none" w:pos="1280" w:val="left"/>
        </w:tabs>
        <w:rPr>
          <w:rFonts w:ascii="Arial" w:cs="Arial" w:eastAsia="Arial" w:hAnsi="Arial"/>
          <w:sz w:val="18"/>
          <w:szCs w:val="18"/>
          <w:color w:val="auto"/>
        </w:rPr>
      </w:pPr>
      <w:hyperlink r:id="rId350">
        <w:r>
          <w:rPr>
            <w:rFonts w:ascii="Arial" w:cs="Arial" w:eastAsia="Arial" w:hAnsi="Arial"/>
            <w:sz w:val="18"/>
            <w:szCs w:val="18"/>
            <w:color w:val="auto"/>
          </w:rPr>
          <w:t>10.24</w:t>
        </w:r>
      </w:hyperlink>
      <w:r>
        <w:rPr>
          <w:rFonts w:ascii="Arial" w:cs="Arial" w:eastAsia="Arial" w:hAnsi="Arial"/>
          <w:sz w:val="18"/>
          <w:szCs w:val="18"/>
          <w:color w:val="auto"/>
        </w:rPr>
        <w:tab/>
      </w:r>
      <w:hyperlink r:id="rId350">
        <w:r>
          <w:rPr>
            <w:rFonts w:ascii="Arial" w:cs="Arial" w:eastAsia="Arial" w:hAnsi="Arial"/>
            <w:sz w:val="18"/>
            <w:szCs w:val="18"/>
            <w:color w:val="auto"/>
          </w:rPr>
          <w:t>*Form of AbbVie Inc. Non-Employee Director RSU Agreement (US) (incorporated by reference to Exhibit 10.3 of the</w:t>
        </w:r>
      </w:hyperlink>
      <w:r>
        <w:rPr>
          <w:rFonts w:ascii="Arial" w:cs="Arial" w:eastAsia="Arial" w:hAnsi="Arial"/>
          <w:sz w:val="18"/>
          <w:szCs w:val="18"/>
          <w:color w:val="auto"/>
        </w:rPr>
        <w:t xml:space="preserve"> </w:t>
      </w:r>
      <w:hyperlink r:id="rId350">
        <w:r>
          <w:rPr>
            <w:rFonts w:ascii="Arial" w:cs="Arial" w:eastAsia="Arial" w:hAnsi="Arial"/>
            <w:sz w:val="18"/>
            <w:szCs w:val="18"/>
            <w:color w:val="auto"/>
          </w:rPr>
          <w:t>company’s Quarterly Report on Form 10-Q for the quarterly period ended March 31, 2020).**</w:t>
        </w:r>
      </w:hyperlink>
    </w:p>
    <w:p>
      <w:pPr>
        <w:spacing w:after="0" w:line="13" w:lineRule="exact"/>
        <w:rPr>
          <w:rFonts w:ascii="Arial" w:cs="Arial" w:eastAsia="Arial" w:hAnsi="Arial"/>
          <w:sz w:val="18"/>
          <w:szCs w:val="18"/>
          <w:color w:val="auto"/>
        </w:rPr>
      </w:pPr>
    </w:p>
    <w:p>
      <w:pPr>
        <w:ind w:left="1300" w:right="280" w:hanging="593"/>
        <w:spacing w:after="0" w:line="227" w:lineRule="auto"/>
        <w:tabs>
          <w:tab w:leader="none" w:pos="1280" w:val="left"/>
        </w:tabs>
        <w:rPr>
          <w:rFonts w:ascii="Arial" w:cs="Arial" w:eastAsia="Arial" w:hAnsi="Arial"/>
          <w:sz w:val="18"/>
          <w:szCs w:val="18"/>
          <w:color w:val="auto"/>
        </w:rPr>
      </w:pPr>
      <w:hyperlink r:id="rId351">
        <w:r>
          <w:rPr>
            <w:rFonts w:ascii="Arial" w:cs="Arial" w:eastAsia="Arial" w:hAnsi="Arial"/>
            <w:sz w:val="18"/>
            <w:szCs w:val="18"/>
            <w:color w:val="auto"/>
          </w:rPr>
          <w:t>10.25</w:t>
        </w:r>
      </w:hyperlink>
      <w:r>
        <w:rPr>
          <w:rFonts w:ascii="Arial" w:cs="Arial" w:eastAsia="Arial" w:hAnsi="Arial"/>
          <w:sz w:val="18"/>
          <w:szCs w:val="18"/>
          <w:color w:val="auto"/>
        </w:rPr>
        <w:tab/>
      </w:r>
      <w:hyperlink r:id="rId351">
        <w:r>
          <w:rPr>
            <w:rFonts w:ascii="Arial" w:cs="Arial" w:eastAsia="Arial" w:hAnsi="Arial"/>
            <w:sz w:val="18"/>
            <w:szCs w:val="18"/>
            <w:color w:val="auto"/>
          </w:rPr>
          <w:t>*Form of AbbVie Inc. Non-Qualified Stock Option Agreement (incorporated by reference to Exhibit 10.4 of the company’s</w:t>
        </w:r>
      </w:hyperlink>
      <w:r>
        <w:rPr>
          <w:rFonts w:ascii="Arial" w:cs="Arial" w:eastAsia="Arial" w:hAnsi="Arial"/>
          <w:sz w:val="18"/>
          <w:szCs w:val="18"/>
          <w:color w:val="auto"/>
        </w:rPr>
        <w:t xml:space="preserve"> </w:t>
      </w:r>
      <w:hyperlink r:id="rId351">
        <w:r>
          <w:rPr>
            <w:rFonts w:ascii="Arial" w:cs="Arial" w:eastAsia="Arial" w:hAnsi="Arial"/>
            <w:sz w:val="18"/>
            <w:szCs w:val="18"/>
            <w:color w:val="auto"/>
          </w:rPr>
          <w:t>Quarterly Report on Form 10-Q for the quarterly period ended March 31, 2020).**</w:t>
        </w:r>
      </w:hyperlink>
    </w:p>
    <w:p>
      <w:pPr>
        <w:spacing w:after="0" w:line="13" w:lineRule="exact"/>
        <w:rPr>
          <w:rFonts w:ascii="Arial" w:cs="Arial" w:eastAsia="Arial" w:hAnsi="Arial"/>
          <w:sz w:val="18"/>
          <w:szCs w:val="18"/>
          <w:color w:val="auto"/>
        </w:rPr>
      </w:pPr>
    </w:p>
    <w:p>
      <w:pPr>
        <w:ind w:left="1300" w:right="840" w:hanging="593"/>
        <w:spacing w:after="0" w:line="227" w:lineRule="auto"/>
        <w:tabs>
          <w:tab w:leader="none" w:pos="1280" w:val="left"/>
        </w:tabs>
        <w:rPr>
          <w:rFonts w:ascii="Arial" w:cs="Arial" w:eastAsia="Arial" w:hAnsi="Arial"/>
          <w:sz w:val="18"/>
          <w:szCs w:val="18"/>
          <w:color w:val="auto"/>
        </w:rPr>
      </w:pPr>
      <w:hyperlink r:id="rId352">
        <w:r>
          <w:rPr>
            <w:rFonts w:ascii="Arial" w:cs="Arial" w:eastAsia="Arial" w:hAnsi="Arial"/>
            <w:sz w:val="18"/>
            <w:szCs w:val="18"/>
            <w:color w:val="auto"/>
          </w:rPr>
          <w:t>10.26</w:t>
        </w:r>
      </w:hyperlink>
      <w:r>
        <w:rPr>
          <w:rFonts w:ascii="Arial" w:cs="Arial" w:eastAsia="Arial" w:hAnsi="Arial"/>
          <w:sz w:val="18"/>
          <w:szCs w:val="18"/>
          <w:color w:val="auto"/>
        </w:rPr>
        <w:tab/>
      </w:r>
      <w:hyperlink r:id="rId352">
        <w:r>
          <w:rPr>
            <w:rFonts w:ascii="Arial" w:cs="Arial" w:eastAsia="Arial" w:hAnsi="Arial"/>
            <w:sz w:val="18"/>
            <w:szCs w:val="18"/>
            <w:color w:val="auto"/>
          </w:rPr>
          <w:t>*Pharmacyclics, Inc. 2014 Equity Incentive Award Plan (incorporated by reference to Exhibit 4.1 of the company's</w:t>
        </w:r>
      </w:hyperlink>
      <w:r>
        <w:rPr>
          <w:rFonts w:ascii="Arial" w:cs="Arial" w:eastAsia="Arial" w:hAnsi="Arial"/>
          <w:sz w:val="18"/>
          <w:szCs w:val="18"/>
          <w:color w:val="auto"/>
        </w:rPr>
        <w:t xml:space="preserve"> </w:t>
      </w:r>
      <w:hyperlink r:id="rId352">
        <w:r>
          <w:rPr>
            <w:rFonts w:ascii="Arial" w:cs="Arial" w:eastAsia="Arial" w:hAnsi="Arial"/>
            <w:sz w:val="18"/>
            <w:szCs w:val="18"/>
            <w:color w:val="auto"/>
          </w:rPr>
          <w:t>Registration Statement on Form S-8 filed on May 27, 2015).**</w:t>
        </w:r>
      </w:hyperlink>
    </w:p>
    <w:p>
      <w:pPr>
        <w:spacing w:after="0" w:line="13" w:lineRule="exact"/>
        <w:rPr>
          <w:rFonts w:ascii="Arial" w:cs="Arial" w:eastAsia="Arial" w:hAnsi="Arial"/>
          <w:sz w:val="18"/>
          <w:szCs w:val="18"/>
          <w:color w:val="auto"/>
        </w:rPr>
      </w:pPr>
    </w:p>
    <w:p>
      <w:pPr>
        <w:jc w:val="both"/>
        <w:ind w:left="1300" w:right="200" w:hanging="593"/>
        <w:spacing w:after="0" w:line="219" w:lineRule="auto"/>
        <w:tabs>
          <w:tab w:leader="none" w:pos="1280" w:val="left"/>
        </w:tabs>
        <w:rPr>
          <w:rFonts w:ascii="Arial" w:cs="Arial" w:eastAsia="Arial" w:hAnsi="Arial"/>
          <w:sz w:val="18"/>
          <w:szCs w:val="18"/>
          <w:color w:val="auto"/>
        </w:rPr>
      </w:pPr>
      <w:hyperlink r:id="rId353">
        <w:r>
          <w:rPr>
            <w:rFonts w:ascii="Arial" w:cs="Arial" w:eastAsia="Arial" w:hAnsi="Arial"/>
            <w:sz w:val="18"/>
            <w:szCs w:val="18"/>
            <w:color w:val="auto"/>
          </w:rPr>
          <w:t>10.27</w:t>
        </w:r>
      </w:hyperlink>
      <w:r>
        <w:rPr>
          <w:rFonts w:ascii="Arial" w:cs="Arial" w:eastAsia="Arial" w:hAnsi="Arial"/>
          <w:sz w:val="18"/>
          <w:szCs w:val="18"/>
          <w:color w:val="auto"/>
        </w:rPr>
        <w:tab/>
      </w:r>
      <w:hyperlink r:id="rId354">
        <w:r>
          <w:rPr>
            <w:rFonts w:ascii="Arial" w:cs="Arial" w:eastAsia="Arial" w:hAnsi="Arial"/>
            <w:sz w:val="18"/>
            <w:szCs w:val="18"/>
            <w:color w:val="auto"/>
          </w:rPr>
          <w:t>*Amended and Restated Revolving Credit Agreement, dated as of August 27, 2019, among AbbVie Inc., the lenders and</w:t>
        </w:r>
      </w:hyperlink>
      <w:r>
        <w:rPr>
          <w:rFonts w:ascii="Arial" w:cs="Arial" w:eastAsia="Arial" w:hAnsi="Arial"/>
          <w:sz w:val="18"/>
          <w:szCs w:val="18"/>
          <w:color w:val="auto"/>
        </w:rPr>
        <w:t xml:space="preserve"> </w:t>
      </w:r>
      <w:hyperlink r:id="rId354">
        <w:r>
          <w:rPr>
            <w:rFonts w:ascii="Arial" w:cs="Arial" w:eastAsia="Arial" w:hAnsi="Arial"/>
            <w:sz w:val="18"/>
            <w:szCs w:val="18"/>
            <w:color w:val="auto"/>
          </w:rPr>
          <w:t>other parties party thereto and JPMorgan Chase Bank, N.A., as administrative agent (incorporated by reference to Exhibit</w:t>
        </w:r>
      </w:hyperlink>
      <w:r>
        <w:rPr>
          <w:rFonts w:ascii="Arial" w:cs="Arial" w:eastAsia="Arial" w:hAnsi="Arial"/>
          <w:sz w:val="18"/>
          <w:szCs w:val="18"/>
          <w:color w:val="auto"/>
        </w:rPr>
        <w:t xml:space="preserve"> </w:t>
      </w:r>
      <w:hyperlink r:id="rId354">
        <w:r>
          <w:rPr>
            <w:rFonts w:ascii="Arial" w:cs="Arial" w:eastAsia="Arial" w:hAnsi="Arial"/>
            <w:sz w:val="18"/>
            <w:szCs w:val="18"/>
            <w:color w:val="auto"/>
          </w:rPr>
          <w:t>10.1 of the company’s Current Report on Form 8-K filed on August 30, 2019).</w:t>
        </w:r>
      </w:hyperlink>
    </w:p>
    <w:p>
      <w:pPr>
        <w:spacing w:after="0" w:line="14" w:lineRule="exact"/>
        <w:rPr>
          <w:rFonts w:ascii="Arial" w:cs="Arial" w:eastAsia="Arial" w:hAnsi="Arial"/>
          <w:sz w:val="18"/>
          <w:szCs w:val="18"/>
          <w:color w:val="auto"/>
        </w:rPr>
      </w:pPr>
    </w:p>
    <w:p>
      <w:pPr>
        <w:ind w:left="1300" w:right="120" w:hanging="593"/>
        <w:spacing w:after="0" w:line="219" w:lineRule="auto"/>
        <w:tabs>
          <w:tab w:leader="none" w:pos="1280" w:val="left"/>
        </w:tabs>
        <w:rPr>
          <w:rFonts w:ascii="Arial" w:cs="Arial" w:eastAsia="Arial" w:hAnsi="Arial"/>
          <w:sz w:val="18"/>
          <w:szCs w:val="18"/>
          <w:color w:val="auto"/>
        </w:rPr>
      </w:pPr>
      <w:hyperlink r:id="rId355">
        <w:r>
          <w:rPr>
            <w:rFonts w:ascii="Arial" w:cs="Arial" w:eastAsia="Arial" w:hAnsi="Arial"/>
            <w:sz w:val="18"/>
            <w:szCs w:val="18"/>
            <w:color w:val="auto"/>
          </w:rPr>
          <w:t>10.28</w:t>
        </w:r>
      </w:hyperlink>
      <w:r>
        <w:rPr>
          <w:rFonts w:ascii="Arial" w:cs="Arial" w:eastAsia="Arial" w:hAnsi="Arial"/>
          <w:sz w:val="18"/>
          <w:szCs w:val="18"/>
          <w:color w:val="auto"/>
        </w:rPr>
        <w:tab/>
      </w:r>
      <w:hyperlink r:id="rId355">
        <w:r>
          <w:rPr>
            <w:rFonts w:ascii="Arial" w:cs="Arial" w:eastAsia="Arial" w:hAnsi="Arial"/>
            <w:sz w:val="18"/>
            <w:szCs w:val="18"/>
            <w:color w:val="auto"/>
          </w:rPr>
          <w:t>*364-Day Bridge Credit Agreement, dated as of June 25, 2019, among AbbVie Inc., Morgan Stanley Senior Funding, Inc.</w:t>
        </w:r>
      </w:hyperlink>
      <w:r>
        <w:rPr>
          <w:rFonts w:ascii="Arial" w:cs="Arial" w:eastAsia="Arial" w:hAnsi="Arial"/>
          <w:sz w:val="18"/>
          <w:szCs w:val="18"/>
          <w:color w:val="auto"/>
        </w:rPr>
        <w:t xml:space="preserve"> </w:t>
      </w:r>
      <w:hyperlink r:id="rId355">
        <w:r>
          <w:rPr>
            <w:rFonts w:ascii="Arial" w:cs="Arial" w:eastAsia="Arial" w:hAnsi="Arial"/>
            <w:sz w:val="18"/>
            <w:szCs w:val="18"/>
            <w:color w:val="auto"/>
          </w:rPr>
          <w:t>and the lenders party thereto (incorporated by reference to Exhibit 10.1 of the company’s Current Report on Form 8-K filed</w:t>
        </w:r>
      </w:hyperlink>
      <w:r>
        <w:rPr>
          <w:rFonts w:ascii="Arial" w:cs="Arial" w:eastAsia="Arial" w:hAnsi="Arial"/>
          <w:sz w:val="18"/>
          <w:szCs w:val="18"/>
          <w:color w:val="auto"/>
        </w:rPr>
        <w:t xml:space="preserve"> </w:t>
      </w:r>
      <w:hyperlink r:id="rId355">
        <w:r>
          <w:rPr>
            <w:rFonts w:ascii="Arial" w:cs="Arial" w:eastAsia="Arial" w:hAnsi="Arial"/>
            <w:sz w:val="18"/>
            <w:szCs w:val="18"/>
            <w:color w:val="auto"/>
          </w:rPr>
          <w:t>on June 25, 2019).</w:t>
        </w:r>
      </w:hyperlink>
    </w:p>
    <w:p>
      <w:pPr>
        <w:spacing w:after="0" w:line="14" w:lineRule="exact"/>
        <w:rPr>
          <w:rFonts w:ascii="Arial" w:cs="Arial" w:eastAsia="Arial" w:hAnsi="Arial"/>
          <w:sz w:val="18"/>
          <w:szCs w:val="18"/>
          <w:color w:val="auto"/>
        </w:rPr>
      </w:pPr>
    </w:p>
    <w:p>
      <w:pPr>
        <w:ind w:left="1300" w:right="240" w:hanging="593"/>
        <w:spacing w:after="0" w:line="219" w:lineRule="auto"/>
        <w:tabs>
          <w:tab w:leader="none" w:pos="1280" w:val="left"/>
        </w:tabs>
        <w:rPr>
          <w:rFonts w:ascii="Arial" w:cs="Arial" w:eastAsia="Arial" w:hAnsi="Arial"/>
          <w:sz w:val="18"/>
          <w:szCs w:val="18"/>
          <w:color w:val="auto"/>
        </w:rPr>
      </w:pPr>
      <w:hyperlink r:id="rId356">
        <w:r>
          <w:rPr>
            <w:rFonts w:ascii="Arial" w:cs="Arial" w:eastAsia="Arial" w:hAnsi="Arial"/>
            <w:sz w:val="18"/>
            <w:szCs w:val="18"/>
            <w:color w:val="auto"/>
          </w:rPr>
          <w:t>10.29</w:t>
        </w:r>
      </w:hyperlink>
      <w:r>
        <w:rPr>
          <w:rFonts w:ascii="Arial" w:cs="Arial" w:eastAsia="Arial" w:hAnsi="Arial"/>
          <w:sz w:val="18"/>
          <w:szCs w:val="18"/>
          <w:color w:val="auto"/>
        </w:rPr>
        <w:tab/>
      </w:r>
      <w:hyperlink r:id="rId356">
        <w:r>
          <w:rPr>
            <w:rFonts w:ascii="Arial" w:cs="Arial" w:eastAsia="Arial" w:hAnsi="Arial"/>
            <w:sz w:val="18"/>
            <w:szCs w:val="18"/>
            <w:color w:val="auto"/>
          </w:rPr>
          <w:t>*Term Loan Credit Agreement, dated as of July 12, 2019, among AbbVie Inc., certain lenders party thereto and Morgan</w:t>
        </w:r>
      </w:hyperlink>
      <w:r>
        <w:rPr>
          <w:rFonts w:ascii="Arial" w:cs="Arial" w:eastAsia="Arial" w:hAnsi="Arial"/>
          <w:sz w:val="18"/>
          <w:szCs w:val="18"/>
          <w:color w:val="auto"/>
        </w:rPr>
        <w:t xml:space="preserve"> </w:t>
      </w:r>
      <w:hyperlink r:id="rId356">
        <w:r>
          <w:rPr>
            <w:rFonts w:ascii="Arial" w:cs="Arial" w:eastAsia="Arial" w:hAnsi="Arial"/>
            <w:sz w:val="18"/>
            <w:szCs w:val="18"/>
            <w:color w:val="auto"/>
          </w:rPr>
          <w:t>Stanley Senior Funding, Inc., as administrative agent (incorporated by reference to Exhibit 10.1 of the company’s Current</w:t>
        </w:r>
      </w:hyperlink>
      <w:r>
        <w:rPr>
          <w:rFonts w:ascii="Arial" w:cs="Arial" w:eastAsia="Arial" w:hAnsi="Arial"/>
          <w:sz w:val="18"/>
          <w:szCs w:val="18"/>
          <w:color w:val="auto"/>
        </w:rPr>
        <w:t xml:space="preserve"> </w:t>
      </w:r>
      <w:hyperlink r:id="rId356">
        <w:r>
          <w:rPr>
            <w:rFonts w:ascii="Arial" w:cs="Arial" w:eastAsia="Arial" w:hAnsi="Arial"/>
            <w:sz w:val="18"/>
            <w:szCs w:val="18"/>
            <w:color w:val="auto"/>
          </w:rPr>
          <w:t>Report on Form 8-K filed on July 16, 2019).</w:t>
        </w:r>
      </w:hyperlink>
    </w:p>
    <w:p>
      <w:pPr>
        <w:spacing w:after="0" w:line="14" w:lineRule="exact"/>
        <w:rPr>
          <w:rFonts w:ascii="Arial" w:cs="Arial" w:eastAsia="Arial" w:hAnsi="Arial"/>
          <w:sz w:val="18"/>
          <w:szCs w:val="18"/>
          <w:color w:val="auto"/>
        </w:rPr>
      </w:pPr>
    </w:p>
    <w:p>
      <w:pPr>
        <w:ind w:left="1300" w:right="140" w:hanging="593"/>
        <w:spacing w:after="0" w:line="215" w:lineRule="auto"/>
        <w:tabs>
          <w:tab w:leader="none" w:pos="1280" w:val="left"/>
        </w:tabs>
        <w:rPr>
          <w:rFonts w:ascii="Arial" w:cs="Arial" w:eastAsia="Arial" w:hAnsi="Arial"/>
          <w:sz w:val="18"/>
          <w:szCs w:val="18"/>
          <w:color w:val="auto"/>
        </w:rPr>
      </w:pPr>
      <w:hyperlink r:id="rId357">
        <w:r>
          <w:rPr>
            <w:rFonts w:ascii="Arial" w:cs="Arial" w:eastAsia="Arial" w:hAnsi="Arial"/>
            <w:sz w:val="18"/>
            <w:szCs w:val="18"/>
            <w:color w:val="auto"/>
          </w:rPr>
          <w:t>10.30</w:t>
        </w:r>
      </w:hyperlink>
      <w:r>
        <w:rPr>
          <w:rFonts w:ascii="Arial" w:cs="Arial" w:eastAsia="Arial" w:hAnsi="Arial"/>
          <w:sz w:val="18"/>
          <w:szCs w:val="18"/>
          <w:color w:val="auto"/>
        </w:rPr>
        <w:tab/>
      </w:r>
      <w:hyperlink r:id="rId357">
        <w:r>
          <w:rPr>
            <w:rFonts w:ascii="Arial" w:cs="Arial" w:eastAsia="Arial" w:hAnsi="Arial"/>
            <w:sz w:val="18"/>
            <w:szCs w:val="18"/>
            <w:color w:val="auto"/>
          </w:rPr>
          <w:t>*Underwriting Agreement, dated September 17, 2019, among AbbVie Inc. and Morgan Stanley &amp; Co. International plc,</w:t>
        </w:r>
      </w:hyperlink>
      <w:r>
        <w:rPr>
          <w:rFonts w:ascii="Arial" w:cs="Arial" w:eastAsia="Arial" w:hAnsi="Arial"/>
          <w:sz w:val="18"/>
          <w:szCs w:val="18"/>
          <w:color w:val="auto"/>
        </w:rPr>
        <w:t xml:space="preserve"> </w:t>
      </w:r>
      <w:hyperlink r:id="rId357">
        <w:r>
          <w:rPr>
            <w:rFonts w:ascii="Arial" w:cs="Arial" w:eastAsia="Arial" w:hAnsi="Arial"/>
            <w:sz w:val="18"/>
            <w:szCs w:val="18"/>
            <w:color w:val="auto"/>
          </w:rPr>
          <w:t>HSBC Bank plc and Merrill Lynch International (acting for themselves and as representatives of the several underwriters</w:t>
        </w:r>
      </w:hyperlink>
      <w:r>
        <w:rPr>
          <w:rFonts w:ascii="Arial" w:cs="Arial" w:eastAsia="Arial" w:hAnsi="Arial"/>
          <w:sz w:val="18"/>
          <w:szCs w:val="18"/>
          <w:color w:val="auto"/>
        </w:rPr>
        <w:t xml:space="preserve"> </w:t>
      </w:r>
      <w:hyperlink r:id="rId357">
        <w:r>
          <w:rPr>
            <w:rFonts w:ascii="Arial" w:cs="Arial" w:eastAsia="Arial" w:hAnsi="Arial"/>
            <w:sz w:val="18"/>
            <w:szCs w:val="18"/>
            <w:color w:val="auto"/>
          </w:rPr>
          <w:t>named therein) (incorporated by reference to Exhibit 1.1 of the company’s Current Report on Form 8-K filed on September</w:t>
        </w:r>
      </w:hyperlink>
      <w:r>
        <w:rPr>
          <w:rFonts w:ascii="Arial" w:cs="Arial" w:eastAsia="Arial" w:hAnsi="Arial"/>
          <w:sz w:val="18"/>
          <w:szCs w:val="18"/>
          <w:color w:val="auto"/>
        </w:rPr>
        <w:t xml:space="preserve"> </w:t>
      </w:r>
      <w:hyperlink r:id="rId357">
        <w:r>
          <w:rPr>
            <w:rFonts w:ascii="Arial" w:cs="Arial" w:eastAsia="Arial" w:hAnsi="Arial"/>
            <w:sz w:val="18"/>
            <w:szCs w:val="18"/>
            <w:color w:val="auto"/>
          </w:rPr>
          <w:t>23, 2019).</w:t>
        </w:r>
      </w:hyperlink>
    </w:p>
    <w:p>
      <w:pPr>
        <w:spacing w:after="0" w:line="14" w:lineRule="exact"/>
        <w:rPr>
          <w:rFonts w:ascii="Arial" w:cs="Arial" w:eastAsia="Arial" w:hAnsi="Arial"/>
          <w:sz w:val="18"/>
          <w:szCs w:val="18"/>
          <w:color w:val="auto"/>
        </w:rPr>
      </w:pPr>
    </w:p>
    <w:p>
      <w:pPr>
        <w:ind w:left="1300" w:right="40" w:hanging="593"/>
        <w:spacing w:after="0" w:line="219" w:lineRule="auto"/>
        <w:tabs>
          <w:tab w:leader="none" w:pos="1280" w:val="left"/>
        </w:tabs>
        <w:rPr>
          <w:rFonts w:ascii="Arial" w:cs="Arial" w:eastAsia="Arial" w:hAnsi="Arial"/>
          <w:sz w:val="18"/>
          <w:szCs w:val="18"/>
          <w:color w:val="auto"/>
        </w:rPr>
      </w:pPr>
      <w:hyperlink r:id="rId358">
        <w:r>
          <w:rPr>
            <w:rFonts w:ascii="Arial" w:cs="Arial" w:eastAsia="Arial" w:hAnsi="Arial"/>
            <w:sz w:val="18"/>
            <w:szCs w:val="18"/>
            <w:color w:val="auto"/>
          </w:rPr>
          <w:t>10.31</w:t>
        </w:r>
      </w:hyperlink>
      <w:r>
        <w:rPr>
          <w:rFonts w:ascii="Arial" w:cs="Arial" w:eastAsia="Arial" w:hAnsi="Arial"/>
          <w:sz w:val="18"/>
          <w:szCs w:val="18"/>
          <w:color w:val="auto"/>
        </w:rPr>
        <w:tab/>
      </w:r>
      <w:hyperlink r:id="rId358">
        <w:r>
          <w:rPr>
            <w:rFonts w:ascii="Arial" w:cs="Arial" w:eastAsia="Arial" w:hAnsi="Arial"/>
            <w:sz w:val="18"/>
            <w:szCs w:val="18"/>
            <w:color w:val="auto"/>
          </w:rPr>
          <w:t>*Purchase Agreement, dated November 12, 2019, among AbbVie Inc. and Morgan Stanley &amp; Co. LLC, BofA Securities, Inc.</w:t>
        </w:r>
      </w:hyperlink>
      <w:r>
        <w:rPr>
          <w:rFonts w:ascii="Arial" w:cs="Arial" w:eastAsia="Arial" w:hAnsi="Arial"/>
          <w:sz w:val="18"/>
          <w:szCs w:val="18"/>
          <w:color w:val="auto"/>
        </w:rPr>
        <w:t xml:space="preserve"> </w:t>
      </w:r>
      <w:hyperlink r:id="rId358">
        <w:r>
          <w:rPr>
            <w:rFonts w:ascii="Arial" w:cs="Arial" w:eastAsia="Arial" w:hAnsi="Arial"/>
            <w:sz w:val="18"/>
            <w:szCs w:val="18"/>
            <w:color w:val="auto"/>
          </w:rPr>
          <w:t>and Barclays Capital Inc. (acting for themselves and as representatives of the several initial purchasers named therein)</w:t>
        </w:r>
      </w:hyperlink>
      <w:r>
        <w:rPr>
          <w:rFonts w:ascii="Arial" w:cs="Arial" w:eastAsia="Arial" w:hAnsi="Arial"/>
          <w:sz w:val="18"/>
          <w:szCs w:val="18"/>
          <w:color w:val="auto"/>
        </w:rPr>
        <w:t xml:space="preserve"> </w:t>
      </w:r>
      <w:hyperlink r:id="rId358">
        <w:r>
          <w:rPr>
            <w:rFonts w:ascii="Arial" w:cs="Arial" w:eastAsia="Arial" w:hAnsi="Arial"/>
            <w:sz w:val="18"/>
            <w:szCs w:val="18"/>
            <w:color w:val="auto"/>
          </w:rPr>
          <w:t>(incorporated by reference to Exhibit 1.1 of the company’s Current Report on Form 8-K filed on November 13, 2019).</w:t>
        </w:r>
      </w:hyperlink>
    </w:p>
    <w:p>
      <w:pPr>
        <w:spacing w:after="0" w:line="14" w:lineRule="exact"/>
        <w:rPr>
          <w:rFonts w:ascii="Arial" w:cs="Arial" w:eastAsia="Arial" w:hAnsi="Arial"/>
          <w:sz w:val="18"/>
          <w:szCs w:val="18"/>
          <w:color w:val="auto"/>
        </w:rPr>
      </w:pPr>
    </w:p>
    <w:p>
      <w:pPr>
        <w:ind w:left="960"/>
        <w:spacing w:after="0"/>
        <w:tabs>
          <w:tab w:leader="none" w:pos="1280" w:val="left"/>
        </w:tabs>
        <w:rPr>
          <w:rFonts w:ascii="Arial" w:cs="Arial" w:eastAsia="Arial" w:hAnsi="Arial"/>
          <w:sz w:val="17"/>
          <w:szCs w:val="17"/>
          <w:color w:val="auto"/>
        </w:rPr>
      </w:pPr>
      <w:r>
        <w:rPr>
          <w:rFonts w:ascii="Arial" w:cs="Arial" w:eastAsia="Arial" w:hAnsi="Arial"/>
          <w:sz w:val="18"/>
          <w:szCs w:val="18"/>
          <w:color w:val="auto"/>
        </w:rPr>
        <w:t>21</w:t>
      </w:r>
      <w:r>
        <w:rPr>
          <w:sz w:val="20"/>
          <w:szCs w:val="20"/>
          <w:color w:val="auto"/>
        </w:rPr>
        <w:tab/>
      </w:r>
      <w:hyperlink w:anchor="page135">
        <w:r>
          <w:rPr>
            <w:rFonts w:ascii="Arial" w:cs="Arial" w:eastAsia="Arial" w:hAnsi="Arial"/>
            <w:sz w:val="17"/>
            <w:szCs w:val="17"/>
            <w:color w:val="auto"/>
          </w:rPr>
          <w:t>Subsidiaries of AbbVie Inc.</w:t>
        </w:r>
      </w:hyperlink>
    </w:p>
    <w:p>
      <w:pPr>
        <w:spacing w:after="0" w:line="23" w:lineRule="exact"/>
        <w:rPr>
          <w:rFonts w:ascii="Arial" w:cs="Arial" w:eastAsia="Arial" w:hAnsi="Arial"/>
          <w:sz w:val="18"/>
          <w:szCs w:val="18"/>
          <w:color w:val="auto"/>
        </w:rPr>
      </w:pPr>
    </w:p>
    <w:p>
      <w:pPr>
        <w:ind w:left="960"/>
        <w:spacing w:after="0"/>
        <w:tabs>
          <w:tab w:leader="none" w:pos="1280" w:val="left"/>
        </w:tabs>
        <w:rPr>
          <w:rFonts w:ascii="Arial" w:cs="Arial" w:eastAsia="Arial" w:hAnsi="Arial"/>
          <w:sz w:val="17"/>
          <w:szCs w:val="17"/>
          <w:color w:val="auto"/>
        </w:rPr>
      </w:pPr>
      <w:r>
        <w:rPr>
          <w:rFonts w:ascii="Arial" w:cs="Arial" w:eastAsia="Arial" w:hAnsi="Arial"/>
          <w:sz w:val="18"/>
          <w:szCs w:val="18"/>
          <w:color w:val="auto"/>
        </w:rPr>
        <w:t>23</w:t>
      </w:r>
      <w:r>
        <w:rPr>
          <w:sz w:val="20"/>
          <w:szCs w:val="20"/>
          <w:color w:val="auto"/>
        </w:rPr>
        <w:tab/>
      </w:r>
      <w:hyperlink w:anchor="page151">
        <w:r>
          <w:rPr>
            <w:rFonts w:ascii="Arial" w:cs="Arial" w:eastAsia="Arial" w:hAnsi="Arial"/>
            <w:sz w:val="17"/>
            <w:szCs w:val="17"/>
            <w:color w:val="auto"/>
          </w:rPr>
          <w:t>Consent of Independent Registered Public Accounting Firm.</w:t>
        </w:r>
      </w:hyperlink>
    </w:p>
    <w:p>
      <w:pPr>
        <w:spacing w:after="0" w:line="23" w:lineRule="exact"/>
        <w:rPr>
          <w:rFonts w:ascii="Arial" w:cs="Arial" w:eastAsia="Arial" w:hAnsi="Arial"/>
          <w:sz w:val="18"/>
          <w:szCs w:val="18"/>
          <w:color w:val="auto"/>
        </w:rPr>
      </w:pPr>
    </w:p>
    <w:p>
      <w:pPr>
        <w:ind w:left="800"/>
        <w:spacing w:after="0"/>
        <w:tabs>
          <w:tab w:leader="none" w:pos="1280" w:val="left"/>
        </w:tabs>
        <w:rPr>
          <w:rFonts w:ascii="Arial" w:cs="Arial" w:eastAsia="Arial" w:hAnsi="Arial"/>
          <w:sz w:val="17"/>
          <w:szCs w:val="17"/>
          <w:color w:val="auto"/>
        </w:rPr>
      </w:pPr>
      <w:hyperlink w:anchor="page152">
        <w:r>
          <w:rPr>
            <w:rFonts w:ascii="Arial" w:cs="Arial" w:eastAsia="Arial" w:hAnsi="Arial"/>
            <w:sz w:val="18"/>
            <w:szCs w:val="18"/>
            <w:color w:val="auto"/>
          </w:rPr>
          <w:t>31.1</w:t>
        </w:r>
      </w:hyperlink>
      <w:r>
        <w:rPr>
          <w:rFonts w:ascii="Arial" w:cs="Arial" w:eastAsia="Arial" w:hAnsi="Arial"/>
          <w:sz w:val="18"/>
          <w:szCs w:val="18"/>
          <w:color w:val="auto"/>
        </w:rPr>
        <w:tab/>
      </w:r>
      <w:hyperlink w:anchor="page152">
        <w:r>
          <w:rPr>
            <w:rFonts w:ascii="Arial" w:cs="Arial" w:eastAsia="Arial" w:hAnsi="Arial"/>
            <w:sz w:val="17"/>
            <w:szCs w:val="17"/>
            <w:color w:val="auto"/>
          </w:rPr>
          <w:t>Certification of Chief Executive Officer Required by Rule 13a-14(a) (17 CFR 240.13a-14(a)).</w:t>
        </w:r>
      </w:hyperlink>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107  </w:t>
      </w:r>
      <w:r>
        <w:rPr>
          <w:sz w:val="1"/>
          <w:szCs w:val="1"/>
          <w:color w:val="auto"/>
        </w:rPr>
        <w:drawing>
          <wp:inline distT="0" distB="0" distL="0" distR="0">
            <wp:extent cx="600075" cy="111125"/>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9">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40" w:top="964" w:right="399" w:bottom="1440" w:gutter="0" w:footer="0" w:header="0"/>
        </w:sectPr>
      </w:pPr>
    </w:p>
    <w:bookmarkStart w:id="110" w:name="page111"/>
    <w:bookmarkEnd w:id="110"/>
    <w:tbl>
      <w:tblPr>
        <w:tblLayout w:type="fixed"/>
        <w:tblInd w:w="340" w:type="dxa"/>
        <w:tblCellMar>
          <w:top w:w="0" w:type="dxa"/>
          <w:left w:w="0" w:type="dxa"/>
          <w:bottom w:w="0" w:type="dxa"/>
          <w:right w:w="0" w:type="dxa"/>
        </w:tblCellMar>
      </w:tblPr>
      <w:tr>
        <w:trPr>
          <w:trHeight w:val="161"/>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660" w:type="dxa"/>
            <w:vAlign w:val="bottom"/>
            <w:vMerge w:val="restart"/>
          </w:tcPr>
          <w:p>
            <w:pPr>
              <w:ind w:left="23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29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820"/>
        <w:spacing w:after="0"/>
        <w:tabs>
          <w:tab w:leader="none" w:pos="1300" w:val="left"/>
        </w:tabs>
        <w:rPr>
          <w:rFonts w:ascii="Arial" w:cs="Arial" w:eastAsia="Arial" w:hAnsi="Arial"/>
          <w:sz w:val="17"/>
          <w:szCs w:val="17"/>
          <w:color w:val="auto"/>
        </w:rPr>
      </w:pPr>
      <w:hyperlink w:anchor="page153">
        <w:r>
          <w:rPr>
            <w:rFonts w:ascii="Arial" w:cs="Arial" w:eastAsia="Arial" w:hAnsi="Arial"/>
            <w:sz w:val="18"/>
            <w:szCs w:val="18"/>
            <w:color w:val="auto"/>
          </w:rPr>
          <w:t>31.2</w:t>
        </w:r>
      </w:hyperlink>
      <w:r>
        <w:rPr>
          <w:rFonts w:ascii="Arial" w:cs="Arial" w:eastAsia="Arial" w:hAnsi="Arial"/>
          <w:sz w:val="18"/>
          <w:szCs w:val="18"/>
          <w:color w:val="auto"/>
        </w:rPr>
        <w:tab/>
      </w:r>
      <w:hyperlink w:anchor="page153">
        <w:r>
          <w:rPr>
            <w:rFonts w:ascii="Arial" w:cs="Arial" w:eastAsia="Arial" w:hAnsi="Arial"/>
            <w:sz w:val="17"/>
            <w:szCs w:val="17"/>
            <w:color w:val="auto"/>
          </w:rPr>
          <w:t>Certification of Chief Financial Officer Required by Rule 13a-14(a) (17 CFR 240.13a-14(a)).</w:t>
        </w:r>
      </w:hyperlink>
    </w:p>
    <w:p>
      <w:pPr>
        <w:spacing w:after="0" w:line="23" w:lineRule="exact"/>
        <w:rPr>
          <w:sz w:val="20"/>
          <w:szCs w:val="20"/>
          <w:color w:val="auto"/>
        </w:rPr>
      </w:pPr>
    </w:p>
    <w:p>
      <w:pPr>
        <w:ind w:left="1320" w:right="520" w:hanging="493"/>
        <w:spacing w:after="0" w:line="227" w:lineRule="auto"/>
        <w:tabs>
          <w:tab w:leader="none" w:pos="1300" w:val="left"/>
        </w:tabs>
        <w:rPr>
          <w:rFonts w:ascii="Arial" w:cs="Arial" w:eastAsia="Arial" w:hAnsi="Arial"/>
          <w:sz w:val="18"/>
          <w:szCs w:val="18"/>
          <w:color w:val="auto"/>
        </w:rPr>
      </w:pPr>
      <w:hyperlink w:anchor="page154">
        <w:r>
          <w:rPr>
            <w:rFonts w:ascii="Arial" w:cs="Arial" w:eastAsia="Arial" w:hAnsi="Arial"/>
            <w:sz w:val="18"/>
            <w:szCs w:val="18"/>
            <w:color w:val="auto"/>
          </w:rPr>
          <w:t>32.1</w:t>
        </w:r>
      </w:hyperlink>
      <w:r>
        <w:rPr>
          <w:rFonts w:ascii="Arial" w:cs="Arial" w:eastAsia="Arial" w:hAnsi="Arial"/>
          <w:sz w:val="18"/>
          <w:szCs w:val="18"/>
          <w:color w:val="auto"/>
        </w:rPr>
        <w:tab/>
      </w:r>
      <w:hyperlink w:anchor="page154">
        <w:r>
          <w:rPr>
            <w:rFonts w:ascii="Arial" w:cs="Arial" w:eastAsia="Arial" w:hAnsi="Arial"/>
            <w:sz w:val="18"/>
            <w:szCs w:val="18"/>
            <w:color w:val="auto"/>
          </w:rPr>
          <w:t>Certification of Chief Executive Officer Pursuant to 18 U.S.C. Section 1350, as adopted pursuant to Section 906 of the</w:t>
        </w:r>
      </w:hyperlink>
      <w:r>
        <w:rPr>
          <w:rFonts w:ascii="Arial" w:cs="Arial" w:eastAsia="Arial" w:hAnsi="Arial"/>
          <w:sz w:val="18"/>
          <w:szCs w:val="18"/>
          <w:color w:val="auto"/>
        </w:rPr>
        <w:t xml:space="preserve"> </w:t>
      </w:r>
      <w:hyperlink w:anchor="page154">
        <w:r>
          <w:rPr>
            <w:rFonts w:ascii="Arial" w:cs="Arial" w:eastAsia="Arial" w:hAnsi="Arial"/>
            <w:sz w:val="18"/>
            <w:szCs w:val="18"/>
            <w:color w:val="auto"/>
          </w:rPr>
          <w:t>Sarbanes-Oxley Act of 2002.</w:t>
        </w:r>
      </w:hyperlink>
    </w:p>
    <w:p>
      <w:pPr>
        <w:spacing w:after="0" w:line="13" w:lineRule="exact"/>
        <w:rPr>
          <w:rFonts w:ascii="Arial" w:cs="Arial" w:eastAsia="Arial" w:hAnsi="Arial"/>
          <w:sz w:val="18"/>
          <w:szCs w:val="18"/>
          <w:color w:val="auto"/>
        </w:rPr>
      </w:pPr>
    </w:p>
    <w:p>
      <w:pPr>
        <w:ind w:left="1320" w:right="580" w:hanging="493"/>
        <w:spacing w:after="0" w:line="227" w:lineRule="auto"/>
        <w:tabs>
          <w:tab w:leader="none" w:pos="1300" w:val="left"/>
        </w:tabs>
        <w:rPr>
          <w:rFonts w:ascii="Arial" w:cs="Arial" w:eastAsia="Arial" w:hAnsi="Arial"/>
          <w:sz w:val="18"/>
          <w:szCs w:val="18"/>
          <w:color w:val="auto"/>
        </w:rPr>
      </w:pPr>
      <w:hyperlink w:anchor="page155">
        <w:r>
          <w:rPr>
            <w:rFonts w:ascii="Arial" w:cs="Arial" w:eastAsia="Arial" w:hAnsi="Arial"/>
            <w:sz w:val="18"/>
            <w:szCs w:val="18"/>
            <w:color w:val="auto"/>
          </w:rPr>
          <w:t>32.2</w:t>
        </w:r>
      </w:hyperlink>
      <w:r>
        <w:rPr>
          <w:rFonts w:ascii="Arial" w:cs="Arial" w:eastAsia="Arial" w:hAnsi="Arial"/>
          <w:sz w:val="18"/>
          <w:szCs w:val="18"/>
          <w:color w:val="auto"/>
        </w:rPr>
        <w:tab/>
      </w:r>
      <w:hyperlink w:anchor="page155">
        <w:r>
          <w:rPr>
            <w:rFonts w:ascii="Arial" w:cs="Arial" w:eastAsia="Arial" w:hAnsi="Arial"/>
            <w:sz w:val="18"/>
            <w:szCs w:val="18"/>
            <w:color w:val="auto"/>
          </w:rPr>
          <w:t>Certification of Chief Financial Officer Pursuant to 18 U.S.C. Section 1350, as adopted pursuant to Section 906 of the</w:t>
        </w:r>
      </w:hyperlink>
      <w:r>
        <w:rPr>
          <w:rFonts w:ascii="Arial" w:cs="Arial" w:eastAsia="Arial" w:hAnsi="Arial"/>
          <w:sz w:val="18"/>
          <w:szCs w:val="18"/>
          <w:color w:val="auto"/>
        </w:rPr>
        <w:t xml:space="preserve"> </w:t>
      </w:r>
      <w:hyperlink w:anchor="page155">
        <w:r>
          <w:rPr>
            <w:rFonts w:ascii="Arial" w:cs="Arial" w:eastAsia="Arial" w:hAnsi="Arial"/>
            <w:sz w:val="18"/>
            <w:szCs w:val="18"/>
            <w:color w:val="auto"/>
          </w:rPr>
          <w:t>Sarbanes-Oxley Act of 2002.</w:t>
        </w:r>
      </w:hyperlink>
    </w:p>
    <w:p>
      <w:pPr>
        <w:spacing w:after="0" w:line="13" w:lineRule="exact"/>
        <w:rPr>
          <w:rFonts w:ascii="Arial" w:cs="Arial" w:eastAsia="Arial" w:hAnsi="Arial"/>
          <w:sz w:val="18"/>
          <w:szCs w:val="18"/>
          <w:color w:val="auto"/>
        </w:rPr>
      </w:pPr>
    </w:p>
    <w:p>
      <w:pPr>
        <w:ind w:left="1320" w:right="280" w:hanging="501"/>
        <w:spacing w:after="0" w:line="213" w:lineRule="auto"/>
        <w:tabs>
          <w:tab w:leader="none" w:pos="1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following financial statements and notes from the AbbVie Inc. Annual Report on Form 10-K for the year ended December 31, 2020 filed on February 19, 2021, formatted in Inline XBRL (eXtensible Business Reporting Language): (i) Consolidated Statements of Earnings; (ii) Consolidated Statements of Comprehensive Income; (iii) Consolidated Balance Sheets; (iv) Consolidated Statements of Equity; (v) Consolidated Statements of Cash Flows; and (vi) the Notes to Consolidated Financial Statements.</w:t>
      </w:r>
    </w:p>
    <w:p>
      <w:pPr>
        <w:spacing w:after="0" w:line="13" w:lineRule="exact"/>
        <w:rPr>
          <w:rFonts w:ascii="Arial" w:cs="Arial" w:eastAsia="Arial" w:hAnsi="Arial"/>
          <w:sz w:val="18"/>
          <w:szCs w:val="18"/>
          <w:color w:val="auto"/>
        </w:rPr>
      </w:pPr>
    </w:p>
    <w:p>
      <w:pPr>
        <w:ind w:left="1320" w:right="440" w:hanging="442"/>
        <w:spacing w:after="0" w:line="227" w:lineRule="auto"/>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Cover Page Interactive Data File (the cover page from the AbbVie Inc. Annual Report on Form 10-K formatted as Inline XBRL and contained in Exhibit 101).</w:t>
      </w:r>
    </w:p>
    <w:p>
      <w:pPr>
        <w:spacing w:after="0" w:line="13" w:lineRule="exact"/>
        <w:rPr>
          <w:rFonts w:ascii="Arial" w:cs="Arial" w:eastAsia="Arial" w:hAnsi="Arial"/>
          <w:sz w:val="18"/>
          <w:szCs w:val="18"/>
          <w:color w:val="auto"/>
        </w:rPr>
      </w:pPr>
    </w:p>
    <w:p>
      <w:pPr>
        <w:ind w:left="1320" w:right="60"/>
        <w:spacing w:after="0" w:line="227" w:lineRule="auto"/>
        <w:rPr>
          <w:rFonts w:ascii="Arial" w:cs="Arial" w:eastAsia="Arial" w:hAnsi="Arial"/>
          <w:sz w:val="18"/>
          <w:szCs w:val="18"/>
          <w:color w:val="auto"/>
        </w:rPr>
      </w:pPr>
      <w:r>
        <w:rPr>
          <w:rFonts w:ascii="Arial" w:cs="Arial" w:eastAsia="Arial" w:hAnsi="Arial"/>
          <w:sz w:val="18"/>
          <w:szCs w:val="18"/>
          <w:color w:val="auto"/>
        </w:rPr>
        <w:t>The AbbVie Inc. 2021 Definitive Proxy Statement will be filed with the Securities and Exchange Commission under separate cover on or about March 22, 2021.</w:t>
      </w:r>
    </w:p>
    <w:p>
      <w:pPr>
        <w:spacing w:after="0" w:line="35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4" w:lineRule="exact"/>
        <w:rPr>
          <w:rFonts w:ascii="Arial" w:cs="Arial" w:eastAsia="Arial" w:hAnsi="Arial"/>
          <w:sz w:val="18"/>
          <w:szCs w:val="18"/>
          <w:color w:val="auto"/>
        </w:rPr>
      </w:pPr>
    </w:p>
    <w:p>
      <w:pPr>
        <w:ind w:left="280" w:hanging="272"/>
        <w:spacing w:after="0"/>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herein by reference. Commission file number 001-35565.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 required to be filed as an exhibit hereto.</w:t>
      </w:r>
    </w:p>
    <w:p>
      <w:pPr>
        <w:spacing w:after="0" w:line="252" w:lineRule="exact"/>
        <w:rPr>
          <w:rFonts w:ascii="Arial" w:cs="Arial" w:eastAsia="Arial" w:hAnsi="Arial"/>
          <w:sz w:val="18"/>
          <w:szCs w:val="18"/>
          <w:color w:val="auto"/>
        </w:rPr>
      </w:pPr>
    </w:p>
    <w:p>
      <w:pPr>
        <w:ind w:right="20" w:firstLine="200"/>
        <w:spacing w:after="0" w:line="256" w:lineRule="auto"/>
        <w:rPr>
          <w:sz w:val="20"/>
          <w:szCs w:val="20"/>
          <w:color w:val="auto"/>
        </w:rPr>
      </w:pPr>
      <w:r>
        <w:rPr>
          <w:rFonts w:ascii="Arial" w:cs="Arial" w:eastAsia="Arial" w:hAnsi="Arial"/>
          <w:sz w:val="18"/>
          <w:szCs w:val="18"/>
          <w:color w:val="auto"/>
        </w:rPr>
        <w:t>Exhibits 32.1 and 32.2, above, are furnished herewith and should not be deemed to be "filed" under the Securities Exchange Act of 1934. AbbVie will furnish copies of any of the above exhibits to a stockholder upon written request to the Secretary, AbbVie Inc., 1 North Waukegan Road, North Chicago, Illinois 60064.</w:t>
      </w:r>
    </w:p>
    <w:p>
      <w:pPr>
        <w:spacing w:after="0" w:line="375" w:lineRule="exact"/>
        <w:rPr>
          <w:rFonts w:ascii="Arial" w:cs="Arial" w:eastAsia="Arial" w:hAnsi="Arial"/>
          <w:sz w:val="18"/>
          <w:szCs w:val="18"/>
          <w:color w:val="auto"/>
        </w:rPr>
      </w:pPr>
    </w:p>
    <w:p>
      <w:pPr>
        <w:jc w:val="right"/>
        <w:spacing w:after="0"/>
        <w:tabs>
          <w:tab w:leader="none" w:pos="1560" w:val="left"/>
        </w:tabs>
        <w:rPr>
          <w:sz w:val="20"/>
          <w:szCs w:val="20"/>
          <w:color w:val="auto"/>
        </w:rPr>
      </w:pPr>
      <w:r>
        <w:rPr>
          <w:rFonts w:ascii="Arial" w:cs="Arial" w:eastAsia="Arial" w:hAnsi="Arial"/>
          <w:sz w:val="18"/>
          <w:szCs w:val="18"/>
          <w:i w:val="1"/>
          <w:iCs w:val="1"/>
          <w:color w:val="auto"/>
        </w:rPr>
        <w:t>2020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600075" cy="11112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1">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108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64" w:right="359" w:bottom="1440" w:gutter="0" w:footer="0" w:header="0"/>
        </w:sectPr>
      </w:pPr>
    </w:p>
    <w:bookmarkStart w:id="111" w:name="page112"/>
    <w:bookmarkEnd w:id="111"/>
    <w:p>
      <w:pPr>
        <w:spacing w:after="0"/>
        <w:rPr>
          <w:sz w:val="20"/>
          <w:szCs w:val="20"/>
          <w:color w:val="auto"/>
        </w:rPr>
      </w:pPr>
      <w:r>
        <w:rPr>
          <w:rFonts w:ascii="Arial" w:cs="Arial" w:eastAsia="Arial" w:hAnsi="Arial"/>
          <w:sz w:val="21"/>
          <w:szCs w:val="21"/>
          <w:b w:val="1"/>
          <w:bCs w:val="1"/>
          <w:color w:val="444867"/>
        </w:rPr>
        <w:t>ITEM 16. 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 xml:space="preserve">109  </w:t>
      </w:r>
      <w:r>
        <w:rPr>
          <w:sz w:val="1"/>
          <w:szCs w:val="1"/>
          <w:color w:val="auto"/>
        </w:rPr>
        <w:drawing>
          <wp:inline distT="0" distB="0" distL="0" distR="0">
            <wp:extent cx="600075" cy="11176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4">
                      <a:extLst>
                        <a:ext uri="{28A0092B-C50C-407E-A947-70E740481C1C}"/>
                      </a:extLst>
                    </a:blip>
                    <a:srcRect/>
                    <a:stretch>
                      <a:fillRect/>
                    </a:stretch>
                  </pic:blipFill>
                  <pic:spPr bwMode="auto">
                    <a:xfrm>
                      <a:off x="0" y="0"/>
                      <a:ext cx="600075" cy="11176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7"/>
          <w:szCs w:val="17"/>
          <w:i w:val="1"/>
          <w:iCs w:val="1"/>
          <w:color w:val="000000"/>
        </w:rPr>
        <w:t>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47" w:right="1440" w:bottom="1440" w:gutter="0" w:footer="0" w:header="0"/>
        </w:sectPr>
      </w:pPr>
    </w:p>
    <w:bookmarkStart w:id="112" w:name="page113"/>
    <w:bookmarkEnd w:id="112"/>
    <w:p>
      <w:pPr>
        <w:jc w:val="center"/>
        <w:spacing w:after="0"/>
        <w:rPr>
          <w:sz w:val="20"/>
          <w:szCs w:val="20"/>
          <w:color w:val="auto"/>
        </w:rPr>
      </w:pPr>
      <w:r>
        <w:rPr>
          <w:rFonts w:ascii="Arial" w:cs="Arial" w:eastAsia="Arial" w:hAnsi="Arial"/>
          <w:sz w:val="22"/>
          <w:szCs w:val="22"/>
          <w:b w:val="1"/>
          <w:bCs w:val="1"/>
          <w:color w:val="444867"/>
        </w:rPr>
        <w:t>SIGNATURES</w:t>
      </w:r>
    </w:p>
    <w:p>
      <w:pPr>
        <w:spacing w:after="0" w:line="157"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AbbVie Inc.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5160" w:type="dxa"/>
        <w:tblCellMar>
          <w:top w:w="0" w:type="dxa"/>
          <w:left w:w="0" w:type="dxa"/>
          <w:bottom w:w="0" w:type="dxa"/>
          <w:right w:w="0" w:type="dxa"/>
        </w:tblCellMar>
      </w:tblPr>
      <w:tr>
        <w:trPr>
          <w:trHeight w:val="217"/>
        </w:trPr>
        <w:tc>
          <w:tcPr>
            <w:tcW w:w="1040" w:type="dxa"/>
            <w:vAlign w:val="bottom"/>
          </w:tcPr>
          <w:p>
            <w:pPr>
              <w:spacing w:after="0"/>
              <w:rPr>
                <w:sz w:val="20"/>
                <w:szCs w:val="20"/>
                <w:color w:val="auto"/>
              </w:rPr>
            </w:pPr>
            <w:r>
              <w:rPr>
                <w:rFonts w:ascii="Arial" w:cs="Arial" w:eastAsia="Arial" w:hAnsi="Arial"/>
                <w:sz w:val="18"/>
                <w:szCs w:val="18"/>
                <w:color w:val="auto"/>
              </w:rPr>
              <w:t>AbbVie Inc.</w:t>
            </w:r>
          </w:p>
        </w:tc>
        <w:tc>
          <w:tcPr>
            <w:tcW w:w="92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29"/>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A. GONZALEZ</w:t>
            </w:r>
          </w:p>
        </w:tc>
      </w:tr>
      <w:tr>
        <w:trPr>
          <w:trHeight w:val="223"/>
        </w:trPr>
        <w:tc>
          <w:tcPr>
            <w:tcW w:w="104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4120" w:type="dxa"/>
            <w:vAlign w:val="bottom"/>
          </w:tcPr>
          <w:p>
            <w:pPr>
              <w:ind w:left="380"/>
              <w:spacing w:after="0"/>
              <w:rPr>
                <w:sz w:val="20"/>
                <w:szCs w:val="20"/>
                <w:color w:val="auto"/>
              </w:rPr>
            </w:pPr>
            <w:r>
              <w:rPr>
                <w:rFonts w:ascii="Arial" w:cs="Arial" w:eastAsia="Arial" w:hAnsi="Arial"/>
                <w:sz w:val="18"/>
                <w:szCs w:val="18"/>
                <w:color w:val="auto"/>
              </w:rPr>
              <w:t>Richard A. Gonzalez</w:t>
            </w:r>
          </w:p>
        </w:tc>
      </w:tr>
      <w:tr>
        <w:trPr>
          <w:trHeight w:val="188"/>
        </w:trPr>
        <w:tc>
          <w:tcPr>
            <w:tcW w:w="1040" w:type="dxa"/>
            <w:vAlign w:val="bottom"/>
          </w:tcPr>
          <w:p>
            <w:pPr>
              <w:spacing w:after="0"/>
              <w:rPr>
                <w:sz w:val="16"/>
                <w:szCs w:val="16"/>
                <w:color w:val="auto"/>
              </w:rPr>
            </w:pPr>
          </w:p>
        </w:tc>
        <w:tc>
          <w:tcPr>
            <w:tcW w:w="920" w:type="dxa"/>
            <w:vAlign w:val="bottom"/>
          </w:tcPr>
          <w:p>
            <w:pPr>
              <w:spacing w:after="0" w:line="189" w:lineRule="exact"/>
              <w:rPr>
                <w:sz w:val="20"/>
                <w:szCs w:val="20"/>
                <w:color w:val="auto"/>
              </w:rPr>
            </w:pPr>
            <w:r>
              <w:rPr>
                <w:rFonts w:ascii="Arial" w:cs="Arial" w:eastAsia="Arial" w:hAnsi="Arial"/>
                <w:sz w:val="18"/>
                <w:szCs w:val="18"/>
                <w:color w:val="auto"/>
              </w:rPr>
              <w:t>Title:</w:t>
            </w:r>
          </w:p>
        </w:tc>
        <w:tc>
          <w:tcPr>
            <w:tcW w:w="4120" w:type="dxa"/>
            <w:vAlign w:val="bottom"/>
          </w:tcPr>
          <w:p>
            <w:pPr>
              <w:ind w:left="380"/>
              <w:spacing w:after="0" w:line="189" w:lineRule="exact"/>
              <w:rPr>
                <w:sz w:val="20"/>
                <w:szCs w:val="20"/>
                <w:color w:val="auto"/>
              </w:rPr>
            </w:pPr>
            <w:r>
              <w:rPr>
                <w:rFonts w:ascii="Arial" w:cs="Arial" w:eastAsia="Arial" w:hAnsi="Arial"/>
                <w:sz w:val="18"/>
                <w:szCs w:val="18"/>
                <w:color w:val="auto"/>
              </w:rPr>
              <w:t>Chairman of the Board and</w:t>
            </w:r>
          </w:p>
        </w:tc>
      </w:tr>
      <w:tr>
        <w:trPr>
          <w:trHeight w:val="217"/>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tcPr>
          <w:p>
            <w:pPr>
              <w:ind w:left="380"/>
              <w:spacing w:after="0"/>
              <w:rPr>
                <w:sz w:val="20"/>
                <w:szCs w:val="20"/>
                <w:color w:val="auto"/>
              </w:rPr>
            </w:pPr>
            <w:r>
              <w:rPr>
                <w:rFonts w:ascii="Arial" w:cs="Arial" w:eastAsia="Arial" w:hAnsi="Arial"/>
                <w:sz w:val="18"/>
                <w:szCs w:val="18"/>
                <w:color w:val="auto"/>
              </w:rPr>
              <w:t>Chief Executive Officer</w:t>
            </w:r>
          </w:p>
        </w:tc>
      </w:tr>
      <w:tr>
        <w:trPr>
          <w:trHeight w:val="229"/>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gridSpan w:val="2"/>
          </w:tcPr>
          <w:p>
            <w:pPr>
              <w:spacing w:after="0"/>
              <w:rPr>
                <w:sz w:val="20"/>
                <w:szCs w:val="20"/>
                <w:color w:val="auto"/>
              </w:rPr>
            </w:pPr>
            <w:r>
              <w:rPr>
                <w:rFonts w:ascii="Arial" w:cs="Arial" w:eastAsia="Arial" w:hAnsi="Arial"/>
                <w:sz w:val="18"/>
                <w:szCs w:val="18"/>
                <w:color w:val="auto"/>
              </w:rPr>
              <w:t>February 19, 2021</w:t>
            </w:r>
          </w:p>
        </w:tc>
      </w:tr>
    </w:tbl>
    <w:p>
      <w:pPr>
        <w:spacing w:after="0" w:line="200" w:lineRule="exact"/>
        <w:rPr>
          <w:sz w:val="20"/>
          <w:szCs w:val="20"/>
          <w:color w:val="auto"/>
        </w:rPr>
      </w:pPr>
    </w:p>
    <w:p>
      <w:pPr>
        <w:spacing w:after="0" w:line="299" w:lineRule="exact"/>
        <w:rPr>
          <w:sz w:val="20"/>
          <w:szCs w:val="20"/>
          <w:color w:val="auto"/>
        </w:rPr>
      </w:pPr>
    </w:p>
    <w:p>
      <w:pPr>
        <w:ind w:right="300" w:firstLine="445"/>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AbbVie Inc. on February 19, 2021 in the capacities indicated below.</w:t>
      </w:r>
    </w:p>
    <w:p>
      <w:pPr>
        <w:sectPr>
          <w:pgSz w:w="11900" w:h="16838" w:orient="portrait"/>
          <w:cols w:equalWidth="0" w:num="1">
            <w:col w:w="11240"/>
          </w:cols>
          <w:pgMar w:left="320" w:top="1079" w:right="339" w:bottom="1440" w:gutter="0" w:footer="0" w:header="0"/>
        </w:sectPr>
      </w:pPr>
    </w:p>
    <w:p>
      <w:pPr>
        <w:spacing w:after="0" w:line="40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229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6">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Richard A. Gonzalez</w:t>
      </w:r>
    </w:p>
    <w:p>
      <w:pPr>
        <w:jc w:val="center"/>
        <w:ind w:right="1060"/>
        <w:spacing w:after="0" w:line="203" w:lineRule="auto"/>
        <w:rPr>
          <w:sz w:val="20"/>
          <w:szCs w:val="20"/>
          <w:color w:val="auto"/>
        </w:rPr>
      </w:pPr>
      <w:r>
        <w:rPr>
          <w:rFonts w:ascii="Arial" w:cs="Arial" w:eastAsia="Arial" w:hAnsi="Arial"/>
          <w:sz w:val="18"/>
          <w:szCs w:val="18"/>
          <w:color w:val="auto"/>
        </w:rPr>
        <w:t>Chairman of the Board and</w:t>
      </w:r>
    </w:p>
    <w:p>
      <w:pPr>
        <w:jc w:val="center"/>
        <w:ind w:right="1060"/>
        <w:spacing w:after="0" w:line="203"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(Principal Executive Officer)</w:t>
      </w:r>
    </w:p>
    <w:p>
      <w:pPr>
        <w:spacing w:after="0" w:line="7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 BRIAN L.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229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7">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ind w:left="2180"/>
        <w:spacing w:after="0"/>
        <w:rPr>
          <w:sz w:val="20"/>
          <w:szCs w:val="20"/>
          <w:color w:val="auto"/>
        </w:rPr>
      </w:pPr>
      <w:r>
        <w:rPr>
          <w:rFonts w:ascii="Arial" w:cs="Arial" w:eastAsia="Arial" w:hAnsi="Arial"/>
          <w:sz w:val="18"/>
          <w:szCs w:val="18"/>
          <w:color w:val="auto"/>
        </w:rPr>
        <w:t>Brian L. Durkin</w:t>
      </w:r>
    </w:p>
    <w:p>
      <w:pPr>
        <w:jc w:val="center"/>
        <w:ind w:right="1060"/>
        <w:spacing w:after="0" w:line="203" w:lineRule="auto"/>
        <w:rPr>
          <w:sz w:val="20"/>
          <w:szCs w:val="20"/>
          <w:color w:val="auto"/>
        </w:rPr>
      </w:pPr>
      <w:r>
        <w:rPr>
          <w:rFonts w:ascii="Arial" w:cs="Arial" w:eastAsia="Arial" w:hAnsi="Arial"/>
          <w:sz w:val="18"/>
          <w:szCs w:val="18"/>
          <w:color w:val="auto"/>
        </w:rPr>
        <w:t>Vice President, Controller</w:t>
      </w:r>
    </w:p>
    <w:p>
      <w:pPr>
        <w:ind w:left="1620"/>
        <w:spacing w:after="0"/>
        <w:rPr>
          <w:sz w:val="20"/>
          <w:szCs w:val="20"/>
          <w:color w:val="auto"/>
        </w:rPr>
      </w:pPr>
      <w:r>
        <w:rPr>
          <w:rFonts w:ascii="Arial" w:cs="Arial" w:eastAsia="Arial" w:hAnsi="Arial"/>
          <w:sz w:val="18"/>
          <w:szCs w:val="18"/>
          <w:color w:val="auto"/>
        </w:rPr>
        <w:t>(Principal Accounting Officer)</w:t>
      </w:r>
    </w:p>
    <w:p>
      <w:pPr>
        <w:spacing w:after="0" w:line="77"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/s/ ROBERT J. ALPERN,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35229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8">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Robert J. Alpern, M.D.</w:t>
      </w:r>
    </w:p>
    <w:p>
      <w:pPr>
        <w:ind w:left="1880"/>
        <w:spacing w:after="0"/>
        <w:rPr>
          <w:sz w:val="20"/>
          <w:szCs w:val="20"/>
          <w:color w:val="auto"/>
        </w:rPr>
      </w:pPr>
      <w:r>
        <w:rPr>
          <w:rFonts w:ascii="Arial" w:cs="Arial" w:eastAsia="Arial" w:hAnsi="Arial"/>
          <w:sz w:val="18"/>
          <w:szCs w:val="18"/>
          <w:color w:val="auto"/>
        </w:rPr>
        <w:t>Director of AbbVie Inc.</w:t>
      </w:r>
    </w:p>
    <w:p>
      <w:pPr>
        <w:spacing w:after="0" w:line="7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 WILLIAM H.L. BURNSIDE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229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9">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8"/>
          <w:szCs w:val="18"/>
          <w:color w:val="auto"/>
        </w:rPr>
        <w:t>William H.L. Burnside</w:t>
      </w:r>
    </w:p>
    <w:p>
      <w:pPr>
        <w:ind w:left="1880"/>
        <w:spacing w:after="0"/>
        <w:rPr>
          <w:sz w:val="20"/>
          <w:szCs w:val="20"/>
          <w:color w:val="auto"/>
        </w:rPr>
      </w:pPr>
      <w:r>
        <w:rPr>
          <w:rFonts w:ascii="Arial" w:cs="Arial" w:eastAsia="Arial" w:hAnsi="Arial"/>
          <w:sz w:val="18"/>
          <w:szCs w:val="18"/>
          <w:color w:val="auto"/>
        </w:rPr>
        <w:t>Director of AbbVie Inc.</w:t>
      </w:r>
    </w:p>
    <w:p>
      <w:pPr>
        <w:spacing w:after="0" w:line="77"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 BRETT J.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229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0">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jc w:val="center"/>
        <w:ind w:right="1060"/>
        <w:spacing w:after="0"/>
        <w:rPr>
          <w:sz w:val="20"/>
          <w:szCs w:val="20"/>
          <w:color w:val="auto"/>
        </w:rPr>
      </w:pPr>
      <w:r>
        <w:rPr>
          <w:rFonts w:ascii="Arial" w:cs="Arial" w:eastAsia="Arial" w:hAnsi="Arial"/>
          <w:sz w:val="18"/>
          <w:szCs w:val="18"/>
          <w:color w:val="auto"/>
        </w:rPr>
        <w:t>Brett J. Hart</w:t>
      </w:r>
    </w:p>
    <w:p>
      <w:pPr>
        <w:ind w:left="1880"/>
        <w:spacing w:after="0"/>
        <w:rPr>
          <w:sz w:val="20"/>
          <w:szCs w:val="20"/>
          <w:color w:val="auto"/>
        </w:rPr>
      </w:pPr>
      <w:r>
        <w:rPr>
          <w:rFonts w:ascii="Arial" w:cs="Arial" w:eastAsia="Arial" w:hAnsi="Arial"/>
          <w:sz w:val="18"/>
          <w:szCs w:val="18"/>
          <w:color w:val="auto"/>
        </w:rPr>
        <w:t>Director of AbbVie Inc.</w:t>
      </w:r>
    </w:p>
    <w:p>
      <w:pPr>
        <w:spacing w:after="0" w:line="7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 MELODY B.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229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1">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jc w:val="center"/>
        <w:ind w:right="1060"/>
        <w:spacing w:after="0"/>
        <w:rPr>
          <w:sz w:val="20"/>
          <w:szCs w:val="20"/>
          <w:color w:val="auto"/>
        </w:rPr>
      </w:pPr>
      <w:r>
        <w:rPr>
          <w:rFonts w:ascii="Arial" w:cs="Arial" w:eastAsia="Arial" w:hAnsi="Arial"/>
          <w:sz w:val="18"/>
          <w:szCs w:val="18"/>
          <w:color w:val="auto"/>
        </w:rPr>
        <w:t>Melody B. Meyer</w:t>
      </w:r>
    </w:p>
    <w:p>
      <w:pPr>
        <w:jc w:val="center"/>
        <w:ind w:right="1060"/>
        <w:spacing w:after="0"/>
        <w:rPr>
          <w:sz w:val="20"/>
          <w:szCs w:val="20"/>
          <w:color w:val="auto"/>
        </w:rPr>
      </w:pPr>
      <w:r>
        <w:rPr>
          <w:rFonts w:ascii="Arial" w:cs="Arial" w:eastAsia="Arial" w:hAnsi="Arial"/>
          <w:sz w:val="18"/>
          <w:szCs w:val="18"/>
          <w:color w:val="auto"/>
        </w:rPr>
        <w:t>Director of AbbVie Inc.</w:t>
      </w:r>
    </w:p>
    <w:p>
      <w:pPr>
        <w:spacing w:after="0" w:line="7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 REBECCA B.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229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2">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Rebecca B. Roberts</w:t>
      </w:r>
    </w:p>
    <w:p>
      <w:pPr>
        <w:ind w:left="1880"/>
        <w:spacing w:after="0"/>
        <w:rPr>
          <w:sz w:val="20"/>
          <w:szCs w:val="20"/>
          <w:color w:val="auto"/>
        </w:rPr>
      </w:pPr>
      <w:r>
        <w:rPr>
          <w:rFonts w:ascii="Arial" w:cs="Arial" w:eastAsia="Arial" w:hAnsi="Arial"/>
          <w:sz w:val="18"/>
          <w:szCs w:val="18"/>
          <w:color w:val="auto"/>
        </w:rPr>
        <w:t>Director of AbbVie Inc.</w:t>
      </w:r>
    </w:p>
    <w:p>
      <w:pPr>
        <w:spacing w:after="0" w:line="77"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/s/ FREDERICK H. WADDELL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35229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3">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8"/>
          <w:szCs w:val="18"/>
          <w:color w:val="auto"/>
        </w:rPr>
        <w:t>Frederick H. Waddell</w:t>
      </w:r>
    </w:p>
    <w:p>
      <w:pPr>
        <w:ind w:left="1880"/>
        <w:spacing w:after="0"/>
        <w:rPr>
          <w:sz w:val="20"/>
          <w:szCs w:val="20"/>
          <w:color w:val="auto"/>
        </w:rPr>
      </w:pPr>
      <w:r>
        <w:rPr>
          <w:rFonts w:ascii="Arial" w:cs="Arial" w:eastAsia="Arial" w:hAnsi="Arial"/>
          <w:sz w:val="18"/>
          <w:szCs w:val="18"/>
          <w:color w:val="auto"/>
        </w:rPr>
        <w:t>Director of AbbVie Inc.</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ROBERT A.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6350</wp:posOffset>
            </wp:positionV>
            <wp:extent cx="35229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4">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Robert A. Michael</w:t>
      </w:r>
    </w:p>
    <w:p>
      <w:pPr>
        <w:jc w:val="center"/>
        <w:ind w:right="1720"/>
        <w:spacing w:after="0" w:line="203" w:lineRule="auto"/>
        <w:rPr>
          <w:sz w:val="20"/>
          <w:szCs w:val="20"/>
          <w:color w:val="auto"/>
        </w:rPr>
      </w:pPr>
      <w:r>
        <w:rPr>
          <w:rFonts w:ascii="Arial" w:cs="Arial" w:eastAsia="Arial" w:hAnsi="Arial"/>
          <w:sz w:val="18"/>
          <w:szCs w:val="18"/>
          <w:color w:val="auto"/>
        </w:rPr>
        <w:t>Executive Vice President,</w:t>
      </w:r>
    </w:p>
    <w:p>
      <w:pPr>
        <w:jc w:val="center"/>
        <w:ind w:right="172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right="1720"/>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ROXANNE S.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6350</wp:posOffset>
            </wp:positionV>
            <wp:extent cx="35229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5">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Roxanne S. Austin</w:t>
      </w:r>
    </w:p>
    <w:p>
      <w:pPr>
        <w:jc w:val="center"/>
        <w:ind w:right="1720"/>
        <w:spacing w:after="0"/>
        <w:rPr>
          <w:sz w:val="20"/>
          <w:szCs w:val="20"/>
          <w:color w:val="auto"/>
        </w:rPr>
      </w:pPr>
      <w:r>
        <w:rPr>
          <w:rFonts w:ascii="Arial" w:cs="Arial" w:eastAsia="Arial" w:hAnsi="Arial"/>
          <w:sz w:val="18"/>
          <w:szCs w:val="18"/>
          <w:color w:val="auto"/>
        </w:rPr>
        <w:t>Director of AbbVie Inc.</w:t>
      </w:r>
    </w:p>
    <w:p>
      <w:pPr>
        <w:spacing w:after="0" w:line="77" w:lineRule="exact"/>
        <w:rPr>
          <w:sz w:val="20"/>
          <w:szCs w:val="20"/>
          <w:color w:val="auto"/>
        </w:rPr>
      </w:pPr>
    </w:p>
    <w:p>
      <w:pPr>
        <w:jc w:val="center"/>
        <w:ind w:right="1720"/>
        <w:spacing w:after="0"/>
        <w:rPr>
          <w:sz w:val="20"/>
          <w:szCs w:val="20"/>
          <w:color w:val="auto"/>
        </w:rPr>
      </w:pPr>
      <w:r>
        <w:rPr>
          <w:rFonts w:ascii="Arial" w:cs="Arial" w:eastAsia="Arial" w:hAnsi="Arial"/>
          <w:sz w:val="17"/>
          <w:szCs w:val="17"/>
          <w:color w:val="auto"/>
        </w:rPr>
        <w:t>/s/ THOMAS C. FREYMAN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13335</wp:posOffset>
            </wp:positionV>
            <wp:extent cx="35229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6">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jc w:val="center"/>
        <w:ind w:right="1720"/>
        <w:spacing w:after="0"/>
        <w:rPr>
          <w:sz w:val="20"/>
          <w:szCs w:val="20"/>
          <w:color w:val="auto"/>
        </w:rPr>
      </w:pPr>
      <w:r>
        <w:rPr>
          <w:rFonts w:ascii="Arial" w:cs="Arial" w:eastAsia="Arial" w:hAnsi="Arial"/>
          <w:sz w:val="18"/>
          <w:szCs w:val="18"/>
          <w:color w:val="auto"/>
        </w:rPr>
        <w:t>Thomas C. Freyman</w:t>
      </w:r>
    </w:p>
    <w:p>
      <w:pPr>
        <w:jc w:val="center"/>
        <w:ind w:right="1720"/>
        <w:spacing w:after="0"/>
        <w:rPr>
          <w:sz w:val="20"/>
          <w:szCs w:val="20"/>
          <w:color w:val="auto"/>
        </w:rPr>
      </w:pPr>
      <w:r>
        <w:rPr>
          <w:rFonts w:ascii="Arial" w:cs="Arial" w:eastAsia="Arial" w:hAnsi="Arial"/>
          <w:sz w:val="18"/>
          <w:szCs w:val="18"/>
          <w:color w:val="auto"/>
        </w:rPr>
        <w:t>Director of AbbVie Inc.</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EDWARD M. LIDDY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6350</wp:posOffset>
            </wp:positionV>
            <wp:extent cx="35229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7">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Edward M. Liddy</w:t>
      </w:r>
    </w:p>
    <w:p>
      <w:pPr>
        <w:ind w:left="180"/>
        <w:spacing w:after="0"/>
        <w:rPr>
          <w:sz w:val="20"/>
          <w:szCs w:val="20"/>
          <w:color w:val="auto"/>
        </w:rPr>
      </w:pPr>
      <w:r>
        <w:rPr>
          <w:rFonts w:ascii="Arial" w:cs="Arial" w:eastAsia="Arial" w:hAnsi="Arial"/>
          <w:sz w:val="18"/>
          <w:szCs w:val="18"/>
          <w:color w:val="auto"/>
        </w:rPr>
        <w:t>Director of AbbVie Inc.</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EDWARD J. RAPP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6350</wp:posOffset>
            </wp:positionV>
            <wp:extent cx="35229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8">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jc w:val="center"/>
        <w:ind w:right="1720"/>
        <w:spacing w:after="0"/>
        <w:rPr>
          <w:sz w:val="20"/>
          <w:szCs w:val="20"/>
          <w:color w:val="auto"/>
        </w:rPr>
      </w:pPr>
      <w:r>
        <w:rPr>
          <w:rFonts w:ascii="Arial" w:cs="Arial" w:eastAsia="Arial" w:hAnsi="Arial"/>
          <w:sz w:val="18"/>
          <w:szCs w:val="18"/>
          <w:color w:val="auto"/>
        </w:rPr>
        <w:t>Edward J. Rapp</w:t>
      </w:r>
    </w:p>
    <w:p>
      <w:pPr>
        <w:jc w:val="center"/>
        <w:ind w:right="1720"/>
        <w:spacing w:after="0"/>
        <w:rPr>
          <w:sz w:val="20"/>
          <w:szCs w:val="20"/>
          <w:color w:val="auto"/>
        </w:rPr>
      </w:pPr>
      <w:r>
        <w:rPr>
          <w:rFonts w:ascii="Arial" w:cs="Arial" w:eastAsia="Arial" w:hAnsi="Arial"/>
          <w:sz w:val="18"/>
          <w:szCs w:val="18"/>
          <w:color w:val="auto"/>
        </w:rPr>
        <w:t>Director of AbbVie Inc.</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GLENN F. TILTON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6350</wp:posOffset>
            </wp:positionV>
            <wp:extent cx="35229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9">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Glenn F. Tilton</w:t>
      </w:r>
    </w:p>
    <w:p>
      <w:pPr>
        <w:ind w:left="180"/>
        <w:spacing w:after="0"/>
        <w:rPr>
          <w:sz w:val="20"/>
          <w:szCs w:val="20"/>
          <w:color w:val="auto"/>
        </w:rPr>
      </w:pPr>
      <w:r>
        <w:rPr>
          <w:rFonts w:ascii="Arial" w:cs="Arial" w:eastAsia="Arial" w:hAnsi="Arial"/>
          <w:sz w:val="18"/>
          <w:szCs w:val="18"/>
          <w:color w:val="auto"/>
        </w:rPr>
        <w:t>Director of AbbVie Inc.</w:t>
      </w:r>
    </w:p>
    <w:p>
      <w:pPr>
        <w:spacing w:after="0" w:line="902" w:lineRule="exact"/>
        <w:rPr>
          <w:sz w:val="20"/>
          <w:szCs w:val="20"/>
          <w:color w:val="auto"/>
        </w:rPr>
      </w:pPr>
    </w:p>
    <w:p>
      <w:pPr>
        <w:sectPr>
          <w:pgSz w:w="11900" w:h="16838" w:orient="portrait"/>
          <w:cols w:equalWidth="0" w:num="2">
            <w:col w:w="6640" w:space="720"/>
            <w:col w:w="3880"/>
          </w:cols>
          <w:pgMar w:left="320" w:top="10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180"/>
        <w:spacing w:after="0"/>
        <w:tabs>
          <w:tab w:leader="none" w:pos="9620" w:val="left"/>
        </w:tabs>
        <w:rPr>
          <w:sz w:val="20"/>
          <w:szCs w:val="20"/>
          <w:color w:val="auto"/>
        </w:rPr>
      </w:pPr>
      <w:r>
        <w:rPr>
          <w:rFonts w:ascii="Arial" w:cs="Arial" w:eastAsia="Arial" w:hAnsi="Arial"/>
          <w:sz w:val="18"/>
          <w:szCs w:val="18"/>
          <w:i w:val="1"/>
          <w:iCs w:val="1"/>
          <w:color w:val="auto"/>
        </w:rPr>
        <w:t>2020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600075" cy="111125"/>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0">
                      <a:extLst>
                        <a:ext uri="{28A0092B-C50C-407E-A947-70E740481C1C}"/>
                      </a:extLst>
                    </a:blip>
                    <a:srcRect/>
                    <a:stretch>
                      <a:fillRect/>
                    </a:stretch>
                  </pic:blipFill>
                  <pic:spPr bwMode="auto">
                    <a:xfrm>
                      <a:off x="0" y="0"/>
                      <a:ext cx="600075" cy="111125"/>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110</w:t>
      </w:r>
    </w:p>
    <w:p>
      <w:pPr>
        <w:sectPr>
          <w:pgSz w:w="11900" w:h="16838" w:orient="portrait"/>
          <w:cols w:equalWidth="0" w:num="1">
            <w:col w:w="11240"/>
          </w:cols>
          <w:pgMar w:left="320" w:top="1079" w:right="339" w:bottom="1440" w:gutter="0" w:footer="0" w:header="0"/>
          <w:type w:val="continuous"/>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line="287"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175" w:lineRule="exact"/>
        <w:rPr>
          <w:sz w:val="20"/>
          <w:szCs w:val="20"/>
          <w:color w:val="auto"/>
        </w:rPr>
      </w:pPr>
    </w:p>
    <w:p>
      <w:pPr>
        <w:jc w:val="both"/>
        <w:ind w:right="60" w:firstLine="648"/>
        <w:spacing w:after="0" w:line="256" w:lineRule="auto"/>
        <w:rPr>
          <w:sz w:val="20"/>
          <w:szCs w:val="20"/>
          <w:color w:val="auto"/>
        </w:rPr>
      </w:pPr>
      <w:r>
        <w:rPr>
          <w:rFonts w:ascii="Arial" w:cs="Arial" w:eastAsia="Arial" w:hAnsi="Arial"/>
          <w:sz w:val="18"/>
          <w:szCs w:val="18"/>
          <w:color w:val="auto"/>
        </w:rPr>
        <w:t>AbbVie Inc. (“AbbVie,” “we,” “us” and “our”) has the following classes of securities registered pursuant to Section 12 of the Securities Exchange Act of 1934, as amended: Common Stock, the 2021 Notes, the 2023 Notes, the May 2024 Notes, the June 2024 Notes, the 2027 Notes, the 2.625% November 2028 Notes, the 2.125% November 2028 Notes, the 2029 Notes and the 2031 Notes (each as defined below).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4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following description of the material terms of our capital stock is a summary only and is qualified in its entirety by reference to the relevant provisions of the General Corporation Law of Delaware, as amended (the “DGCL”), our Amended and Restated Certificate of Incorporation (the “Certificate of Incorporation”) and our Amended and Restated By-laws (as amended, the “By-laws”). You should refer to the Certificate of Incorporation and the By-laws, both of which we have filed as an exhibit to the Annual Report on Form 10-K of which this exhibit is a part. In addition, you should refer to the DGCL, which may also affect the terms of our capital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AbbVie is authorized to issue up to 4 billion shares of common stock, par value $0.01 per share (“Common Stock”), and 200 million shares of preferred stock, par value $0.01 per share (“Preferred Stock”), all of which shares of Preferred Stock are undesignated. AbbVie’s board of directors may establish the rights and preferences of the Preferred Stock from time to time. The Common Stock is listed on the New York Stock Exchange and the Chicago Stock Exchange under the symbol “ABBV.”</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 Rights</w:t>
      </w:r>
    </w:p>
    <w:p>
      <w:pPr>
        <w:spacing w:after="0" w:line="247"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Each holder of Common Stock is entitled to one vote for each share on all matters to be voted upon by the common stockholders, and there are no cumulative voting rights. Except as otherwise provided by law, the Certificate of Incorporation or the By-laws, in all matters other than the election of directors, the affirmative vote of a majority of the shares present in person or represented by proxy at the meeting and entitled to vote on the matter shall be the act of the stockholders.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47" w:lineRule="exact"/>
        <w:rPr>
          <w:sz w:val="20"/>
          <w:szCs w:val="20"/>
          <w:color w:val="auto"/>
        </w:rPr>
      </w:pPr>
    </w:p>
    <w:p>
      <w:pPr>
        <w:ind w:right="360" w:firstLine="648"/>
        <w:spacing w:after="0" w:line="261" w:lineRule="auto"/>
        <w:rPr>
          <w:sz w:val="20"/>
          <w:szCs w:val="20"/>
          <w:color w:val="auto"/>
        </w:rPr>
      </w:pPr>
      <w:r>
        <w:rPr>
          <w:rFonts w:ascii="Arial" w:cs="Arial" w:eastAsia="Arial" w:hAnsi="Arial"/>
          <w:sz w:val="18"/>
          <w:szCs w:val="18"/>
          <w:color w:val="auto"/>
        </w:rPr>
        <w:t>Subject to any preferential rights of any outstanding Preferred Stock, holders of Common Stock are entitled to receive ratably the dividends, if any, as may be declared from time to time by its board of directors out of funds legally available for that purpose.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47"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If there is a liquidation, dissolution or winding up of AbbVie, holders of Common Stock would be entitled to a ratable distribution of its assets remaining after the payment in full of liabilities and any preferential rights of any then outstanding Preferred Stock.</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Preemptive and Other Rights; Sinking Fund</w:t>
      </w:r>
    </w:p>
    <w:p>
      <w:pPr>
        <w:spacing w:after="0" w:line="247"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Holders of Common Stock have no preemptive or conversion rights or other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AbbVie may designate and issue in the future.</w:t>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Preferred Stock</w:t>
      </w:r>
    </w:p>
    <w:p>
      <w:pPr>
        <w:spacing w:after="0" w:line="24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Under the terms of the Certificate of Incorporation, our board of directors is authorized, subject to limitations prescribed by the DGCL and the Certificate of Incorporation, to issue up to 200 million shares of Preferred Stock in one or more series without further action by the holders of our Common Stock. Our board of directors has the discretion, subject to limitations prescribed by the DGCL and the Certificate of Incorporation, to determine the rights, preferences, privileges and restrictions, including voting rights, dividend rights, conversion rights, redemption privileges and liquidation preferences, of each series of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Various Provisions of Delaware Law and AbbVie’s Certificate of Incorporation and By-Laws</w:t>
      </w:r>
    </w:p>
    <w:p>
      <w:pPr>
        <w:spacing w:after="0" w:line="247"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Provisions of the DGCL, the Certificate of Incorporation and the By-Laws could make it more difficult to acquire AbbVie by means of a tender offer, a proxy contest or otherwise, or to remove incumbent officers and directors. These provisions, summarized below, are expected to discourage certain types of coercive takeover practices and takeover bids that AbbVie’s board of directors may consider inadequate and to encourage persons seeking to acquire control of AbbVie to first negotiate with our board of directors.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AbbVie is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fifteen percent (15%) or more of a corporation’s voting stock. The existence of this provision would be expected to have an anti-takeover effect with respect to transactions not approved in advance by AbbVie’s board of directors, including discouraging attempts that might result in a premium over the market price for the shares of Common Stock held by AbbVie’s stockholders.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Board Structure</w:t>
      </w:r>
    </w:p>
    <w:p>
      <w:pPr>
        <w:spacing w:after="0" w:line="247"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The Certificate of Incorporation and By-laws provide that AbbVie’s board of directors be divided into three classes. At any meeting of stockholders for the election of directors at which a quorum is present, the election will be determined by a majority of the votes cast by the stockholders entitled to vote in the election, with directors not receiving a majority of the votes cast required to tender their resignations for consideration by AbbVie’s board of directors, except that in the case of a contested election, the election will be determined by a plurality of the votes cast by the stockholders entitled to vote in the election. Under the classified board provisions, it would take at least two elections of directors for any individual or group to gain control of our board of directors. Accordingly, these provisions could discourage a third party from initiating a proxy contest, making a tender offer or otherwise attempting to gain control of AbbVie.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By-laws provide that AbbVie’s stockholders may only remove its directors for cause.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Amendments to Certificate of Incorporation</w:t>
      </w:r>
    </w:p>
    <w:p>
      <w:pPr>
        <w:spacing w:after="0" w:line="247" w:lineRule="exact"/>
        <w:rPr>
          <w:sz w:val="20"/>
          <w:szCs w:val="20"/>
          <w:color w:val="auto"/>
        </w:rPr>
      </w:pPr>
    </w:p>
    <w:p>
      <w:pPr>
        <w:ind w:right="80" w:firstLine="648"/>
        <w:spacing w:after="0" w:line="278" w:lineRule="auto"/>
        <w:rPr>
          <w:sz w:val="20"/>
          <w:szCs w:val="20"/>
          <w:color w:val="auto"/>
        </w:rPr>
      </w:pPr>
      <w:r>
        <w:rPr>
          <w:rFonts w:ascii="Arial" w:cs="Arial" w:eastAsia="Arial" w:hAnsi="Arial"/>
          <w:sz w:val="17"/>
          <w:szCs w:val="17"/>
          <w:color w:val="auto"/>
        </w:rPr>
        <w:t>The Certificate of Incorporation provides that the affirmative vote of the holders of at least eighty percent (80%) of AbbVie’s voting stock then outstanding is required to amend certain provisions relating to the number, term and removal of its directors, the filling of its board vacancies, the calling of special meetings of stockholders, stockholder action by written consent, and director and officer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3" w:right="339" w:bottom="1440" w:gutter="0" w:footer="0" w:header="0"/>
        </w:sectPr>
      </w:pPr>
    </w:p>
    <w:bookmarkStart w:id="115" w:name="page116"/>
    <w:bookmarkEnd w:id="115"/>
    <w:p>
      <w:pPr>
        <w:ind w:left="660"/>
        <w:spacing w:after="0"/>
        <w:rPr>
          <w:sz w:val="20"/>
          <w:szCs w:val="20"/>
          <w:color w:val="auto"/>
        </w:rPr>
      </w:pPr>
      <w:r>
        <w:rPr>
          <w:rFonts w:ascii="Arial" w:cs="Arial" w:eastAsia="Arial" w:hAnsi="Arial"/>
          <w:sz w:val="18"/>
          <w:szCs w:val="18"/>
          <w:b w:val="1"/>
          <w:bCs w:val="1"/>
          <w:i w:val="1"/>
          <w:iCs w:val="1"/>
          <w:color w:val="auto"/>
        </w:rPr>
        <w:t>Amendments to By-Laws</w:t>
      </w:r>
    </w:p>
    <w:p>
      <w:pPr>
        <w:spacing w:after="0" w:line="24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By-laws provide that they may be amended by AbbVie’s board of directors or by the affirmative vote of holders of a majority of AbbVie’s voting stock then outstanding, except that the affirmative vote of holders of at least eighty percent (80%) of AbbVie’s voting stock then outstanding is required to amend certain provisions relating to the number, term and removal of AbbVie’s directors, the filling of its board vacancies, the calling of special meetings of stockholders, stockholder action by written consent, and director and officer indemnification.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Size of Board and Vacancies</w:t>
      </w:r>
    </w:p>
    <w:p>
      <w:pPr>
        <w:spacing w:after="0" w:line="247"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The By-laws provide that the number of directors on our board of directors will be fixed exclusively by its board of directors. Any vacancies created in its board of directors resulting from any increase in the authorized number of directors or the death, resignation, retirement, disqualification, removal from office or other cause will be filled by a majority of AbbVie’s board of directors then in office, even if less than a quorum is present, or by a sole remaining director. Any director appointed to fill a vacancy on AbbVie’s board of directors will be appointed for a term expiring at the next election of the class for which such director has been appointed, and until his or her successor has been elected and qualified.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47"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The Certificate of Incorporation provides that only the chairman of AbbVie’s board of directors, its chief executive officer, any president or its board of directors pursuant to a resolution adopted by a majority of the entire board of directors may call special meetings of AbbVie stockholders. Stockholders may not call special stockholder meetings.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247"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The Certificate of Incorporation provides that any action of AbbVie’s stockholders must be taken at an annual or special meeting of stockholders and may not be effected by written consent of the stockholders.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47"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The By-laws establish advance notice procedures with respect to stockholder proposals and nomination of candidates for election as directors other than nominations made by or at the direction of its board of directors or a committee of its board of directors.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47" w:lineRule="exact"/>
        <w:rPr>
          <w:sz w:val="20"/>
          <w:szCs w:val="20"/>
          <w:color w:val="auto"/>
        </w:rPr>
      </w:pPr>
    </w:p>
    <w:p>
      <w:pPr>
        <w:ind w:right="620" w:firstLine="648"/>
        <w:spacing w:after="0" w:line="261" w:lineRule="auto"/>
        <w:rPr>
          <w:sz w:val="20"/>
          <w:szCs w:val="20"/>
          <w:color w:val="auto"/>
        </w:rPr>
      </w:pPr>
      <w:r>
        <w:rPr>
          <w:rFonts w:ascii="Arial" w:cs="Arial" w:eastAsia="Arial" w:hAnsi="Arial"/>
          <w:sz w:val="18"/>
          <w:szCs w:val="18"/>
          <w:color w:val="auto"/>
        </w:rPr>
        <w:t>The DGCL provides that stockholders are denied the right to cumulate votes in the election of directors unless the company’s certificate of incorporation provides otherwise. The Certificate of Incorporation does not provide for cumulative voting.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4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Our authorized but unissued shares of Common Stock and Preferred Stock are available for future issuance without shareholder approval. The existence of authorized but unissued shares of Common Stock and Preferred Stock could discourage attempts by third parties to obtain control of AbbVie through a merger, tender offer, proxy contest or otherwise by making such attempts more difficult or more costly. For instance, our board of directors may be able to issue Preferred Stock with voting rights or conversion rights that, if exercised, could adversely affect the voting power of the holders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413"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Limitations on Liability, Indemnification of Officers and Directors, and Insurance</w:t>
      </w:r>
    </w:p>
    <w:p>
      <w:pPr>
        <w:spacing w:after="0" w:line="24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as directors, and the Certificate of Incorporation includes such an exculpation provision. The Certificate of Incorporation and By-Laws include provisions that indemnify, to the fullest extent allowable under the DGCL, the personal liability of directors or officers for monetary damages for actions taken as a director or officer of AbbVie, or for serving at AbbVie’s request as a director or officer or another position at another corporation or enterprise, as the case may be. The Certificate of Incorporation and Bylaws also provide that AbbVie must indemnify and advance reasonable expenses to its directors and officers, subject to an undertaking from the indemnified party as may be required under the DGCL. The By-laws expressly authorize AbbVie to carry directors’ and officers’ insurance to protect AbbVie, its directors, officers and certain employees for some liabilities.</w:t>
      </w:r>
    </w:p>
    <w:p>
      <w:pPr>
        <w:spacing w:after="0" w:line="20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limitation of liability and indemnification provisions that are in the Certificate of Incorporation and By-laws may discourage stockholders from bringing a lawsuit against directors for breach of their fiduciary duty. These provisions may also have the effect of reducing the likelihood of derivative litigation against AbbVie’s directors and officers, even though such an action, if successful, might otherwise benefit AbbVie and its stockholders. However, these provisions do not limit or eliminate AbbVie’s rights, or those of any stockholder, to seek non-monetary relief such as injunction or rescission in the event of a breach of a director’s duty of care. The provisions also do not alter the liability of directors under the federal securities laws.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Exclusive Forum</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Certificate of Incorporation provides that unless the board of directors otherwise determines, the Court of Chancery of the State of Delaware will be the sole and exclusive forum for any derivative action or proceeding brought on behalf of AbbVie, any action asserting a claim of breach of a fiduciary duty owed by any director or officer of AbbVie to AbbVie or AbbVie’s stockholders, creditors or other constituents, any action asserting a claim against AbbVie or any director or officer of AbbVie arising pursuant to any provision of the DGCL or the Certificate of Incorporation or By-laws, or any action asserting a claim against AbbVie or any director or officer of AbbVie governed by the internal affairs doctrine. However, if the Court of Chancery of the State of Delaware dismisses any such action for lack of subject matter jurisdiction, the action may be brought in another court sitting in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413" w:right="35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DESCRIPTION OF NOTES</w:t>
      </w:r>
    </w:p>
    <w:p>
      <w:pPr>
        <w:spacing w:after="0" w:line="247" w:lineRule="exact"/>
        <w:rPr>
          <w:sz w:val="20"/>
          <w:szCs w:val="20"/>
          <w:color w:val="auto"/>
        </w:rPr>
      </w:pPr>
    </w:p>
    <w:p>
      <w:pPr>
        <w:ind w:right="260" w:firstLine="648"/>
        <w:spacing w:after="0" w:line="265" w:lineRule="auto"/>
        <w:rPr>
          <w:sz w:val="20"/>
          <w:szCs w:val="20"/>
          <w:color w:val="auto"/>
        </w:rPr>
      </w:pPr>
      <w:r>
        <w:rPr>
          <w:rFonts w:ascii="Arial" w:cs="Arial" w:eastAsia="Arial" w:hAnsi="Arial"/>
          <w:sz w:val="17"/>
          <w:szCs w:val="17"/>
          <w:color w:val="auto"/>
        </w:rPr>
        <w:t>The following description of our 0.500% Senior Notes due 2021 (the “2021 Notes”), our 1.500% Senior Notes due 2023 (the “2023 Notes”), our 1.375% Senior Notes due 2024 (the “May 2024 Notes”), our 1.250% Senior Notes due 2024 (the “June 2024 Notes”), our</w:t>
      </w:r>
    </w:p>
    <w:p>
      <w:pPr>
        <w:spacing w:after="0" w:line="251" w:lineRule="auto"/>
        <w:rPr>
          <w:sz w:val="20"/>
          <w:szCs w:val="20"/>
          <w:color w:val="auto"/>
        </w:rPr>
      </w:pPr>
      <w:r>
        <w:rPr>
          <w:rFonts w:ascii="Arial" w:cs="Arial" w:eastAsia="Arial" w:hAnsi="Arial"/>
          <w:sz w:val="18"/>
          <w:szCs w:val="18"/>
          <w:color w:val="auto"/>
        </w:rPr>
        <w:t>0.750% Senior Notes due 2027 (the “2027 Notes”), our 2.625% Senior Notes due 2028 (the “2.625% November 2028 Notes”), our 2.125% Senior Notes due 2028 (the “2.125% November 2028 Notes”), our 2.125% Senior Notes due 2029 (the “2029 Notes”) and our 1.250% Senior Notes due 2031 (the “2031 Notes,” and together with the 2021 Notes, the 2023 Notes, the May 2024 Notes, the June 2024 Notes, the 2027 Notes, the 2.625% November 2028 Notes, the 2.125% November 2028 Notes and the 2029 Notes, the “Notes”) is a summary and does not purport to be complete and is subject to, and is qualified in its entirety by reference to, all the provisions of the Notes and the Indenture, dated as of November 8, 2012, between AbbVie and U.S. Bank National Association, as trustee (the “Trustee”) (the “Base Indenture”), as supplemented, in the case of the May 2024 Notes and the 2.125% November 2028 Notes, by Supplemental Indenture No. 4, dated as of November 17, 2016, among AbbVie, the Trustee, Elavon Financial Services DAC, U.K. Branch, as paying agent (the “London Paying Agent”), and Elavon Financial Services DAC, as transfer agent and registrar (“Supplemental Indenture No. 4”), as supplemented, in the case of the 2027 Notes and the 2031 Notes, by Supplemental Indenture No. 6, dated as of September 26, 2019, among AbbVie, the Trustee, U.S. Bank National Association, as transfer agent and registrar (the “Registrar”), and the London Paying Agent (“Supplemental Indenture No. 6”), and as supplemented, in the case of the 2021 Notes, the 2023 Notes, the June 2024 Notes, the 2.625% November 2028 Notes and the 2029 Notes, by Supplemental Indenture No. 9, dated as of May 14, 2020, among AbbVie, the Trustee, the Registrar and the London Paying Agent (“Supplemental Indenture No. 9”), which are incorporated by reference as exhibits to the Annual Report on Form 10-K of which this Exhibit 4.1 is a part, including the definitions of certain terms therein and those terms made part thereof by the Trust Indenture Act of 1939, as amended (the “Trust Indenture Act”). The Base Indenture, together with Supplemental Indenture No. 4, Supplemental Indenture No. 6 or Supplemental Indenture No. 9, as applicable, is herein referred to as the “Indenture.” We encourage you to read the Indenture for additional information. In this description all references to “AbbVie,” “we,” “our” and “us” mean AbbVie Inc. only.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7" w:lineRule="exact"/>
        <w:rPr>
          <w:sz w:val="20"/>
          <w:szCs w:val="20"/>
          <w:color w:val="auto"/>
        </w:rPr>
      </w:pPr>
    </w:p>
    <w:p>
      <w:pPr>
        <w:ind w:right="460" w:firstLine="648"/>
        <w:spacing w:after="0" w:line="261" w:lineRule="auto"/>
        <w:rPr>
          <w:sz w:val="20"/>
          <w:szCs w:val="20"/>
          <w:color w:val="auto"/>
        </w:rPr>
      </w:pPr>
      <w:r>
        <w:rPr>
          <w:rFonts w:ascii="Arial" w:cs="Arial" w:eastAsia="Arial" w:hAnsi="Arial"/>
          <w:sz w:val="18"/>
          <w:szCs w:val="18"/>
          <w:color w:val="auto"/>
        </w:rPr>
        <w:t>AbbVie issued €525,068,000 aggregate principal amount of 2021 Notes on November 19, 2020. The 2021 Notes will mature on June 1, 2021. Interest on the 2021 Notes accrues at the rate of 0.500% per annum.</w:t>
      </w:r>
    </w:p>
    <w:p>
      <w:pPr>
        <w:spacing w:after="0" w:line="198" w:lineRule="exact"/>
        <w:rPr>
          <w:sz w:val="20"/>
          <w:szCs w:val="20"/>
          <w:color w:val="auto"/>
        </w:rPr>
      </w:pPr>
    </w:p>
    <w:p>
      <w:pPr>
        <w:ind w:right="460" w:firstLine="648"/>
        <w:spacing w:after="0" w:line="261" w:lineRule="auto"/>
        <w:rPr>
          <w:sz w:val="20"/>
          <w:szCs w:val="20"/>
          <w:color w:val="auto"/>
        </w:rPr>
      </w:pPr>
      <w:r>
        <w:rPr>
          <w:rFonts w:ascii="Arial" w:cs="Arial" w:eastAsia="Arial" w:hAnsi="Arial"/>
          <w:sz w:val="18"/>
          <w:szCs w:val="18"/>
          <w:color w:val="auto"/>
        </w:rPr>
        <w:t>AbbVie issued €409,028,000 aggregate principal amount of 2023 Notes on November 19, 2020. The 2023 Notes will mature on November 15, 2023. Interest on the 2023 Notes accrues at the rate of 1.500% per annum.</w:t>
      </w:r>
    </w:p>
    <w:p>
      <w:pPr>
        <w:spacing w:after="0" w:line="198"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color w:val="auto"/>
        </w:rPr>
        <w:t>AbbVie issued €1,450,000,000 aggregate principal amount of May 2024 Notes on November 17, 2016. The May 2024 Notes will mature on May 17, 2024. Interest on the May 2024 Notes accrues at the rate of 1.375% per annum.</w:t>
      </w:r>
    </w:p>
    <w:p>
      <w:pPr>
        <w:spacing w:after="0" w:line="198" w:lineRule="exact"/>
        <w:rPr>
          <w:sz w:val="20"/>
          <w:szCs w:val="20"/>
          <w:color w:val="auto"/>
        </w:rPr>
      </w:pPr>
    </w:p>
    <w:p>
      <w:pPr>
        <w:ind w:right="440" w:firstLine="648"/>
        <w:spacing w:after="0" w:line="261" w:lineRule="auto"/>
        <w:rPr>
          <w:sz w:val="20"/>
          <w:szCs w:val="20"/>
          <w:color w:val="auto"/>
        </w:rPr>
      </w:pPr>
      <w:r>
        <w:rPr>
          <w:rFonts w:ascii="Arial" w:cs="Arial" w:eastAsia="Arial" w:hAnsi="Arial"/>
          <w:sz w:val="18"/>
          <w:szCs w:val="18"/>
          <w:color w:val="auto"/>
        </w:rPr>
        <w:t>AbbVie issued €577,719,000 aggregate principal amount of June 2024 Notes on November 19, 2020. The June 2024 Notes will mature on June 1, 2024. Interest on the June 2024 Notes accrues at the rate of 1.250% per annum.</w:t>
      </w:r>
    </w:p>
    <w:p>
      <w:pPr>
        <w:spacing w:after="0" w:line="198" w:lineRule="exact"/>
        <w:rPr>
          <w:sz w:val="20"/>
          <w:szCs w:val="20"/>
          <w:color w:val="auto"/>
        </w:rPr>
      </w:pPr>
    </w:p>
    <w:p>
      <w:pPr>
        <w:ind w:right="420" w:firstLine="648"/>
        <w:spacing w:after="0" w:line="261" w:lineRule="auto"/>
        <w:rPr>
          <w:sz w:val="20"/>
          <w:szCs w:val="20"/>
          <w:color w:val="auto"/>
        </w:rPr>
      </w:pPr>
      <w:r>
        <w:rPr>
          <w:rFonts w:ascii="Arial" w:cs="Arial" w:eastAsia="Arial" w:hAnsi="Arial"/>
          <w:sz w:val="18"/>
          <w:szCs w:val="18"/>
          <w:color w:val="auto"/>
        </w:rPr>
        <w:t>AbbVie issued €750,000,000 aggregate principal amount of 2027 Notes on September 26, 2019. The 2027 Notes will mature on November 18, 2027. Interest on the 2027 Notes accrues at the rate of 0.750% per annum.</w:t>
      </w:r>
    </w:p>
    <w:p>
      <w:pPr>
        <w:spacing w:after="0" w:line="198"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AbbVie issued €427,793,000 aggregate principal amount of 2.625% November 2028 Notes on November 19, 2020. The 2.625% November 2028 Notes will mature on November 15, 2028. Interest on the 2.625% November 2028 Notes accrues at the rate of 2.625% per annum.</w:t>
      </w:r>
    </w:p>
    <w:p>
      <w:pPr>
        <w:spacing w:after="0" w:line="202"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AbbVie issued €750,000,000 aggregate principal amount of 2.125% November 2028 Notes on November 17, 2016. The 2.125% November 2028 Notes will mature on November 17, 2028. Interest on the 2.125% November 2028 Notes accrues at the rate of 2.125%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13" w:right="339" w:bottom="1440" w:gutter="0" w:footer="0" w:header="0"/>
        </w:sectPr>
      </w:pPr>
    </w:p>
    <w:bookmarkStart w:id="118" w:name="page119"/>
    <w:bookmarkEnd w:id="118"/>
    <w:p>
      <w:pPr>
        <w:ind w:right="460" w:firstLine="648"/>
        <w:spacing w:after="0" w:line="261" w:lineRule="auto"/>
        <w:rPr>
          <w:sz w:val="20"/>
          <w:szCs w:val="20"/>
          <w:color w:val="auto"/>
        </w:rPr>
      </w:pPr>
      <w:r>
        <w:rPr>
          <w:rFonts w:ascii="Arial" w:cs="Arial" w:eastAsia="Arial" w:hAnsi="Arial"/>
          <w:sz w:val="18"/>
          <w:szCs w:val="18"/>
          <w:color w:val="auto"/>
        </w:rPr>
        <w:t>AbbVie issued €506,088,000 aggregate principal amount of 2029 Notes on November 19, 2020. The 2029 Notes will mature on June 1, 2029. Interest on the 2029 Notes accrues at the rate of 2.125% per annum.</w:t>
      </w:r>
    </w:p>
    <w:p>
      <w:pPr>
        <w:spacing w:after="0" w:line="198" w:lineRule="exact"/>
        <w:rPr>
          <w:sz w:val="20"/>
          <w:szCs w:val="20"/>
          <w:color w:val="auto"/>
        </w:rPr>
      </w:pPr>
    </w:p>
    <w:p>
      <w:pPr>
        <w:ind w:right="420" w:firstLine="648"/>
        <w:spacing w:after="0" w:line="261" w:lineRule="auto"/>
        <w:rPr>
          <w:sz w:val="20"/>
          <w:szCs w:val="20"/>
          <w:color w:val="auto"/>
        </w:rPr>
      </w:pPr>
      <w:r>
        <w:rPr>
          <w:rFonts w:ascii="Arial" w:cs="Arial" w:eastAsia="Arial" w:hAnsi="Arial"/>
          <w:sz w:val="18"/>
          <w:szCs w:val="18"/>
          <w:color w:val="auto"/>
        </w:rPr>
        <w:t>AbbVie issued €650,000,000 aggregate principal amount of 2031 Notes on September 26, 2019. The 2031 Notes will mature on November 18, 2031. Interest on the 2031 Notes accrues at the rate of 1.250% per annum.</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were issued in fully registered form only in denominations of €100,000 and integral multiples of €1,000 in excess thereof.</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the future, AbbVie may, without the consent of the holders, increase the principal amounts of any series of Notes. The Notes of each series and any additional Notes of such series subsequently issued under the Indenture will be treated as a single series or class for all purposes under the Indenture, including, without limitation, waivers, amendments and redemptions, provided that if any such additional Notes are not fungible with the existing Notes for United States federal income tax purposes, such additional Notes will have a separate CUSIP number.</w:t>
      </w:r>
    </w:p>
    <w:p>
      <w:pPr>
        <w:spacing w:after="0" w:line="20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Indenture limits neither the amount of debt that AbbVie may issue under the Indenture, nor the amount of other debt or securities that AbbVie or any of its subsidiaries may issue. AbbVie may issue debt securities under the Indenture from time to time in one or more series, each in an amount authorized prior to issuance. Other than the restrictions contained in the Indenture on secured debt and sale/leaseback transactions described below under “Certain Covenants of AbbVie,” and the restrictions described below under “Consolidation, Merger and Sale of Assets,” the Indenture does not contain any covenants or other provisions designed to protect holders of the debt securities in the event AbbVie participates in a highly leveraged transaction. In addition, the Indenture does not limit AbbVie’s ability to guarantee any indebtedness of its subsidiaries or any other person.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24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Interest is payable in arrears on (i) June 1 of each year for the 2021 Notes, the June 2024 Notes and the 2029 Notes, (ii) November 15 of each year for the 2023 Notes and the 2.625% November 2028 Notes, (iii) May 17 of each year for the May 2024 Notes, (iv) November 17 of each year for the 2.125% November 2028 Notes and (v) November 18 of each year for the 2027 Notes and the 2031 Notes, to the persons in whose names the Notes are registered at the close of business on the date that is (i) in the case of Notes represented by a global note in registered form (“Global Note”), the clearing system business day (which, for these purposes, is a day on which Euroclear SA/NV (“Euroclear”) and Clearstream Banking S.A. (“Clearstream, Luxembourg”) settle payments in euro) immediately prior to the relevant interest payment date and (ii) in all other cases, 15 calendar days prior to the relevant interest payment date (whether or not a business day) (such day, the “Record Date”).</w:t>
      </w:r>
    </w:p>
    <w:p>
      <w:pPr>
        <w:spacing w:after="0" w:line="205"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Interest on the Notes shall be determined on the basis of the actual number of days in the period for which interest is being calculated, and including the last date on which interest was paid or duly provided for on the Notes, but excluding the next following interest payment date. This payment convention is referred to as ACTUAL/ACTUAL (ICMA) as defined in the rulebook of the International Capital Market Association.</w:t>
      </w:r>
    </w:p>
    <w:p>
      <w:pPr>
        <w:spacing w:after="0" w:line="20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Unless otherwise indicated, the term “business day” means any day, other than a Saturday or Sunday, (i) which is not a day on which banking institutions in The City of New York or London are authorized or required by law or executive order to close and (ii) on which the Trans-European Automated Realtime Gross Settlement Express Transfer system, or the TARGET2 system, or any successor thereto, operates.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47"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At any time prior to the Par Call Date applicable to the 2027 Notes and the 2031 Notes, AbbVie may redeem some or all of the Notes of such series at its option, in each case, at AbbVie’s option, at a redemption price equal to the greater of:</w:t>
      </w:r>
    </w:p>
    <w:p>
      <w:pPr>
        <w:spacing w:after="0" w:line="198" w:lineRule="exact"/>
        <w:rPr>
          <w:sz w:val="20"/>
          <w:szCs w:val="20"/>
          <w:color w:val="auto"/>
        </w:rPr>
      </w:pPr>
    </w:p>
    <w:p>
      <w:pPr>
        <w:ind w:left="1280" w:hanging="624"/>
        <w:spacing w:after="0"/>
        <w:tabs>
          <w:tab w:leader="none" w:pos="12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100% of the principal amount of the Notes of that series to be redeemed; and</w:t>
      </w:r>
    </w:p>
    <w:p>
      <w:pPr>
        <w:sectPr>
          <w:pgSz w:w="11900" w:h="16838" w:orient="portrait"/>
          <w:cols w:equalWidth="0" w:num="1">
            <w:col w:w="11240"/>
          </w:cols>
          <w:pgMar w:left="320" w:top="14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435" w:right="339" w:bottom="1440" w:gutter="0" w:footer="0" w:header="0"/>
          <w:type w:val="continuous"/>
        </w:sectPr>
      </w:pPr>
    </w:p>
    <w:bookmarkStart w:id="119" w:name="page120"/>
    <w:bookmarkEnd w:id="119"/>
    <w:p>
      <w:pPr>
        <w:ind w:left="1300" w:right="120" w:hanging="644"/>
        <w:spacing w:after="0" w:line="253" w:lineRule="auto"/>
        <w:tabs>
          <w:tab w:leader="none" w:pos="126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(through the Par Call Date with respect to such Notes assuming for such purpose that such Notes matured on the applicable Par Call Date) of principal and interest on the Notes to be redeemed (exclusive of interest accrued to the date of redemption) discounted to the date of redemption on an annual basis (ACTUAL/ACTUAL (ICMA)) at the applicable Comparable Government Bond Rate (as defined below) plus 25 basis points for the 2027 Notes and 30 basis points for the 2031 Notes.</w:t>
      </w:r>
    </w:p>
    <w:p>
      <w:pPr>
        <w:spacing w:after="0" w:line="205"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At any time prior to the Par Call Date applicable to the 2021 Notes, the 2023 Notes, the May 2024 Notes, the June 2024 Notes, the 2.625% November 2028 Notes, the 2.125% November 2028 Notes and the 2029 Notes, AbbVie may redeem some or all of the Notes of such series at its option, in each case, at AbbVie’s option, at a redemption price equal to the greater of:</w:t>
      </w:r>
    </w:p>
    <w:p>
      <w:pPr>
        <w:spacing w:after="0" w:line="202" w:lineRule="exact"/>
        <w:rPr>
          <w:sz w:val="20"/>
          <w:szCs w:val="20"/>
          <w:color w:val="auto"/>
        </w:rPr>
      </w:pPr>
    </w:p>
    <w:p>
      <w:pPr>
        <w:ind w:left="1280" w:hanging="624"/>
        <w:spacing w:after="0"/>
        <w:tabs>
          <w:tab w:leader="none" w:pos="12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100% of the principal amount of the Notes of that series to be redeemed; and</w:t>
      </w:r>
    </w:p>
    <w:p>
      <w:pPr>
        <w:spacing w:after="0" w:line="225" w:lineRule="exact"/>
        <w:rPr>
          <w:rFonts w:ascii="Arial" w:cs="Arial" w:eastAsia="Arial" w:hAnsi="Arial"/>
          <w:sz w:val="18"/>
          <w:szCs w:val="18"/>
          <w:color w:val="auto"/>
        </w:rPr>
      </w:pPr>
    </w:p>
    <w:p>
      <w:pPr>
        <w:ind w:left="1300" w:right="240" w:hanging="644"/>
        <w:spacing w:after="0" w:line="253" w:lineRule="auto"/>
        <w:tabs>
          <w:tab w:leader="none" w:pos="126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on the Notes to be redeemed (exclusive of interest accrued to the date of redemption) discounted to the date of redemption on an annual basis (ACTUAL/ACTUAL (ICMA)) at the applicable Comparable Government Bond Rate (as defined below) plus 20 basis points for the 2021 Notes, 25 basis points for the 2023 Notes, the May 2024 Notes and the June 2024 Notes, 35 basis points for the 2.625% November 2028 Notes and 30 basis points for the 2.125% November 2028 Notes and the 2029 Notes.</w:t>
      </w:r>
    </w:p>
    <w:p>
      <w:pPr>
        <w:spacing w:after="0" w:line="205"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color w:val="auto"/>
        </w:rPr>
        <w:t>In each case, AbbVie will pay accrued and unpaid interest on the principal amount being redeemed to, but excluding, the date of redemption.</w:t>
      </w:r>
    </w:p>
    <w:p>
      <w:pPr>
        <w:spacing w:after="0" w:line="198"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In addition, at any time on or after the Par Call Date applicable to a series of Notes, AbbVie may redeem some or all of the Notes of such series, at its option, in each case at a redemption price equal to 100% of the principal amount of the Notes of that series to be redeemed, plus, in each case, accrued and unpaid interest on the principal amount being redeemed to, but excluding, the date of redemption.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foregoing discussion of optional redemption, the following definitions are applicable:</w:t>
      </w:r>
    </w:p>
    <w:p>
      <w:pPr>
        <w:spacing w:after="0" w:line="22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“Comparable Government Bond” means, in relation to any Comparable Government Bond Rate calculation, at the discretion of an independent investment bank selected by us, a bond that is a direct obligation of the Federal Republic of Germany (“German government bond”), whose maturity is closest to the maturity of the notes, or if such independent investment bank in its discretion determines that such similar bond is not in issue, such other German government bond as such independent investment bank may, with the advice of three brokers of, and/or market makers in, German government bonds selected by us, determine to be appropriate for determining the Comparable Government Bond Rate.</w:t>
      </w:r>
    </w:p>
    <w:p>
      <w:pPr>
        <w:spacing w:after="0" w:line="20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“Comparable Government Bond Rate” means the yield to maturity, expressed as a percentage (rounded to three decimal places, with 0.0005 being rounded upwards), on the third business day prior to the date fixed for redemption, of the Comparable Government Bond on the basis of the middle market price of the Comparable Government Bond prevailing at 11:00 a.m. (London time) on such business day as determined by an independent investment bank selected by us.</w:t>
      </w:r>
    </w:p>
    <w:p>
      <w:pPr>
        <w:spacing w:after="0" w:line="204"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“Par Call Date” means (i) with respect to the 2021 Notes, May 1, 2021 (one month prior to the maturity date of the 2021 Notes), (ii) with respect to the 2023 Notes, October 15, 2023 (one month prior to the maturity date of the 2023 Notes), (iii) with respect to the May 2024 Notes, February 17, 2024 (three months prior to the maturity date of the May 2024 Notes), (iv) with respect to the June 2024 Notes, March 1, 2024 (three months prior to the maturity date of the June 2024 Notes), (v) with respect to the 2027 Notes, August 18, 2027 (three months prior to the maturity date of the 2027 Notes), (vi) with respect to the 2.625% November 2028 Notes, August 15, 2028 (three months prior to the maturity date of the 2.625% November 2028 Notes), (vii) with respect to the 2.125% November 2028 Notes, August 17, 2028 (three months prior to the maturity date of the 2.125% November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35" w:right="339" w:bottom="1440" w:gutter="0" w:footer="0" w:header="0"/>
        </w:sectPr>
      </w:pPr>
    </w:p>
    <w:bookmarkStart w:id="120" w:name="page121"/>
    <w:bookmarkEnd w:id="120"/>
    <w:p>
      <w:pPr>
        <w:ind w:right="360"/>
        <w:spacing w:after="0" w:line="261" w:lineRule="auto"/>
        <w:rPr>
          <w:sz w:val="20"/>
          <w:szCs w:val="20"/>
          <w:color w:val="auto"/>
        </w:rPr>
      </w:pPr>
      <w:r>
        <w:rPr>
          <w:rFonts w:ascii="Arial" w:cs="Arial" w:eastAsia="Arial" w:hAnsi="Arial"/>
          <w:sz w:val="18"/>
          <w:szCs w:val="18"/>
          <w:color w:val="auto"/>
        </w:rPr>
        <w:t>2028 Notes), (viii) with respect to the 2029 Notes, March 1, 2029 (three months prior to the maturity date of the 2029 Notes) and (ix) with respect to the 2031 Notes, August 18, 2031 (three months prior to the maturity date of the 2031 Notes).</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case of the May 2024 Notes, the 2027 Notes, the 2.125% November 2028 Notes and the 2031 Notes, the notice of redemption will be mailed at least 30 but not more than 60 days before the redemption date (i) in the case of Notes represented by a Global Note, to and through Euroclear or Clearstream, Luxembourg for communication by them to the holders of interests in the Notes, or (ii) in the case of notes in definitive form (“Definitive Notes”), to each holder of record of the Notes to be redeemed at its registered address.</w:t>
      </w:r>
    </w:p>
    <w:p>
      <w:pPr>
        <w:spacing w:after="0" w:line="204"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the case of the 2021 Notes, the 2023 Notes, the June 2024 Notes, the 2.625% November 2028 Notes and the 2029 Notes, the notice of redemption will be mailed at least 15 but not more than 60 days before the redemption date (i) in the case of Notes represented by a Global Note, to and through Euroclear or Clearstream, Luxembourg for communication by them to the holders of interests in the Notes, or (ii) in the case of Definitive Notes, to each holder of record of the Notes to be redeemed at its registered address.</w:t>
      </w:r>
    </w:p>
    <w:p>
      <w:pPr>
        <w:spacing w:after="0" w:line="204"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auto"/>
        </w:rPr>
        <w:t>The notice of redemption for the Notes will state, among other things, the series and amount of Notes to be redeemed, the redemption date, the redemption price and the place or places that payment will be made upon presentation and surrender of Notes to be redeemed.</w:t>
      </w:r>
    </w:p>
    <w:p>
      <w:pPr>
        <w:spacing w:after="0" w:line="202"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Any redemption or notice of redemption in the case of the 2021 Notes, the 2023 Notes, the June 2024 Notes, the 2.625% November 2028 Notes and the 2029 Notes may, at AbbVie’s discretion, be subject to one or more conditions precedent, and, at AbbVie’s discretion, the redemption date may be delayed until such time as any or all such conditions shall be satisfied. AbbVie shall provide written notice to the Trustee prior to the close of business two business days prior to the redemption date if any such redemption has been rescinded or delayed, and upon receipt the Trustee shall provide such notice to each holder of the 2021 Notes, the 2023 Notes, the June 2024 Notes, the 2.625% November 2028 Notes and the 2029 Notes, as applicable, in the same manner in which the notice of redemption was given.</w:t>
      </w:r>
    </w:p>
    <w:p>
      <w:pPr>
        <w:spacing w:after="0" w:line="208"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Unless AbbVie defaults in the payment of the redemption price, interest will cease to accrue on any Notes that have been called for redemption at the redemption date. If fewer than all of the Notes of a series are to be redeemed at any time, (i) in the case of Notes represented by a Global Note, the Notes will be selected in accordance with the rules of Euroclear and/or Clearstream, Luxembourg (to be reflected in the records of Euroclear and Clearstream, Luxembourg as either a pool factor or a reduction in nominal amount, at their discretion), or (ii) in the case of Definitive Notes, the Trustee will select (in the case of the May 2024 Notes, the 2027 Notes, the 2.125% November 2028 Notes and the 2031 Notes, not more than 45 days prior to the redemption date, and in the case of the 2021 Notes, the 2023 Notes, the June 2024 Notes, the 2.625% November 2028 Notes and the 2029 Notes, not more than 30 days prior to the redemption date), the particular Notes or portions thereof for redemption from the outstanding Notes not previously redeemed by random lot.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24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AbbVie will, subject to the exceptions and limitations set forth below, pay as additional interest on each series of the Notes such additional amounts as are necessary in order that the net amount of the principal of, and premium, if any, and interest on such Notes received by a beneficial owner who is not a U.S. person (as defined below), after withholding or deduction for any future tax, assessment or other governmental charge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205" w:lineRule="exact"/>
        <w:rPr>
          <w:sz w:val="20"/>
          <w:szCs w:val="20"/>
          <w:color w:val="auto"/>
        </w:rPr>
      </w:pPr>
    </w:p>
    <w:p>
      <w:pPr>
        <w:ind w:left="1300" w:right="320" w:hanging="644"/>
        <w:spacing w:after="0" w:line="256" w:lineRule="auto"/>
        <w:tabs>
          <w:tab w:leader="none" w:pos="107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holder (or the beneficial owner for whose benefit such holder holds such Note), or a fiduciary, settlor, beneficiary, member or shareholder of the holder if the holder is an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435" w:right="359" w:bottom="1440" w:gutter="0" w:footer="0" w:header="0"/>
        </w:sectPr>
      </w:pPr>
    </w:p>
    <w:bookmarkStart w:id="121" w:name="page122"/>
    <w:bookmarkEnd w:id="121"/>
    <w:p>
      <w:pPr>
        <w:ind w:left="644"/>
        <w:spacing w:after="0" w:line="261" w:lineRule="auto"/>
        <w:rPr>
          <w:sz w:val="20"/>
          <w:szCs w:val="20"/>
          <w:color w:val="auto"/>
        </w:rPr>
      </w:pPr>
      <w:r>
        <w:rPr>
          <w:rFonts w:ascii="Arial" w:cs="Arial" w:eastAsia="Arial" w:hAnsi="Arial"/>
          <w:sz w:val="18"/>
          <w:szCs w:val="18"/>
          <w:color w:val="auto"/>
        </w:rPr>
        <w:t>trust, partnership or corporation, or a person holding a power over an estate or trust administered by a fiduciary holder, being considered as:</w:t>
      </w:r>
    </w:p>
    <w:p>
      <w:pPr>
        <w:spacing w:after="0" w:line="198" w:lineRule="exact"/>
        <w:rPr>
          <w:sz w:val="20"/>
          <w:szCs w:val="20"/>
          <w:color w:val="auto"/>
        </w:rPr>
      </w:pPr>
    </w:p>
    <w:p>
      <w:pPr>
        <w:ind w:left="1304" w:right="680" w:hanging="656"/>
        <w:spacing w:after="0" w:line="261" w:lineRule="auto"/>
        <w:tabs>
          <w:tab w:leader="none" w:pos="1076" w:val="left"/>
        </w:tabs>
        <w:numPr>
          <w:ilvl w:val="1"/>
          <w:numId w:val="58"/>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197" w:lineRule="exact"/>
        <w:rPr>
          <w:rFonts w:ascii="Arial" w:cs="Arial" w:eastAsia="Arial" w:hAnsi="Arial"/>
          <w:sz w:val="18"/>
          <w:szCs w:val="18"/>
          <w:color w:val="auto"/>
        </w:rPr>
      </w:pPr>
    </w:p>
    <w:p>
      <w:pPr>
        <w:ind w:left="1304" w:right="180" w:hanging="656"/>
        <w:spacing w:after="0" w:line="256" w:lineRule="auto"/>
        <w:tabs>
          <w:tab w:leader="none" w:pos="1076" w:val="left"/>
        </w:tabs>
        <w:numPr>
          <w:ilvl w:val="1"/>
          <w:numId w:val="58"/>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Notes or the receipt of any payment or the enforcement of any rights thereunder), including being or having been a citizen or resident of the United States;</w:t>
      </w:r>
    </w:p>
    <w:p>
      <w:pPr>
        <w:spacing w:after="0" w:line="201" w:lineRule="exact"/>
        <w:rPr>
          <w:rFonts w:ascii="Arial" w:cs="Arial" w:eastAsia="Arial" w:hAnsi="Arial"/>
          <w:sz w:val="18"/>
          <w:szCs w:val="18"/>
          <w:color w:val="auto"/>
        </w:rPr>
      </w:pPr>
    </w:p>
    <w:p>
      <w:pPr>
        <w:ind w:left="1304" w:right="500" w:hanging="656"/>
        <w:spacing w:after="0" w:line="256" w:lineRule="auto"/>
        <w:tabs>
          <w:tab w:leader="none" w:pos="1066" w:val="left"/>
        </w:tabs>
        <w:numPr>
          <w:ilvl w:val="1"/>
          <w:numId w:val="58"/>
        </w:numPr>
        <w:rPr>
          <w:rFonts w:ascii="Arial" w:cs="Arial" w:eastAsia="Arial" w:hAnsi="Arial"/>
          <w:sz w:val="18"/>
          <w:szCs w:val="18"/>
          <w:color w:val="auto"/>
        </w:rPr>
      </w:pPr>
      <w:r>
        <w:rPr>
          <w:rFonts w:ascii="Arial" w:cs="Arial" w:eastAsia="Arial" w:hAnsi="Arial"/>
          <w:sz w:val="18"/>
          <w:szCs w:val="18"/>
          <w:color w:val="auto"/>
        </w:rPr>
        <w:t>being or having been a personal holding company, a passive foreign investment company or a controlled foreign corporation for U.S. federal income tax purposes or a corporation that has accumulated earnings to avoid U.S. federal income tax;</w:t>
      </w:r>
    </w:p>
    <w:p>
      <w:pPr>
        <w:spacing w:after="0" w:line="201" w:lineRule="exact"/>
        <w:rPr>
          <w:rFonts w:ascii="Arial" w:cs="Arial" w:eastAsia="Arial" w:hAnsi="Arial"/>
          <w:sz w:val="18"/>
          <w:szCs w:val="18"/>
          <w:color w:val="auto"/>
        </w:rPr>
      </w:pPr>
    </w:p>
    <w:p>
      <w:pPr>
        <w:ind w:left="1304" w:hanging="656"/>
        <w:spacing w:after="0" w:line="261" w:lineRule="auto"/>
        <w:tabs>
          <w:tab w:leader="none" w:pos="1076" w:val="left"/>
        </w:tabs>
        <w:numPr>
          <w:ilvl w:val="1"/>
          <w:numId w:val="58"/>
        </w:numPr>
        <w:rPr>
          <w:rFonts w:ascii="Arial" w:cs="Arial" w:eastAsia="Arial" w:hAnsi="Arial"/>
          <w:sz w:val="18"/>
          <w:szCs w:val="18"/>
          <w:color w:val="auto"/>
        </w:rPr>
      </w:pPr>
      <w:r>
        <w:rPr>
          <w:rFonts w:ascii="Arial" w:cs="Arial" w:eastAsia="Arial" w:hAnsi="Arial"/>
          <w:sz w:val="18"/>
          <w:szCs w:val="18"/>
          <w:color w:val="auto"/>
        </w:rPr>
        <w:t>being or having been a “10-percent shareholder” of AbbVie as defined in section 871(h)(3) of the U.S. Internal Revenue Code of 1986, as amended (the “Code”), or any successor provision; or</w:t>
      </w:r>
    </w:p>
    <w:p>
      <w:pPr>
        <w:spacing w:after="0" w:line="197" w:lineRule="exact"/>
        <w:rPr>
          <w:rFonts w:ascii="Arial" w:cs="Arial" w:eastAsia="Arial" w:hAnsi="Arial"/>
          <w:sz w:val="18"/>
          <w:szCs w:val="18"/>
          <w:color w:val="auto"/>
        </w:rPr>
      </w:pPr>
    </w:p>
    <w:p>
      <w:pPr>
        <w:ind w:left="1304" w:right="460" w:hanging="656"/>
        <w:spacing w:after="0" w:line="261" w:lineRule="auto"/>
        <w:tabs>
          <w:tab w:leader="none" w:pos="1076" w:val="left"/>
        </w:tabs>
        <w:numPr>
          <w:ilvl w:val="1"/>
          <w:numId w:val="58"/>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w:t>
      </w:r>
    </w:p>
    <w:p>
      <w:pPr>
        <w:spacing w:after="0" w:line="197" w:lineRule="exact"/>
        <w:rPr>
          <w:rFonts w:ascii="Arial" w:cs="Arial" w:eastAsia="Arial" w:hAnsi="Arial"/>
          <w:sz w:val="18"/>
          <w:szCs w:val="18"/>
          <w:color w:val="auto"/>
        </w:rPr>
      </w:pPr>
    </w:p>
    <w:p>
      <w:pPr>
        <w:jc w:val="both"/>
        <w:ind w:left="644" w:right="120" w:hanging="644"/>
        <w:spacing w:after="0" w:line="253" w:lineRule="auto"/>
        <w:tabs>
          <w:tab w:leader="none" w:pos="41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any holder that is not the sole beneficial owner of the Notes, or a portion of the Notes,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205" w:lineRule="exact"/>
        <w:rPr>
          <w:rFonts w:ascii="Arial" w:cs="Arial" w:eastAsia="Arial" w:hAnsi="Arial"/>
          <w:sz w:val="18"/>
          <w:szCs w:val="18"/>
          <w:color w:val="auto"/>
        </w:rPr>
      </w:pPr>
    </w:p>
    <w:p>
      <w:pPr>
        <w:ind w:left="644" w:right="80" w:hanging="644"/>
        <w:spacing w:after="0" w:line="252" w:lineRule="auto"/>
        <w:tabs>
          <w:tab w:leader="none" w:pos="41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failure of the holder or beneficial owner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207" w:lineRule="exact"/>
        <w:rPr>
          <w:rFonts w:ascii="Arial" w:cs="Arial" w:eastAsia="Arial" w:hAnsi="Arial"/>
          <w:sz w:val="18"/>
          <w:szCs w:val="18"/>
          <w:color w:val="auto"/>
        </w:rPr>
      </w:pPr>
    </w:p>
    <w:p>
      <w:pPr>
        <w:ind w:left="644" w:right="420" w:hanging="644"/>
        <w:spacing w:after="0" w:line="261" w:lineRule="auto"/>
        <w:tabs>
          <w:tab w:leader="none" w:pos="41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is imposed otherwise than by withholding by AbbVie or a paying agent from the payment;</w:t>
      </w:r>
    </w:p>
    <w:p>
      <w:pPr>
        <w:spacing w:after="0" w:line="197" w:lineRule="exact"/>
        <w:rPr>
          <w:rFonts w:ascii="Arial" w:cs="Arial" w:eastAsia="Arial" w:hAnsi="Arial"/>
          <w:sz w:val="18"/>
          <w:szCs w:val="18"/>
          <w:color w:val="auto"/>
        </w:rPr>
      </w:pPr>
    </w:p>
    <w:p>
      <w:pPr>
        <w:ind w:left="644" w:right="100" w:hanging="644"/>
        <w:spacing w:after="0" w:line="256" w:lineRule="auto"/>
        <w:tabs>
          <w:tab w:leader="none" w:pos="41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201" w:lineRule="exact"/>
        <w:rPr>
          <w:rFonts w:ascii="Arial" w:cs="Arial" w:eastAsia="Arial" w:hAnsi="Arial"/>
          <w:sz w:val="18"/>
          <w:szCs w:val="18"/>
          <w:color w:val="auto"/>
        </w:rPr>
      </w:pPr>
    </w:p>
    <w:p>
      <w:pPr>
        <w:ind w:left="644" w:right="160" w:hanging="644"/>
        <w:spacing w:after="0" w:line="261" w:lineRule="auto"/>
        <w:tabs>
          <w:tab w:leader="none" w:pos="41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tax or similar tax, assessment or other governmental charge;</w:t>
      </w:r>
    </w:p>
    <w:p>
      <w:pPr>
        <w:spacing w:after="0" w:line="197" w:lineRule="exact"/>
        <w:rPr>
          <w:rFonts w:ascii="Arial" w:cs="Arial" w:eastAsia="Arial" w:hAnsi="Arial"/>
          <w:sz w:val="18"/>
          <w:szCs w:val="18"/>
          <w:color w:val="auto"/>
        </w:rPr>
      </w:pPr>
    </w:p>
    <w:p>
      <w:pPr>
        <w:ind w:left="644" w:right="460" w:hanging="644"/>
        <w:spacing w:after="0" w:line="256" w:lineRule="auto"/>
        <w:tabs>
          <w:tab w:leader="none" w:pos="41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201" w:lineRule="exact"/>
        <w:rPr>
          <w:rFonts w:ascii="Arial" w:cs="Arial" w:eastAsia="Arial" w:hAnsi="Arial"/>
          <w:sz w:val="18"/>
          <w:szCs w:val="18"/>
          <w:color w:val="auto"/>
        </w:rPr>
      </w:pPr>
    </w:p>
    <w:p>
      <w:pPr>
        <w:ind w:left="644" w:right="120" w:hanging="644"/>
        <w:spacing w:after="0" w:line="261" w:lineRule="auto"/>
        <w:tabs>
          <w:tab w:leader="none" w:pos="41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presentation by the holder of any Note, where presentation is required, for payment on a</w:t>
      </w:r>
    </w:p>
    <w:p>
      <w:pPr>
        <w:sectPr>
          <w:pgSz w:w="11900" w:h="16838" w:orient="portrait"/>
          <w:cols w:equalWidth="0" w:num="1">
            <w:col w:w="10564"/>
          </w:cols>
          <w:pgMar w:left="976" w:top="14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56"/>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564"/>
          </w:cols>
          <w:pgMar w:left="976" w:top="1435" w:right="359" w:bottom="1440" w:gutter="0" w:footer="0" w:header="0"/>
          <w:type w:val="continuous"/>
        </w:sectPr>
      </w:pPr>
    </w:p>
    <w:bookmarkStart w:id="122" w:name="page123"/>
    <w:bookmarkEnd w:id="122"/>
    <w:p>
      <w:pPr>
        <w:ind w:left="1300" w:right="140"/>
        <w:spacing w:after="0" w:line="261" w:lineRule="auto"/>
        <w:rPr>
          <w:sz w:val="20"/>
          <w:szCs w:val="20"/>
          <w:color w:val="auto"/>
        </w:rPr>
      </w:pPr>
      <w:r>
        <w:rPr>
          <w:rFonts w:ascii="Arial" w:cs="Arial" w:eastAsia="Arial" w:hAnsi="Arial"/>
          <w:sz w:val="18"/>
          <w:szCs w:val="18"/>
          <w:color w:val="auto"/>
        </w:rPr>
        <w:t>date more than 30 days after the date on which payment became due and payable or the date on which payment thereof is duly provided for, whichever occurs later;</w:t>
      </w:r>
    </w:p>
    <w:p>
      <w:pPr>
        <w:spacing w:after="0" w:line="198" w:lineRule="exact"/>
        <w:rPr>
          <w:sz w:val="20"/>
          <w:szCs w:val="20"/>
          <w:color w:val="auto"/>
        </w:rPr>
      </w:pPr>
    </w:p>
    <w:p>
      <w:pPr>
        <w:jc w:val="both"/>
        <w:ind w:left="1300" w:right="20" w:hanging="644"/>
        <w:spacing w:after="0" w:line="254" w:lineRule="auto"/>
        <w:tabs>
          <w:tab w:leader="none" w:pos="107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or withheld but for the beneficial owner being a bank (i) purchasing the Notes in the ordinary course of its lending business or (ii) that is neither (A) buying the Notes for investment purposes only nor (B) buying the Notes for resale to a third-party that either is not a bank or holding the Notes for investment purposes only;</w:t>
      </w:r>
    </w:p>
    <w:p>
      <w:pPr>
        <w:spacing w:after="0" w:line="203" w:lineRule="exact"/>
        <w:rPr>
          <w:rFonts w:ascii="Arial" w:cs="Arial" w:eastAsia="Arial" w:hAnsi="Arial"/>
          <w:sz w:val="18"/>
          <w:szCs w:val="18"/>
          <w:color w:val="auto"/>
        </w:rPr>
      </w:pPr>
    </w:p>
    <w:p>
      <w:pPr>
        <w:ind w:left="1300" w:hanging="644"/>
        <w:spacing w:after="0" w:line="253" w:lineRule="auto"/>
        <w:tabs>
          <w:tab w:leader="none" w:pos="117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any intergovernmental agreement entered into in connection with the implementation of such sections of the Code or any fiscal or regulatory legislation, rules or practices adopted pursuant to any such intergovernmental agreement; or</w:t>
      </w:r>
    </w:p>
    <w:p>
      <w:pPr>
        <w:spacing w:after="0" w:line="205" w:lineRule="exact"/>
        <w:rPr>
          <w:rFonts w:ascii="Arial" w:cs="Arial" w:eastAsia="Arial" w:hAnsi="Arial"/>
          <w:sz w:val="18"/>
          <w:szCs w:val="18"/>
          <w:color w:val="auto"/>
        </w:rPr>
      </w:pPr>
    </w:p>
    <w:p>
      <w:pPr>
        <w:ind w:left="1180" w:hanging="524"/>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case of any combination of items (1), (2), (3), (4), (5), (6), (7), (8), (9) and (10).</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Notes are subject in all cases to any tax, fiscal or other law or regulation or administrative or judicial interpretation applicable to the Notes. Except as specifically provided under this heading “—Payment of Additional Amounts,” AbbVie is not required to make any payment for any tax, assessment or other governmental charge imposed by any government or a political subdivision or taxing authority of or in any government or political subdivision.</w:t>
      </w:r>
    </w:p>
    <w:p>
      <w:pPr>
        <w:spacing w:after="0" w:line="20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As used under this heading “—Payment of Additional Amounts” and under the heading “—Redemption for Tax Reasons”, the term “United States” means the United States of America, the states of the United States, and the District of Columbia, and the term “U.S.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for Tax Reasons</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If, as a result of any change in, or amendment to, the laws (or any regulations or rulings promulgated under the laws) of the United States (or any taxing authority in the United States), or any change in, or amendment to, an official position or judicial precedent regarding the application or interpretation of such laws, regulations or rulings, which change or amendment is announced or becomes effective on or after (i) in the case of the May 2024 Notes, the 2027 Notes, the 2.125% November 2028 Notes and the 2031 Notes, the initial issuance of such series of Notes and (ii) in the case of the 2021 Notes, the 2023 Notes, the June 2024 Notes, the 2.625% November 2028 Notes and the 2029 Notes, October 25, 2019, AbbVie becomes or, based upon a written opinion of independent counsel selected by it, will become obligated to pay additional amounts as described under the heading “—Payment of Additional Amounts” with respect to such series of Notes, then AbbVie may at any time at its option redeem, in whole, but not in part, the Notes of such series on not less than 30 nor more than 60 days’ prior notice, (i) in the case of Notes represented by a Global Note, to and through Euroclear or Clearstream, Luxembourg for communication by them to the holders of interests in the Notes to be so redeemed, or (ii) in the case of Definitive Notes, to each holder of record of the Notes to be redeemed at its registered address, at a redemption price equal to 100% of their principal amount plus accrued and unpaid interest to the redemption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Market Purchases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AbbVie or any of its affiliates may at any time and from time to time purchase Notes in the open market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435" w:right="3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Sinking Fund</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is no provision for a sinking fund for any of the Notes.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are unsecured, unsubordinated obligations of AbbVie and:</w:t>
      </w:r>
    </w:p>
    <w:p>
      <w:pPr>
        <w:spacing w:after="0" w:line="225" w:lineRule="exact"/>
        <w:rPr>
          <w:sz w:val="20"/>
          <w:szCs w:val="20"/>
          <w:color w:val="auto"/>
        </w:rPr>
      </w:pPr>
    </w:p>
    <w:p>
      <w:pPr>
        <w:ind w:left="1300" w:right="240" w:hanging="644"/>
        <w:spacing w:after="0" w:line="261" w:lineRule="auto"/>
        <w:tabs>
          <w:tab w:leader="none" w:pos="12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rank equally in right of payment with all of AbbVie’s existing and future unsecured, unsubordinated indebtedness, liabilities and other obligations;</w:t>
      </w:r>
    </w:p>
    <w:p>
      <w:pPr>
        <w:spacing w:after="0" w:line="197" w:lineRule="exact"/>
        <w:rPr>
          <w:rFonts w:ascii="Arial" w:cs="Arial" w:eastAsia="Arial" w:hAnsi="Arial"/>
          <w:sz w:val="18"/>
          <w:szCs w:val="18"/>
          <w:color w:val="auto"/>
        </w:rPr>
      </w:pPr>
    </w:p>
    <w:p>
      <w:pPr>
        <w:ind w:left="1280" w:hanging="624"/>
        <w:spacing w:after="0"/>
        <w:tabs>
          <w:tab w:leader="none" w:pos="1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rank senior in right of payment to all of AbbVie’s future indebtedness that is subordinated to the Notes;</w:t>
      </w:r>
    </w:p>
    <w:p>
      <w:pPr>
        <w:spacing w:after="0" w:line="225" w:lineRule="exact"/>
        <w:rPr>
          <w:rFonts w:ascii="Arial" w:cs="Arial" w:eastAsia="Arial" w:hAnsi="Arial"/>
          <w:sz w:val="18"/>
          <w:szCs w:val="18"/>
          <w:color w:val="auto"/>
        </w:rPr>
      </w:pPr>
    </w:p>
    <w:p>
      <w:pPr>
        <w:ind w:left="1300" w:right="220" w:hanging="644"/>
        <w:spacing w:after="0" w:line="261" w:lineRule="auto"/>
        <w:tabs>
          <w:tab w:leader="none" w:pos="12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are effectively subordinated in right of payment to all of AbbVie’s existing and future secured indebtedness, to the extent of the value of the assets securing such indebtedness; and</w:t>
      </w:r>
    </w:p>
    <w:p>
      <w:pPr>
        <w:spacing w:after="0" w:line="197" w:lineRule="exact"/>
        <w:rPr>
          <w:rFonts w:ascii="Arial" w:cs="Arial" w:eastAsia="Arial" w:hAnsi="Arial"/>
          <w:sz w:val="18"/>
          <w:szCs w:val="18"/>
          <w:color w:val="auto"/>
        </w:rPr>
      </w:pPr>
    </w:p>
    <w:p>
      <w:pPr>
        <w:ind w:left="1300" w:right="380" w:hanging="644"/>
        <w:spacing w:after="0" w:line="261" w:lineRule="auto"/>
        <w:tabs>
          <w:tab w:leader="none" w:pos="12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are structurally subordinated in right of payment to all existing and future indebtedness, liabilities and other obligations of AbbVie’s subsidiaries.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Euro</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All payments of principal of, and premium, if any, and interest on, the Notes, including payments made upon any redemption of the Notes, are payable in euro. If, on or after the date of the initial issuance of the Notes, we are unable to obtain euro in amounts sufficient to make a required payment under the Notes due to the imposition of exchange controls or other circumstances beyond our control (including the dissolution of the European Monetary Union)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In such circumstances, the amount payable on any date in euro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then most recent U.S. dollar/euro exchange rate available on or prior to the second business day prior to the relevant payment date as determined by us in our sole discretion. Any payment in respect of the Notes so made in U.S. dollar will not constitute an Event of Default under the Notes or the Indenture. Neither the Trustee nor the London Paying Agent shall have any responsibility for any calculation or conversion in connection with the foregoing.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 of AbbVie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Restrictions on Secured Debt</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If AbbVie or any Domestic Subsidiary incurs, issues, assumes or guarantees any indebtedness for borrowed money represented by notes, bonds, debentures or other similar evidences of indebtedness for borrowed money (called “Debt”) and that Debt is secured by a Mortgage on any Principal Domestic Property or any shares of stock or Debt of any Domestic Subsidiary, AbbVie will secure, or cause its Domestic Subsidiary to secure, the Notes equally and ratably with, or prior to, such secured Debt, so long as such secured Debt shall be so secured, unless, after giving effect thereto, the aggregate amount of all such secured Debt, plus all Attributable Debt in respect of Sale and Leaseback Transactions involving Principal Domestic Properties (other than Sale and Leaseback Transactions permitted pursuant to the second bullet under the heading “Restrictions on Sale and Leasebacks” below), would not exceed 15% of AbbVie’s Consolidated Net Assets. This restriction does not apply to, and there shall be excluded from secured Debt in any computation under this restriction, Debt secured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413" w:right="359" w:bottom="1440" w:gutter="0" w:footer="0" w:header="0"/>
        </w:sectPr>
      </w:pPr>
    </w:p>
    <w:bookmarkStart w:id="124" w:name="page125"/>
    <w:bookmarkEnd w:id="124"/>
    <w:p>
      <w:pPr>
        <w:ind w:left="644" w:right="440" w:hanging="644"/>
        <w:spacing w:after="0" w:line="261" w:lineRule="auto"/>
        <w:tabs>
          <w:tab w:leader="none" w:pos="612" w:val="left"/>
        </w:tabs>
        <w:numPr>
          <w:ilvl w:val="0"/>
          <w:numId w:val="62"/>
        </w:numPr>
        <w:rPr>
          <w:rFonts w:ascii="Arial" w:cs="Arial" w:eastAsia="Arial" w:hAnsi="Arial"/>
          <w:sz w:val="18"/>
          <w:szCs w:val="18"/>
          <w:color w:val="auto"/>
        </w:rPr>
      </w:pPr>
      <w:r>
        <w:rPr>
          <w:rFonts w:ascii="Arial" w:cs="Arial" w:eastAsia="Arial" w:hAnsi="Arial"/>
          <w:sz w:val="18"/>
          <w:szCs w:val="18"/>
          <w:color w:val="auto"/>
        </w:rPr>
        <w:t>Mortgages on property of, or on any shares of stock or Debt of, any Person existing at the time such Person becomes a Domestic Subsidiary;</w:t>
      </w:r>
    </w:p>
    <w:p>
      <w:pPr>
        <w:spacing w:after="0" w:line="197" w:lineRule="exact"/>
        <w:rPr>
          <w:rFonts w:ascii="Arial" w:cs="Arial" w:eastAsia="Arial" w:hAnsi="Arial"/>
          <w:sz w:val="18"/>
          <w:szCs w:val="18"/>
          <w:color w:val="auto"/>
        </w:rPr>
      </w:pPr>
    </w:p>
    <w:p>
      <w:pPr>
        <w:ind w:left="624" w:hanging="624"/>
        <w:spacing w:after="0"/>
        <w:tabs>
          <w:tab w:leader="none" w:pos="6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Mortgages in favor of AbbVie or any Subsidiary thereof;</w:t>
      </w:r>
    </w:p>
    <w:p>
      <w:pPr>
        <w:spacing w:after="0" w:line="225" w:lineRule="exact"/>
        <w:rPr>
          <w:rFonts w:ascii="Arial" w:cs="Arial" w:eastAsia="Arial" w:hAnsi="Arial"/>
          <w:sz w:val="18"/>
          <w:szCs w:val="18"/>
          <w:color w:val="auto"/>
        </w:rPr>
      </w:pPr>
    </w:p>
    <w:p>
      <w:pPr>
        <w:ind w:left="644" w:right="140" w:hanging="644"/>
        <w:spacing w:after="0" w:line="254" w:lineRule="auto"/>
        <w:tabs>
          <w:tab w:leader="none" w:pos="612" w:val="left"/>
        </w:tabs>
        <w:numPr>
          <w:ilvl w:val="0"/>
          <w:numId w:val="62"/>
        </w:numPr>
        <w:rPr>
          <w:rFonts w:ascii="Arial" w:cs="Arial" w:eastAsia="Arial" w:hAnsi="Arial"/>
          <w:sz w:val="18"/>
          <w:szCs w:val="18"/>
          <w:color w:val="auto"/>
        </w:rPr>
      </w:pPr>
      <w:r>
        <w:rPr>
          <w:rFonts w:ascii="Arial" w:cs="Arial" w:eastAsia="Arial" w:hAnsi="Arial"/>
          <w:sz w:val="18"/>
          <w:szCs w:val="18"/>
          <w:color w:val="auto"/>
        </w:rPr>
        <w:t>Mortgages on property of AbbVie or a Domestic Subsidiary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w:t>
      </w:r>
    </w:p>
    <w:p>
      <w:pPr>
        <w:spacing w:after="0" w:line="203" w:lineRule="exact"/>
        <w:rPr>
          <w:rFonts w:ascii="Arial" w:cs="Arial" w:eastAsia="Arial" w:hAnsi="Arial"/>
          <w:sz w:val="18"/>
          <w:szCs w:val="18"/>
          <w:color w:val="auto"/>
        </w:rPr>
      </w:pPr>
    </w:p>
    <w:p>
      <w:pPr>
        <w:ind w:left="644" w:right="560" w:hanging="644"/>
        <w:spacing w:after="0" w:line="261" w:lineRule="auto"/>
        <w:tabs>
          <w:tab w:leader="none" w:pos="612" w:val="left"/>
        </w:tabs>
        <w:numPr>
          <w:ilvl w:val="0"/>
          <w:numId w:val="62"/>
        </w:numPr>
        <w:rPr>
          <w:rFonts w:ascii="Arial" w:cs="Arial" w:eastAsia="Arial" w:hAnsi="Arial"/>
          <w:sz w:val="18"/>
          <w:szCs w:val="18"/>
          <w:color w:val="auto"/>
        </w:rPr>
      </w:pPr>
      <w:r>
        <w:rPr>
          <w:rFonts w:ascii="Arial" w:cs="Arial" w:eastAsia="Arial" w:hAnsi="Arial"/>
          <w:sz w:val="18"/>
          <w:szCs w:val="18"/>
          <w:color w:val="auto"/>
        </w:rPr>
        <w:t>Mortgages on property, shares of stock or Debt existing at the time of acquisition thereof (including acquisition through merger or consolidation);</w:t>
      </w:r>
    </w:p>
    <w:p>
      <w:pPr>
        <w:spacing w:after="0" w:line="197" w:lineRule="exact"/>
        <w:rPr>
          <w:rFonts w:ascii="Arial" w:cs="Arial" w:eastAsia="Arial" w:hAnsi="Arial"/>
          <w:sz w:val="18"/>
          <w:szCs w:val="18"/>
          <w:color w:val="auto"/>
        </w:rPr>
      </w:pPr>
    </w:p>
    <w:p>
      <w:pPr>
        <w:ind w:left="644" w:right="40" w:hanging="644"/>
        <w:spacing w:after="0" w:line="253" w:lineRule="auto"/>
        <w:tabs>
          <w:tab w:leader="none" w:pos="612" w:val="left"/>
        </w:tabs>
        <w:numPr>
          <w:ilvl w:val="0"/>
          <w:numId w:val="62"/>
        </w:numPr>
        <w:rPr>
          <w:rFonts w:ascii="Arial" w:cs="Arial" w:eastAsia="Arial" w:hAnsi="Arial"/>
          <w:sz w:val="18"/>
          <w:szCs w:val="18"/>
          <w:color w:val="auto"/>
        </w:rPr>
      </w:pPr>
      <w:r>
        <w:rPr>
          <w:rFonts w:ascii="Arial" w:cs="Arial" w:eastAsia="Arial" w:hAnsi="Arial"/>
          <w:sz w:val="18"/>
          <w:szCs w:val="18"/>
          <w:color w:val="auto"/>
        </w:rPr>
        <w:t>Mortgages to secure the payment of all or any part of the cost of acquisition, construction, development or improvement of the underlying property, or to secure debt incurred to provide funds for any such purpose, provided that the commitment of the creditor to extend the credit secured by any such Mortgage shall have been obtained not later than 365 days after the later of (a) the completion of the acquisition, construction, development or improvement of such property or (b) the placing in operation of such property;</w:t>
      </w:r>
    </w:p>
    <w:p>
      <w:pPr>
        <w:spacing w:after="0" w:line="205" w:lineRule="exact"/>
        <w:rPr>
          <w:rFonts w:ascii="Arial" w:cs="Arial" w:eastAsia="Arial" w:hAnsi="Arial"/>
          <w:sz w:val="18"/>
          <w:szCs w:val="18"/>
          <w:color w:val="auto"/>
        </w:rPr>
      </w:pPr>
    </w:p>
    <w:p>
      <w:pPr>
        <w:ind w:left="644" w:right="200" w:hanging="644"/>
        <w:spacing w:after="0" w:line="261" w:lineRule="auto"/>
        <w:tabs>
          <w:tab w:leader="none" w:pos="612"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with respect to each series of Notes, Mortgages existing on the first date on which a Note of such series was authenticated by the Trustee under the Indenture;</w:t>
      </w:r>
    </w:p>
    <w:p>
      <w:pPr>
        <w:spacing w:after="0" w:line="197" w:lineRule="exact"/>
        <w:rPr>
          <w:rFonts w:ascii="Arial" w:cs="Arial" w:eastAsia="Arial" w:hAnsi="Arial"/>
          <w:sz w:val="18"/>
          <w:szCs w:val="18"/>
          <w:color w:val="auto"/>
        </w:rPr>
      </w:pPr>
    </w:p>
    <w:p>
      <w:pPr>
        <w:ind w:left="624" w:hanging="624"/>
        <w:spacing w:after="0"/>
        <w:tabs>
          <w:tab w:leader="none" w:pos="6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Mortgages incurred in connection with pollution control, industrial revenue or similar financings;</w:t>
      </w:r>
    </w:p>
    <w:p>
      <w:pPr>
        <w:spacing w:after="0" w:line="225" w:lineRule="exact"/>
        <w:rPr>
          <w:rFonts w:ascii="Arial" w:cs="Arial" w:eastAsia="Arial" w:hAnsi="Arial"/>
          <w:sz w:val="18"/>
          <w:szCs w:val="18"/>
          <w:color w:val="auto"/>
        </w:rPr>
      </w:pPr>
    </w:p>
    <w:p>
      <w:pPr>
        <w:ind w:left="644" w:hanging="644"/>
        <w:spacing w:after="0" w:line="254" w:lineRule="auto"/>
        <w:tabs>
          <w:tab w:leader="none" w:pos="612" w:val="left"/>
        </w:tabs>
        <w:numPr>
          <w:ilvl w:val="0"/>
          <w:numId w:val="62"/>
        </w:numPr>
        <w:rPr>
          <w:rFonts w:ascii="Arial" w:cs="Arial" w:eastAsia="Arial" w:hAnsi="Arial"/>
          <w:sz w:val="18"/>
          <w:szCs w:val="18"/>
          <w:color w:val="auto"/>
        </w:rPr>
      </w:pPr>
      <w:r>
        <w:rPr>
          <w:rFonts w:ascii="Arial" w:cs="Arial" w:eastAsia="Arial" w:hAnsi="Arial"/>
          <w:sz w:val="18"/>
          <w:szCs w:val="18"/>
          <w:color w:val="auto"/>
        </w:rPr>
        <w:t>Mortgages created in substitution of or as replacements for any Mortgages referred to in the foregoing list, inclusive, provided that, based on a good faith determination of an officer of AbbVie, the property encumbered under any such substitute or replacement Mortgage is substantially similar in nature to the property encumbered by the otherwise permitted Mortgage which is being replaced; and</w:t>
      </w:r>
    </w:p>
    <w:p>
      <w:pPr>
        <w:spacing w:after="0" w:line="203" w:lineRule="exact"/>
        <w:rPr>
          <w:rFonts w:ascii="Arial" w:cs="Arial" w:eastAsia="Arial" w:hAnsi="Arial"/>
          <w:sz w:val="18"/>
          <w:szCs w:val="18"/>
          <w:color w:val="auto"/>
        </w:rPr>
      </w:pPr>
    </w:p>
    <w:p>
      <w:pPr>
        <w:ind w:left="644" w:right="40" w:hanging="644"/>
        <w:spacing w:after="0" w:line="251" w:lineRule="auto"/>
        <w:tabs>
          <w:tab w:leader="none" w:pos="612"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as a whole or in part, of any Debt secured by any Mortgage referred to in the foregoing list, inclusive, provided that (i) such extension, renewal or replacement Mortgage shall be limited to all or a part of the same property, shares of stock or debt that secured the Mortgage extended, renewed or replaced (plus improvements on such property, and plus any property relating to a specific project, the completion of which is funded pursuant to clause (ii)(b) below), and (ii) the Debt secured by such Mortgage at such time is not increased (other than (a) by an amount equal to any related financing costs (including, but not limited to, the accrued interest and premium, if any, on the Debt being refinanced) and (b) where an additional principal amount of Debt is incurred to provide funds for the completion of a specific project that is subject to a Mortgage securing the Debt being extended, refinanced or renewed, by an amount equal to such additional principal amount).</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Restrictions on Sales and Leasebacks</w:t>
      </w:r>
    </w:p>
    <w:p>
      <w:pPr>
        <w:spacing w:after="0" w:line="247" w:lineRule="exact"/>
        <w:rPr>
          <w:sz w:val="20"/>
          <w:szCs w:val="20"/>
          <w:color w:val="auto"/>
        </w:rPr>
      </w:pPr>
    </w:p>
    <w:p>
      <w:pPr>
        <w:ind w:left="4"/>
        <w:spacing w:after="0"/>
        <w:rPr>
          <w:sz w:val="20"/>
          <w:szCs w:val="20"/>
          <w:color w:val="auto"/>
        </w:rPr>
      </w:pPr>
      <w:r>
        <w:rPr>
          <w:rFonts w:ascii="Arial" w:cs="Arial" w:eastAsia="Arial" w:hAnsi="Arial"/>
          <w:sz w:val="18"/>
          <w:szCs w:val="18"/>
          <w:color w:val="auto"/>
        </w:rPr>
        <w:t>Neither AbbVie nor any Domestic Subsidiary may enter into any Sale and Leaseback Transaction unless either:</w:t>
      </w:r>
    </w:p>
    <w:p>
      <w:pPr>
        <w:spacing w:after="0" w:line="225" w:lineRule="exact"/>
        <w:rPr>
          <w:sz w:val="20"/>
          <w:szCs w:val="20"/>
          <w:color w:val="auto"/>
        </w:rPr>
      </w:pPr>
    </w:p>
    <w:p>
      <w:pPr>
        <w:jc w:val="both"/>
        <w:ind w:left="644" w:right="140" w:hanging="644"/>
        <w:spacing w:after="0" w:line="256" w:lineRule="auto"/>
        <w:tabs>
          <w:tab w:leader="none" w:pos="612" w:val="left"/>
        </w:tabs>
        <w:numPr>
          <w:ilvl w:val="0"/>
          <w:numId w:val="63"/>
        </w:numPr>
        <w:rPr>
          <w:rFonts w:ascii="Arial" w:cs="Arial" w:eastAsia="Arial" w:hAnsi="Arial"/>
          <w:sz w:val="18"/>
          <w:szCs w:val="18"/>
          <w:color w:val="auto"/>
        </w:rPr>
      </w:pPr>
      <w:r>
        <w:rPr>
          <w:rFonts w:ascii="Arial" w:cs="Arial" w:eastAsia="Arial" w:hAnsi="Arial"/>
          <w:sz w:val="18"/>
          <w:szCs w:val="18"/>
          <w:color w:val="auto"/>
        </w:rPr>
        <w:t>AbbVie or such Domestic Subsidiary could incur Debt secured by a Mortgage under the restrictions described above under “Restrictions on Secured Debt” on the Principal Domestic Property to be leased back in an amount equal to the Attributable Debt with respect to such Sale and Leaseback Transaction without equally and ratably securing the Notes;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4"/>
          </w:cols>
          <w:pgMar w:left="976" w:top="1435" w:right="359" w:bottom="1440" w:gutter="0" w:footer="0" w:header="0"/>
        </w:sectPr>
      </w:pPr>
    </w:p>
    <w:bookmarkStart w:id="125" w:name="page126"/>
    <w:bookmarkEnd w:id="125"/>
    <w:p>
      <w:pPr>
        <w:ind w:left="1300" w:right="60" w:hanging="644"/>
        <w:spacing w:after="0" w:line="252" w:lineRule="auto"/>
        <w:tabs>
          <w:tab w:leader="none" w:pos="12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AbbVie, within 180 days after the sale or transfer by AbbVie or by any such Domestic Subsidiary, applies to the retirement of AbbVie’s Funded Debt, an amount equal to the greater of (1) the net proceeds of the sale of the Principal Domestic Property sold and leased back pursuant to such arrangement; or (2) the fair market value of the Principal Domestic Property so sold and leased back at the time of entering into such arrangements (as determined by any two of the following: the chairman of the board of AbbVie, its chief executive officer, an executive vice president, a senior vice president or a vice president, and the chief financial officer, the treasurer or an assistant treasurer), subject to credits for certain voluntary retirements of Funded Debt.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the meanings of terms that are important in understanding the restrictive covenants of AbbVie:</w:t>
      </w:r>
    </w:p>
    <w:p>
      <w:pPr>
        <w:spacing w:after="0" w:line="225" w:lineRule="exact"/>
        <w:rPr>
          <w:sz w:val="20"/>
          <w:szCs w:val="20"/>
          <w:color w:val="auto"/>
        </w:rPr>
      </w:pPr>
    </w:p>
    <w:p>
      <w:pPr>
        <w:ind w:left="1300" w:hanging="644"/>
        <w:spacing w:after="0" w:line="251" w:lineRule="auto"/>
        <w:tabs>
          <w:tab w:leader="none" w:pos="12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“Attributable Debt” means (except as otherwise provided in this paragraph), as to any particular lease under which any Person is at the time liable for a term of more than 12 months, at any date as of which the amount thereof is to be determined (the “Determination Date”), the total net amount of rent required to be paid by such Person under such lease during the remaining term thereof (excluding any subsequent renewal or other extension options held by the lessee), discounted from the respective due dates thereof to the Determination Date at the rate of 8% per annum, compounded monthly. The net amount of rent required to be paid under any such lease for any such period shall be the aggregate amount of the rent payable by the lessee with respect to such period after excluding amounts required to be paid on account of maintenance and repairs, services, insurance, taxes, assessments, water rates and similar charges and contingent rents (such as those based on sales or monetary inflation). If any lease is terminable by the lessee upon the payment of a penalty, if under the terms of the lease the termination right is not exercisable until after the Determination Date, and if the amount of such penalty discounted to the Determination Date at the rate of 8% per annum compounded monthly is less than the net amount of rentals payable after the time as of which such termination could occur (the “Termination Time”) discounted to the Determination Date at the rate of 8% per annum compounded monthly, then such discounted penalty amount shall be used instead of such discounted amount of net rentals payable after the Termination Time in calculating the Attributable Debt for such lease. If any lease is terminable by the lessee upon the payment of a penalty, if such termination right is exercisable on the Determination Date, and if the amount of the net rentals payable under such lease after the Determination Date discounted to the Determination Date at the rate of 8% per annum compounded monthly is greater than the amount of such penalty, the “Attributable Debt” for such lease as of such Determination Date shall be equal to the amount of such penalty.</w:t>
      </w:r>
    </w:p>
    <w:p>
      <w:pPr>
        <w:spacing w:after="0" w:line="207" w:lineRule="exact"/>
        <w:rPr>
          <w:rFonts w:ascii="Arial" w:cs="Arial" w:eastAsia="Arial" w:hAnsi="Arial"/>
          <w:sz w:val="18"/>
          <w:szCs w:val="18"/>
          <w:color w:val="auto"/>
        </w:rPr>
      </w:pPr>
    </w:p>
    <w:p>
      <w:pPr>
        <w:ind w:left="1300" w:right="80" w:hanging="644"/>
        <w:spacing w:after="0" w:line="251" w:lineRule="auto"/>
        <w:tabs>
          <w:tab w:leader="none" w:pos="12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“Consolidated Net Assets” means the aggregate amount of assets (less applicable reserves and other properly deductible items) after deducting therefrom all current liabilities, as set forth on the consolidated balance sheet of AbbVie and its consolidated Subsidiaries prepared as of the end of a fiscal quarter in accordance with generally accepted accounting principles, which AbbVie shall have most recently filed with the Securities and Exchange Commission or otherwise distributed to its shareholders prior to the time as of which “Consolidated Net Assets” shall be determined (which calculation shall give pro forma effect to any acquisition by or disposition of assets of AbbVie or any of its Subsidiaries involving the payment or receipt by AbbVie or any of its Subsidiaries, as applicable, of consideration (whether in the form of cash or non-cash consideration) in excess of $500,000,000 that has occurred since the end of such fiscal quarter, as if such acquisition or disposition had occurred on the last day of such fiscal quarter).</w:t>
      </w:r>
    </w:p>
    <w:p>
      <w:pPr>
        <w:spacing w:after="0" w:line="211" w:lineRule="exact"/>
        <w:rPr>
          <w:rFonts w:ascii="Arial" w:cs="Arial" w:eastAsia="Arial" w:hAnsi="Arial"/>
          <w:sz w:val="18"/>
          <w:szCs w:val="18"/>
          <w:color w:val="auto"/>
        </w:rPr>
      </w:pPr>
    </w:p>
    <w:p>
      <w:pPr>
        <w:ind w:left="1300" w:right="480" w:hanging="644"/>
        <w:spacing w:after="0" w:line="256" w:lineRule="auto"/>
        <w:tabs>
          <w:tab w:leader="none" w:pos="12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“Domestic Subsidiary” means any Subsidiary of AbbVie that transacts substantially all of its business or maintains substantially all of its property within the United States of America (excluding its territories and possessions and Puerto Rico); provided, however, that the term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1435" w:right="359" w:bottom="1440" w:gutter="0" w:footer="0" w:header="0"/>
        </w:sectPr>
      </w:pPr>
    </w:p>
    <w:bookmarkStart w:id="126" w:name="page127"/>
    <w:bookmarkEnd w:id="126"/>
    <w:p>
      <w:pPr>
        <w:ind w:left="644" w:right="180"/>
        <w:spacing w:after="0" w:line="256" w:lineRule="auto"/>
        <w:rPr>
          <w:sz w:val="20"/>
          <w:szCs w:val="20"/>
          <w:color w:val="auto"/>
        </w:rPr>
      </w:pPr>
      <w:r>
        <w:rPr>
          <w:rFonts w:ascii="Arial" w:cs="Arial" w:eastAsia="Arial" w:hAnsi="Arial"/>
          <w:sz w:val="18"/>
          <w:szCs w:val="18"/>
          <w:color w:val="auto"/>
        </w:rPr>
        <w:t>not include any Subsidiary which (1) is engaged primarily in the financing of operations outside of the United States of America or in leasing personal property or financing inventory, receivables or other property or (2) does not own a Principal Domestic Property.</w:t>
      </w:r>
    </w:p>
    <w:p>
      <w:pPr>
        <w:spacing w:after="0" w:line="202" w:lineRule="exact"/>
        <w:rPr>
          <w:sz w:val="20"/>
          <w:szCs w:val="20"/>
          <w:color w:val="auto"/>
        </w:rPr>
      </w:pPr>
    </w:p>
    <w:p>
      <w:pPr>
        <w:jc w:val="both"/>
        <w:ind w:left="644" w:right="80" w:hanging="644"/>
        <w:spacing w:after="0" w:line="254" w:lineRule="auto"/>
        <w:tabs>
          <w:tab w:leader="none" w:pos="612" w:val="left"/>
        </w:tabs>
        <w:numPr>
          <w:ilvl w:val="0"/>
          <w:numId w:val="66"/>
        </w:numPr>
        <w:rPr>
          <w:rFonts w:ascii="Arial" w:cs="Arial" w:eastAsia="Arial" w:hAnsi="Arial"/>
          <w:sz w:val="18"/>
          <w:szCs w:val="18"/>
          <w:color w:val="auto"/>
        </w:rPr>
      </w:pPr>
      <w:r>
        <w:rPr>
          <w:rFonts w:ascii="Arial" w:cs="Arial" w:eastAsia="Arial" w:hAnsi="Arial"/>
          <w:sz w:val="18"/>
          <w:szCs w:val="18"/>
          <w:color w:val="auto"/>
        </w:rPr>
        <w:t>“Funded Debt” means indebtedness of AbbVie (other than the Notes or indebtedness subordinated in right of payment to the Notes) or indebtedness of a wholly-owned Domestic Subsidiary for borrowed money, having a stated maturity more than 12 months from the date of application of Sale and Leaseback Transaction proceeds or which is extendible at the option of the obligor thereon to a date more than 12 months from the date of such application.</w:t>
      </w:r>
    </w:p>
    <w:p>
      <w:pPr>
        <w:spacing w:after="0" w:line="203" w:lineRule="exact"/>
        <w:rPr>
          <w:rFonts w:ascii="Arial" w:cs="Arial" w:eastAsia="Arial" w:hAnsi="Arial"/>
          <w:sz w:val="18"/>
          <w:szCs w:val="18"/>
          <w:color w:val="auto"/>
        </w:rPr>
      </w:pPr>
    </w:p>
    <w:p>
      <w:pPr>
        <w:ind w:left="644" w:right="300" w:hanging="644"/>
        <w:spacing w:after="0" w:line="261" w:lineRule="auto"/>
        <w:tabs>
          <w:tab w:leader="none" w:pos="612"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“Mortgage” means any mortgage, pledge, lien, security interest, conditional sale or other title retention agreement or other similar encumbrance.</w:t>
      </w:r>
    </w:p>
    <w:p>
      <w:pPr>
        <w:spacing w:after="0" w:line="197" w:lineRule="exact"/>
        <w:rPr>
          <w:rFonts w:ascii="Arial" w:cs="Arial" w:eastAsia="Arial" w:hAnsi="Arial"/>
          <w:sz w:val="18"/>
          <w:szCs w:val="18"/>
          <w:color w:val="auto"/>
        </w:rPr>
      </w:pPr>
    </w:p>
    <w:p>
      <w:pPr>
        <w:ind w:left="644" w:right="20" w:hanging="644"/>
        <w:spacing w:after="0" w:line="256" w:lineRule="auto"/>
        <w:tabs>
          <w:tab w:leader="none" w:pos="612"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 means any individual, partnership, corporation (including a business trust), joint stock company, trust, unincorporated association, joint venture, limited liability company or other entity, or a government or any political subdivision or agency thereof.</w:t>
      </w:r>
    </w:p>
    <w:p>
      <w:pPr>
        <w:spacing w:after="0" w:line="201" w:lineRule="exact"/>
        <w:rPr>
          <w:rFonts w:ascii="Arial" w:cs="Arial" w:eastAsia="Arial" w:hAnsi="Arial"/>
          <w:sz w:val="18"/>
          <w:szCs w:val="18"/>
          <w:color w:val="auto"/>
        </w:rPr>
      </w:pPr>
    </w:p>
    <w:p>
      <w:pPr>
        <w:ind w:left="644" w:right="80" w:hanging="644"/>
        <w:spacing w:after="0" w:line="251" w:lineRule="auto"/>
        <w:tabs>
          <w:tab w:leader="none" w:pos="612"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“Principal Domestic Property” means any building, structure or other facility, together with the land upon which it is erected and fixtures comprising a part thereof, used primarily for manufacturing, processing, research, warehousing or distribution and located in the United States of America (excluding its territories and possessions and Puerto Rico), owned or leased by AbbVie or any Domestic Subsidiary and having a net book value which, on the date the determination as to whether a property is a Principal Domestic Property is being made, exceeds 2% of Consolidated Net Assets of AbbVie other than any such building, structure or other facility or a portion thereof (i) which is an air or water pollution control facility financed by State or local governmental obligations or (ii) which the chairman of the board, chief executive officer, an executive vice president, a senior vice president or a vice president and the chief financial officer, treasurer or assistant treasurer of AbbVie determine in good faith, at any time on or prior to such date, is not of material importance to the total business conducted, or assets owned, by AbbVie and its Subsidiaries as an entirety.</w:t>
      </w:r>
    </w:p>
    <w:p>
      <w:pPr>
        <w:spacing w:after="0" w:line="211" w:lineRule="exact"/>
        <w:rPr>
          <w:rFonts w:ascii="Arial" w:cs="Arial" w:eastAsia="Arial" w:hAnsi="Arial"/>
          <w:sz w:val="18"/>
          <w:szCs w:val="18"/>
          <w:color w:val="auto"/>
        </w:rPr>
      </w:pPr>
    </w:p>
    <w:p>
      <w:pPr>
        <w:ind w:left="644" w:right="20" w:hanging="644"/>
        <w:spacing w:after="0" w:line="252" w:lineRule="auto"/>
        <w:tabs>
          <w:tab w:leader="none" w:pos="612" w:val="left"/>
        </w:tabs>
        <w:numPr>
          <w:ilvl w:val="0"/>
          <w:numId w:val="66"/>
        </w:numPr>
        <w:rPr>
          <w:rFonts w:ascii="Arial" w:cs="Arial" w:eastAsia="Arial" w:hAnsi="Arial"/>
          <w:sz w:val="18"/>
          <w:szCs w:val="18"/>
          <w:color w:val="auto"/>
        </w:rPr>
      </w:pPr>
      <w:r>
        <w:rPr>
          <w:rFonts w:ascii="Arial" w:cs="Arial" w:eastAsia="Arial" w:hAnsi="Arial"/>
          <w:sz w:val="18"/>
          <w:szCs w:val="18"/>
          <w:color w:val="auto"/>
        </w:rPr>
        <w:t>“Sale and Leaseback Transaction” means any arrangement with any bank, insurance company or other lender or investor (not including AbbVie or any Subsidiary) or to which any such lender or investor is a party, providing for the leasing by AbbVie or any Domestic Subsidiary for a period, including renewals, in excess of three years of any Principal Domestic Property which has been or is to be sold or transferred, more than 180 days after the acquisition thereof or the completion of construction and commencement of full operation thereof, by AbbVie or any Domestic Subsidiary to such lender or investor or to any person to whom funds have been or are to be advanced by such lender or investor on the security of such Principal Domestic Property.</w:t>
      </w:r>
    </w:p>
    <w:p>
      <w:pPr>
        <w:spacing w:after="0" w:line="206" w:lineRule="exact"/>
        <w:rPr>
          <w:rFonts w:ascii="Arial" w:cs="Arial" w:eastAsia="Arial" w:hAnsi="Arial"/>
          <w:sz w:val="18"/>
          <w:szCs w:val="18"/>
          <w:color w:val="auto"/>
        </w:rPr>
      </w:pPr>
    </w:p>
    <w:p>
      <w:pPr>
        <w:ind w:left="644" w:hanging="644"/>
        <w:spacing w:after="0" w:line="251" w:lineRule="auto"/>
        <w:tabs>
          <w:tab w:leader="none" w:pos="612"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“Subsidiary” means any Person which is a corporation, partnership, joint venture, limited liability company, trust or estate, and of which AbbVie directly or indirectly owns or controls stock or other interests, which under ordinary circumstances (not dependent upon the happening of a contingency) has the voting power to elect a majority of the board of directors, managers, trustees or equivalent of such Person; provided, however, that the term shall not include any such Person if and for so long as (i) such Person does not own a Principal Domestic Property and (ii) the chairman of the board, chief executive officer, an executive vice president, a senior vice president or a vice president and the chief financial officer, treasurer or assistant treasurer of AbbVie determine in good faith at least annually that the existing aggregate investments by AbbVie and its Domestic Subsidiaries (including all guarantees and other extensions of credit) in such Person are not of material importance to the total business conducted, or assets owned, by AbbVie and its Subsidiaries, as an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56"/>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84"/>
          </w:cols>
          <w:pgMar w:left="976" w:top="1435" w:right="339" w:bottom="1440" w:gutter="0" w:footer="0" w:header="0"/>
        </w:sectPr>
      </w:pPr>
    </w:p>
    <w:bookmarkStart w:id="127" w:name="page128"/>
    <w:bookmarkEnd w:id="127"/>
    <w:p>
      <w:pPr>
        <w:ind w:left="1300" w:right="80" w:hanging="644"/>
        <w:spacing w:after="0" w:line="254" w:lineRule="auto"/>
        <w:tabs>
          <w:tab w:leader="none" w:pos="12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“Trustee” means the Person named as the “Trustee” in the Indenture until a successor Trustee shall have become such pursuant to the applicable provisions of the Indenture, and thereafter “Trustee” shall mean or include each Person who is then a Trustee under the Indenture, and if at any time there is more than one such Person, “Trustee” as used with respect to the Notes of any series shall mean the Trustee with respect to the Notes of that series.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47"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AbbVie shall not consolidate with or merge into any other Person or convey, transfer or lease its properties and assets substantially as an entirety to any Person, unless:</w:t>
      </w:r>
    </w:p>
    <w:p>
      <w:pPr>
        <w:spacing w:after="0" w:line="198" w:lineRule="exact"/>
        <w:rPr>
          <w:sz w:val="20"/>
          <w:szCs w:val="20"/>
          <w:color w:val="auto"/>
        </w:rPr>
      </w:pPr>
    </w:p>
    <w:p>
      <w:pPr>
        <w:ind w:left="1300" w:right="280" w:hanging="644"/>
        <w:spacing w:after="0" w:line="253" w:lineRule="auto"/>
        <w:tabs>
          <w:tab w:leader="none" w:pos="126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Person formed by such consolidation or into which AbbVie is merged or the Person which acquires by conveyance or transfer, or which leases, AbbVie’s properties and assets substantially as an entirety shall be a corporation, limited liability company or partnership, shall be organized and validly existing under the laws of the United States of America, any State thereof or the District of Columbia and shall expressly assume AbbVie’s obligations on the Notes under a supplemental indenture;</w:t>
      </w:r>
    </w:p>
    <w:p>
      <w:pPr>
        <w:spacing w:after="0" w:line="205" w:lineRule="exact"/>
        <w:rPr>
          <w:rFonts w:ascii="Arial" w:cs="Arial" w:eastAsia="Arial" w:hAnsi="Arial"/>
          <w:sz w:val="18"/>
          <w:szCs w:val="18"/>
          <w:color w:val="auto"/>
        </w:rPr>
      </w:pPr>
    </w:p>
    <w:p>
      <w:pPr>
        <w:ind w:left="1300" w:right="20" w:hanging="644"/>
        <w:spacing w:after="0" w:line="254" w:lineRule="auto"/>
        <w:tabs>
          <w:tab w:leader="none" w:pos="1268" w:val="left"/>
        </w:tabs>
        <w:numPr>
          <w:ilvl w:val="0"/>
          <w:numId w:val="6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and treating any indebtedness which becomes an obligation of AbbVie or a Subsidiary as a result of such transaction as having been incurred by AbbVie or such Subsidiary at the time of such transaction, no event of default, and no event which, after notice or lapse of time or both, would become an event of default, shall have happened and be continuing;</w:t>
      </w:r>
    </w:p>
    <w:p>
      <w:pPr>
        <w:spacing w:after="0" w:line="203" w:lineRule="exact"/>
        <w:rPr>
          <w:rFonts w:ascii="Arial" w:cs="Arial" w:eastAsia="Arial" w:hAnsi="Arial"/>
          <w:sz w:val="18"/>
          <w:szCs w:val="18"/>
          <w:color w:val="auto"/>
        </w:rPr>
      </w:pPr>
    </w:p>
    <w:p>
      <w:pPr>
        <w:ind w:left="1300" w:right="40" w:hanging="644"/>
        <w:spacing w:after="0" w:line="254" w:lineRule="auto"/>
        <w:tabs>
          <w:tab w:leader="none" w:pos="1268"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as a result of any such consolidation or merger or such conveyance, transfer or lease, AbbVie’s properties or assets would become subject to a mortgage, pledge, lien, security interest or other encumbrance which would not be permitted by the Indenture, AbbVie or such successor Person, as the case may be, shall take such steps as shall be necessary to effectively secure the Notes equally and ratably with, or prior to, all indebtedness secured thereby; and</w:t>
      </w:r>
    </w:p>
    <w:p>
      <w:pPr>
        <w:spacing w:after="0" w:line="203" w:lineRule="exact"/>
        <w:rPr>
          <w:rFonts w:ascii="Arial" w:cs="Arial" w:eastAsia="Arial" w:hAnsi="Arial"/>
          <w:sz w:val="18"/>
          <w:szCs w:val="18"/>
          <w:color w:val="auto"/>
        </w:rPr>
      </w:pPr>
    </w:p>
    <w:p>
      <w:pPr>
        <w:ind w:left="1300" w:right="880" w:hanging="644"/>
        <w:spacing w:after="0" w:line="261" w:lineRule="auto"/>
        <w:tabs>
          <w:tab w:leader="none" w:pos="1268" w:val="left"/>
        </w:tabs>
        <w:numPr>
          <w:ilvl w:val="0"/>
          <w:numId w:val="68"/>
        </w:numPr>
        <w:rPr>
          <w:rFonts w:ascii="Arial" w:cs="Arial" w:eastAsia="Arial" w:hAnsi="Arial"/>
          <w:sz w:val="18"/>
          <w:szCs w:val="18"/>
          <w:color w:val="auto"/>
        </w:rPr>
      </w:pPr>
      <w:r>
        <w:rPr>
          <w:rFonts w:ascii="Arial" w:cs="Arial" w:eastAsia="Arial" w:hAnsi="Arial"/>
          <w:sz w:val="18"/>
          <w:szCs w:val="18"/>
          <w:color w:val="auto"/>
        </w:rPr>
        <w:t>AbbVie has delivered to the Trustee an officers’ certificate and an opinion of counsel stating compliance with these provisions.</w:t>
      </w:r>
    </w:p>
    <w:p>
      <w:pPr>
        <w:spacing w:after="0" w:line="19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Upon any consolidation of AbbVie with, or merger of AbbVie into, any other Person or any conveyance, transfer or lease of the properties and assets of AbbVie substantially as an entirety in accordance with the above provisions, the successor Person formed by such consolidation or into which AbbVie is merged or to which such conveyance, transfer or lease is made shall succeed to, and be substituted for, and may exercise every right and power of, AbbVie under the Indenture with the same effect as if such successor Person had been named in the Indenture, and thereafter, except in the case of a lease, the predecessor Person shall be relieved of all obligations and covenants under the Indenture and the Notes.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defines an event of default with respect to any series of Notes as being:</w:t>
      </w:r>
    </w:p>
    <w:p>
      <w:pPr>
        <w:spacing w:after="0" w:line="225" w:lineRule="exact"/>
        <w:rPr>
          <w:sz w:val="20"/>
          <w:szCs w:val="20"/>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failure to pay interest or premium on that series of Notes when due, continued for a period of 30 days;</w:t>
      </w:r>
    </w:p>
    <w:p>
      <w:pPr>
        <w:spacing w:after="0" w:line="225"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failure to pay the principal on that series of Notes when due;</w:t>
      </w:r>
    </w:p>
    <w:p>
      <w:pPr>
        <w:spacing w:after="0" w:line="225" w:lineRule="exact"/>
        <w:rPr>
          <w:rFonts w:ascii="Arial" w:cs="Arial" w:eastAsia="Arial" w:hAnsi="Arial"/>
          <w:sz w:val="18"/>
          <w:szCs w:val="18"/>
          <w:color w:val="auto"/>
        </w:rPr>
      </w:pPr>
    </w:p>
    <w:p>
      <w:pPr>
        <w:ind w:left="1300" w:right="40" w:hanging="644"/>
        <w:spacing w:after="0" w:line="254" w:lineRule="auto"/>
        <w:tabs>
          <w:tab w:leader="none" w:pos="1072" w:val="left"/>
        </w:tabs>
        <w:numPr>
          <w:ilvl w:val="0"/>
          <w:numId w:val="69"/>
        </w:numPr>
        <w:rPr>
          <w:rFonts w:ascii="Arial" w:cs="Arial" w:eastAsia="Arial" w:hAnsi="Arial"/>
          <w:sz w:val="18"/>
          <w:szCs w:val="18"/>
          <w:color w:val="auto"/>
        </w:rPr>
      </w:pPr>
      <w:r>
        <w:rPr>
          <w:rFonts w:ascii="Arial" w:cs="Arial" w:eastAsia="Arial" w:hAnsi="Arial"/>
          <w:sz w:val="18"/>
          <w:szCs w:val="18"/>
          <w:color w:val="auto"/>
        </w:rPr>
        <w:t>failure to perform, or breach, under any other covenant or warranty applicable to that series of Notes and not otherwise specifically dealt with in the definition of “event of default,” continued for a period of 90 days after the giving of written notice to AbbVie by the Trustee or to AbbVie and the Trustee by holders of at least 25% in principal amount of outstanding Notes of that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35" w:right="339" w:bottom="1440" w:gutter="0" w:footer="0" w:header="0"/>
        </w:sectPr>
      </w:pPr>
    </w:p>
    <w:bookmarkStart w:id="128" w:name="page129"/>
    <w:bookmarkEnd w:id="128"/>
    <w:p>
      <w:pPr>
        <w:ind w:left="1300" w:right="100"/>
        <w:spacing w:after="0" w:line="254" w:lineRule="auto"/>
        <w:rPr>
          <w:sz w:val="20"/>
          <w:szCs w:val="20"/>
          <w:color w:val="auto"/>
        </w:rPr>
      </w:pPr>
      <w:r>
        <w:rPr>
          <w:rFonts w:ascii="Arial" w:cs="Arial" w:eastAsia="Arial" w:hAnsi="Arial"/>
          <w:sz w:val="18"/>
          <w:szCs w:val="18"/>
          <w:color w:val="auto"/>
        </w:rPr>
        <w:t>(provided that, in the case of the 2021 Notes, the 2023 Notes, the June 2024 Notes, the 2027 Notes, the 2.625% November 2028 Notes, the 2029 Notes and the 2031 Notes, such notice may not be given with respect to any action taken, and reported publicly or to holders of the 2021 Notes, the 2023 Notes, the June 2024 Notes, the 2027 Notes, the 2.625% November 2028 Notes, the 2029 Notes or the 2031 Notes, as applicable, more than two years prior to such notice); or</w:t>
      </w:r>
    </w:p>
    <w:p>
      <w:pPr>
        <w:spacing w:after="0" w:line="204"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specified events of bankruptcy, insolvency or reorganization of AbbVie.</w:t>
      </w:r>
    </w:p>
    <w:p>
      <w:pPr>
        <w:spacing w:after="0" w:line="225"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The Trustee is required to give holders of the particular series of Notes written notice of a default with respect to that series as and to the extent provided by the Trust Indenture Act. In the case of any default of the character described above in clause (3) of the immediately preceding paragraph, no such notice to holders must be given until at least 60 days after the occurrence of that default.</w:t>
      </w:r>
    </w:p>
    <w:p>
      <w:pPr>
        <w:spacing w:after="0" w:line="202" w:lineRule="exact"/>
        <w:rPr>
          <w:sz w:val="20"/>
          <w:szCs w:val="20"/>
          <w:color w:val="auto"/>
        </w:rPr>
      </w:pPr>
    </w:p>
    <w:p>
      <w:pPr>
        <w:ind w:right="560" w:firstLine="648"/>
        <w:spacing w:after="0" w:line="261" w:lineRule="auto"/>
        <w:rPr>
          <w:sz w:val="20"/>
          <w:szCs w:val="20"/>
          <w:color w:val="auto"/>
        </w:rPr>
      </w:pPr>
      <w:r>
        <w:rPr>
          <w:rFonts w:ascii="Arial" w:cs="Arial" w:eastAsia="Arial" w:hAnsi="Arial"/>
          <w:sz w:val="18"/>
          <w:szCs w:val="18"/>
          <w:color w:val="auto"/>
        </w:rPr>
        <w:t>AbbVie is required annually to deliver to the Trustee a certificate stating whether or not the signers have any knowledge of any default by AbbVie in its performance and observance of any terms, provisions and conditions of the Indenture.</w:t>
      </w:r>
    </w:p>
    <w:p>
      <w:pPr>
        <w:spacing w:after="0" w:line="19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case an event of default (other than an event of default involving an event of bankruptcy, insolvency or reorganization of AbbVie) shall occur and be continuing with respect to any series of Notes, the Trustee or the holders of not less than 25% in principal amount of the particular series of Notes then outstanding may declare the principal amount of such series of Notes to be immediately due and payable. If an event of default relating to any event of bankruptcy, insolvency or reorganization of AbbVie occurs, the principal of all the Notes then outstanding will become immediately due and payable without any action on the part of the Trustee or any holder. The holders of a majority in principal amount of the outstanding series of Notes affected by the default may in some cases rescind this accelerated payment requirement. Depending on the terms of AbbVie’s other indebtedness, an event of default in respect of the Notes may give rise to cross defaults on its other indebtedness.</w:t>
      </w:r>
    </w:p>
    <w:p>
      <w:pPr>
        <w:spacing w:after="0" w:line="205"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Any past default with respect to a series of Notes may be waived on behalf of all holders of that series of Notes by at least a majority in principal amount of the holders of the outstanding Notes of that series, except a default:</w:t>
      </w:r>
    </w:p>
    <w:p>
      <w:pPr>
        <w:spacing w:after="0" w:line="198" w:lineRule="exact"/>
        <w:rPr>
          <w:sz w:val="20"/>
          <w:szCs w:val="20"/>
          <w:color w:val="auto"/>
        </w:rPr>
      </w:pPr>
    </w:p>
    <w:p>
      <w:pPr>
        <w:ind w:left="1280" w:hanging="624"/>
        <w:spacing w:after="0"/>
        <w:tabs>
          <w:tab w:leader="none" w:pos="1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payment of the principal of or any premium or interest on that series of Notes; or</w:t>
      </w:r>
    </w:p>
    <w:p>
      <w:pPr>
        <w:spacing w:after="0" w:line="225" w:lineRule="exact"/>
        <w:rPr>
          <w:rFonts w:ascii="Arial" w:cs="Arial" w:eastAsia="Arial" w:hAnsi="Arial"/>
          <w:sz w:val="18"/>
          <w:szCs w:val="18"/>
          <w:color w:val="auto"/>
        </w:rPr>
      </w:pPr>
    </w:p>
    <w:p>
      <w:pPr>
        <w:ind w:left="1300" w:right="260" w:hanging="644"/>
        <w:spacing w:after="0" w:line="261" w:lineRule="auto"/>
        <w:tabs>
          <w:tab w:leader="none" w:pos="1268"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respect of a covenant or provision which under the Indenture cannot be modified or amended without the consent of the holder of each outstanding Note of that series affected.</w:t>
      </w:r>
    </w:p>
    <w:p>
      <w:pPr>
        <w:spacing w:after="0" w:line="198"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auto"/>
        </w:rPr>
        <w:t>Any default that is so waived will cease to exist and any event of default arising from that default will be deemed to be cured and shall cease to exist for every purpose under the Indenture, but no such waiver will extend to any subsequent or other default or impair any right consequent thereon.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holder of Notes of any series is able to pursue any remedy under the Indenture only if:</w:t>
      </w:r>
    </w:p>
    <w:p>
      <w:pPr>
        <w:spacing w:after="0" w:line="225" w:lineRule="exact"/>
        <w:rPr>
          <w:sz w:val="20"/>
          <w:szCs w:val="20"/>
          <w:color w:val="auto"/>
        </w:rPr>
      </w:pPr>
    </w:p>
    <w:p>
      <w:pPr>
        <w:ind w:left="1300" w:right="300" w:hanging="644"/>
        <w:spacing w:after="0" w:line="261" w:lineRule="auto"/>
        <w:tabs>
          <w:tab w:leader="none" w:pos="1268"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that series of Notes;</w:t>
      </w:r>
    </w:p>
    <w:p>
      <w:pPr>
        <w:spacing w:after="0" w:line="197" w:lineRule="exact"/>
        <w:rPr>
          <w:rFonts w:ascii="Arial" w:cs="Arial" w:eastAsia="Arial" w:hAnsi="Arial"/>
          <w:sz w:val="18"/>
          <w:szCs w:val="18"/>
          <w:color w:val="auto"/>
        </w:rPr>
      </w:pPr>
    </w:p>
    <w:p>
      <w:pPr>
        <w:ind w:left="1300" w:right="160" w:hanging="644"/>
        <w:spacing w:after="0" w:line="261" w:lineRule="auto"/>
        <w:tabs>
          <w:tab w:leader="none" w:pos="126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Notes of that series shall have made written request to the Trustee to institute proceedings in respect of such event of default in its own name as Trustee under the Indenture;</w:t>
      </w:r>
    </w:p>
    <w:p>
      <w:pPr>
        <w:spacing w:after="0" w:line="197" w:lineRule="exact"/>
        <w:rPr>
          <w:rFonts w:ascii="Arial" w:cs="Arial" w:eastAsia="Arial" w:hAnsi="Arial"/>
          <w:sz w:val="18"/>
          <w:szCs w:val="18"/>
          <w:color w:val="auto"/>
        </w:rPr>
      </w:pPr>
    </w:p>
    <w:p>
      <w:pPr>
        <w:ind w:left="1300" w:right="280" w:hanging="644"/>
        <w:spacing w:after="0" w:line="261" w:lineRule="auto"/>
        <w:tabs>
          <w:tab w:leader="none" w:pos="1268"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holders or holders making the request have offered to the Trustee reasonable indemnity against the costs, expenses and liabilities to be incurred in compliance with such request;</w:t>
      </w:r>
    </w:p>
    <w:p>
      <w:pPr>
        <w:spacing w:after="0" w:line="197" w:lineRule="exact"/>
        <w:rPr>
          <w:rFonts w:ascii="Arial" w:cs="Arial" w:eastAsia="Arial" w:hAnsi="Arial"/>
          <w:sz w:val="18"/>
          <w:szCs w:val="18"/>
          <w:color w:val="auto"/>
        </w:rPr>
      </w:pPr>
    </w:p>
    <w:p>
      <w:pPr>
        <w:ind w:left="1300" w:right="800" w:hanging="644"/>
        <w:spacing w:after="0" w:line="261" w:lineRule="auto"/>
        <w:tabs>
          <w:tab w:leader="none" w:pos="126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indemnity has failed to institute any such proceeding;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35" w:right="339" w:bottom="1440" w:gutter="0" w:footer="0" w:header="0"/>
        </w:sectPr>
      </w:pPr>
    </w:p>
    <w:bookmarkStart w:id="129" w:name="page130"/>
    <w:bookmarkEnd w:id="129"/>
    <w:p>
      <w:pPr>
        <w:ind w:left="1300" w:right="540" w:hanging="644"/>
        <w:spacing w:after="0" w:line="261" w:lineRule="auto"/>
        <w:tabs>
          <w:tab w:leader="none" w:pos="1268" w:val="left"/>
        </w:tabs>
        <w:numPr>
          <w:ilvl w:val="0"/>
          <w:numId w:val="73"/>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that series of Notes do not give the Trustee a direction inconsistent with such request.</w:t>
      </w:r>
    </w:p>
    <w:p>
      <w:pPr>
        <w:spacing w:after="0" w:line="198"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Holders of Notes, however, are entitled at any time to bring a lawsuit for the payment of principal and interest due on their Notes on or after its due date.</w:t>
      </w:r>
    </w:p>
    <w:p>
      <w:pPr>
        <w:spacing w:after="0" w:line="198" w:lineRule="exact"/>
        <w:rPr>
          <w:sz w:val="20"/>
          <w:szCs w:val="20"/>
          <w:color w:val="auto"/>
        </w:rPr>
      </w:pPr>
    </w:p>
    <w:p>
      <w:pPr>
        <w:jc w:val="both"/>
        <w:ind w:right="340" w:firstLine="648"/>
        <w:spacing w:after="0" w:line="256" w:lineRule="auto"/>
        <w:rPr>
          <w:sz w:val="20"/>
          <w:szCs w:val="20"/>
          <w:color w:val="auto"/>
        </w:rPr>
      </w:pPr>
      <w:r>
        <w:rPr>
          <w:rFonts w:ascii="Arial" w:cs="Arial" w:eastAsia="Arial" w:hAnsi="Arial"/>
          <w:sz w:val="18"/>
          <w:szCs w:val="18"/>
          <w:color w:val="auto"/>
        </w:rPr>
        <w:t>Any time period in the Indenture to cure any actual or alleged default or event of default with respect to the 2021 Notes, the 2023 Notes, the June 2024 Notes, the 2027 Notes, the 2.625% November 2028 Notes, the 2029 Notes or the 2031 Notes may be extended or stayed by a court of competent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247"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AbbVie and the Trustee may modify the Indenture or any supplemental indenture without the consent of the holders of the Notes for one or more of the following purposes:</w:t>
      </w:r>
    </w:p>
    <w:p>
      <w:pPr>
        <w:spacing w:after="0" w:line="198" w:lineRule="exact"/>
        <w:rPr>
          <w:sz w:val="20"/>
          <w:szCs w:val="20"/>
          <w:color w:val="auto"/>
        </w:rPr>
      </w:pPr>
    </w:p>
    <w:p>
      <w:pPr>
        <w:ind w:left="1300" w:right="380" w:hanging="644"/>
        <w:spacing w:after="0" w:line="261" w:lineRule="auto"/>
        <w:tabs>
          <w:tab w:leader="none" w:pos="126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evidence the succession of another Person to AbbVie and the assumption by any such successor of the obligations of AbbVie in the Indenture or any supplemental indenture, and in the Notes;</w:t>
      </w:r>
    </w:p>
    <w:p>
      <w:pPr>
        <w:spacing w:after="0" w:line="197" w:lineRule="exact"/>
        <w:rPr>
          <w:rFonts w:ascii="Arial" w:cs="Arial" w:eastAsia="Arial" w:hAnsi="Arial"/>
          <w:sz w:val="18"/>
          <w:szCs w:val="18"/>
          <w:color w:val="auto"/>
        </w:rPr>
      </w:pPr>
    </w:p>
    <w:p>
      <w:pPr>
        <w:ind w:left="1300" w:hanging="644"/>
        <w:spacing w:after="0" w:line="261" w:lineRule="auto"/>
        <w:tabs>
          <w:tab w:leader="none" w:pos="126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add to the covenants of AbbVie for the benefit of the holders of all or any series of Notes or to surrender any right or power conferred upon AbbVie by the Indenture or any supplemental indenture;</w:t>
      </w:r>
    </w:p>
    <w:p>
      <w:pPr>
        <w:spacing w:after="0" w:line="197" w:lineRule="exact"/>
        <w:rPr>
          <w:rFonts w:ascii="Arial" w:cs="Arial" w:eastAsia="Arial" w:hAnsi="Arial"/>
          <w:sz w:val="18"/>
          <w:szCs w:val="18"/>
          <w:color w:val="auto"/>
        </w:rPr>
      </w:pPr>
    </w:p>
    <w:p>
      <w:pPr>
        <w:ind w:left="1280" w:hanging="624"/>
        <w:spacing w:after="0"/>
        <w:tabs>
          <w:tab w:leader="none" w:pos="1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add any additional events of default for the benefit of holders of all or any series of Notes;</w:t>
      </w:r>
    </w:p>
    <w:p>
      <w:pPr>
        <w:spacing w:after="0" w:line="225" w:lineRule="exact"/>
        <w:rPr>
          <w:rFonts w:ascii="Arial" w:cs="Arial" w:eastAsia="Arial" w:hAnsi="Arial"/>
          <w:sz w:val="18"/>
          <w:szCs w:val="18"/>
          <w:color w:val="auto"/>
        </w:rPr>
      </w:pPr>
    </w:p>
    <w:p>
      <w:pPr>
        <w:ind w:left="1300" w:right="840" w:hanging="644"/>
        <w:spacing w:after="0" w:line="261" w:lineRule="auto"/>
        <w:tabs>
          <w:tab w:leader="none" w:pos="126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add to or change any of the provisions of the Indenture or any supplemental indenture to such extent as shall be necessary to permit or facilitate the issuance of debt securities in certain other forms;</w:t>
      </w:r>
    </w:p>
    <w:p>
      <w:pPr>
        <w:spacing w:after="0" w:line="197" w:lineRule="exact"/>
        <w:rPr>
          <w:rFonts w:ascii="Arial" w:cs="Arial" w:eastAsia="Arial" w:hAnsi="Arial"/>
          <w:sz w:val="18"/>
          <w:szCs w:val="18"/>
          <w:color w:val="auto"/>
        </w:rPr>
      </w:pPr>
    </w:p>
    <w:p>
      <w:pPr>
        <w:ind w:left="1300" w:right="40" w:hanging="644"/>
        <w:spacing w:after="0" w:line="253" w:lineRule="auto"/>
        <w:tabs>
          <w:tab w:leader="none" w:pos="126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the Indenture or any supplemental indenture in respect of one or more series of Notes, provided that any such addition, change or elimination (i) shall neither (A) apply to any Note of any series created prior to the execution of such supplemental indenture affecting such modification and entitled to the benefit of such provision nor (B) modify the rights of the holder of any such Note with respect to such provision or (ii) shall become effective only when there is no such Note outstanding;</w:t>
      </w:r>
    </w:p>
    <w:p>
      <w:pPr>
        <w:spacing w:after="0" w:line="205" w:lineRule="exact"/>
        <w:rPr>
          <w:rFonts w:ascii="Arial" w:cs="Arial" w:eastAsia="Arial" w:hAnsi="Arial"/>
          <w:sz w:val="18"/>
          <w:szCs w:val="18"/>
          <w:color w:val="auto"/>
        </w:rPr>
      </w:pPr>
    </w:p>
    <w:p>
      <w:pPr>
        <w:ind w:left="1300" w:right="240" w:hanging="644"/>
        <w:spacing w:after="0" w:line="261" w:lineRule="auto"/>
        <w:tabs>
          <w:tab w:leader="none" w:pos="126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secure the Notes pursuant to the requirements of the Indenture or the requirements of any supplemental indenture or to otherwise provide any security for, or add any guarantees of or additional obligors on, the Notes of all or any series;</w:t>
      </w:r>
    </w:p>
    <w:p>
      <w:pPr>
        <w:spacing w:after="0" w:line="197" w:lineRule="exact"/>
        <w:rPr>
          <w:rFonts w:ascii="Arial" w:cs="Arial" w:eastAsia="Arial" w:hAnsi="Arial"/>
          <w:sz w:val="18"/>
          <w:szCs w:val="18"/>
          <w:color w:val="auto"/>
        </w:rPr>
      </w:pPr>
    </w:p>
    <w:p>
      <w:pPr>
        <w:ind w:left="1280" w:hanging="624"/>
        <w:spacing w:after="0"/>
        <w:tabs>
          <w:tab w:leader="none" w:pos="1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establish the form or terms of Notes of any series in accordance with the terms of the Indenture;</w:t>
      </w:r>
    </w:p>
    <w:p>
      <w:pPr>
        <w:spacing w:after="0" w:line="225" w:lineRule="exact"/>
        <w:rPr>
          <w:rFonts w:ascii="Arial" w:cs="Arial" w:eastAsia="Arial" w:hAnsi="Arial"/>
          <w:sz w:val="18"/>
          <w:szCs w:val="18"/>
          <w:color w:val="auto"/>
        </w:rPr>
      </w:pPr>
    </w:p>
    <w:p>
      <w:pPr>
        <w:ind w:left="1300" w:right="880" w:hanging="644"/>
        <w:spacing w:after="0" w:line="261" w:lineRule="auto"/>
        <w:tabs>
          <w:tab w:leader="none" w:pos="126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supplement any of the provisions of the Indenture to such extent as shall be necessary to permit or facilitate the defeasance and discharge of a particular series of Notes in accordance with the provisions in the Indenture;</w:t>
      </w:r>
    </w:p>
    <w:p>
      <w:pPr>
        <w:spacing w:after="0" w:line="197" w:lineRule="exact"/>
        <w:rPr>
          <w:rFonts w:ascii="Arial" w:cs="Arial" w:eastAsia="Arial" w:hAnsi="Arial"/>
          <w:sz w:val="18"/>
          <w:szCs w:val="18"/>
          <w:color w:val="auto"/>
        </w:rPr>
      </w:pPr>
    </w:p>
    <w:p>
      <w:pPr>
        <w:ind w:left="1300" w:right="200" w:hanging="644"/>
        <w:spacing w:after="0" w:line="254" w:lineRule="auto"/>
        <w:tabs>
          <w:tab w:leader="none" w:pos="126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evidence and provide for the acceptance of the appointment of a successor trustee with respect to the Notes of one or more series and to add to or change any of the provisions of the Indenture or any supplemental indenture as shall be necessary to provide for or facilitate the administration of the trusts under the Indenture or such supplemental indenture by more than one trustee pursuant to the requirements set forth in the Indenture;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435" w:right="359" w:bottom="1440" w:gutter="0" w:footer="0" w:header="0"/>
        </w:sectPr>
      </w:pPr>
    </w:p>
    <w:bookmarkStart w:id="130" w:name="page131"/>
    <w:bookmarkEnd w:id="130"/>
    <w:p>
      <w:pPr>
        <w:ind w:left="1300" w:hanging="644"/>
        <w:spacing w:after="0" w:line="254" w:lineRule="auto"/>
        <w:tabs>
          <w:tab w:leader="none" w:pos="126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cure any ambiguity or to correct or supplement any provision of the Indenture or any supplemental indenture which may be defective or inconsistent with any other provision in the Indenture or any supplemental indenture, or to make any other provisions with respect to matters or questions arising under the Indenture or any supplemental indenture as shall not adversely affect the interests of the holders of any series of Notes in any material respect.</w:t>
      </w:r>
    </w:p>
    <w:p>
      <w:pPr>
        <w:spacing w:after="0" w:line="204"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AbbVie and the Trustee may otherwise modify the Indenture or any supplemental indenture with the consent of the holders of not less than a majority in principal amount of each series of Notes affected for the purpose of adding any provisions to or changing in any manner or eliminating any of the provisions of the Indenture or of modifying in any manner the rights of the holders of Notes of such series under the Indenture or any supplemental indentures. However, without the consent of the holder of each outstanding Note affected by such modification, no modification may:</w:t>
      </w:r>
    </w:p>
    <w:p>
      <w:pPr>
        <w:spacing w:after="0" w:line="205" w:lineRule="exact"/>
        <w:rPr>
          <w:sz w:val="20"/>
          <w:szCs w:val="20"/>
          <w:color w:val="auto"/>
        </w:rPr>
      </w:pPr>
    </w:p>
    <w:p>
      <w:pPr>
        <w:ind w:left="1300" w:right="120" w:hanging="644"/>
        <w:spacing w:after="0" w:line="253" w:lineRule="auto"/>
        <w:tabs>
          <w:tab w:leader="none" w:pos="1268"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thereon, or reduce the principal amount thereof or the rate of interest thereon or any premium payable upon the redemption thereof, or change any place of payment where, or the coin or currency in which, such Notes or any premium or interest thereon is payable, or impair the right to institute suit for the enforcement of any such payment on or after the stated maturity thereof (or, in the case of redemption, on or after the redemption date);</w:t>
      </w:r>
    </w:p>
    <w:p>
      <w:pPr>
        <w:spacing w:after="0" w:line="205" w:lineRule="exact"/>
        <w:rPr>
          <w:rFonts w:ascii="Arial" w:cs="Arial" w:eastAsia="Arial" w:hAnsi="Arial"/>
          <w:sz w:val="18"/>
          <w:szCs w:val="18"/>
          <w:color w:val="auto"/>
        </w:rPr>
      </w:pPr>
    </w:p>
    <w:p>
      <w:pPr>
        <w:ind w:left="1300" w:right="460" w:hanging="644"/>
        <w:spacing w:after="0" w:line="256" w:lineRule="auto"/>
        <w:tabs>
          <w:tab w:leader="none" w:pos="1268"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percentage in principal amount of the Notes of any series, the consent of whose holders is required in the Indenture for consent for any waiver of compliance with certain provisions of the Indenture or certain defaults under the Indenture and their consequences; or</w:t>
      </w:r>
    </w:p>
    <w:p>
      <w:pPr>
        <w:spacing w:after="0" w:line="201" w:lineRule="exact"/>
        <w:rPr>
          <w:rFonts w:ascii="Arial" w:cs="Arial" w:eastAsia="Arial" w:hAnsi="Arial"/>
          <w:sz w:val="18"/>
          <w:szCs w:val="18"/>
          <w:color w:val="auto"/>
        </w:rPr>
      </w:pPr>
    </w:p>
    <w:p>
      <w:pPr>
        <w:ind w:left="1300" w:right="80" w:hanging="644"/>
        <w:spacing w:after="0" w:line="253" w:lineRule="auto"/>
        <w:tabs>
          <w:tab w:leader="none" w:pos="1268" w:val="left"/>
        </w:tabs>
        <w:numPr>
          <w:ilvl w:val="0"/>
          <w:numId w:val="76"/>
        </w:numPr>
        <w:rPr>
          <w:rFonts w:ascii="Arial" w:cs="Arial" w:eastAsia="Arial" w:hAnsi="Arial"/>
          <w:sz w:val="18"/>
          <w:szCs w:val="18"/>
          <w:color w:val="auto"/>
        </w:rPr>
      </w:pPr>
      <w:r>
        <w:rPr>
          <w:rFonts w:ascii="Arial" w:cs="Arial" w:eastAsia="Arial" w:hAnsi="Arial"/>
          <w:sz w:val="18"/>
          <w:szCs w:val="18"/>
          <w:color w:val="auto"/>
        </w:rPr>
        <w:t>modify the provisions set forth in the two bullets above or the paragraph immediately preceding the two bullets above or modify provisions relating to the waiver of past defaults or the waiver of certain covenants in the Indenture, in each case, other than to increase the percentage in principal amount of the Notes required to modify such provisions or to provide that certain other provisions of the Indenture cannot be modified or waived without the consent of the holder of each outstanding Note affected by such modification.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Covenant Defeasance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provides that, at AbbVie’s option, AbbVie:</w:t>
      </w:r>
    </w:p>
    <w:p>
      <w:pPr>
        <w:spacing w:after="0" w:line="225" w:lineRule="exact"/>
        <w:rPr>
          <w:sz w:val="20"/>
          <w:szCs w:val="20"/>
          <w:color w:val="auto"/>
        </w:rPr>
      </w:pPr>
    </w:p>
    <w:p>
      <w:pPr>
        <w:ind w:left="1300" w:right="260" w:hanging="644"/>
        <w:spacing w:after="0" w:line="261" w:lineRule="auto"/>
        <w:tabs>
          <w:tab w:leader="none" w:pos="1268" w:val="left"/>
        </w:tabs>
        <w:numPr>
          <w:ilvl w:val="0"/>
          <w:numId w:val="77"/>
        </w:numPr>
        <w:rPr>
          <w:rFonts w:ascii="Arial" w:cs="Arial" w:eastAsia="Arial" w:hAnsi="Arial"/>
          <w:sz w:val="18"/>
          <w:szCs w:val="18"/>
          <w:color w:val="auto"/>
        </w:rPr>
      </w:pPr>
      <w:r>
        <w:rPr>
          <w:rFonts w:ascii="Arial" w:cs="Arial" w:eastAsia="Arial" w:hAnsi="Arial"/>
          <w:sz w:val="18"/>
          <w:szCs w:val="18"/>
          <w:color w:val="auto"/>
        </w:rPr>
        <w:t>will be discharged from any and all obligations in respect of the Notes of a series, except for certain obligations set forth in the Indenture that survive such discharge (“legal defeasance”); or</w:t>
      </w:r>
    </w:p>
    <w:p>
      <w:pPr>
        <w:spacing w:after="0" w:line="197" w:lineRule="exact"/>
        <w:rPr>
          <w:rFonts w:ascii="Arial" w:cs="Arial" w:eastAsia="Arial" w:hAnsi="Arial"/>
          <w:sz w:val="18"/>
          <w:szCs w:val="18"/>
          <w:color w:val="auto"/>
        </w:rPr>
      </w:pPr>
    </w:p>
    <w:p>
      <w:pPr>
        <w:ind w:left="1300" w:hanging="644"/>
        <w:spacing w:after="0" w:line="256" w:lineRule="auto"/>
        <w:tabs>
          <w:tab w:leader="none" w:pos="1268"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may omit to comply with certain restrictive covenants of the Indenture, including those described under “Certain Covenants of AbbVie” and “Consolidation, Merger and Sale of Assets,” and the occurrence of an event described in clause (3) under “Events of Default” with respect to any such covenants will no longer be an event of default (“covenant defeasance”);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each case, if</w:t>
      </w:r>
    </w:p>
    <w:p>
      <w:pPr>
        <w:spacing w:after="0" w:line="225" w:lineRule="exact"/>
        <w:rPr>
          <w:sz w:val="20"/>
          <w:szCs w:val="20"/>
          <w:color w:val="auto"/>
        </w:rPr>
      </w:pPr>
    </w:p>
    <w:p>
      <w:pPr>
        <w:ind w:left="1300" w:right="80" w:hanging="644"/>
        <w:spacing w:after="0" w:line="252" w:lineRule="auto"/>
        <w:tabs>
          <w:tab w:leader="none" w:pos="1268" w:val="left"/>
        </w:tabs>
        <w:numPr>
          <w:ilvl w:val="0"/>
          <w:numId w:val="78"/>
        </w:numPr>
        <w:rPr>
          <w:rFonts w:ascii="Arial" w:cs="Arial" w:eastAsia="Arial" w:hAnsi="Arial"/>
          <w:sz w:val="18"/>
          <w:szCs w:val="18"/>
          <w:color w:val="auto"/>
        </w:rPr>
      </w:pPr>
      <w:r>
        <w:rPr>
          <w:rFonts w:ascii="Arial" w:cs="Arial" w:eastAsia="Arial" w:hAnsi="Arial"/>
          <w:sz w:val="18"/>
          <w:szCs w:val="18"/>
          <w:color w:val="auto"/>
        </w:rPr>
        <w:t>AbbVie irrevocably deposits or causes to be deposited with the Trustee, as trust funds in trust for the purpose of making the following payments, specifically pledged as security for, and dedicated solely to, the benefit of the holders of such Notes, in money in an amount, euro-denominated government instruments, which through the scheduled payment of principal and interest in respect thereof in accordance with their terms will provide, not later than one day before the due date of any payment, money in an amount, or a combination thereof, sufficient, without reinvestment, in the opinion of a nationally recognized firm of independent public accountants to pay and discharge all the principal of and premium, if any, and interest on the Notes of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1435" w:right="359" w:bottom="1440" w:gutter="0" w:footer="0" w:header="0"/>
        </w:sectPr>
      </w:pPr>
    </w:p>
    <w:bookmarkStart w:id="131" w:name="page132"/>
    <w:bookmarkEnd w:id="131"/>
    <w:p>
      <w:pPr>
        <w:ind w:left="1300" w:right="300"/>
        <w:spacing w:after="0" w:line="261" w:lineRule="auto"/>
        <w:rPr>
          <w:sz w:val="20"/>
          <w:szCs w:val="20"/>
          <w:color w:val="auto"/>
        </w:rPr>
      </w:pPr>
      <w:r>
        <w:rPr>
          <w:rFonts w:ascii="Arial" w:cs="Arial" w:eastAsia="Arial" w:hAnsi="Arial"/>
          <w:sz w:val="18"/>
          <w:szCs w:val="18"/>
          <w:color w:val="auto"/>
        </w:rPr>
        <w:t>series on the dates such payments are due, which may include one or more redemption dates that AbbVie designates, in accordance with the terms of the Notes of that series;</w:t>
      </w:r>
    </w:p>
    <w:p>
      <w:pPr>
        <w:spacing w:after="0" w:line="198" w:lineRule="exact"/>
        <w:rPr>
          <w:sz w:val="20"/>
          <w:szCs w:val="20"/>
          <w:color w:val="auto"/>
        </w:rPr>
      </w:pPr>
    </w:p>
    <w:p>
      <w:pPr>
        <w:ind w:left="1300" w:right="80" w:hanging="644"/>
        <w:spacing w:after="0" w:line="252" w:lineRule="auto"/>
        <w:tabs>
          <w:tab w:leader="none" w:pos="1268"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event of default or event which with notice or lapse of time, or both, would become an event of default with respect to Notes of such series shall have occurred and be continuing on the date of such deposit or insofar as an event of default resulting from certain events involving AbbVie’s bankruptcy or insolvency are concerned, at any time during the period ending on the 121st day after such date of the deposit or, if longer, ending on the day following the expiration of the longest preference period applicable to AbbVie in respect of such deposit (it being understood that this condition will not be deemed satisfied until the expiration of such period);</w:t>
      </w:r>
    </w:p>
    <w:p>
      <w:pPr>
        <w:spacing w:after="0" w:line="207" w:lineRule="exact"/>
        <w:rPr>
          <w:rFonts w:ascii="Arial" w:cs="Arial" w:eastAsia="Arial" w:hAnsi="Arial"/>
          <w:sz w:val="18"/>
          <w:szCs w:val="18"/>
          <w:color w:val="auto"/>
        </w:rPr>
      </w:pPr>
    </w:p>
    <w:p>
      <w:pPr>
        <w:ind w:left="1300" w:right="20" w:hanging="644"/>
        <w:spacing w:after="0" w:line="256" w:lineRule="auto"/>
        <w:tabs>
          <w:tab w:leader="none" w:pos="1268"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such defeasance will not cause the Trustee to have a conflicting interest with respect to any of AbbVie’s securities or result in the trust arising from such deposit to constitute, unless it is qualified as, a regulated investment company under the Investment Company Act of 1940, as amended;</w:t>
      </w:r>
    </w:p>
    <w:p>
      <w:pPr>
        <w:spacing w:after="0" w:line="201" w:lineRule="exact"/>
        <w:rPr>
          <w:rFonts w:ascii="Arial" w:cs="Arial" w:eastAsia="Arial" w:hAnsi="Arial"/>
          <w:sz w:val="18"/>
          <w:szCs w:val="18"/>
          <w:color w:val="auto"/>
        </w:rPr>
      </w:pPr>
    </w:p>
    <w:p>
      <w:pPr>
        <w:ind w:left="1300" w:right="160" w:hanging="644"/>
        <w:spacing w:after="0" w:line="261" w:lineRule="auto"/>
        <w:tabs>
          <w:tab w:leader="none" w:pos="126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defeasance will not result in a breach or violation of, or constitute a default under, the Indenture or any other agreement or instrument to which AbbVie is a party or by which AbbVie is bound;</w:t>
      </w:r>
    </w:p>
    <w:p>
      <w:pPr>
        <w:spacing w:after="0" w:line="197" w:lineRule="exact"/>
        <w:rPr>
          <w:rFonts w:ascii="Arial" w:cs="Arial" w:eastAsia="Arial" w:hAnsi="Arial"/>
          <w:sz w:val="18"/>
          <w:szCs w:val="18"/>
          <w:color w:val="auto"/>
        </w:rPr>
      </w:pPr>
    </w:p>
    <w:p>
      <w:pPr>
        <w:ind w:left="1300" w:hanging="644"/>
        <w:spacing w:after="0" w:line="252" w:lineRule="auto"/>
        <w:tabs>
          <w:tab w:leader="none" w:pos="126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AbbVie has delivered an opinion of counsel to the effect that the beneficial owners of Notes will not recognize income, gain or loss for federal income tax purposes as a result of the defeasance and will be subject to federal income tax in the same manner as if the defeasance had not occurred, which opinion of counsel, in the case of legal defeasance, must refer to and be based upon a published ruling of the Internal Revenue Service, a private ruling of the Internal Revenue Service addressed to AbbVie, or otherwise a change in applicable federal income tax law occurring after the date of the Indenture; and</w:t>
      </w:r>
    </w:p>
    <w:p>
      <w:pPr>
        <w:spacing w:after="0" w:line="207" w:lineRule="exact"/>
        <w:rPr>
          <w:rFonts w:ascii="Arial" w:cs="Arial" w:eastAsia="Arial" w:hAnsi="Arial"/>
          <w:sz w:val="18"/>
          <w:szCs w:val="18"/>
          <w:color w:val="auto"/>
        </w:rPr>
      </w:pPr>
    </w:p>
    <w:p>
      <w:pPr>
        <w:ind w:left="1300" w:right="180" w:hanging="644"/>
        <w:spacing w:after="0" w:line="261" w:lineRule="auto"/>
        <w:tabs>
          <w:tab w:leader="none" w:pos="126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AbbVie shall have delivered an officer’s certificate and an opinion of counsel stating that the conditions to such defeasance set forth in the Indenture have been complied with.</w:t>
      </w:r>
    </w:p>
    <w:p>
      <w:pPr>
        <w:spacing w:after="0" w:line="198"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If AbbVie fails to comply with its remaining obligations under the Indenture after a covenant defeasance with respect to the Notes of any series and the Notes of such series are declared due and payable because of the occurrence of any event of default, the amount of money and euro-denominated government instruments on deposit with the Trustee may be insufficient to pay amounts due on the Notes of that series at the time of the acceleration resulting from the event of default. AbbVie will, however, remain liable for those payments.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47"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The Indenture will be discharged and will cease to be of further effect (except as to any surviving rights of registration of transfer or exchange of Notes, as expressly provided for in the Indenture) as to all outstanding Notes of any series when:</w:t>
      </w:r>
    </w:p>
    <w:p>
      <w:pPr>
        <w:spacing w:after="0" w:line="198" w:lineRule="exact"/>
        <w:rPr>
          <w:sz w:val="20"/>
          <w:szCs w:val="20"/>
          <w:color w:val="auto"/>
        </w:rPr>
      </w:pPr>
    </w:p>
    <w:p>
      <w:pPr>
        <w:ind w:left="1300" w:right="40" w:hanging="644"/>
        <w:spacing w:after="0" w:line="251" w:lineRule="auto"/>
        <w:tabs>
          <w:tab w:leader="none" w:pos="1072" w:val="left"/>
        </w:tabs>
        <w:numPr>
          <w:ilvl w:val="0"/>
          <w:numId w:val="80"/>
        </w:numPr>
        <w:rPr>
          <w:rFonts w:ascii="Arial" w:cs="Arial" w:eastAsia="Arial" w:hAnsi="Arial"/>
          <w:sz w:val="18"/>
          <w:szCs w:val="18"/>
          <w:color w:val="auto"/>
        </w:rPr>
      </w:pPr>
      <w:r>
        <w:rPr>
          <w:rFonts w:ascii="Arial" w:cs="Arial" w:eastAsia="Arial" w:hAnsi="Arial"/>
          <w:sz w:val="18"/>
          <w:szCs w:val="18"/>
          <w:color w:val="auto"/>
        </w:rPr>
        <w:t>either (a) all the Notes of such series theretofore authenticated and delivered (except lost, stolen or destroyed Notes which have been replaced or paid and Notes for whose payment money has theretofore been deposited in trust or segregated and held in trust by AbbVie and thereafter repaid to it or discharged from such trust) have been delivered to the Trustee for cancellation or (b) all of the Notes of such series not theretofore delivered to the Trustee for cancellation (i) have become due and payable, (ii) will become due and payable at their stated maturity within one year or (iii) if redeemable at AbbVie’s option, are to be called for redemption within one year under arrangements satisfactory to the Trustee for the giving of notice of redemption by the Trustee in the name, and at the expense, of AbbVie, and AbbVie has irrevocably deposited or caused to be deposited with the Trustee funds in an amount sufficient to pay and discharge the entire indebtedness on the Notes of such series not theretofore delivered to the Trustee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435" w:right="359" w:bottom="1440" w:gutter="0" w:footer="0" w:header="0"/>
        </w:sectPr>
      </w:pPr>
    </w:p>
    <w:bookmarkStart w:id="132" w:name="page133"/>
    <w:bookmarkEnd w:id="132"/>
    <w:p>
      <w:pPr>
        <w:ind w:left="1300" w:right="20"/>
        <w:spacing w:after="0" w:line="252" w:lineRule="auto"/>
        <w:rPr>
          <w:sz w:val="20"/>
          <w:szCs w:val="20"/>
          <w:color w:val="auto"/>
        </w:rPr>
      </w:pPr>
      <w:r>
        <w:rPr>
          <w:rFonts w:ascii="Arial" w:cs="Arial" w:eastAsia="Arial" w:hAnsi="Arial"/>
          <w:sz w:val="18"/>
          <w:szCs w:val="18"/>
          <w:color w:val="auto"/>
        </w:rPr>
        <w:t>cancellation, for principal of, premium, if any, and interest on the Notes of such series to the date of such deposit (in the case of Notes which have become due and payable), or to their stated maturity or the redemption date, as the case may be (provided that in connection with any discharge relating to any redemption that requires the payment of a premium, the amount deposited shall be sufficient for purposes of the Indenture to the extent that an amount is deposited with the Trustee equal to the premium calculated as of the date of the notice of redemption, with any deficit as of the redemption date only required to be deposited with the Trustee on or prior to the redemption date), together with irrevocable instructions from AbbVie directing the Trustee to apply such funds to the payment thereof at maturity or redemption, as the case may be;</w:t>
      </w:r>
    </w:p>
    <w:p>
      <w:pPr>
        <w:spacing w:after="0" w:line="207" w:lineRule="exact"/>
        <w:rPr>
          <w:sz w:val="20"/>
          <w:szCs w:val="20"/>
          <w:color w:val="auto"/>
        </w:rPr>
      </w:pPr>
    </w:p>
    <w:p>
      <w:pPr>
        <w:ind w:left="1060" w:hanging="40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AbbVie has paid or caused to be paid all other sums payable under the Indenture in respect of such series of Notes; and</w:t>
      </w:r>
    </w:p>
    <w:p>
      <w:pPr>
        <w:spacing w:after="0" w:line="225" w:lineRule="exact"/>
        <w:rPr>
          <w:rFonts w:ascii="Arial" w:cs="Arial" w:eastAsia="Arial" w:hAnsi="Arial"/>
          <w:sz w:val="18"/>
          <w:szCs w:val="18"/>
          <w:color w:val="auto"/>
        </w:rPr>
      </w:pPr>
    </w:p>
    <w:p>
      <w:pPr>
        <w:ind w:left="1300" w:hanging="644"/>
        <w:spacing w:after="0" w:line="256" w:lineRule="auto"/>
        <w:tabs>
          <w:tab w:leader="none" w:pos="1062" w:val="left"/>
        </w:tabs>
        <w:numPr>
          <w:ilvl w:val="0"/>
          <w:numId w:val="81"/>
        </w:numPr>
        <w:rPr>
          <w:rFonts w:ascii="Arial" w:cs="Arial" w:eastAsia="Arial" w:hAnsi="Arial"/>
          <w:sz w:val="18"/>
          <w:szCs w:val="18"/>
          <w:color w:val="auto"/>
        </w:rPr>
      </w:pPr>
      <w:r>
        <w:rPr>
          <w:rFonts w:ascii="Arial" w:cs="Arial" w:eastAsia="Arial" w:hAnsi="Arial"/>
          <w:sz w:val="18"/>
          <w:szCs w:val="18"/>
          <w:color w:val="auto"/>
        </w:rPr>
        <w:t>AbbVie has delivered to the Trustee an officers’ certificate and an opinion of counsel, each stating that all conditions precedent under the Indenture relating to the satisfaction and discharge of the Indenture with respect to such series of Notes have been complied with.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and the Notes are governed by the laws of the State of New York.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47" w:lineRule="exact"/>
        <w:rPr>
          <w:sz w:val="20"/>
          <w:szCs w:val="20"/>
          <w:color w:val="auto"/>
        </w:rPr>
      </w:pPr>
    </w:p>
    <w:p>
      <w:pPr>
        <w:ind w:right="500" w:firstLine="648"/>
        <w:spacing w:after="0" w:line="261" w:lineRule="auto"/>
        <w:rPr>
          <w:sz w:val="20"/>
          <w:szCs w:val="20"/>
          <w:color w:val="auto"/>
        </w:rPr>
      </w:pPr>
      <w:r>
        <w:rPr>
          <w:rFonts w:ascii="Arial" w:cs="Arial" w:eastAsia="Arial" w:hAnsi="Arial"/>
          <w:sz w:val="18"/>
          <w:szCs w:val="18"/>
          <w:color w:val="auto"/>
        </w:rPr>
        <w:t>U.S. Bank National Association is named as the “Trustee” under the Indenture. U.S. Bank National Association and its affiliates perform certain commercial banking services for some of AbbVie’s affiliates for which they receive customary fees.</w:t>
      </w:r>
    </w:p>
    <w:p>
      <w:pPr>
        <w:spacing w:after="0" w:line="198" w:lineRule="exact"/>
        <w:rPr>
          <w:sz w:val="20"/>
          <w:szCs w:val="20"/>
          <w:color w:val="auto"/>
        </w:rPr>
      </w:pPr>
    </w:p>
    <w:p>
      <w:pPr>
        <w:ind w:right="400" w:firstLine="648"/>
        <w:spacing w:after="0" w:line="256" w:lineRule="auto"/>
        <w:rPr>
          <w:sz w:val="20"/>
          <w:szCs w:val="20"/>
          <w:color w:val="auto"/>
        </w:rPr>
      </w:pPr>
      <w:r>
        <w:rPr>
          <w:rFonts w:ascii="Arial" w:cs="Arial" w:eastAsia="Arial" w:hAnsi="Arial"/>
          <w:sz w:val="18"/>
          <w:szCs w:val="18"/>
          <w:color w:val="auto"/>
        </w:rPr>
        <w:t>The Trustee is obligated to exercise any of its powers under the Indenture at the request or direction of any of the holders of any Notes pursuant to the Indenture only after those holders have offered the Trustee reasonable security or indemnity against the costs, expenses and liabilities which might be incurred by the Trustee in compliance with such request or direction.</w:t>
      </w:r>
    </w:p>
    <w:p>
      <w:pPr>
        <w:spacing w:after="0" w:line="20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considering the interests of holders of the Notes while any relevant Global Notes are held on behalf of Euroclear and Clearstream, Luxembourg, the Trustee may have regard to any information provided to it by such clearing systems as to the identity (either individually or by category) of their accountholders and may consider such interests as if such accountholders were holders of the relevant Global Notes and interests therein.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47"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AbbVie makes payments on the Notes in euro at the office of the Trustee, the London Paying Agent or any paying agent AbbVie designates (which paying agent may include AbbVie). At its option, AbbVie may make payments of interest by (1) check mailed to the address of the Person entitled thereto as such address shall appear in the security register or (2) wire transfer as directed by the holder of any Note, in immediately available funds to an account maintained by the applicable depository or its nominee with respect to a Global Note, and to the holder of any Note or its nominee with respect to a Definitive Note; provided further that in the case of a Definitive Note (x) the holder thereof shall have provided written wiring instructions to the London Paying Agent on or before the related Record Date and (y) if appropriate instructions for any such wire transfer are not received by the related Record Date, then such payment shall be made by check mailed to the address of such holder specified in the security register. AbbVie will make interest payments to the holder in whose name the Note is registered at the close of business on the Record Date for the interest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35" w:right="339" w:bottom="1440" w:gutter="0" w:footer="0" w:header="0"/>
        </w:sectPr>
      </w:pPr>
    </w:p>
    <w:bookmarkStart w:id="133" w:name="page134"/>
    <w:bookmarkEnd w:id="133"/>
    <w:p>
      <w:pPr>
        <w:ind w:right="380" w:firstLine="648"/>
        <w:spacing w:after="0" w:line="256" w:lineRule="auto"/>
        <w:rPr>
          <w:sz w:val="20"/>
          <w:szCs w:val="20"/>
          <w:color w:val="auto"/>
        </w:rPr>
      </w:pPr>
      <w:r>
        <w:rPr>
          <w:rFonts w:ascii="Arial" w:cs="Arial" w:eastAsia="Arial" w:hAnsi="Arial"/>
          <w:sz w:val="18"/>
          <w:szCs w:val="18"/>
          <w:color w:val="auto"/>
        </w:rPr>
        <w:t>All payments of any amounts paid to or to the order of the nominee for a common depositary for Euroclear and Clearstream, Luxembourg shall be valid and, to the extent of the sums so paid, effectual to satisfy and discharge the liability of AbbVie for the moneys payable on the Notes.</w:t>
      </w:r>
    </w:p>
    <w:p>
      <w:pPr>
        <w:spacing w:after="0" w:line="202" w:lineRule="exact"/>
        <w:rPr>
          <w:sz w:val="20"/>
          <w:szCs w:val="20"/>
          <w:color w:val="auto"/>
        </w:rPr>
      </w:pPr>
    </w:p>
    <w:p>
      <w:pPr>
        <w:ind w:right="260" w:firstLine="648"/>
        <w:spacing w:after="0" w:line="256" w:lineRule="auto"/>
        <w:rPr>
          <w:sz w:val="20"/>
          <w:szCs w:val="20"/>
          <w:color w:val="auto"/>
        </w:rPr>
      </w:pPr>
      <w:r>
        <w:rPr>
          <w:rFonts w:ascii="Arial" w:cs="Arial" w:eastAsia="Arial" w:hAnsi="Arial"/>
          <w:sz w:val="18"/>
          <w:szCs w:val="18"/>
          <w:color w:val="auto"/>
        </w:rPr>
        <w:t>AbbVie has designated the London Paying Agent as its paying agent for payments on Notes. AbbVie may at any time designate additional paying agents or rescind the designation of any paying agent or approve a change in the office through which any paying agent acts.</w:t>
      </w:r>
    </w:p>
    <w:p>
      <w:pPr>
        <w:spacing w:after="0" w:line="202" w:lineRule="exact"/>
        <w:rPr>
          <w:sz w:val="20"/>
          <w:szCs w:val="20"/>
          <w:color w:val="auto"/>
        </w:rPr>
      </w:pPr>
    </w:p>
    <w:p>
      <w:pPr>
        <w:ind w:right="320" w:firstLine="648"/>
        <w:spacing w:after="0" w:line="256" w:lineRule="auto"/>
        <w:rPr>
          <w:sz w:val="20"/>
          <w:szCs w:val="20"/>
          <w:color w:val="auto"/>
        </w:rPr>
      </w:pPr>
      <w:r>
        <w:rPr>
          <w:rFonts w:ascii="Arial" w:cs="Arial" w:eastAsia="Arial" w:hAnsi="Arial"/>
          <w:sz w:val="18"/>
          <w:szCs w:val="18"/>
          <w:color w:val="auto"/>
        </w:rPr>
        <w:t>The Trustee or London Paying Agent, as applicable, will repay to AbbVie on AbbVie’s written request any funds they hold for payments on the Notes that remain unclaimed for two years after the date upon which that payment has become due. After repayment to AbbVie, holders entitled to those funds must look only to it for payment.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24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Notes of any series may be exchangeable for other Notes of the same series with the same total principal amount and the same terms but in different authorized denominations in accordance with the Indenture. Holders may present registered Notes for registration of transfer at the office of the security registrar. The security registrar will effect the transfer or exchange when it is satisfied with the documents of title and identity of the person making the request.</w:t>
      </w:r>
    </w:p>
    <w:p>
      <w:pPr>
        <w:spacing w:after="0" w:line="204"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AbbVie has appointed the Trustee as security registrar for the 2021 Notes, the 2023 Notes, the June 2024 Notes, the 2027 Notes, the 2.625% November 2028 Notes, the 2029 Notes and the 2031 Notes and the London Paying Agent as the security registrar for the May 2024 Notes and the 2.125% November 2028 Notes. AbbVie may at any time designate additional security registrars for any series of Notes or rescind the designation of any security registrar or approve a change in the location through which any security registrar acts. AbbVie is required to maintain an office or agency for transfers and exchanges in each place of payment. No service charge will be made for any registration of transfer or exchange of the Notes, but we or the security registrar may require payment of a sum sufficient to cover any transfer tax, assessments, or similar governmental charge payable in connection therewith (other than as set forth in the Indenture).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Neither AbbVie nor the security registrar is or will be required to register the transfer of or exchange of any Note:</w:t>
      </w:r>
    </w:p>
    <w:p>
      <w:pPr>
        <w:spacing w:after="0" w:line="225" w:lineRule="exact"/>
        <w:rPr>
          <w:sz w:val="20"/>
          <w:szCs w:val="20"/>
          <w:color w:val="auto"/>
        </w:rPr>
      </w:pPr>
    </w:p>
    <w:p>
      <w:pPr>
        <w:ind w:left="1300" w:hanging="644"/>
        <w:spacing w:after="0" w:line="261" w:lineRule="auto"/>
        <w:tabs>
          <w:tab w:leader="none" w:pos="1268" w:val="left"/>
        </w:tabs>
        <w:numPr>
          <w:ilvl w:val="0"/>
          <w:numId w:val="82"/>
        </w:numPr>
        <w:rPr>
          <w:rFonts w:ascii="Arial" w:cs="Arial" w:eastAsia="Arial" w:hAnsi="Arial"/>
          <w:sz w:val="18"/>
          <w:szCs w:val="18"/>
          <w:color w:val="auto"/>
        </w:rPr>
      </w:pPr>
      <w:r>
        <w:rPr>
          <w:rFonts w:ascii="Arial" w:cs="Arial" w:eastAsia="Arial" w:hAnsi="Arial"/>
          <w:sz w:val="18"/>
          <w:szCs w:val="18"/>
          <w:color w:val="auto"/>
        </w:rPr>
        <w:t>during a period beginning at the opening of business 15 days before the day of the mailing of a notice of redemption of Notes of that series selected for redemption and ending at the close of business on the day of such mailing; or</w:t>
      </w:r>
    </w:p>
    <w:p>
      <w:pPr>
        <w:spacing w:after="0" w:line="197" w:lineRule="exact"/>
        <w:rPr>
          <w:rFonts w:ascii="Arial" w:cs="Arial" w:eastAsia="Arial" w:hAnsi="Arial"/>
          <w:sz w:val="18"/>
          <w:szCs w:val="18"/>
          <w:color w:val="auto"/>
        </w:rPr>
      </w:pPr>
    </w:p>
    <w:p>
      <w:pPr>
        <w:ind w:left="1280" w:hanging="624"/>
        <w:spacing w:after="0"/>
        <w:tabs>
          <w:tab w:leader="none" w:pos="12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so selected for redemption in whole or in part, except the unredeemed portion of any Note being redeemed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320" w:top="1435" w:right="379" w:bottom="1440" w:gutter="0" w:footer="0" w:header="0"/>
        </w:sectPr>
      </w:pPr>
    </w:p>
    <w:bookmarkStart w:id="134" w:name="page135"/>
    <w:bookmarkEnd w:id="134"/>
    <w:p>
      <w:pPr>
        <w:jc w:val="right"/>
        <w:spacing w:after="0"/>
        <w:rPr>
          <w:sz w:val="20"/>
          <w:szCs w:val="20"/>
          <w:color w:val="auto"/>
        </w:rPr>
      </w:pPr>
      <w:r>
        <w:rPr>
          <w:rFonts w:ascii="Arial" w:cs="Arial" w:eastAsia="Arial" w:hAnsi="Arial"/>
          <w:sz w:val="20"/>
          <w:szCs w:val="20"/>
          <w:b w:val="1"/>
          <w:bCs w:val="1"/>
          <w:color w:val="4C4C4C"/>
        </w:rPr>
        <w:t>Exhibit 21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C4C4C"/>
        </w:rPr>
        <w:t>List Of Subsidiaries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0" w:firstLine="648"/>
        <w:spacing w:after="0" w:line="275" w:lineRule="auto"/>
        <w:rPr>
          <w:sz w:val="20"/>
          <w:szCs w:val="20"/>
          <w:color w:val="auto"/>
        </w:rPr>
      </w:pPr>
      <w:r>
        <w:rPr>
          <w:rFonts w:ascii="Arial" w:cs="Arial" w:eastAsia="Arial" w:hAnsi="Arial"/>
          <w:sz w:val="20"/>
          <w:szCs w:val="20"/>
          <w:color w:val="auto"/>
        </w:rPr>
        <w:t>The following is a list of subsidiaries of AbbVie Inc. as of December 31, 2020. AbbVie is not a subsidiary of any other corporation.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660" w:type="dxa"/>
            <w:vAlign w:val="bottom"/>
          </w:tcPr>
          <w:p>
            <w:pPr>
              <w:ind w:left="140"/>
              <w:spacing w:after="0"/>
              <w:rPr>
                <w:sz w:val="20"/>
                <w:szCs w:val="20"/>
                <w:color w:val="auto"/>
              </w:rPr>
            </w:pPr>
            <w:r>
              <w:rPr>
                <w:rFonts w:ascii="Arial" w:cs="Arial" w:eastAsia="Arial" w:hAnsi="Arial"/>
                <w:sz w:val="20"/>
                <w:szCs w:val="20"/>
                <w:b w:val="1"/>
                <w:bCs w:val="1"/>
                <w:color w:val="auto"/>
              </w:rPr>
              <w:t>Domestic Subsidiaries</w:t>
            </w:r>
          </w:p>
        </w:tc>
        <w:tc>
          <w:tcPr>
            <w:tcW w:w="5580" w:type="dxa"/>
            <w:vAlign w:val="bottom"/>
          </w:tcPr>
          <w:p>
            <w:pPr>
              <w:ind w:left="760"/>
              <w:spacing w:after="0"/>
              <w:rPr>
                <w:sz w:val="20"/>
                <w:szCs w:val="20"/>
                <w:color w:val="auto"/>
              </w:rPr>
            </w:pPr>
            <w:r>
              <w:rPr>
                <w:rFonts w:ascii="Arial" w:cs="Arial" w:eastAsia="Arial" w:hAnsi="Arial"/>
                <w:sz w:val="20"/>
                <w:szCs w:val="20"/>
                <w:b w:val="1"/>
                <w:bCs w:val="1"/>
                <w:color w:val="auto"/>
              </w:rPr>
              <w:t>Incorporation</w:t>
            </w:r>
          </w:p>
        </w:tc>
      </w:tr>
      <w:tr>
        <w:trPr>
          <w:trHeight w:val="212"/>
        </w:trPr>
        <w:tc>
          <w:tcPr>
            <w:tcW w:w="5660" w:type="dxa"/>
            <w:vAlign w:val="bottom"/>
          </w:tcPr>
          <w:p>
            <w:pPr>
              <w:spacing w:after="0"/>
              <w:rPr>
                <w:sz w:val="18"/>
                <w:szCs w:val="18"/>
                <w:color w:val="auto"/>
              </w:rPr>
            </w:pPr>
          </w:p>
        </w:tc>
        <w:tc>
          <w:tcPr>
            <w:tcW w:w="5580" w:type="dxa"/>
            <w:vAlign w:val="bottom"/>
          </w:tcPr>
          <w:p>
            <w:pPr>
              <w:spacing w:after="0"/>
              <w:rPr>
                <w:sz w:val="18"/>
                <w:szCs w:val="18"/>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Aviation LLC</w:t>
            </w:r>
          </w:p>
        </w:tc>
        <w:tc>
          <w:tcPr>
            <w:tcW w:w="5580" w:type="dxa"/>
            <w:vAlign w:val="bottom"/>
            <w:shd w:val="clear" w:color="auto" w:fill="CCEEFF"/>
          </w:tcPr>
          <w:p>
            <w:pPr>
              <w:ind w:left="760"/>
              <w:spacing w:after="0"/>
              <w:rPr>
                <w:sz w:val="20"/>
                <w:szCs w:val="20"/>
                <w:color w:val="auto"/>
              </w:rPr>
            </w:pPr>
            <w:r>
              <w:rPr>
                <w:rFonts w:ascii="Arial" w:cs="Arial" w:eastAsia="Arial" w:hAnsi="Arial"/>
                <w:sz w:val="20"/>
                <w:szCs w:val="20"/>
                <w:color w:val="auto"/>
              </w:rPr>
              <w:t>Illinois</w:t>
            </w:r>
          </w:p>
        </w:tc>
      </w:tr>
      <w:tr>
        <w:trPr>
          <w:trHeight w:val="270"/>
        </w:trPr>
        <w:tc>
          <w:tcPr>
            <w:tcW w:w="5660" w:type="dxa"/>
            <w:vAlign w:val="bottom"/>
          </w:tcPr>
          <w:p>
            <w:pPr>
              <w:spacing w:after="0"/>
              <w:rPr>
                <w:sz w:val="23"/>
                <w:szCs w:val="23"/>
                <w:color w:val="auto"/>
              </w:rPr>
            </w:pPr>
          </w:p>
        </w:tc>
        <w:tc>
          <w:tcPr>
            <w:tcW w:w="5580" w:type="dxa"/>
            <w:vAlign w:val="bottom"/>
          </w:tcPr>
          <w:p>
            <w:pPr>
              <w:spacing w:after="0"/>
              <w:rPr>
                <w:sz w:val="23"/>
                <w:szCs w:val="23"/>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Biopharmaceuticals LLC</w:t>
            </w:r>
          </w:p>
        </w:tc>
        <w:tc>
          <w:tcPr>
            <w:tcW w:w="5580" w:type="dxa"/>
            <w:vAlign w:val="bottom"/>
            <w:shd w:val="clear" w:color="auto" w:fill="CCEEFF"/>
          </w:tcPr>
          <w:p>
            <w:pPr>
              <w:ind w:left="760"/>
              <w:spacing w:after="0"/>
              <w:rPr>
                <w:sz w:val="20"/>
                <w:szCs w:val="20"/>
                <w:color w:val="auto"/>
              </w:rPr>
            </w:pPr>
            <w:r>
              <w:rPr>
                <w:rFonts w:ascii="Arial" w:cs="Arial" w:eastAsia="Arial" w:hAnsi="Arial"/>
                <w:sz w:val="20"/>
                <w:szCs w:val="20"/>
                <w:color w:val="auto"/>
              </w:rPr>
              <w:t>Delaware</w:t>
            </w:r>
          </w:p>
        </w:tc>
      </w:tr>
      <w:tr>
        <w:trPr>
          <w:trHeight w:val="270"/>
        </w:trPr>
        <w:tc>
          <w:tcPr>
            <w:tcW w:w="5660" w:type="dxa"/>
            <w:vAlign w:val="bottom"/>
          </w:tcPr>
          <w:p>
            <w:pPr>
              <w:spacing w:after="0"/>
              <w:rPr>
                <w:sz w:val="23"/>
                <w:szCs w:val="23"/>
                <w:color w:val="auto"/>
              </w:rPr>
            </w:pPr>
          </w:p>
        </w:tc>
        <w:tc>
          <w:tcPr>
            <w:tcW w:w="5580" w:type="dxa"/>
            <w:vAlign w:val="bottom"/>
          </w:tcPr>
          <w:p>
            <w:pPr>
              <w:spacing w:after="0"/>
              <w:rPr>
                <w:sz w:val="23"/>
                <w:szCs w:val="23"/>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Bioresearch Center Inc.</w:t>
            </w:r>
          </w:p>
        </w:tc>
        <w:tc>
          <w:tcPr>
            <w:tcW w:w="5580" w:type="dxa"/>
            <w:vAlign w:val="bottom"/>
            <w:shd w:val="clear" w:color="auto" w:fill="CCEEFF"/>
          </w:tcPr>
          <w:p>
            <w:pPr>
              <w:ind w:left="760"/>
              <w:spacing w:after="0"/>
              <w:rPr>
                <w:sz w:val="20"/>
                <w:szCs w:val="20"/>
                <w:color w:val="auto"/>
              </w:rPr>
            </w:pPr>
            <w:r>
              <w:rPr>
                <w:rFonts w:ascii="Arial" w:cs="Arial" w:eastAsia="Arial" w:hAnsi="Arial"/>
                <w:sz w:val="20"/>
                <w:szCs w:val="20"/>
                <w:color w:val="auto"/>
              </w:rPr>
              <w:t>Delaware</w:t>
            </w:r>
          </w:p>
        </w:tc>
      </w:tr>
      <w:tr>
        <w:trPr>
          <w:trHeight w:val="270"/>
        </w:trPr>
        <w:tc>
          <w:tcPr>
            <w:tcW w:w="5660" w:type="dxa"/>
            <w:vAlign w:val="bottom"/>
          </w:tcPr>
          <w:p>
            <w:pPr>
              <w:spacing w:after="0"/>
              <w:rPr>
                <w:sz w:val="23"/>
                <w:szCs w:val="23"/>
                <w:color w:val="auto"/>
              </w:rPr>
            </w:pPr>
          </w:p>
        </w:tc>
        <w:tc>
          <w:tcPr>
            <w:tcW w:w="5580" w:type="dxa"/>
            <w:vAlign w:val="bottom"/>
          </w:tcPr>
          <w:p>
            <w:pPr>
              <w:spacing w:after="0"/>
              <w:rPr>
                <w:sz w:val="23"/>
                <w:szCs w:val="23"/>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Biotech Ventures Inc.</w:t>
            </w:r>
          </w:p>
        </w:tc>
        <w:tc>
          <w:tcPr>
            <w:tcW w:w="5580" w:type="dxa"/>
            <w:vAlign w:val="bottom"/>
            <w:shd w:val="clear" w:color="auto" w:fill="CCEEFF"/>
          </w:tcPr>
          <w:p>
            <w:pPr>
              <w:ind w:left="760"/>
              <w:spacing w:after="0"/>
              <w:rPr>
                <w:sz w:val="20"/>
                <w:szCs w:val="20"/>
                <w:color w:val="auto"/>
              </w:rPr>
            </w:pPr>
            <w:r>
              <w:rPr>
                <w:rFonts w:ascii="Arial" w:cs="Arial" w:eastAsia="Arial" w:hAnsi="Arial"/>
                <w:sz w:val="20"/>
                <w:szCs w:val="20"/>
                <w:color w:val="auto"/>
              </w:rPr>
              <w:t>Delaware</w:t>
            </w:r>
          </w:p>
        </w:tc>
      </w:tr>
      <w:tr>
        <w:trPr>
          <w:trHeight w:val="270"/>
        </w:trPr>
        <w:tc>
          <w:tcPr>
            <w:tcW w:w="5660" w:type="dxa"/>
            <w:vAlign w:val="bottom"/>
          </w:tcPr>
          <w:p>
            <w:pPr>
              <w:spacing w:after="0"/>
              <w:rPr>
                <w:sz w:val="23"/>
                <w:szCs w:val="23"/>
                <w:color w:val="auto"/>
              </w:rPr>
            </w:pPr>
          </w:p>
        </w:tc>
        <w:tc>
          <w:tcPr>
            <w:tcW w:w="5580" w:type="dxa"/>
            <w:vAlign w:val="bottom"/>
          </w:tcPr>
          <w:p>
            <w:pPr>
              <w:spacing w:after="0"/>
              <w:rPr>
                <w:sz w:val="23"/>
                <w:szCs w:val="23"/>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Biotherapeutics Inc.</w:t>
            </w:r>
          </w:p>
        </w:tc>
        <w:tc>
          <w:tcPr>
            <w:tcW w:w="5580" w:type="dxa"/>
            <w:vAlign w:val="bottom"/>
            <w:shd w:val="clear" w:color="auto" w:fill="CCEEFF"/>
          </w:tcPr>
          <w:p>
            <w:pPr>
              <w:ind w:left="760"/>
              <w:spacing w:after="0"/>
              <w:rPr>
                <w:sz w:val="20"/>
                <w:szCs w:val="20"/>
                <w:color w:val="auto"/>
              </w:rPr>
            </w:pPr>
            <w:r>
              <w:rPr>
                <w:rFonts w:ascii="Arial" w:cs="Arial" w:eastAsia="Arial" w:hAnsi="Arial"/>
                <w:sz w:val="20"/>
                <w:szCs w:val="20"/>
                <w:color w:val="auto"/>
              </w:rPr>
              <w:t>Delaware</w:t>
            </w:r>
          </w:p>
        </w:tc>
      </w:tr>
      <w:tr>
        <w:trPr>
          <w:trHeight w:val="270"/>
        </w:trPr>
        <w:tc>
          <w:tcPr>
            <w:tcW w:w="5660" w:type="dxa"/>
            <w:vAlign w:val="bottom"/>
          </w:tcPr>
          <w:p>
            <w:pPr>
              <w:spacing w:after="0"/>
              <w:rPr>
                <w:sz w:val="23"/>
                <w:szCs w:val="23"/>
                <w:color w:val="auto"/>
              </w:rPr>
            </w:pPr>
          </w:p>
        </w:tc>
        <w:tc>
          <w:tcPr>
            <w:tcW w:w="5580" w:type="dxa"/>
            <w:vAlign w:val="bottom"/>
          </w:tcPr>
          <w:p>
            <w:pPr>
              <w:spacing w:after="0"/>
              <w:rPr>
                <w:sz w:val="23"/>
                <w:szCs w:val="23"/>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Domestic Holdings Inc.</w:t>
            </w:r>
          </w:p>
        </w:tc>
        <w:tc>
          <w:tcPr>
            <w:tcW w:w="5580" w:type="dxa"/>
            <w:vAlign w:val="bottom"/>
            <w:shd w:val="clear" w:color="auto" w:fill="CCEEFF"/>
          </w:tcPr>
          <w:p>
            <w:pPr>
              <w:ind w:left="760"/>
              <w:spacing w:after="0"/>
              <w:rPr>
                <w:sz w:val="20"/>
                <w:szCs w:val="20"/>
                <w:color w:val="auto"/>
              </w:rPr>
            </w:pPr>
            <w:r>
              <w:rPr>
                <w:rFonts w:ascii="Arial" w:cs="Arial" w:eastAsia="Arial" w:hAnsi="Arial"/>
                <w:sz w:val="20"/>
                <w:szCs w:val="20"/>
                <w:color w:val="auto"/>
              </w:rPr>
              <w:t>Delaware</w:t>
            </w:r>
          </w:p>
        </w:tc>
      </w:tr>
      <w:tr>
        <w:trPr>
          <w:trHeight w:val="270"/>
        </w:trPr>
        <w:tc>
          <w:tcPr>
            <w:tcW w:w="5660" w:type="dxa"/>
            <w:vAlign w:val="bottom"/>
          </w:tcPr>
          <w:p>
            <w:pPr>
              <w:spacing w:after="0"/>
              <w:rPr>
                <w:sz w:val="23"/>
                <w:szCs w:val="23"/>
                <w:color w:val="auto"/>
              </w:rPr>
            </w:pPr>
          </w:p>
        </w:tc>
        <w:tc>
          <w:tcPr>
            <w:tcW w:w="5580" w:type="dxa"/>
            <w:vAlign w:val="bottom"/>
          </w:tcPr>
          <w:p>
            <w:pPr>
              <w:spacing w:after="0"/>
              <w:rPr>
                <w:sz w:val="23"/>
                <w:szCs w:val="23"/>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Endocrine Inc.</w:t>
            </w:r>
          </w:p>
        </w:tc>
        <w:tc>
          <w:tcPr>
            <w:tcW w:w="5580" w:type="dxa"/>
            <w:vAlign w:val="bottom"/>
            <w:shd w:val="clear" w:color="auto" w:fill="CCEEFF"/>
          </w:tcPr>
          <w:p>
            <w:pPr>
              <w:ind w:left="760"/>
              <w:spacing w:after="0"/>
              <w:rPr>
                <w:sz w:val="20"/>
                <w:szCs w:val="20"/>
                <w:color w:val="auto"/>
              </w:rPr>
            </w:pPr>
            <w:r>
              <w:rPr>
                <w:rFonts w:ascii="Arial" w:cs="Arial" w:eastAsia="Arial" w:hAnsi="Arial"/>
                <w:sz w:val="20"/>
                <w:szCs w:val="20"/>
                <w:color w:val="auto"/>
              </w:rPr>
              <w:t>Delaware</w:t>
            </w:r>
          </w:p>
        </w:tc>
      </w:tr>
      <w:tr>
        <w:trPr>
          <w:trHeight w:val="270"/>
        </w:trPr>
        <w:tc>
          <w:tcPr>
            <w:tcW w:w="5660" w:type="dxa"/>
            <w:vAlign w:val="bottom"/>
          </w:tcPr>
          <w:p>
            <w:pPr>
              <w:spacing w:after="0"/>
              <w:rPr>
                <w:sz w:val="23"/>
                <w:szCs w:val="23"/>
                <w:color w:val="auto"/>
              </w:rPr>
            </w:pPr>
          </w:p>
        </w:tc>
        <w:tc>
          <w:tcPr>
            <w:tcW w:w="5580" w:type="dxa"/>
            <w:vAlign w:val="bottom"/>
          </w:tcPr>
          <w:p>
            <w:pPr>
              <w:spacing w:after="0"/>
              <w:rPr>
                <w:sz w:val="23"/>
                <w:szCs w:val="23"/>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Endocrinology Inc. (d/b/a Pharmacy Solutions)</w:t>
            </w:r>
          </w:p>
        </w:tc>
        <w:tc>
          <w:tcPr>
            <w:tcW w:w="5580" w:type="dxa"/>
            <w:vAlign w:val="bottom"/>
            <w:shd w:val="clear" w:color="auto" w:fill="CCEEFF"/>
          </w:tcPr>
          <w:p>
            <w:pPr>
              <w:ind w:left="760"/>
              <w:spacing w:after="0"/>
              <w:rPr>
                <w:sz w:val="20"/>
                <w:szCs w:val="20"/>
                <w:color w:val="auto"/>
              </w:rPr>
            </w:pPr>
            <w:r>
              <w:rPr>
                <w:rFonts w:ascii="Arial" w:cs="Arial" w:eastAsia="Arial" w:hAnsi="Arial"/>
                <w:sz w:val="20"/>
                <w:szCs w:val="20"/>
                <w:color w:val="auto"/>
              </w:rPr>
              <w:t>Delaware</w:t>
            </w:r>
          </w:p>
        </w:tc>
      </w:tr>
      <w:tr>
        <w:trPr>
          <w:trHeight w:val="270"/>
        </w:trPr>
        <w:tc>
          <w:tcPr>
            <w:tcW w:w="5660" w:type="dxa"/>
            <w:vAlign w:val="bottom"/>
          </w:tcPr>
          <w:p>
            <w:pPr>
              <w:spacing w:after="0"/>
              <w:rPr>
                <w:sz w:val="23"/>
                <w:szCs w:val="23"/>
                <w:color w:val="auto"/>
              </w:rPr>
            </w:pPr>
          </w:p>
        </w:tc>
        <w:tc>
          <w:tcPr>
            <w:tcW w:w="5580" w:type="dxa"/>
            <w:vAlign w:val="bottom"/>
          </w:tcPr>
          <w:p>
            <w:pPr>
              <w:spacing w:after="0"/>
              <w:rPr>
                <w:sz w:val="23"/>
                <w:szCs w:val="23"/>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Finance Corporation</w:t>
            </w:r>
          </w:p>
        </w:tc>
        <w:tc>
          <w:tcPr>
            <w:tcW w:w="5580" w:type="dxa"/>
            <w:vAlign w:val="bottom"/>
            <w:shd w:val="clear" w:color="auto" w:fill="CCEEFF"/>
          </w:tcPr>
          <w:p>
            <w:pPr>
              <w:ind w:left="760"/>
              <w:spacing w:after="0"/>
              <w:rPr>
                <w:sz w:val="20"/>
                <w:szCs w:val="20"/>
                <w:color w:val="auto"/>
              </w:rPr>
            </w:pPr>
            <w:r>
              <w:rPr>
                <w:rFonts w:ascii="Arial" w:cs="Arial" w:eastAsia="Arial" w:hAnsi="Arial"/>
                <w:sz w:val="20"/>
                <w:szCs w:val="20"/>
                <w:color w:val="auto"/>
              </w:rPr>
              <w:t>Delaware</w:t>
            </w:r>
          </w:p>
        </w:tc>
      </w:tr>
      <w:tr>
        <w:trPr>
          <w:trHeight w:val="270"/>
        </w:trPr>
        <w:tc>
          <w:tcPr>
            <w:tcW w:w="5660" w:type="dxa"/>
            <w:vAlign w:val="bottom"/>
          </w:tcPr>
          <w:p>
            <w:pPr>
              <w:spacing w:after="0"/>
              <w:rPr>
                <w:sz w:val="23"/>
                <w:szCs w:val="23"/>
                <w:color w:val="auto"/>
              </w:rPr>
            </w:pPr>
          </w:p>
        </w:tc>
        <w:tc>
          <w:tcPr>
            <w:tcW w:w="5580" w:type="dxa"/>
            <w:vAlign w:val="bottom"/>
          </w:tcPr>
          <w:p>
            <w:pPr>
              <w:spacing w:after="0"/>
              <w:rPr>
                <w:sz w:val="23"/>
                <w:szCs w:val="23"/>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Finance LLC</w:t>
            </w:r>
          </w:p>
        </w:tc>
        <w:tc>
          <w:tcPr>
            <w:tcW w:w="5580" w:type="dxa"/>
            <w:vAlign w:val="bottom"/>
            <w:shd w:val="clear" w:color="auto" w:fill="CCEEFF"/>
          </w:tcPr>
          <w:p>
            <w:pPr>
              <w:ind w:left="760"/>
              <w:spacing w:after="0"/>
              <w:rPr>
                <w:sz w:val="20"/>
                <w:szCs w:val="20"/>
                <w:color w:val="auto"/>
              </w:rPr>
            </w:pPr>
            <w:r>
              <w:rPr>
                <w:rFonts w:ascii="Arial" w:cs="Arial" w:eastAsia="Arial" w:hAnsi="Arial"/>
                <w:sz w:val="20"/>
                <w:szCs w:val="20"/>
                <w:color w:val="auto"/>
              </w:rPr>
              <w:t>Delaware</w:t>
            </w:r>
          </w:p>
        </w:tc>
      </w:tr>
      <w:tr>
        <w:trPr>
          <w:trHeight w:val="270"/>
        </w:trPr>
        <w:tc>
          <w:tcPr>
            <w:tcW w:w="5660" w:type="dxa"/>
            <w:vAlign w:val="bottom"/>
          </w:tcPr>
          <w:p>
            <w:pPr>
              <w:spacing w:after="0"/>
              <w:rPr>
                <w:sz w:val="23"/>
                <w:szCs w:val="23"/>
                <w:color w:val="auto"/>
              </w:rPr>
            </w:pPr>
          </w:p>
        </w:tc>
        <w:tc>
          <w:tcPr>
            <w:tcW w:w="5580" w:type="dxa"/>
            <w:vAlign w:val="bottom"/>
          </w:tcPr>
          <w:p>
            <w:pPr>
              <w:spacing w:after="0"/>
              <w:rPr>
                <w:sz w:val="23"/>
                <w:szCs w:val="23"/>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Global Holdings Inc.</w:t>
            </w:r>
          </w:p>
        </w:tc>
        <w:tc>
          <w:tcPr>
            <w:tcW w:w="5580" w:type="dxa"/>
            <w:vAlign w:val="bottom"/>
            <w:shd w:val="clear" w:color="auto" w:fill="CCEEFF"/>
          </w:tcPr>
          <w:p>
            <w:pPr>
              <w:ind w:left="760"/>
              <w:spacing w:after="0"/>
              <w:rPr>
                <w:sz w:val="20"/>
                <w:szCs w:val="20"/>
                <w:color w:val="auto"/>
              </w:rPr>
            </w:pPr>
            <w:r>
              <w:rPr>
                <w:rFonts w:ascii="Arial" w:cs="Arial" w:eastAsia="Arial" w:hAnsi="Arial"/>
                <w:sz w:val="20"/>
                <w:szCs w:val="20"/>
                <w:color w:val="auto"/>
              </w:rPr>
              <w:t>Delaware</w:t>
            </w:r>
          </w:p>
        </w:tc>
      </w:tr>
      <w:tr>
        <w:trPr>
          <w:trHeight w:val="270"/>
        </w:trPr>
        <w:tc>
          <w:tcPr>
            <w:tcW w:w="5660" w:type="dxa"/>
            <w:vAlign w:val="bottom"/>
          </w:tcPr>
          <w:p>
            <w:pPr>
              <w:spacing w:after="0"/>
              <w:rPr>
                <w:sz w:val="23"/>
                <w:szCs w:val="23"/>
                <w:color w:val="auto"/>
              </w:rPr>
            </w:pPr>
          </w:p>
        </w:tc>
        <w:tc>
          <w:tcPr>
            <w:tcW w:w="5580" w:type="dxa"/>
            <w:vAlign w:val="bottom"/>
          </w:tcPr>
          <w:p>
            <w:pPr>
              <w:spacing w:after="0"/>
              <w:rPr>
                <w:sz w:val="23"/>
                <w:szCs w:val="23"/>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Holdco Inc.</w:t>
            </w:r>
          </w:p>
        </w:tc>
        <w:tc>
          <w:tcPr>
            <w:tcW w:w="5580" w:type="dxa"/>
            <w:vAlign w:val="bottom"/>
            <w:shd w:val="clear" w:color="auto" w:fill="CCEEFF"/>
          </w:tcPr>
          <w:p>
            <w:pPr>
              <w:ind w:left="760"/>
              <w:spacing w:after="0"/>
              <w:rPr>
                <w:sz w:val="20"/>
                <w:szCs w:val="20"/>
                <w:color w:val="auto"/>
              </w:rPr>
            </w:pPr>
            <w:r>
              <w:rPr>
                <w:rFonts w:ascii="Arial" w:cs="Arial" w:eastAsia="Arial" w:hAnsi="Arial"/>
                <w:sz w:val="20"/>
                <w:szCs w:val="20"/>
                <w:color w:val="auto"/>
              </w:rPr>
              <w:t>Delaware</w:t>
            </w:r>
          </w:p>
        </w:tc>
      </w:tr>
      <w:tr>
        <w:trPr>
          <w:trHeight w:val="270"/>
        </w:trPr>
        <w:tc>
          <w:tcPr>
            <w:tcW w:w="5660" w:type="dxa"/>
            <w:vAlign w:val="bottom"/>
          </w:tcPr>
          <w:p>
            <w:pPr>
              <w:spacing w:after="0"/>
              <w:rPr>
                <w:sz w:val="23"/>
                <w:szCs w:val="23"/>
                <w:color w:val="auto"/>
              </w:rPr>
            </w:pPr>
          </w:p>
        </w:tc>
        <w:tc>
          <w:tcPr>
            <w:tcW w:w="5580" w:type="dxa"/>
            <w:vAlign w:val="bottom"/>
          </w:tcPr>
          <w:p>
            <w:pPr>
              <w:spacing w:after="0"/>
              <w:rPr>
                <w:sz w:val="23"/>
                <w:szCs w:val="23"/>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Holdings Inc.</w:t>
            </w:r>
          </w:p>
        </w:tc>
        <w:tc>
          <w:tcPr>
            <w:tcW w:w="5580" w:type="dxa"/>
            <w:vAlign w:val="bottom"/>
            <w:shd w:val="clear" w:color="auto" w:fill="CCEEFF"/>
          </w:tcPr>
          <w:p>
            <w:pPr>
              <w:ind w:left="760"/>
              <w:spacing w:after="0"/>
              <w:rPr>
                <w:sz w:val="20"/>
                <w:szCs w:val="20"/>
                <w:color w:val="auto"/>
              </w:rPr>
            </w:pPr>
            <w:r>
              <w:rPr>
                <w:rFonts w:ascii="Arial" w:cs="Arial" w:eastAsia="Arial" w:hAnsi="Arial"/>
                <w:sz w:val="20"/>
                <w:szCs w:val="20"/>
                <w:color w:val="auto"/>
              </w:rPr>
              <w:t>Delaware</w:t>
            </w:r>
          </w:p>
        </w:tc>
      </w:tr>
      <w:tr>
        <w:trPr>
          <w:trHeight w:val="270"/>
        </w:trPr>
        <w:tc>
          <w:tcPr>
            <w:tcW w:w="5660" w:type="dxa"/>
            <w:vAlign w:val="bottom"/>
          </w:tcPr>
          <w:p>
            <w:pPr>
              <w:spacing w:after="0"/>
              <w:rPr>
                <w:sz w:val="23"/>
                <w:szCs w:val="23"/>
                <w:color w:val="auto"/>
              </w:rPr>
            </w:pPr>
          </w:p>
        </w:tc>
        <w:tc>
          <w:tcPr>
            <w:tcW w:w="5580" w:type="dxa"/>
            <w:vAlign w:val="bottom"/>
          </w:tcPr>
          <w:p>
            <w:pPr>
              <w:spacing w:after="0"/>
              <w:rPr>
                <w:sz w:val="23"/>
                <w:szCs w:val="23"/>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Investments Inc.</w:t>
            </w:r>
          </w:p>
        </w:tc>
        <w:tc>
          <w:tcPr>
            <w:tcW w:w="5580" w:type="dxa"/>
            <w:vAlign w:val="bottom"/>
            <w:shd w:val="clear" w:color="auto" w:fill="CCEEFF"/>
          </w:tcPr>
          <w:p>
            <w:pPr>
              <w:ind w:left="760"/>
              <w:spacing w:after="0"/>
              <w:rPr>
                <w:sz w:val="20"/>
                <w:szCs w:val="20"/>
                <w:color w:val="auto"/>
              </w:rPr>
            </w:pPr>
            <w:r>
              <w:rPr>
                <w:rFonts w:ascii="Arial" w:cs="Arial" w:eastAsia="Arial" w:hAnsi="Arial"/>
                <w:sz w:val="20"/>
                <w:szCs w:val="20"/>
                <w:color w:val="auto"/>
              </w:rPr>
              <w:t>Delaware</w:t>
            </w:r>
          </w:p>
        </w:tc>
      </w:tr>
      <w:tr>
        <w:trPr>
          <w:trHeight w:val="270"/>
        </w:trPr>
        <w:tc>
          <w:tcPr>
            <w:tcW w:w="5660" w:type="dxa"/>
            <w:vAlign w:val="bottom"/>
          </w:tcPr>
          <w:p>
            <w:pPr>
              <w:spacing w:after="0"/>
              <w:rPr>
                <w:sz w:val="23"/>
                <w:szCs w:val="23"/>
                <w:color w:val="auto"/>
              </w:rPr>
            </w:pPr>
          </w:p>
        </w:tc>
        <w:tc>
          <w:tcPr>
            <w:tcW w:w="5580" w:type="dxa"/>
            <w:vAlign w:val="bottom"/>
          </w:tcPr>
          <w:p>
            <w:pPr>
              <w:spacing w:after="0"/>
              <w:rPr>
                <w:sz w:val="23"/>
                <w:szCs w:val="23"/>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Pharma Inc.</w:t>
            </w:r>
          </w:p>
        </w:tc>
        <w:tc>
          <w:tcPr>
            <w:tcW w:w="5580" w:type="dxa"/>
            <w:vAlign w:val="bottom"/>
            <w:shd w:val="clear" w:color="auto" w:fill="CCEEFF"/>
          </w:tcPr>
          <w:p>
            <w:pPr>
              <w:ind w:left="760"/>
              <w:spacing w:after="0"/>
              <w:rPr>
                <w:sz w:val="20"/>
                <w:szCs w:val="20"/>
                <w:color w:val="auto"/>
              </w:rPr>
            </w:pPr>
            <w:r>
              <w:rPr>
                <w:rFonts w:ascii="Arial" w:cs="Arial" w:eastAsia="Arial" w:hAnsi="Arial"/>
                <w:sz w:val="20"/>
                <w:szCs w:val="20"/>
                <w:color w:val="auto"/>
              </w:rPr>
              <w:t>Delaware</w:t>
            </w:r>
          </w:p>
        </w:tc>
      </w:tr>
      <w:tr>
        <w:trPr>
          <w:trHeight w:val="270"/>
        </w:trPr>
        <w:tc>
          <w:tcPr>
            <w:tcW w:w="5660" w:type="dxa"/>
            <w:vAlign w:val="bottom"/>
          </w:tcPr>
          <w:p>
            <w:pPr>
              <w:spacing w:after="0"/>
              <w:rPr>
                <w:sz w:val="23"/>
                <w:szCs w:val="23"/>
                <w:color w:val="auto"/>
              </w:rPr>
            </w:pPr>
          </w:p>
        </w:tc>
        <w:tc>
          <w:tcPr>
            <w:tcW w:w="5580" w:type="dxa"/>
            <w:vAlign w:val="bottom"/>
          </w:tcPr>
          <w:p>
            <w:pPr>
              <w:spacing w:after="0"/>
              <w:rPr>
                <w:sz w:val="23"/>
                <w:szCs w:val="23"/>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Pharmaceuticals LLC</w:t>
            </w:r>
          </w:p>
        </w:tc>
        <w:tc>
          <w:tcPr>
            <w:tcW w:w="5580" w:type="dxa"/>
            <w:vAlign w:val="bottom"/>
            <w:shd w:val="clear" w:color="auto" w:fill="CCEEFF"/>
          </w:tcPr>
          <w:p>
            <w:pPr>
              <w:ind w:left="760"/>
              <w:spacing w:after="0"/>
              <w:rPr>
                <w:sz w:val="20"/>
                <w:szCs w:val="20"/>
                <w:color w:val="auto"/>
              </w:rPr>
            </w:pPr>
            <w:r>
              <w:rPr>
                <w:rFonts w:ascii="Arial" w:cs="Arial" w:eastAsia="Arial" w:hAnsi="Arial"/>
                <w:sz w:val="20"/>
                <w:szCs w:val="20"/>
                <w:color w:val="auto"/>
              </w:rPr>
              <w:t>Delaware</w:t>
            </w:r>
          </w:p>
        </w:tc>
      </w:tr>
      <w:tr>
        <w:trPr>
          <w:trHeight w:val="270"/>
        </w:trPr>
        <w:tc>
          <w:tcPr>
            <w:tcW w:w="5660" w:type="dxa"/>
            <w:vAlign w:val="bottom"/>
          </w:tcPr>
          <w:p>
            <w:pPr>
              <w:spacing w:after="0"/>
              <w:rPr>
                <w:sz w:val="23"/>
                <w:szCs w:val="23"/>
                <w:color w:val="auto"/>
              </w:rPr>
            </w:pPr>
          </w:p>
        </w:tc>
        <w:tc>
          <w:tcPr>
            <w:tcW w:w="5580" w:type="dxa"/>
            <w:vAlign w:val="bottom"/>
          </w:tcPr>
          <w:p>
            <w:pPr>
              <w:spacing w:after="0"/>
              <w:rPr>
                <w:sz w:val="23"/>
                <w:szCs w:val="23"/>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Products LLC</w:t>
            </w:r>
          </w:p>
        </w:tc>
        <w:tc>
          <w:tcPr>
            <w:tcW w:w="5580" w:type="dxa"/>
            <w:vAlign w:val="bottom"/>
            <w:shd w:val="clear" w:color="auto" w:fill="CCEEFF"/>
          </w:tcPr>
          <w:p>
            <w:pPr>
              <w:ind w:left="760"/>
              <w:spacing w:after="0"/>
              <w:rPr>
                <w:sz w:val="20"/>
                <w:szCs w:val="20"/>
                <w:color w:val="auto"/>
              </w:rPr>
            </w:pPr>
            <w:r>
              <w:rPr>
                <w:rFonts w:ascii="Arial" w:cs="Arial" w:eastAsia="Arial" w:hAnsi="Arial"/>
                <w:sz w:val="20"/>
                <w:szCs w:val="20"/>
                <w:color w:val="auto"/>
              </w:rPr>
              <w:t>Georgia</w:t>
            </w:r>
          </w:p>
        </w:tc>
      </w:tr>
      <w:tr>
        <w:trPr>
          <w:trHeight w:val="270"/>
        </w:trPr>
        <w:tc>
          <w:tcPr>
            <w:tcW w:w="5660" w:type="dxa"/>
            <w:vAlign w:val="bottom"/>
          </w:tcPr>
          <w:p>
            <w:pPr>
              <w:spacing w:after="0"/>
              <w:rPr>
                <w:sz w:val="23"/>
                <w:szCs w:val="23"/>
                <w:color w:val="auto"/>
              </w:rPr>
            </w:pPr>
          </w:p>
        </w:tc>
        <w:tc>
          <w:tcPr>
            <w:tcW w:w="5580" w:type="dxa"/>
            <w:vAlign w:val="bottom"/>
          </w:tcPr>
          <w:p>
            <w:pPr>
              <w:spacing w:after="0"/>
              <w:rPr>
                <w:sz w:val="23"/>
                <w:szCs w:val="23"/>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Purchasing LLC</w:t>
            </w:r>
          </w:p>
        </w:tc>
        <w:tc>
          <w:tcPr>
            <w:tcW w:w="5580" w:type="dxa"/>
            <w:vAlign w:val="bottom"/>
            <w:shd w:val="clear" w:color="auto" w:fill="CCEEFF"/>
          </w:tcPr>
          <w:p>
            <w:pPr>
              <w:ind w:left="760"/>
              <w:spacing w:after="0"/>
              <w:rPr>
                <w:sz w:val="20"/>
                <w:szCs w:val="20"/>
                <w:color w:val="auto"/>
              </w:rPr>
            </w:pPr>
            <w:r>
              <w:rPr>
                <w:rFonts w:ascii="Arial" w:cs="Arial" w:eastAsia="Arial" w:hAnsi="Arial"/>
                <w:sz w:val="20"/>
                <w:szCs w:val="20"/>
                <w:color w:val="auto"/>
              </w:rPr>
              <w:t>Delaware</w:t>
            </w:r>
          </w:p>
        </w:tc>
      </w:tr>
      <w:tr>
        <w:trPr>
          <w:trHeight w:val="270"/>
        </w:trPr>
        <w:tc>
          <w:tcPr>
            <w:tcW w:w="5660" w:type="dxa"/>
            <w:vAlign w:val="bottom"/>
          </w:tcPr>
          <w:p>
            <w:pPr>
              <w:spacing w:after="0"/>
              <w:rPr>
                <w:sz w:val="23"/>
                <w:szCs w:val="23"/>
                <w:color w:val="auto"/>
              </w:rPr>
            </w:pPr>
          </w:p>
        </w:tc>
        <w:tc>
          <w:tcPr>
            <w:tcW w:w="5580" w:type="dxa"/>
            <w:vAlign w:val="bottom"/>
          </w:tcPr>
          <w:p>
            <w:pPr>
              <w:spacing w:after="0"/>
              <w:rPr>
                <w:sz w:val="23"/>
                <w:szCs w:val="23"/>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Resources Inc.</w:t>
            </w:r>
          </w:p>
        </w:tc>
        <w:tc>
          <w:tcPr>
            <w:tcW w:w="5580" w:type="dxa"/>
            <w:vAlign w:val="bottom"/>
            <w:shd w:val="clear" w:color="auto" w:fill="CCEEFF"/>
          </w:tcPr>
          <w:p>
            <w:pPr>
              <w:ind w:left="760"/>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240"/>
          </w:cols>
          <w:pgMar w:left="320" w:top="139" w:right="33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Resources International Inc.</w:t>
            </w:r>
          </w:p>
        </w:tc>
        <w:tc>
          <w:tcPr>
            <w:tcW w:w="6380" w:type="dxa"/>
            <w:vAlign w:val="bottom"/>
            <w:shd w:val="clear" w:color="auto" w:fill="CCEEFF"/>
          </w:tcPr>
          <w:p>
            <w:pPr>
              <w:ind w:left="1560"/>
              <w:spacing w:after="0"/>
              <w:rPr>
                <w:sz w:val="20"/>
                <w:szCs w:val="20"/>
                <w:color w:val="auto"/>
              </w:rPr>
            </w:pPr>
            <w:r>
              <w:rPr>
                <w:rFonts w:ascii="Arial" w:cs="Arial" w:eastAsia="Arial" w:hAnsi="Arial"/>
                <w:sz w:val="20"/>
                <w:szCs w:val="20"/>
                <w:color w:val="auto"/>
              </w:rPr>
              <w:t>Delaware</w:t>
            </w:r>
          </w:p>
        </w:tc>
      </w:tr>
      <w:tr>
        <w:trPr>
          <w:trHeight w:val="270"/>
        </w:trPr>
        <w:tc>
          <w:tcPr>
            <w:tcW w:w="4860" w:type="dxa"/>
            <w:vAlign w:val="bottom"/>
          </w:tcPr>
          <w:p>
            <w:pPr>
              <w:spacing w:after="0"/>
              <w:rPr>
                <w:sz w:val="23"/>
                <w:szCs w:val="23"/>
                <w:color w:val="auto"/>
              </w:rPr>
            </w:pPr>
          </w:p>
        </w:tc>
        <w:tc>
          <w:tcPr>
            <w:tcW w:w="6380" w:type="dxa"/>
            <w:vAlign w:val="bottom"/>
          </w:tcPr>
          <w:p>
            <w:pPr>
              <w:spacing w:after="0"/>
              <w:rPr>
                <w:sz w:val="23"/>
                <w:szCs w:val="23"/>
                <w:color w:val="auto"/>
              </w:rPr>
            </w:pPr>
          </w:p>
        </w:tc>
      </w:tr>
      <w:tr>
        <w:trPr>
          <w:trHeight w:val="243"/>
        </w:trPr>
        <w:tc>
          <w:tcPr>
            <w:tcW w:w="48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Respiratory LLC</w:t>
            </w:r>
          </w:p>
        </w:tc>
        <w:tc>
          <w:tcPr>
            <w:tcW w:w="6380" w:type="dxa"/>
            <w:vAlign w:val="bottom"/>
            <w:shd w:val="clear" w:color="auto" w:fill="CCEEFF"/>
          </w:tcPr>
          <w:p>
            <w:pPr>
              <w:ind w:left="1560"/>
              <w:spacing w:after="0"/>
              <w:rPr>
                <w:sz w:val="20"/>
                <w:szCs w:val="20"/>
                <w:color w:val="auto"/>
              </w:rPr>
            </w:pPr>
            <w:r>
              <w:rPr>
                <w:rFonts w:ascii="Arial" w:cs="Arial" w:eastAsia="Arial" w:hAnsi="Arial"/>
                <w:sz w:val="20"/>
                <w:szCs w:val="20"/>
                <w:color w:val="auto"/>
              </w:rPr>
              <w:t>Delaware</w:t>
            </w:r>
          </w:p>
        </w:tc>
      </w:tr>
      <w:tr>
        <w:trPr>
          <w:trHeight w:val="270"/>
        </w:trPr>
        <w:tc>
          <w:tcPr>
            <w:tcW w:w="4860" w:type="dxa"/>
            <w:vAlign w:val="bottom"/>
          </w:tcPr>
          <w:p>
            <w:pPr>
              <w:spacing w:after="0"/>
              <w:rPr>
                <w:sz w:val="23"/>
                <w:szCs w:val="23"/>
                <w:color w:val="auto"/>
              </w:rPr>
            </w:pPr>
          </w:p>
        </w:tc>
        <w:tc>
          <w:tcPr>
            <w:tcW w:w="6380" w:type="dxa"/>
            <w:vAlign w:val="bottom"/>
          </w:tcPr>
          <w:p>
            <w:pPr>
              <w:spacing w:after="0"/>
              <w:rPr>
                <w:sz w:val="23"/>
                <w:szCs w:val="23"/>
                <w:color w:val="auto"/>
              </w:rPr>
            </w:pPr>
          </w:p>
        </w:tc>
      </w:tr>
      <w:tr>
        <w:trPr>
          <w:trHeight w:val="243"/>
        </w:trPr>
        <w:tc>
          <w:tcPr>
            <w:tcW w:w="48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Sales Inc.</w:t>
            </w:r>
          </w:p>
        </w:tc>
        <w:tc>
          <w:tcPr>
            <w:tcW w:w="6380" w:type="dxa"/>
            <w:vAlign w:val="bottom"/>
            <w:shd w:val="clear" w:color="auto" w:fill="CCEEFF"/>
          </w:tcPr>
          <w:p>
            <w:pPr>
              <w:ind w:left="1560"/>
              <w:spacing w:after="0"/>
              <w:rPr>
                <w:sz w:val="20"/>
                <w:szCs w:val="20"/>
                <w:color w:val="auto"/>
              </w:rPr>
            </w:pPr>
            <w:r>
              <w:rPr>
                <w:rFonts w:ascii="Arial" w:cs="Arial" w:eastAsia="Arial" w:hAnsi="Arial"/>
                <w:sz w:val="20"/>
                <w:szCs w:val="20"/>
                <w:color w:val="auto"/>
              </w:rPr>
              <w:t>Delaware</w:t>
            </w:r>
          </w:p>
        </w:tc>
      </w:tr>
      <w:tr>
        <w:trPr>
          <w:trHeight w:val="270"/>
        </w:trPr>
        <w:tc>
          <w:tcPr>
            <w:tcW w:w="4860" w:type="dxa"/>
            <w:vAlign w:val="bottom"/>
          </w:tcPr>
          <w:p>
            <w:pPr>
              <w:spacing w:after="0"/>
              <w:rPr>
                <w:sz w:val="23"/>
                <w:szCs w:val="23"/>
                <w:color w:val="auto"/>
              </w:rPr>
            </w:pPr>
          </w:p>
        </w:tc>
        <w:tc>
          <w:tcPr>
            <w:tcW w:w="6380" w:type="dxa"/>
            <w:vAlign w:val="bottom"/>
          </w:tcPr>
          <w:p>
            <w:pPr>
              <w:spacing w:after="0"/>
              <w:rPr>
                <w:sz w:val="23"/>
                <w:szCs w:val="23"/>
                <w:color w:val="auto"/>
              </w:rPr>
            </w:pPr>
          </w:p>
        </w:tc>
      </w:tr>
      <w:tr>
        <w:trPr>
          <w:trHeight w:val="243"/>
        </w:trPr>
        <w:tc>
          <w:tcPr>
            <w:tcW w:w="48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Services Inc.</w:t>
            </w:r>
          </w:p>
        </w:tc>
        <w:tc>
          <w:tcPr>
            <w:tcW w:w="6380" w:type="dxa"/>
            <w:vAlign w:val="bottom"/>
            <w:shd w:val="clear" w:color="auto" w:fill="CCEEFF"/>
          </w:tcPr>
          <w:p>
            <w:pPr>
              <w:ind w:left="1560"/>
              <w:spacing w:after="0"/>
              <w:rPr>
                <w:sz w:val="20"/>
                <w:szCs w:val="20"/>
                <w:color w:val="auto"/>
              </w:rPr>
            </w:pPr>
            <w:r>
              <w:rPr>
                <w:rFonts w:ascii="Arial" w:cs="Arial" w:eastAsia="Arial" w:hAnsi="Arial"/>
                <w:sz w:val="20"/>
                <w:szCs w:val="20"/>
                <w:color w:val="auto"/>
              </w:rPr>
              <w:t>Delaware</w:t>
            </w:r>
          </w:p>
        </w:tc>
      </w:tr>
      <w:tr>
        <w:trPr>
          <w:trHeight w:val="270"/>
        </w:trPr>
        <w:tc>
          <w:tcPr>
            <w:tcW w:w="4860" w:type="dxa"/>
            <w:vAlign w:val="bottom"/>
          </w:tcPr>
          <w:p>
            <w:pPr>
              <w:spacing w:after="0"/>
              <w:rPr>
                <w:sz w:val="23"/>
                <w:szCs w:val="23"/>
                <w:color w:val="auto"/>
              </w:rPr>
            </w:pPr>
          </w:p>
        </w:tc>
        <w:tc>
          <w:tcPr>
            <w:tcW w:w="6380" w:type="dxa"/>
            <w:vAlign w:val="bottom"/>
          </w:tcPr>
          <w:p>
            <w:pPr>
              <w:spacing w:after="0"/>
              <w:rPr>
                <w:sz w:val="23"/>
                <w:szCs w:val="23"/>
                <w:color w:val="auto"/>
              </w:rPr>
            </w:pPr>
          </w:p>
        </w:tc>
      </w:tr>
      <w:tr>
        <w:trPr>
          <w:trHeight w:val="243"/>
        </w:trPr>
        <w:tc>
          <w:tcPr>
            <w:tcW w:w="48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Stemcentrx LLC</w:t>
            </w:r>
          </w:p>
        </w:tc>
        <w:tc>
          <w:tcPr>
            <w:tcW w:w="6380" w:type="dxa"/>
            <w:vAlign w:val="bottom"/>
            <w:shd w:val="clear" w:color="auto" w:fill="CCEEFF"/>
          </w:tcPr>
          <w:p>
            <w:pPr>
              <w:ind w:left="1560"/>
              <w:spacing w:after="0"/>
              <w:rPr>
                <w:sz w:val="20"/>
                <w:szCs w:val="20"/>
                <w:color w:val="auto"/>
              </w:rPr>
            </w:pPr>
            <w:r>
              <w:rPr>
                <w:rFonts w:ascii="Arial" w:cs="Arial" w:eastAsia="Arial" w:hAnsi="Arial"/>
                <w:sz w:val="20"/>
                <w:szCs w:val="20"/>
                <w:color w:val="auto"/>
              </w:rPr>
              <w:t>Delaware</w:t>
            </w:r>
          </w:p>
        </w:tc>
      </w:tr>
      <w:tr>
        <w:trPr>
          <w:trHeight w:val="270"/>
        </w:trPr>
        <w:tc>
          <w:tcPr>
            <w:tcW w:w="4860" w:type="dxa"/>
            <w:vAlign w:val="bottom"/>
          </w:tcPr>
          <w:p>
            <w:pPr>
              <w:spacing w:after="0"/>
              <w:rPr>
                <w:sz w:val="23"/>
                <w:szCs w:val="23"/>
                <w:color w:val="auto"/>
              </w:rPr>
            </w:pPr>
          </w:p>
        </w:tc>
        <w:tc>
          <w:tcPr>
            <w:tcW w:w="6380" w:type="dxa"/>
            <w:vAlign w:val="bottom"/>
          </w:tcPr>
          <w:p>
            <w:pPr>
              <w:spacing w:after="0"/>
              <w:rPr>
                <w:sz w:val="23"/>
                <w:szCs w:val="23"/>
                <w:color w:val="auto"/>
              </w:rPr>
            </w:pPr>
          </w:p>
        </w:tc>
      </w:tr>
      <w:tr>
        <w:trPr>
          <w:trHeight w:val="243"/>
        </w:trPr>
        <w:tc>
          <w:tcPr>
            <w:tcW w:w="48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Subsidiary LLC</w:t>
            </w:r>
          </w:p>
        </w:tc>
        <w:tc>
          <w:tcPr>
            <w:tcW w:w="6380" w:type="dxa"/>
            <w:vAlign w:val="bottom"/>
            <w:shd w:val="clear" w:color="auto" w:fill="CCEEFF"/>
          </w:tcPr>
          <w:p>
            <w:pPr>
              <w:ind w:left="1560"/>
              <w:spacing w:after="0"/>
              <w:rPr>
                <w:sz w:val="20"/>
                <w:szCs w:val="20"/>
                <w:color w:val="auto"/>
              </w:rPr>
            </w:pPr>
            <w:r>
              <w:rPr>
                <w:rFonts w:ascii="Arial" w:cs="Arial" w:eastAsia="Arial" w:hAnsi="Arial"/>
                <w:sz w:val="20"/>
                <w:szCs w:val="20"/>
                <w:color w:val="auto"/>
              </w:rPr>
              <w:t>Delaware</w:t>
            </w:r>
          </w:p>
        </w:tc>
      </w:tr>
      <w:tr>
        <w:trPr>
          <w:trHeight w:val="270"/>
        </w:trPr>
        <w:tc>
          <w:tcPr>
            <w:tcW w:w="4860" w:type="dxa"/>
            <w:vAlign w:val="bottom"/>
          </w:tcPr>
          <w:p>
            <w:pPr>
              <w:spacing w:after="0"/>
              <w:rPr>
                <w:sz w:val="23"/>
                <w:szCs w:val="23"/>
                <w:color w:val="auto"/>
              </w:rPr>
            </w:pPr>
          </w:p>
        </w:tc>
        <w:tc>
          <w:tcPr>
            <w:tcW w:w="6380" w:type="dxa"/>
            <w:vAlign w:val="bottom"/>
          </w:tcPr>
          <w:p>
            <w:pPr>
              <w:spacing w:after="0"/>
              <w:rPr>
                <w:sz w:val="23"/>
                <w:szCs w:val="23"/>
                <w:color w:val="auto"/>
              </w:rPr>
            </w:pPr>
          </w:p>
        </w:tc>
      </w:tr>
      <w:tr>
        <w:trPr>
          <w:trHeight w:val="243"/>
        </w:trPr>
        <w:tc>
          <w:tcPr>
            <w:tcW w:w="48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US Holdings LLC</w:t>
            </w:r>
          </w:p>
        </w:tc>
        <w:tc>
          <w:tcPr>
            <w:tcW w:w="6380" w:type="dxa"/>
            <w:vAlign w:val="bottom"/>
            <w:shd w:val="clear" w:color="auto" w:fill="CCEEFF"/>
          </w:tcPr>
          <w:p>
            <w:pPr>
              <w:ind w:left="1560"/>
              <w:spacing w:after="0"/>
              <w:rPr>
                <w:sz w:val="20"/>
                <w:szCs w:val="20"/>
                <w:color w:val="auto"/>
              </w:rPr>
            </w:pPr>
            <w:r>
              <w:rPr>
                <w:rFonts w:ascii="Arial" w:cs="Arial" w:eastAsia="Arial" w:hAnsi="Arial"/>
                <w:sz w:val="20"/>
                <w:szCs w:val="20"/>
                <w:color w:val="auto"/>
              </w:rPr>
              <w:t>Delaware</w:t>
            </w:r>
          </w:p>
        </w:tc>
      </w:tr>
      <w:tr>
        <w:trPr>
          <w:trHeight w:val="270"/>
        </w:trPr>
        <w:tc>
          <w:tcPr>
            <w:tcW w:w="4860" w:type="dxa"/>
            <w:vAlign w:val="bottom"/>
          </w:tcPr>
          <w:p>
            <w:pPr>
              <w:spacing w:after="0"/>
              <w:rPr>
                <w:sz w:val="23"/>
                <w:szCs w:val="23"/>
                <w:color w:val="auto"/>
              </w:rPr>
            </w:pPr>
          </w:p>
        </w:tc>
        <w:tc>
          <w:tcPr>
            <w:tcW w:w="6380" w:type="dxa"/>
            <w:vAlign w:val="bottom"/>
          </w:tcPr>
          <w:p>
            <w:pPr>
              <w:spacing w:after="0"/>
              <w:rPr>
                <w:sz w:val="23"/>
                <w:szCs w:val="23"/>
                <w:color w:val="auto"/>
              </w:rPr>
            </w:pPr>
          </w:p>
        </w:tc>
      </w:tr>
      <w:tr>
        <w:trPr>
          <w:trHeight w:val="243"/>
        </w:trPr>
        <w:tc>
          <w:tcPr>
            <w:tcW w:w="48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US LLC</w:t>
            </w:r>
          </w:p>
        </w:tc>
        <w:tc>
          <w:tcPr>
            <w:tcW w:w="6380" w:type="dxa"/>
            <w:vAlign w:val="bottom"/>
            <w:shd w:val="clear" w:color="auto" w:fill="CCEEFF"/>
          </w:tcPr>
          <w:p>
            <w:pPr>
              <w:ind w:left="1560"/>
              <w:spacing w:after="0"/>
              <w:rPr>
                <w:sz w:val="20"/>
                <w:szCs w:val="20"/>
                <w:color w:val="auto"/>
              </w:rPr>
            </w:pPr>
            <w:r>
              <w:rPr>
                <w:rFonts w:ascii="Arial" w:cs="Arial" w:eastAsia="Arial" w:hAnsi="Arial"/>
                <w:sz w:val="20"/>
                <w:szCs w:val="20"/>
                <w:color w:val="auto"/>
              </w:rPr>
              <w:t>Delaware</w:t>
            </w:r>
          </w:p>
        </w:tc>
      </w:tr>
      <w:tr>
        <w:trPr>
          <w:trHeight w:val="270"/>
        </w:trPr>
        <w:tc>
          <w:tcPr>
            <w:tcW w:w="4860" w:type="dxa"/>
            <w:vAlign w:val="bottom"/>
          </w:tcPr>
          <w:p>
            <w:pPr>
              <w:spacing w:after="0"/>
              <w:rPr>
                <w:sz w:val="23"/>
                <w:szCs w:val="23"/>
                <w:color w:val="auto"/>
              </w:rPr>
            </w:pPr>
          </w:p>
        </w:tc>
        <w:tc>
          <w:tcPr>
            <w:tcW w:w="6380" w:type="dxa"/>
            <w:vAlign w:val="bottom"/>
          </w:tcPr>
          <w:p>
            <w:pPr>
              <w:spacing w:after="0"/>
              <w:rPr>
                <w:sz w:val="23"/>
                <w:szCs w:val="23"/>
                <w:color w:val="auto"/>
              </w:rPr>
            </w:pPr>
          </w:p>
        </w:tc>
      </w:tr>
      <w:tr>
        <w:trPr>
          <w:trHeight w:val="243"/>
        </w:trPr>
        <w:tc>
          <w:tcPr>
            <w:tcW w:w="48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Ventures LLC</w:t>
            </w:r>
          </w:p>
        </w:tc>
        <w:tc>
          <w:tcPr>
            <w:tcW w:w="6380" w:type="dxa"/>
            <w:vAlign w:val="bottom"/>
            <w:shd w:val="clear" w:color="auto" w:fill="CCEEFF"/>
          </w:tcPr>
          <w:p>
            <w:pPr>
              <w:ind w:left="1560"/>
              <w:spacing w:after="0"/>
              <w:rPr>
                <w:sz w:val="20"/>
                <w:szCs w:val="20"/>
                <w:color w:val="auto"/>
              </w:rPr>
            </w:pPr>
            <w:r>
              <w:rPr>
                <w:rFonts w:ascii="Arial" w:cs="Arial" w:eastAsia="Arial" w:hAnsi="Arial"/>
                <w:sz w:val="20"/>
                <w:szCs w:val="20"/>
                <w:color w:val="auto"/>
              </w:rPr>
              <w:t>Delaware</w:t>
            </w:r>
          </w:p>
        </w:tc>
      </w:tr>
      <w:tr>
        <w:trPr>
          <w:trHeight w:val="270"/>
        </w:trPr>
        <w:tc>
          <w:tcPr>
            <w:tcW w:w="4860" w:type="dxa"/>
            <w:vAlign w:val="bottom"/>
          </w:tcPr>
          <w:p>
            <w:pPr>
              <w:spacing w:after="0"/>
              <w:rPr>
                <w:sz w:val="23"/>
                <w:szCs w:val="23"/>
                <w:color w:val="auto"/>
              </w:rPr>
            </w:pPr>
          </w:p>
        </w:tc>
        <w:tc>
          <w:tcPr>
            <w:tcW w:w="6380" w:type="dxa"/>
            <w:vAlign w:val="bottom"/>
          </w:tcPr>
          <w:p>
            <w:pPr>
              <w:spacing w:after="0"/>
              <w:rPr>
                <w:sz w:val="23"/>
                <w:szCs w:val="23"/>
                <w:color w:val="auto"/>
              </w:rPr>
            </w:pPr>
          </w:p>
        </w:tc>
      </w:tr>
      <w:tr>
        <w:trPr>
          <w:trHeight w:val="243"/>
        </w:trPr>
        <w:tc>
          <w:tcPr>
            <w:tcW w:w="48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Aeropharm Technology, LLC</w:t>
            </w:r>
          </w:p>
        </w:tc>
        <w:tc>
          <w:tcPr>
            <w:tcW w:w="6380" w:type="dxa"/>
            <w:vAlign w:val="bottom"/>
            <w:shd w:val="clear" w:color="auto" w:fill="CCEEFF"/>
          </w:tcPr>
          <w:p>
            <w:pPr>
              <w:ind w:left="1560"/>
              <w:spacing w:after="0"/>
              <w:rPr>
                <w:sz w:val="20"/>
                <w:szCs w:val="20"/>
                <w:color w:val="auto"/>
              </w:rPr>
            </w:pPr>
            <w:r>
              <w:rPr>
                <w:rFonts w:ascii="Arial" w:cs="Arial" w:eastAsia="Arial" w:hAnsi="Arial"/>
                <w:sz w:val="20"/>
                <w:szCs w:val="20"/>
                <w:color w:val="auto"/>
              </w:rPr>
              <w:t>Delaware</w:t>
            </w:r>
          </w:p>
        </w:tc>
      </w:tr>
      <w:tr>
        <w:trPr>
          <w:trHeight w:val="270"/>
        </w:trPr>
        <w:tc>
          <w:tcPr>
            <w:tcW w:w="4860" w:type="dxa"/>
            <w:vAlign w:val="bottom"/>
          </w:tcPr>
          <w:p>
            <w:pPr>
              <w:spacing w:after="0"/>
              <w:rPr>
                <w:sz w:val="23"/>
                <w:szCs w:val="23"/>
                <w:color w:val="auto"/>
              </w:rPr>
            </w:pPr>
          </w:p>
        </w:tc>
        <w:tc>
          <w:tcPr>
            <w:tcW w:w="6380" w:type="dxa"/>
            <w:vAlign w:val="bottom"/>
          </w:tcPr>
          <w:p>
            <w:pPr>
              <w:spacing w:after="0"/>
              <w:rPr>
                <w:sz w:val="23"/>
                <w:szCs w:val="23"/>
                <w:color w:val="auto"/>
              </w:rPr>
            </w:pPr>
          </w:p>
        </w:tc>
      </w:tr>
      <w:tr>
        <w:trPr>
          <w:trHeight w:val="243"/>
        </w:trPr>
        <w:tc>
          <w:tcPr>
            <w:tcW w:w="48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AGN International Inc.</w:t>
            </w:r>
          </w:p>
        </w:tc>
        <w:tc>
          <w:tcPr>
            <w:tcW w:w="6380" w:type="dxa"/>
            <w:vAlign w:val="bottom"/>
            <w:shd w:val="clear" w:color="auto" w:fill="CCEEFF"/>
          </w:tcPr>
          <w:p>
            <w:pPr>
              <w:ind w:left="1560"/>
              <w:spacing w:after="0"/>
              <w:rPr>
                <w:sz w:val="20"/>
                <w:szCs w:val="20"/>
                <w:color w:val="auto"/>
              </w:rPr>
            </w:pPr>
            <w:r>
              <w:rPr>
                <w:rFonts w:ascii="Arial" w:cs="Arial" w:eastAsia="Arial" w:hAnsi="Arial"/>
                <w:sz w:val="20"/>
                <w:szCs w:val="20"/>
                <w:color w:val="auto"/>
              </w:rPr>
              <w:t>Delaware</w:t>
            </w:r>
          </w:p>
        </w:tc>
      </w:tr>
      <w:tr>
        <w:trPr>
          <w:trHeight w:val="270"/>
        </w:trPr>
        <w:tc>
          <w:tcPr>
            <w:tcW w:w="4860" w:type="dxa"/>
            <w:vAlign w:val="bottom"/>
          </w:tcPr>
          <w:p>
            <w:pPr>
              <w:spacing w:after="0"/>
              <w:rPr>
                <w:sz w:val="23"/>
                <w:szCs w:val="23"/>
                <w:color w:val="auto"/>
              </w:rPr>
            </w:pPr>
          </w:p>
        </w:tc>
        <w:tc>
          <w:tcPr>
            <w:tcW w:w="6380" w:type="dxa"/>
            <w:vAlign w:val="bottom"/>
          </w:tcPr>
          <w:p>
            <w:pPr>
              <w:spacing w:after="0"/>
              <w:rPr>
                <w:sz w:val="23"/>
                <w:szCs w:val="23"/>
                <w:color w:val="auto"/>
              </w:rPr>
            </w:pPr>
          </w:p>
        </w:tc>
      </w:tr>
      <w:tr>
        <w:trPr>
          <w:trHeight w:val="243"/>
        </w:trPr>
        <w:tc>
          <w:tcPr>
            <w:tcW w:w="48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AGN Kythera, LP</w:t>
            </w:r>
          </w:p>
        </w:tc>
        <w:tc>
          <w:tcPr>
            <w:tcW w:w="6380" w:type="dxa"/>
            <w:vAlign w:val="bottom"/>
            <w:shd w:val="clear" w:color="auto" w:fill="CCEEFF"/>
          </w:tcPr>
          <w:p>
            <w:pPr>
              <w:ind w:left="1560"/>
              <w:spacing w:after="0"/>
              <w:rPr>
                <w:sz w:val="20"/>
                <w:szCs w:val="20"/>
                <w:color w:val="auto"/>
              </w:rPr>
            </w:pPr>
            <w:r>
              <w:rPr>
                <w:rFonts w:ascii="Arial" w:cs="Arial" w:eastAsia="Arial" w:hAnsi="Arial"/>
                <w:sz w:val="20"/>
                <w:szCs w:val="20"/>
                <w:color w:val="auto"/>
              </w:rPr>
              <w:t>Delaware</w:t>
            </w:r>
          </w:p>
        </w:tc>
      </w:tr>
      <w:tr>
        <w:trPr>
          <w:trHeight w:val="270"/>
        </w:trPr>
        <w:tc>
          <w:tcPr>
            <w:tcW w:w="4860" w:type="dxa"/>
            <w:vAlign w:val="bottom"/>
          </w:tcPr>
          <w:p>
            <w:pPr>
              <w:spacing w:after="0"/>
              <w:rPr>
                <w:sz w:val="23"/>
                <w:szCs w:val="23"/>
                <w:color w:val="auto"/>
              </w:rPr>
            </w:pPr>
          </w:p>
        </w:tc>
        <w:tc>
          <w:tcPr>
            <w:tcW w:w="6380" w:type="dxa"/>
            <w:vAlign w:val="bottom"/>
          </w:tcPr>
          <w:p>
            <w:pPr>
              <w:spacing w:after="0"/>
              <w:rPr>
                <w:sz w:val="23"/>
                <w:szCs w:val="23"/>
                <w:color w:val="auto"/>
              </w:rPr>
            </w:pPr>
          </w:p>
        </w:tc>
      </w:tr>
      <w:tr>
        <w:trPr>
          <w:trHeight w:val="243"/>
        </w:trPr>
        <w:tc>
          <w:tcPr>
            <w:tcW w:w="48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AGN Labs LLC</w:t>
            </w:r>
          </w:p>
        </w:tc>
        <w:tc>
          <w:tcPr>
            <w:tcW w:w="6380" w:type="dxa"/>
            <w:vAlign w:val="bottom"/>
            <w:shd w:val="clear" w:color="auto" w:fill="CCEEFF"/>
          </w:tcPr>
          <w:p>
            <w:pPr>
              <w:ind w:left="1560"/>
              <w:spacing w:after="0"/>
              <w:rPr>
                <w:sz w:val="20"/>
                <w:szCs w:val="20"/>
                <w:color w:val="auto"/>
              </w:rPr>
            </w:pPr>
            <w:r>
              <w:rPr>
                <w:rFonts w:ascii="Arial" w:cs="Arial" w:eastAsia="Arial" w:hAnsi="Arial"/>
                <w:sz w:val="20"/>
                <w:szCs w:val="20"/>
                <w:color w:val="auto"/>
              </w:rPr>
              <w:t>Delaware</w:t>
            </w:r>
          </w:p>
        </w:tc>
      </w:tr>
      <w:tr>
        <w:trPr>
          <w:trHeight w:val="270"/>
        </w:trPr>
        <w:tc>
          <w:tcPr>
            <w:tcW w:w="4860" w:type="dxa"/>
            <w:vAlign w:val="bottom"/>
          </w:tcPr>
          <w:p>
            <w:pPr>
              <w:spacing w:after="0"/>
              <w:rPr>
                <w:sz w:val="23"/>
                <w:szCs w:val="23"/>
                <w:color w:val="auto"/>
              </w:rPr>
            </w:pPr>
          </w:p>
        </w:tc>
        <w:tc>
          <w:tcPr>
            <w:tcW w:w="6380" w:type="dxa"/>
            <w:vAlign w:val="bottom"/>
          </w:tcPr>
          <w:p>
            <w:pPr>
              <w:spacing w:after="0"/>
              <w:rPr>
                <w:sz w:val="23"/>
                <w:szCs w:val="23"/>
                <w:color w:val="auto"/>
              </w:rPr>
            </w:pPr>
          </w:p>
        </w:tc>
      </w:tr>
      <w:tr>
        <w:trPr>
          <w:trHeight w:val="243"/>
        </w:trPr>
        <w:tc>
          <w:tcPr>
            <w:tcW w:w="48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AGN LLC</w:t>
            </w:r>
          </w:p>
        </w:tc>
        <w:tc>
          <w:tcPr>
            <w:tcW w:w="6380" w:type="dxa"/>
            <w:vAlign w:val="bottom"/>
            <w:shd w:val="clear" w:color="auto" w:fill="CCEEFF"/>
          </w:tcPr>
          <w:p>
            <w:pPr>
              <w:ind w:left="1560"/>
              <w:spacing w:after="0"/>
              <w:rPr>
                <w:sz w:val="20"/>
                <w:szCs w:val="20"/>
                <w:color w:val="auto"/>
              </w:rPr>
            </w:pPr>
            <w:r>
              <w:rPr>
                <w:rFonts w:ascii="Arial" w:cs="Arial" w:eastAsia="Arial" w:hAnsi="Arial"/>
                <w:sz w:val="20"/>
                <w:szCs w:val="20"/>
                <w:color w:val="auto"/>
              </w:rPr>
              <w:t>Delaware</w:t>
            </w:r>
          </w:p>
        </w:tc>
      </w:tr>
      <w:tr>
        <w:trPr>
          <w:trHeight w:val="270"/>
        </w:trPr>
        <w:tc>
          <w:tcPr>
            <w:tcW w:w="4860" w:type="dxa"/>
            <w:vAlign w:val="bottom"/>
          </w:tcPr>
          <w:p>
            <w:pPr>
              <w:spacing w:after="0"/>
              <w:rPr>
                <w:sz w:val="23"/>
                <w:szCs w:val="23"/>
                <w:color w:val="auto"/>
              </w:rPr>
            </w:pPr>
          </w:p>
        </w:tc>
        <w:tc>
          <w:tcPr>
            <w:tcW w:w="6380" w:type="dxa"/>
            <w:vAlign w:val="bottom"/>
          </w:tcPr>
          <w:p>
            <w:pPr>
              <w:spacing w:after="0"/>
              <w:rPr>
                <w:sz w:val="23"/>
                <w:szCs w:val="23"/>
                <w:color w:val="auto"/>
              </w:rPr>
            </w:pPr>
          </w:p>
        </w:tc>
      </w:tr>
      <w:tr>
        <w:trPr>
          <w:trHeight w:val="243"/>
        </w:trPr>
        <w:tc>
          <w:tcPr>
            <w:tcW w:w="48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AGN Sundry, LLC</w:t>
            </w:r>
          </w:p>
        </w:tc>
        <w:tc>
          <w:tcPr>
            <w:tcW w:w="6380" w:type="dxa"/>
            <w:vAlign w:val="bottom"/>
            <w:shd w:val="clear" w:color="auto" w:fill="CCEEFF"/>
          </w:tcPr>
          <w:p>
            <w:pPr>
              <w:ind w:left="1560"/>
              <w:spacing w:after="0"/>
              <w:rPr>
                <w:sz w:val="20"/>
                <w:szCs w:val="20"/>
                <w:color w:val="auto"/>
              </w:rPr>
            </w:pPr>
            <w:r>
              <w:rPr>
                <w:rFonts w:ascii="Arial" w:cs="Arial" w:eastAsia="Arial" w:hAnsi="Arial"/>
                <w:sz w:val="20"/>
                <w:szCs w:val="20"/>
                <w:color w:val="auto"/>
              </w:rPr>
              <w:t>Delaware</w:t>
            </w:r>
          </w:p>
        </w:tc>
      </w:tr>
      <w:tr>
        <w:trPr>
          <w:trHeight w:val="270"/>
        </w:trPr>
        <w:tc>
          <w:tcPr>
            <w:tcW w:w="4860" w:type="dxa"/>
            <w:vAlign w:val="bottom"/>
          </w:tcPr>
          <w:p>
            <w:pPr>
              <w:spacing w:after="0"/>
              <w:rPr>
                <w:sz w:val="23"/>
                <w:szCs w:val="23"/>
                <w:color w:val="auto"/>
              </w:rPr>
            </w:pPr>
          </w:p>
        </w:tc>
        <w:tc>
          <w:tcPr>
            <w:tcW w:w="6380" w:type="dxa"/>
            <w:vAlign w:val="bottom"/>
          </w:tcPr>
          <w:p>
            <w:pPr>
              <w:spacing w:after="0"/>
              <w:rPr>
                <w:sz w:val="23"/>
                <w:szCs w:val="23"/>
                <w:color w:val="auto"/>
              </w:rPr>
            </w:pPr>
          </w:p>
        </w:tc>
      </w:tr>
      <w:tr>
        <w:trPr>
          <w:trHeight w:val="243"/>
        </w:trPr>
        <w:tc>
          <w:tcPr>
            <w:tcW w:w="48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Akarna LLC</w:t>
            </w:r>
          </w:p>
        </w:tc>
        <w:tc>
          <w:tcPr>
            <w:tcW w:w="6380" w:type="dxa"/>
            <w:vAlign w:val="bottom"/>
            <w:shd w:val="clear" w:color="auto" w:fill="CCEEFF"/>
          </w:tcPr>
          <w:p>
            <w:pPr>
              <w:ind w:left="1560"/>
              <w:spacing w:after="0"/>
              <w:rPr>
                <w:sz w:val="20"/>
                <w:szCs w:val="20"/>
                <w:color w:val="auto"/>
              </w:rPr>
            </w:pPr>
            <w:r>
              <w:rPr>
                <w:rFonts w:ascii="Arial" w:cs="Arial" w:eastAsia="Arial" w:hAnsi="Arial"/>
                <w:sz w:val="20"/>
                <w:szCs w:val="20"/>
                <w:color w:val="auto"/>
              </w:rPr>
              <w:t>Delaware</w:t>
            </w:r>
          </w:p>
        </w:tc>
      </w:tr>
      <w:tr>
        <w:trPr>
          <w:trHeight w:val="270"/>
        </w:trPr>
        <w:tc>
          <w:tcPr>
            <w:tcW w:w="4860" w:type="dxa"/>
            <w:vAlign w:val="bottom"/>
          </w:tcPr>
          <w:p>
            <w:pPr>
              <w:spacing w:after="0"/>
              <w:rPr>
                <w:sz w:val="23"/>
                <w:szCs w:val="23"/>
                <w:color w:val="auto"/>
              </w:rPr>
            </w:pPr>
          </w:p>
        </w:tc>
        <w:tc>
          <w:tcPr>
            <w:tcW w:w="6380" w:type="dxa"/>
            <w:vAlign w:val="bottom"/>
          </w:tcPr>
          <w:p>
            <w:pPr>
              <w:spacing w:after="0"/>
              <w:rPr>
                <w:sz w:val="23"/>
                <w:szCs w:val="23"/>
                <w:color w:val="auto"/>
              </w:rPr>
            </w:pPr>
          </w:p>
        </w:tc>
      </w:tr>
      <w:tr>
        <w:trPr>
          <w:trHeight w:val="243"/>
        </w:trPr>
        <w:tc>
          <w:tcPr>
            <w:tcW w:w="48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Finance, LLC</w:t>
            </w:r>
          </w:p>
        </w:tc>
        <w:tc>
          <w:tcPr>
            <w:tcW w:w="6380" w:type="dxa"/>
            <w:vAlign w:val="bottom"/>
            <w:shd w:val="clear" w:color="auto" w:fill="CCEEFF"/>
          </w:tcPr>
          <w:p>
            <w:pPr>
              <w:ind w:left="1560"/>
              <w:spacing w:after="0"/>
              <w:rPr>
                <w:sz w:val="20"/>
                <w:szCs w:val="20"/>
                <w:color w:val="auto"/>
              </w:rPr>
            </w:pPr>
            <w:r>
              <w:rPr>
                <w:rFonts w:ascii="Arial" w:cs="Arial" w:eastAsia="Arial" w:hAnsi="Arial"/>
                <w:sz w:val="20"/>
                <w:szCs w:val="20"/>
                <w:color w:val="auto"/>
              </w:rPr>
              <w:t>Nevada</w:t>
            </w:r>
          </w:p>
        </w:tc>
      </w:tr>
      <w:tr>
        <w:trPr>
          <w:trHeight w:val="270"/>
        </w:trPr>
        <w:tc>
          <w:tcPr>
            <w:tcW w:w="4860" w:type="dxa"/>
            <w:vAlign w:val="bottom"/>
          </w:tcPr>
          <w:p>
            <w:pPr>
              <w:spacing w:after="0"/>
              <w:rPr>
                <w:sz w:val="23"/>
                <w:szCs w:val="23"/>
                <w:color w:val="auto"/>
              </w:rPr>
            </w:pPr>
          </w:p>
        </w:tc>
        <w:tc>
          <w:tcPr>
            <w:tcW w:w="6380" w:type="dxa"/>
            <w:vAlign w:val="bottom"/>
          </w:tcPr>
          <w:p>
            <w:pPr>
              <w:spacing w:after="0"/>
              <w:rPr>
                <w:sz w:val="23"/>
                <w:szCs w:val="23"/>
                <w:color w:val="auto"/>
              </w:rPr>
            </w:pPr>
          </w:p>
        </w:tc>
      </w:tr>
      <w:tr>
        <w:trPr>
          <w:trHeight w:val="243"/>
        </w:trPr>
        <w:tc>
          <w:tcPr>
            <w:tcW w:w="48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FINCO 2 INC.</w:t>
            </w:r>
          </w:p>
        </w:tc>
        <w:tc>
          <w:tcPr>
            <w:tcW w:w="6380" w:type="dxa"/>
            <w:vAlign w:val="bottom"/>
            <w:shd w:val="clear" w:color="auto" w:fill="CCEEFF"/>
          </w:tcPr>
          <w:p>
            <w:pPr>
              <w:ind w:left="1560"/>
              <w:spacing w:after="0"/>
              <w:rPr>
                <w:sz w:val="20"/>
                <w:szCs w:val="20"/>
                <w:color w:val="auto"/>
              </w:rPr>
            </w:pPr>
            <w:r>
              <w:rPr>
                <w:rFonts w:ascii="Arial" w:cs="Arial" w:eastAsia="Arial" w:hAnsi="Arial"/>
                <w:sz w:val="20"/>
                <w:szCs w:val="20"/>
                <w:color w:val="auto"/>
              </w:rPr>
              <w:t>Delaware</w:t>
            </w:r>
          </w:p>
        </w:tc>
      </w:tr>
      <w:tr>
        <w:trPr>
          <w:trHeight w:val="270"/>
        </w:trPr>
        <w:tc>
          <w:tcPr>
            <w:tcW w:w="4860" w:type="dxa"/>
            <w:vAlign w:val="bottom"/>
          </w:tcPr>
          <w:p>
            <w:pPr>
              <w:spacing w:after="0"/>
              <w:rPr>
                <w:sz w:val="23"/>
                <w:szCs w:val="23"/>
                <w:color w:val="auto"/>
              </w:rPr>
            </w:pPr>
          </w:p>
        </w:tc>
        <w:tc>
          <w:tcPr>
            <w:tcW w:w="6380" w:type="dxa"/>
            <w:vAlign w:val="bottom"/>
          </w:tcPr>
          <w:p>
            <w:pPr>
              <w:spacing w:after="0"/>
              <w:rPr>
                <w:sz w:val="23"/>
                <w:szCs w:val="23"/>
                <w:color w:val="auto"/>
              </w:rPr>
            </w:pPr>
          </w:p>
        </w:tc>
      </w:tr>
      <w:tr>
        <w:trPr>
          <w:trHeight w:val="243"/>
        </w:trPr>
        <w:tc>
          <w:tcPr>
            <w:tcW w:w="48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FINCO INC.</w:t>
            </w:r>
          </w:p>
        </w:tc>
        <w:tc>
          <w:tcPr>
            <w:tcW w:w="6380" w:type="dxa"/>
            <w:vAlign w:val="bottom"/>
            <w:shd w:val="clear" w:color="auto" w:fill="CCEEFF"/>
          </w:tcPr>
          <w:p>
            <w:pPr>
              <w:ind w:left="1560"/>
              <w:spacing w:after="0"/>
              <w:rPr>
                <w:sz w:val="20"/>
                <w:szCs w:val="20"/>
                <w:color w:val="auto"/>
              </w:rPr>
            </w:pPr>
            <w:r>
              <w:rPr>
                <w:rFonts w:ascii="Arial" w:cs="Arial" w:eastAsia="Arial" w:hAnsi="Arial"/>
                <w:sz w:val="20"/>
                <w:szCs w:val="20"/>
                <w:color w:val="auto"/>
              </w:rPr>
              <w:t>Delaware</w:t>
            </w:r>
          </w:p>
        </w:tc>
      </w:tr>
      <w:tr>
        <w:trPr>
          <w:trHeight w:val="270"/>
        </w:trPr>
        <w:tc>
          <w:tcPr>
            <w:tcW w:w="4860" w:type="dxa"/>
            <w:vAlign w:val="bottom"/>
          </w:tcPr>
          <w:p>
            <w:pPr>
              <w:spacing w:after="0"/>
              <w:rPr>
                <w:sz w:val="23"/>
                <w:szCs w:val="23"/>
                <w:color w:val="auto"/>
              </w:rPr>
            </w:pPr>
          </w:p>
        </w:tc>
        <w:tc>
          <w:tcPr>
            <w:tcW w:w="6380" w:type="dxa"/>
            <w:vAlign w:val="bottom"/>
          </w:tcPr>
          <w:p>
            <w:pPr>
              <w:spacing w:after="0"/>
              <w:rPr>
                <w:sz w:val="23"/>
                <w:szCs w:val="23"/>
                <w:color w:val="auto"/>
              </w:rPr>
            </w:pPr>
          </w:p>
        </w:tc>
      </w:tr>
      <w:tr>
        <w:trPr>
          <w:trHeight w:val="243"/>
        </w:trPr>
        <w:tc>
          <w:tcPr>
            <w:tcW w:w="48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GI Corp</w:t>
            </w:r>
          </w:p>
        </w:tc>
        <w:tc>
          <w:tcPr>
            <w:tcW w:w="6380" w:type="dxa"/>
            <w:vAlign w:val="bottom"/>
            <w:shd w:val="clear" w:color="auto" w:fill="CCEEFF"/>
          </w:tcPr>
          <w:p>
            <w:pPr>
              <w:ind w:left="1560"/>
              <w:spacing w:after="0"/>
              <w:rPr>
                <w:sz w:val="20"/>
                <w:szCs w:val="20"/>
                <w:color w:val="auto"/>
              </w:rPr>
            </w:pPr>
            <w:r>
              <w:rPr>
                <w:rFonts w:ascii="Arial" w:cs="Arial" w:eastAsia="Arial" w:hAnsi="Arial"/>
                <w:sz w:val="20"/>
                <w:szCs w:val="20"/>
                <w:color w:val="auto"/>
              </w:rPr>
              <w:t>Delaware</w:t>
            </w:r>
          </w:p>
        </w:tc>
      </w:tr>
      <w:tr>
        <w:trPr>
          <w:trHeight w:val="270"/>
        </w:trPr>
        <w:tc>
          <w:tcPr>
            <w:tcW w:w="4860" w:type="dxa"/>
            <w:vAlign w:val="bottom"/>
          </w:tcPr>
          <w:p>
            <w:pPr>
              <w:spacing w:after="0"/>
              <w:rPr>
                <w:sz w:val="23"/>
                <w:szCs w:val="23"/>
                <w:color w:val="auto"/>
              </w:rPr>
            </w:pPr>
          </w:p>
        </w:tc>
        <w:tc>
          <w:tcPr>
            <w:tcW w:w="6380" w:type="dxa"/>
            <w:vAlign w:val="bottom"/>
          </w:tcPr>
          <w:p>
            <w:pPr>
              <w:spacing w:after="0"/>
              <w:rPr>
                <w:sz w:val="23"/>
                <w:szCs w:val="23"/>
                <w:color w:val="auto"/>
              </w:rPr>
            </w:pPr>
          </w:p>
        </w:tc>
      </w:tr>
      <w:tr>
        <w:trPr>
          <w:trHeight w:val="243"/>
        </w:trPr>
        <w:tc>
          <w:tcPr>
            <w:tcW w:w="48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GP Holding LLC</w:t>
            </w:r>
          </w:p>
        </w:tc>
        <w:tc>
          <w:tcPr>
            <w:tcW w:w="6380" w:type="dxa"/>
            <w:vAlign w:val="bottom"/>
            <w:shd w:val="clear" w:color="auto" w:fill="CCEEFF"/>
          </w:tcPr>
          <w:p>
            <w:pPr>
              <w:ind w:left="1560"/>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240"/>
          </w:cols>
          <w:pgMar w:left="320" w:top="1206" w:right="33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Holdco US, Inc.</w:t>
            </w:r>
          </w:p>
        </w:tc>
        <w:tc>
          <w:tcPr>
            <w:tcW w:w="50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Delaware</w:t>
            </w:r>
          </w:p>
        </w:tc>
      </w:tr>
      <w:tr>
        <w:trPr>
          <w:trHeight w:val="270"/>
        </w:trPr>
        <w:tc>
          <w:tcPr>
            <w:tcW w:w="6220" w:type="dxa"/>
            <w:vAlign w:val="bottom"/>
          </w:tcPr>
          <w:p>
            <w:pPr>
              <w:spacing w:after="0"/>
              <w:rPr>
                <w:sz w:val="23"/>
                <w:szCs w:val="23"/>
                <w:color w:val="auto"/>
              </w:rPr>
            </w:pPr>
          </w:p>
        </w:tc>
        <w:tc>
          <w:tcPr>
            <w:tcW w:w="5020" w:type="dxa"/>
            <w:vAlign w:val="bottom"/>
          </w:tcPr>
          <w:p>
            <w:pPr>
              <w:spacing w:after="0"/>
              <w:rPr>
                <w:sz w:val="23"/>
                <w:szCs w:val="23"/>
                <w:color w:val="auto"/>
              </w:rPr>
            </w:pPr>
          </w:p>
        </w:tc>
      </w:tr>
      <w:tr>
        <w:trPr>
          <w:trHeight w:val="243"/>
        </w:trPr>
        <w:tc>
          <w:tcPr>
            <w:tcW w:w="62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Holdings B1, Inc.</w:t>
            </w:r>
          </w:p>
        </w:tc>
        <w:tc>
          <w:tcPr>
            <w:tcW w:w="50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Delaware</w:t>
            </w:r>
          </w:p>
        </w:tc>
      </w:tr>
      <w:tr>
        <w:trPr>
          <w:trHeight w:val="270"/>
        </w:trPr>
        <w:tc>
          <w:tcPr>
            <w:tcW w:w="6220" w:type="dxa"/>
            <w:vAlign w:val="bottom"/>
          </w:tcPr>
          <w:p>
            <w:pPr>
              <w:spacing w:after="0"/>
              <w:rPr>
                <w:sz w:val="23"/>
                <w:szCs w:val="23"/>
                <w:color w:val="auto"/>
              </w:rPr>
            </w:pPr>
          </w:p>
        </w:tc>
        <w:tc>
          <w:tcPr>
            <w:tcW w:w="5020" w:type="dxa"/>
            <w:vAlign w:val="bottom"/>
          </w:tcPr>
          <w:p>
            <w:pPr>
              <w:spacing w:after="0"/>
              <w:rPr>
                <w:sz w:val="23"/>
                <w:szCs w:val="23"/>
                <w:color w:val="auto"/>
              </w:rPr>
            </w:pPr>
          </w:p>
        </w:tc>
      </w:tr>
      <w:tr>
        <w:trPr>
          <w:trHeight w:val="243"/>
        </w:trPr>
        <w:tc>
          <w:tcPr>
            <w:tcW w:w="62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Holdings, Inc.</w:t>
            </w:r>
          </w:p>
        </w:tc>
        <w:tc>
          <w:tcPr>
            <w:tcW w:w="50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Delaware</w:t>
            </w:r>
          </w:p>
        </w:tc>
      </w:tr>
      <w:tr>
        <w:trPr>
          <w:trHeight w:val="270"/>
        </w:trPr>
        <w:tc>
          <w:tcPr>
            <w:tcW w:w="6220" w:type="dxa"/>
            <w:vAlign w:val="bottom"/>
          </w:tcPr>
          <w:p>
            <w:pPr>
              <w:spacing w:after="0"/>
              <w:rPr>
                <w:sz w:val="23"/>
                <w:szCs w:val="23"/>
                <w:color w:val="auto"/>
              </w:rPr>
            </w:pPr>
          </w:p>
        </w:tc>
        <w:tc>
          <w:tcPr>
            <w:tcW w:w="5020" w:type="dxa"/>
            <w:vAlign w:val="bottom"/>
          </w:tcPr>
          <w:p>
            <w:pPr>
              <w:spacing w:after="0"/>
              <w:rPr>
                <w:sz w:val="23"/>
                <w:szCs w:val="23"/>
                <w:color w:val="auto"/>
              </w:rPr>
            </w:pPr>
          </w:p>
        </w:tc>
      </w:tr>
      <w:tr>
        <w:trPr>
          <w:trHeight w:val="243"/>
        </w:trPr>
        <w:tc>
          <w:tcPr>
            <w:tcW w:w="62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Inc.</w:t>
            </w:r>
          </w:p>
        </w:tc>
        <w:tc>
          <w:tcPr>
            <w:tcW w:w="50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Delaware</w:t>
            </w:r>
          </w:p>
        </w:tc>
      </w:tr>
      <w:tr>
        <w:trPr>
          <w:trHeight w:val="270"/>
        </w:trPr>
        <w:tc>
          <w:tcPr>
            <w:tcW w:w="6220" w:type="dxa"/>
            <w:vAlign w:val="bottom"/>
          </w:tcPr>
          <w:p>
            <w:pPr>
              <w:spacing w:after="0"/>
              <w:rPr>
                <w:sz w:val="23"/>
                <w:szCs w:val="23"/>
                <w:color w:val="auto"/>
              </w:rPr>
            </w:pPr>
          </w:p>
        </w:tc>
        <w:tc>
          <w:tcPr>
            <w:tcW w:w="5020" w:type="dxa"/>
            <w:vAlign w:val="bottom"/>
          </w:tcPr>
          <w:p>
            <w:pPr>
              <w:spacing w:after="0"/>
              <w:rPr>
                <w:sz w:val="23"/>
                <w:szCs w:val="23"/>
                <w:color w:val="auto"/>
              </w:rPr>
            </w:pPr>
          </w:p>
        </w:tc>
      </w:tr>
      <w:tr>
        <w:trPr>
          <w:trHeight w:val="243"/>
        </w:trPr>
        <w:tc>
          <w:tcPr>
            <w:tcW w:w="62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Laboratories, LLC</w:t>
            </w:r>
          </w:p>
        </w:tc>
        <w:tc>
          <w:tcPr>
            <w:tcW w:w="50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Delaware</w:t>
            </w:r>
          </w:p>
        </w:tc>
      </w:tr>
      <w:tr>
        <w:trPr>
          <w:trHeight w:val="270"/>
        </w:trPr>
        <w:tc>
          <w:tcPr>
            <w:tcW w:w="6220" w:type="dxa"/>
            <w:vAlign w:val="bottom"/>
          </w:tcPr>
          <w:p>
            <w:pPr>
              <w:spacing w:after="0"/>
              <w:rPr>
                <w:sz w:val="23"/>
                <w:szCs w:val="23"/>
                <w:color w:val="auto"/>
              </w:rPr>
            </w:pPr>
          </w:p>
        </w:tc>
        <w:tc>
          <w:tcPr>
            <w:tcW w:w="5020" w:type="dxa"/>
            <w:vAlign w:val="bottom"/>
          </w:tcPr>
          <w:p>
            <w:pPr>
              <w:spacing w:after="0"/>
              <w:rPr>
                <w:sz w:val="23"/>
                <w:szCs w:val="23"/>
                <w:color w:val="auto"/>
              </w:rPr>
            </w:pPr>
          </w:p>
        </w:tc>
      </w:tr>
      <w:tr>
        <w:trPr>
          <w:trHeight w:val="243"/>
        </w:trPr>
        <w:tc>
          <w:tcPr>
            <w:tcW w:w="62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Lending 2 LLC</w:t>
            </w:r>
          </w:p>
        </w:tc>
        <w:tc>
          <w:tcPr>
            <w:tcW w:w="50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Delaware</w:t>
            </w:r>
          </w:p>
        </w:tc>
      </w:tr>
      <w:tr>
        <w:trPr>
          <w:trHeight w:val="270"/>
        </w:trPr>
        <w:tc>
          <w:tcPr>
            <w:tcW w:w="6220" w:type="dxa"/>
            <w:vAlign w:val="bottom"/>
          </w:tcPr>
          <w:p>
            <w:pPr>
              <w:spacing w:after="0"/>
              <w:rPr>
                <w:sz w:val="23"/>
                <w:szCs w:val="23"/>
                <w:color w:val="auto"/>
              </w:rPr>
            </w:pPr>
          </w:p>
        </w:tc>
        <w:tc>
          <w:tcPr>
            <w:tcW w:w="5020" w:type="dxa"/>
            <w:vAlign w:val="bottom"/>
          </w:tcPr>
          <w:p>
            <w:pPr>
              <w:spacing w:after="0"/>
              <w:rPr>
                <w:sz w:val="23"/>
                <w:szCs w:val="23"/>
                <w:color w:val="auto"/>
              </w:rPr>
            </w:pPr>
          </w:p>
        </w:tc>
      </w:tr>
      <w:tr>
        <w:trPr>
          <w:trHeight w:val="243"/>
        </w:trPr>
        <w:tc>
          <w:tcPr>
            <w:tcW w:w="62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Lending LLC</w:t>
            </w:r>
          </w:p>
        </w:tc>
        <w:tc>
          <w:tcPr>
            <w:tcW w:w="50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Delaware</w:t>
            </w:r>
          </w:p>
        </w:tc>
      </w:tr>
      <w:tr>
        <w:trPr>
          <w:trHeight w:val="270"/>
        </w:trPr>
        <w:tc>
          <w:tcPr>
            <w:tcW w:w="6220" w:type="dxa"/>
            <w:vAlign w:val="bottom"/>
          </w:tcPr>
          <w:p>
            <w:pPr>
              <w:spacing w:after="0"/>
              <w:rPr>
                <w:sz w:val="23"/>
                <w:szCs w:val="23"/>
                <w:color w:val="auto"/>
              </w:rPr>
            </w:pPr>
          </w:p>
        </w:tc>
        <w:tc>
          <w:tcPr>
            <w:tcW w:w="5020" w:type="dxa"/>
            <w:vAlign w:val="bottom"/>
          </w:tcPr>
          <w:p>
            <w:pPr>
              <w:spacing w:after="0"/>
              <w:rPr>
                <w:sz w:val="23"/>
                <w:szCs w:val="23"/>
                <w:color w:val="auto"/>
              </w:rPr>
            </w:pPr>
          </w:p>
        </w:tc>
      </w:tr>
      <w:tr>
        <w:trPr>
          <w:trHeight w:val="243"/>
        </w:trPr>
        <w:tc>
          <w:tcPr>
            <w:tcW w:w="62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Pharma Inc.</w:t>
            </w:r>
          </w:p>
        </w:tc>
        <w:tc>
          <w:tcPr>
            <w:tcW w:w="50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Delaware</w:t>
            </w:r>
          </w:p>
        </w:tc>
      </w:tr>
      <w:tr>
        <w:trPr>
          <w:trHeight w:val="270"/>
        </w:trPr>
        <w:tc>
          <w:tcPr>
            <w:tcW w:w="6220" w:type="dxa"/>
            <w:vAlign w:val="bottom"/>
          </w:tcPr>
          <w:p>
            <w:pPr>
              <w:spacing w:after="0"/>
              <w:rPr>
                <w:sz w:val="23"/>
                <w:szCs w:val="23"/>
                <w:color w:val="auto"/>
              </w:rPr>
            </w:pPr>
          </w:p>
        </w:tc>
        <w:tc>
          <w:tcPr>
            <w:tcW w:w="5020" w:type="dxa"/>
            <w:vAlign w:val="bottom"/>
          </w:tcPr>
          <w:p>
            <w:pPr>
              <w:spacing w:after="0"/>
              <w:rPr>
                <w:sz w:val="23"/>
                <w:szCs w:val="23"/>
                <w:color w:val="auto"/>
              </w:rPr>
            </w:pPr>
          </w:p>
        </w:tc>
      </w:tr>
      <w:tr>
        <w:trPr>
          <w:trHeight w:val="243"/>
        </w:trPr>
        <w:tc>
          <w:tcPr>
            <w:tcW w:w="62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Property Holdings, LLC</w:t>
            </w:r>
          </w:p>
        </w:tc>
        <w:tc>
          <w:tcPr>
            <w:tcW w:w="50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Delaware</w:t>
            </w:r>
          </w:p>
        </w:tc>
      </w:tr>
      <w:tr>
        <w:trPr>
          <w:trHeight w:val="270"/>
        </w:trPr>
        <w:tc>
          <w:tcPr>
            <w:tcW w:w="6220" w:type="dxa"/>
            <w:vAlign w:val="bottom"/>
          </w:tcPr>
          <w:p>
            <w:pPr>
              <w:spacing w:after="0"/>
              <w:rPr>
                <w:sz w:val="23"/>
                <w:szCs w:val="23"/>
                <w:color w:val="auto"/>
              </w:rPr>
            </w:pPr>
          </w:p>
        </w:tc>
        <w:tc>
          <w:tcPr>
            <w:tcW w:w="5020" w:type="dxa"/>
            <w:vAlign w:val="bottom"/>
          </w:tcPr>
          <w:p>
            <w:pPr>
              <w:spacing w:after="0"/>
              <w:rPr>
                <w:sz w:val="23"/>
                <w:szCs w:val="23"/>
                <w:color w:val="auto"/>
              </w:rPr>
            </w:pPr>
          </w:p>
        </w:tc>
      </w:tr>
      <w:tr>
        <w:trPr>
          <w:trHeight w:val="243"/>
        </w:trPr>
        <w:tc>
          <w:tcPr>
            <w:tcW w:w="62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Puerto Rico Holdings, LLC</w:t>
            </w:r>
          </w:p>
        </w:tc>
        <w:tc>
          <w:tcPr>
            <w:tcW w:w="50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Delaware</w:t>
            </w:r>
          </w:p>
        </w:tc>
      </w:tr>
      <w:tr>
        <w:trPr>
          <w:trHeight w:val="270"/>
        </w:trPr>
        <w:tc>
          <w:tcPr>
            <w:tcW w:w="6220" w:type="dxa"/>
            <w:vAlign w:val="bottom"/>
          </w:tcPr>
          <w:p>
            <w:pPr>
              <w:spacing w:after="0"/>
              <w:rPr>
                <w:sz w:val="23"/>
                <w:szCs w:val="23"/>
                <w:color w:val="auto"/>
              </w:rPr>
            </w:pPr>
          </w:p>
        </w:tc>
        <w:tc>
          <w:tcPr>
            <w:tcW w:w="5020" w:type="dxa"/>
            <w:vAlign w:val="bottom"/>
          </w:tcPr>
          <w:p>
            <w:pPr>
              <w:spacing w:after="0"/>
              <w:rPr>
                <w:sz w:val="23"/>
                <w:szCs w:val="23"/>
                <w:color w:val="auto"/>
              </w:rPr>
            </w:pPr>
          </w:p>
        </w:tc>
      </w:tr>
      <w:tr>
        <w:trPr>
          <w:trHeight w:val="243"/>
        </w:trPr>
        <w:tc>
          <w:tcPr>
            <w:tcW w:w="62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Sales Puerto Rico, Inc.</w:t>
            </w:r>
          </w:p>
        </w:tc>
        <w:tc>
          <w:tcPr>
            <w:tcW w:w="50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California</w:t>
            </w:r>
          </w:p>
        </w:tc>
      </w:tr>
      <w:tr>
        <w:trPr>
          <w:trHeight w:val="270"/>
        </w:trPr>
        <w:tc>
          <w:tcPr>
            <w:tcW w:w="6220" w:type="dxa"/>
            <w:vAlign w:val="bottom"/>
          </w:tcPr>
          <w:p>
            <w:pPr>
              <w:spacing w:after="0"/>
              <w:rPr>
                <w:sz w:val="23"/>
                <w:szCs w:val="23"/>
                <w:color w:val="auto"/>
              </w:rPr>
            </w:pPr>
          </w:p>
        </w:tc>
        <w:tc>
          <w:tcPr>
            <w:tcW w:w="5020" w:type="dxa"/>
            <w:vAlign w:val="bottom"/>
          </w:tcPr>
          <w:p>
            <w:pPr>
              <w:spacing w:after="0"/>
              <w:rPr>
                <w:sz w:val="23"/>
                <w:szCs w:val="23"/>
                <w:color w:val="auto"/>
              </w:rPr>
            </w:pPr>
          </w:p>
        </w:tc>
      </w:tr>
      <w:tr>
        <w:trPr>
          <w:trHeight w:val="243"/>
        </w:trPr>
        <w:tc>
          <w:tcPr>
            <w:tcW w:w="62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Sales, LLC (d/b/a Allergan; d/b/a Bioscience Laboratories)</w:t>
            </w:r>
          </w:p>
        </w:tc>
        <w:tc>
          <w:tcPr>
            <w:tcW w:w="50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Delaware</w:t>
            </w:r>
          </w:p>
        </w:tc>
      </w:tr>
      <w:tr>
        <w:trPr>
          <w:trHeight w:val="270"/>
        </w:trPr>
        <w:tc>
          <w:tcPr>
            <w:tcW w:w="6220" w:type="dxa"/>
            <w:vAlign w:val="bottom"/>
          </w:tcPr>
          <w:p>
            <w:pPr>
              <w:spacing w:after="0"/>
              <w:rPr>
                <w:sz w:val="23"/>
                <w:szCs w:val="23"/>
                <w:color w:val="auto"/>
              </w:rPr>
            </w:pPr>
          </w:p>
        </w:tc>
        <w:tc>
          <w:tcPr>
            <w:tcW w:w="5020" w:type="dxa"/>
            <w:vAlign w:val="bottom"/>
          </w:tcPr>
          <w:p>
            <w:pPr>
              <w:spacing w:after="0"/>
              <w:rPr>
                <w:sz w:val="23"/>
                <w:szCs w:val="23"/>
                <w:color w:val="auto"/>
              </w:rPr>
            </w:pPr>
          </w:p>
        </w:tc>
      </w:tr>
      <w:tr>
        <w:trPr>
          <w:trHeight w:val="243"/>
        </w:trPr>
        <w:tc>
          <w:tcPr>
            <w:tcW w:w="62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Therapeutics LLC</w:t>
            </w:r>
          </w:p>
        </w:tc>
        <w:tc>
          <w:tcPr>
            <w:tcW w:w="50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Delaware</w:t>
            </w:r>
          </w:p>
        </w:tc>
      </w:tr>
      <w:tr>
        <w:trPr>
          <w:trHeight w:val="270"/>
        </w:trPr>
        <w:tc>
          <w:tcPr>
            <w:tcW w:w="6220" w:type="dxa"/>
            <w:vAlign w:val="bottom"/>
          </w:tcPr>
          <w:p>
            <w:pPr>
              <w:spacing w:after="0"/>
              <w:rPr>
                <w:sz w:val="23"/>
                <w:szCs w:val="23"/>
                <w:color w:val="auto"/>
              </w:rPr>
            </w:pPr>
          </w:p>
        </w:tc>
        <w:tc>
          <w:tcPr>
            <w:tcW w:w="5020" w:type="dxa"/>
            <w:vAlign w:val="bottom"/>
          </w:tcPr>
          <w:p>
            <w:pPr>
              <w:spacing w:after="0"/>
              <w:rPr>
                <w:sz w:val="23"/>
                <w:szCs w:val="23"/>
                <w:color w:val="auto"/>
              </w:rPr>
            </w:pPr>
          </w:p>
        </w:tc>
      </w:tr>
      <w:tr>
        <w:trPr>
          <w:trHeight w:val="243"/>
        </w:trPr>
        <w:tc>
          <w:tcPr>
            <w:tcW w:w="62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USA, Inc. (d/b/a Pacificom / Pacific Communications)</w:t>
            </w:r>
          </w:p>
        </w:tc>
        <w:tc>
          <w:tcPr>
            <w:tcW w:w="50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Delaware</w:t>
            </w:r>
          </w:p>
        </w:tc>
      </w:tr>
      <w:tr>
        <w:trPr>
          <w:trHeight w:val="270"/>
        </w:trPr>
        <w:tc>
          <w:tcPr>
            <w:tcW w:w="6220" w:type="dxa"/>
            <w:vAlign w:val="bottom"/>
          </w:tcPr>
          <w:p>
            <w:pPr>
              <w:spacing w:after="0"/>
              <w:rPr>
                <w:sz w:val="23"/>
                <w:szCs w:val="23"/>
                <w:color w:val="auto"/>
              </w:rPr>
            </w:pPr>
          </w:p>
        </w:tc>
        <w:tc>
          <w:tcPr>
            <w:tcW w:w="5020" w:type="dxa"/>
            <w:vAlign w:val="bottom"/>
          </w:tcPr>
          <w:p>
            <w:pPr>
              <w:spacing w:after="0"/>
              <w:rPr>
                <w:sz w:val="23"/>
                <w:szCs w:val="23"/>
                <w:color w:val="auto"/>
              </w:rPr>
            </w:pPr>
          </w:p>
        </w:tc>
      </w:tr>
      <w:tr>
        <w:trPr>
          <w:trHeight w:val="243"/>
        </w:trPr>
        <w:tc>
          <w:tcPr>
            <w:tcW w:w="62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W.C. Holding Inc.</w:t>
            </w:r>
          </w:p>
        </w:tc>
        <w:tc>
          <w:tcPr>
            <w:tcW w:w="50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Delaware</w:t>
            </w:r>
          </w:p>
        </w:tc>
      </w:tr>
      <w:tr>
        <w:trPr>
          <w:trHeight w:val="270"/>
        </w:trPr>
        <w:tc>
          <w:tcPr>
            <w:tcW w:w="6220" w:type="dxa"/>
            <w:vAlign w:val="bottom"/>
          </w:tcPr>
          <w:p>
            <w:pPr>
              <w:spacing w:after="0"/>
              <w:rPr>
                <w:sz w:val="23"/>
                <w:szCs w:val="23"/>
                <w:color w:val="auto"/>
              </w:rPr>
            </w:pPr>
          </w:p>
        </w:tc>
        <w:tc>
          <w:tcPr>
            <w:tcW w:w="5020" w:type="dxa"/>
            <w:vAlign w:val="bottom"/>
          </w:tcPr>
          <w:p>
            <w:pPr>
              <w:spacing w:after="0"/>
              <w:rPr>
                <w:sz w:val="23"/>
                <w:szCs w:val="23"/>
                <w:color w:val="auto"/>
              </w:rPr>
            </w:pPr>
          </w:p>
        </w:tc>
      </w:tr>
      <w:tr>
        <w:trPr>
          <w:trHeight w:val="243"/>
        </w:trPr>
        <w:tc>
          <w:tcPr>
            <w:tcW w:w="62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Anterios, Inc.</w:t>
            </w:r>
          </w:p>
        </w:tc>
        <w:tc>
          <w:tcPr>
            <w:tcW w:w="50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Delaware</w:t>
            </w:r>
          </w:p>
        </w:tc>
      </w:tr>
      <w:tr>
        <w:trPr>
          <w:trHeight w:val="270"/>
        </w:trPr>
        <w:tc>
          <w:tcPr>
            <w:tcW w:w="6220" w:type="dxa"/>
            <w:vAlign w:val="bottom"/>
          </w:tcPr>
          <w:p>
            <w:pPr>
              <w:spacing w:after="0"/>
              <w:rPr>
                <w:sz w:val="23"/>
                <w:szCs w:val="23"/>
                <w:color w:val="auto"/>
              </w:rPr>
            </w:pPr>
          </w:p>
        </w:tc>
        <w:tc>
          <w:tcPr>
            <w:tcW w:w="5020" w:type="dxa"/>
            <w:vAlign w:val="bottom"/>
          </w:tcPr>
          <w:p>
            <w:pPr>
              <w:spacing w:after="0"/>
              <w:rPr>
                <w:sz w:val="23"/>
                <w:szCs w:val="23"/>
                <w:color w:val="auto"/>
              </w:rPr>
            </w:pPr>
          </w:p>
        </w:tc>
      </w:tr>
      <w:tr>
        <w:trPr>
          <w:trHeight w:val="243"/>
        </w:trPr>
        <w:tc>
          <w:tcPr>
            <w:tcW w:w="62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Aptalis Pharma US, Inc.</w:t>
            </w:r>
          </w:p>
        </w:tc>
        <w:tc>
          <w:tcPr>
            <w:tcW w:w="50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Delaware</w:t>
            </w:r>
          </w:p>
        </w:tc>
      </w:tr>
      <w:tr>
        <w:trPr>
          <w:trHeight w:val="270"/>
        </w:trPr>
        <w:tc>
          <w:tcPr>
            <w:tcW w:w="6220" w:type="dxa"/>
            <w:vAlign w:val="bottom"/>
          </w:tcPr>
          <w:p>
            <w:pPr>
              <w:spacing w:after="0"/>
              <w:rPr>
                <w:sz w:val="23"/>
                <w:szCs w:val="23"/>
                <w:color w:val="auto"/>
              </w:rPr>
            </w:pPr>
          </w:p>
        </w:tc>
        <w:tc>
          <w:tcPr>
            <w:tcW w:w="5020" w:type="dxa"/>
            <w:vAlign w:val="bottom"/>
          </w:tcPr>
          <w:p>
            <w:pPr>
              <w:spacing w:after="0"/>
              <w:rPr>
                <w:sz w:val="23"/>
                <w:szCs w:val="23"/>
                <w:color w:val="auto"/>
              </w:rPr>
            </w:pPr>
          </w:p>
        </w:tc>
      </w:tr>
      <w:tr>
        <w:trPr>
          <w:trHeight w:val="243"/>
        </w:trPr>
        <w:tc>
          <w:tcPr>
            <w:tcW w:w="62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AqueSys, Inc.</w:t>
            </w:r>
          </w:p>
        </w:tc>
        <w:tc>
          <w:tcPr>
            <w:tcW w:w="50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Delaware</w:t>
            </w:r>
          </w:p>
        </w:tc>
      </w:tr>
      <w:tr>
        <w:trPr>
          <w:trHeight w:val="270"/>
        </w:trPr>
        <w:tc>
          <w:tcPr>
            <w:tcW w:w="6220" w:type="dxa"/>
            <w:vAlign w:val="bottom"/>
          </w:tcPr>
          <w:p>
            <w:pPr>
              <w:spacing w:after="0"/>
              <w:rPr>
                <w:sz w:val="23"/>
                <w:szCs w:val="23"/>
                <w:color w:val="auto"/>
              </w:rPr>
            </w:pPr>
          </w:p>
        </w:tc>
        <w:tc>
          <w:tcPr>
            <w:tcW w:w="5020" w:type="dxa"/>
            <w:vAlign w:val="bottom"/>
          </w:tcPr>
          <w:p>
            <w:pPr>
              <w:spacing w:after="0"/>
              <w:rPr>
                <w:sz w:val="23"/>
                <w:szCs w:val="23"/>
                <w:color w:val="auto"/>
              </w:rPr>
            </w:pPr>
          </w:p>
        </w:tc>
      </w:tr>
      <w:tr>
        <w:trPr>
          <w:trHeight w:val="243"/>
        </w:trPr>
        <w:tc>
          <w:tcPr>
            <w:tcW w:w="62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BioDisplay Technologies, Inc.</w:t>
            </w:r>
          </w:p>
        </w:tc>
        <w:tc>
          <w:tcPr>
            <w:tcW w:w="50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Illinois</w:t>
            </w:r>
          </w:p>
        </w:tc>
      </w:tr>
      <w:tr>
        <w:trPr>
          <w:trHeight w:val="270"/>
        </w:trPr>
        <w:tc>
          <w:tcPr>
            <w:tcW w:w="6220" w:type="dxa"/>
            <w:vAlign w:val="bottom"/>
          </w:tcPr>
          <w:p>
            <w:pPr>
              <w:spacing w:after="0"/>
              <w:rPr>
                <w:sz w:val="23"/>
                <w:szCs w:val="23"/>
                <w:color w:val="auto"/>
              </w:rPr>
            </w:pPr>
          </w:p>
        </w:tc>
        <w:tc>
          <w:tcPr>
            <w:tcW w:w="5020" w:type="dxa"/>
            <w:vAlign w:val="bottom"/>
          </w:tcPr>
          <w:p>
            <w:pPr>
              <w:spacing w:after="0"/>
              <w:rPr>
                <w:sz w:val="23"/>
                <w:szCs w:val="23"/>
                <w:color w:val="auto"/>
              </w:rPr>
            </w:pPr>
          </w:p>
        </w:tc>
      </w:tr>
      <w:tr>
        <w:trPr>
          <w:trHeight w:val="243"/>
        </w:trPr>
        <w:tc>
          <w:tcPr>
            <w:tcW w:w="62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Bonti, Inc.</w:t>
            </w:r>
          </w:p>
        </w:tc>
        <w:tc>
          <w:tcPr>
            <w:tcW w:w="50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Delaware</w:t>
            </w:r>
          </w:p>
        </w:tc>
      </w:tr>
      <w:tr>
        <w:trPr>
          <w:trHeight w:val="270"/>
        </w:trPr>
        <w:tc>
          <w:tcPr>
            <w:tcW w:w="6220" w:type="dxa"/>
            <w:vAlign w:val="bottom"/>
          </w:tcPr>
          <w:p>
            <w:pPr>
              <w:spacing w:after="0"/>
              <w:rPr>
                <w:sz w:val="23"/>
                <w:szCs w:val="23"/>
                <w:color w:val="auto"/>
              </w:rPr>
            </w:pPr>
          </w:p>
        </w:tc>
        <w:tc>
          <w:tcPr>
            <w:tcW w:w="5020" w:type="dxa"/>
            <w:vAlign w:val="bottom"/>
          </w:tcPr>
          <w:p>
            <w:pPr>
              <w:spacing w:after="0"/>
              <w:rPr>
                <w:sz w:val="23"/>
                <w:szCs w:val="23"/>
                <w:color w:val="auto"/>
              </w:rPr>
            </w:pPr>
          </w:p>
        </w:tc>
      </w:tr>
      <w:tr>
        <w:trPr>
          <w:trHeight w:val="243"/>
        </w:trPr>
        <w:tc>
          <w:tcPr>
            <w:tcW w:w="62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Cearna Aesthetics, Inc.</w:t>
            </w:r>
          </w:p>
        </w:tc>
        <w:tc>
          <w:tcPr>
            <w:tcW w:w="50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240"/>
          </w:cols>
          <w:pgMar w:left="320" w:top="936" w:right="339" w:bottom="144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Chase Pharmaceuticals Corporation</w:t>
            </w:r>
          </w:p>
        </w:tc>
        <w:tc>
          <w:tcPr>
            <w:tcW w:w="6360" w:type="dxa"/>
            <w:vAlign w:val="bottom"/>
            <w:shd w:val="clear" w:color="auto" w:fill="CCEEFF"/>
          </w:tcPr>
          <w:p>
            <w:pPr>
              <w:ind w:left="1540"/>
              <w:spacing w:after="0"/>
              <w:rPr>
                <w:sz w:val="20"/>
                <w:szCs w:val="20"/>
                <w:color w:val="auto"/>
              </w:rPr>
            </w:pPr>
            <w:r>
              <w:rPr>
                <w:rFonts w:ascii="Arial" w:cs="Arial" w:eastAsia="Arial" w:hAnsi="Arial"/>
                <w:sz w:val="20"/>
                <w:szCs w:val="20"/>
                <w:color w:val="auto"/>
              </w:rPr>
              <w:t>Delaware</w:t>
            </w:r>
          </w:p>
        </w:tc>
      </w:tr>
      <w:tr>
        <w:trPr>
          <w:trHeight w:val="270"/>
        </w:trPr>
        <w:tc>
          <w:tcPr>
            <w:tcW w:w="4880" w:type="dxa"/>
            <w:vAlign w:val="bottom"/>
          </w:tcPr>
          <w:p>
            <w:pPr>
              <w:spacing w:after="0"/>
              <w:rPr>
                <w:sz w:val="23"/>
                <w:szCs w:val="23"/>
                <w:color w:val="auto"/>
              </w:rPr>
            </w:pPr>
          </w:p>
        </w:tc>
        <w:tc>
          <w:tcPr>
            <w:tcW w:w="6360" w:type="dxa"/>
            <w:vAlign w:val="bottom"/>
          </w:tcPr>
          <w:p>
            <w:pPr>
              <w:spacing w:after="0"/>
              <w:rPr>
                <w:sz w:val="23"/>
                <w:szCs w:val="23"/>
                <w:color w:val="auto"/>
              </w:rPr>
            </w:pPr>
          </w:p>
        </w:tc>
      </w:tr>
      <w:tr>
        <w:trPr>
          <w:trHeight w:val="243"/>
        </w:trPr>
        <w:tc>
          <w:tcPr>
            <w:tcW w:w="48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Del Mar Indemnity Company LLC</w:t>
            </w:r>
          </w:p>
        </w:tc>
        <w:tc>
          <w:tcPr>
            <w:tcW w:w="6360" w:type="dxa"/>
            <w:vAlign w:val="bottom"/>
            <w:shd w:val="clear" w:color="auto" w:fill="CCEEFF"/>
          </w:tcPr>
          <w:p>
            <w:pPr>
              <w:ind w:left="1540"/>
              <w:spacing w:after="0"/>
              <w:rPr>
                <w:sz w:val="20"/>
                <w:szCs w:val="20"/>
                <w:color w:val="auto"/>
              </w:rPr>
            </w:pPr>
            <w:r>
              <w:rPr>
                <w:rFonts w:ascii="Arial" w:cs="Arial" w:eastAsia="Arial" w:hAnsi="Arial"/>
                <w:sz w:val="20"/>
                <w:szCs w:val="20"/>
                <w:color w:val="auto"/>
              </w:rPr>
              <w:t>Hawaii</w:t>
            </w:r>
          </w:p>
        </w:tc>
      </w:tr>
      <w:tr>
        <w:trPr>
          <w:trHeight w:val="270"/>
        </w:trPr>
        <w:tc>
          <w:tcPr>
            <w:tcW w:w="4880" w:type="dxa"/>
            <w:vAlign w:val="bottom"/>
          </w:tcPr>
          <w:p>
            <w:pPr>
              <w:spacing w:after="0"/>
              <w:rPr>
                <w:sz w:val="23"/>
                <w:szCs w:val="23"/>
                <w:color w:val="auto"/>
              </w:rPr>
            </w:pPr>
          </w:p>
        </w:tc>
        <w:tc>
          <w:tcPr>
            <w:tcW w:w="6360" w:type="dxa"/>
            <w:vAlign w:val="bottom"/>
          </w:tcPr>
          <w:p>
            <w:pPr>
              <w:spacing w:after="0"/>
              <w:rPr>
                <w:sz w:val="23"/>
                <w:szCs w:val="23"/>
                <w:color w:val="auto"/>
              </w:rPr>
            </w:pPr>
          </w:p>
        </w:tc>
      </w:tr>
      <w:tr>
        <w:trPr>
          <w:trHeight w:val="243"/>
        </w:trPr>
        <w:tc>
          <w:tcPr>
            <w:tcW w:w="48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Durata Holdings, Inc.</w:t>
            </w:r>
          </w:p>
        </w:tc>
        <w:tc>
          <w:tcPr>
            <w:tcW w:w="6360" w:type="dxa"/>
            <w:vAlign w:val="bottom"/>
            <w:shd w:val="clear" w:color="auto" w:fill="CCEEFF"/>
          </w:tcPr>
          <w:p>
            <w:pPr>
              <w:ind w:left="1540"/>
              <w:spacing w:after="0"/>
              <w:rPr>
                <w:sz w:val="20"/>
                <w:szCs w:val="20"/>
                <w:color w:val="auto"/>
              </w:rPr>
            </w:pPr>
            <w:r>
              <w:rPr>
                <w:rFonts w:ascii="Arial" w:cs="Arial" w:eastAsia="Arial" w:hAnsi="Arial"/>
                <w:sz w:val="20"/>
                <w:szCs w:val="20"/>
                <w:color w:val="auto"/>
              </w:rPr>
              <w:t>Delaware</w:t>
            </w:r>
          </w:p>
        </w:tc>
      </w:tr>
      <w:tr>
        <w:trPr>
          <w:trHeight w:val="270"/>
        </w:trPr>
        <w:tc>
          <w:tcPr>
            <w:tcW w:w="4880" w:type="dxa"/>
            <w:vAlign w:val="bottom"/>
          </w:tcPr>
          <w:p>
            <w:pPr>
              <w:spacing w:after="0"/>
              <w:rPr>
                <w:sz w:val="23"/>
                <w:szCs w:val="23"/>
                <w:color w:val="auto"/>
              </w:rPr>
            </w:pPr>
          </w:p>
        </w:tc>
        <w:tc>
          <w:tcPr>
            <w:tcW w:w="6360" w:type="dxa"/>
            <w:vAlign w:val="bottom"/>
          </w:tcPr>
          <w:p>
            <w:pPr>
              <w:spacing w:after="0"/>
              <w:rPr>
                <w:sz w:val="23"/>
                <w:szCs w:val="23"/>
                <w:color w:val="auto"/>
              </w:rPr>
            </w:pPr>
          </w:p>
        </w:tc>
      </w:tr>
      <w:tr>
        <w:trPr>
          <w:trHeight w:val="243"/>
        </w:trPr>
        <w:tc>
          <w:tcPr>
            <w:tcW w:w="48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Durata Therapeutics, Inc.</w:t>
            </w:r>
          </w:p>
        </w:tc>
        <w:tc>
          <w:tcPr>
            <w:tcW w:w="6360" w:type="dxa"/>
            <w:vAlign w:val="bottom"/>
            <w:shd w:val="clear" w:color="auto" w:fill="CCEEFF"/>
          </w:tcPr>
          <w:p>
            <w:pPr>
              <w:ind w:left="1540"/>
              <w:spacing w:after="0"/>
              <w:rPr>
                <w:sz w:val="20"/>
                <w:szCs w:val="20"/>
                <w:color w:val="auto"/>
              </w:rPr>
            </w:pPr>
            <w:r>
              <w:rPr>
                <w:rFonts w:ascii="Arial" w:cs="Arial" w:eastAsia="Arial" w:hAnsi="Arial"/>
                <w:sz w:val="20"/>
                <w:szCs w:val="20"/>
                <w:color w:val="auto"/>
              </w:rPr>
              <w:t>Delaware</w:t>
            </w:r>
          </w:p>
        </w:tc>
      </w:tr>
      <w:tr>
        <w:trPr>
          <w:trHeight w:val="270"/>
        </w:trPr>
        <w:tc>
          <w:tcPr>
            <w:tcW w:w="4880" w:type="dxa"/>
            <w:vAlign w:val="bottom"/>
          </w:tcPr>
          <w:p>
            <w:pPr>
              <w:spacing w:after="0"/>
              <w:rPr>
                <w:sz w:val="23"/>
                <w:szCs w:val="23"/>
                <w:color w:val="auto"/>
              </w:rPr>
            </w:pPr>
          </w:p>
        </w:tc>
        <w:tc>
          <w:tcPr>
            <w:tcW w:w="6360" w:type="dxa"/>
            <w:vAlign w:val="bottom"/>
          </w:tcPr>
          <w:p>
            <w:pPr>
              <w:spacing w:after="0"/>
              <w:rPr>
                <w:sz w:val="23"/>
                <w:szCs w:val="23"/>
                <w:color w:val="auto"/>
              </w:rPr>
            </w:pPr>
          </w:p>
        </w:tc>
      </w:tr>
      <w:tr>
        <w:trPr>
          <w:trHeight w:val="243"/>
        </w:trPr>
        <w:tc>
          <w:tcPr>
            <w:tcW w:w="48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Durata Therapeutics U.S. Limited</w:t>
            </w:r>
          </w:p>
        </w:tc>
        <w:tc>
          <w:tcPr>
            <w:tcW w:w="6360" w:type="dxa"/>
            <w:vAlign w:val="bottom"/>
            <w:shd w:val="clear" w:color="auto" w:fill="CCEEFF"/>
          </w:tcPr>
          <w:p>
            <w:pPr>
              <w:ind w:left="1540"/>
              <w:spacing w:after="0"/>
              <w:rPr>
                <w:sz w:val="20"/>
                <w:szCs w:val="20"/>
                <w:color w:val="auto"/>
              </w:rPr>
            </w:pPr>
            <w:r>
              <w:rPr>
                <w:rFonts w:ascii="Arial" w:cs="Arial" w:eastAsia="Arial" w:hAnsi="Arial"/>
                <w:sz w:val="20"/>
                <w:szCs w:val="20"/>
                <w:color w:val="auto"/>
              </w:rPr>
              <w:t>Delaware</w:t>
            </w:r>
          </w:p>
        </w:tc>
      </w:tr>
      <w:tr>
        <w:trPr>
          <w:trHeight w:val="270"/>
        </w:trPr>
        <w:tc>
          <w:tcPr>
            <w:tcW w:w="4880" w:type="dxa"/>
            <w:vAlign w:val="bottom"/>
          </w:tcPr>
          <w:p>
            <w:pPr>
              <w:spacing w:after="0"/>
              <w:rPr>
                <w:sz w:val="23"/>
                <w:szCs w:val="23"/>
                <w:color w:val="auto"/>
              </w:rPr>
            </w:pPr>
          </w:p>
        </w:tc>
        <w:tc>
          <w:tcPr>
            <w:tcW w:w="6360" w:type="dxa"/>
            <w:vAlign w:val="bottom"/>
          </w:tcPr>
          <w:p>
            <w:pPr>
              <w:spacing w:after="0"/>
              <w:rPr>
                <w:sz w:val="23"/>
                <w:szCs w:val="23"/>
                <w:color w:val="auto"/>
              </w:rPr>
            </w:pPr>
          </w:p>
        </w:tc>
      </w:tr>
      <w:tr>
        <w:trPr>
          <w:trHeight w:val="243"/>
        </w:trPr>
        <w:tc>
          <w:tcPr>
            <w:tcW w:w="48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Eden Biodesign, LLC</w:t>
            </w:r>
          </w:p>
        </w:tc>
        <w:tc>
          <w:tcPr>
            <w:tcW w:w="6360" w:type="dxa"/>
            <w:vAlign w:val="bottom"/>
            <w:shd w:val="clear" w:color="auto" w:fill="CCEEFF"/>
          </w:tcPr>
          <w:p>
            <w:pPr>
              <w:ind w:left="1540"/>
              <w:spacing w:after="0"/>
              <w:rPr>
                <w:sz w:val="20"/>
                <w:szCs w:val="20"/>
                <w:color w:val="auto"/>
              </w:rPr>
            </w:pPr>
            <w:r>
              <w:rPr>
                <w:rFonts w:ascii="Arial" w:cs="Arial" w:eastAsia="Arial" w:hAnsi="Arial"/>
                <w:sz w:val="20"/>
                <w:szCs w:val="20"/>
                <w:color w:val="auto"/>
              </w:rPr>
              <w:t>Delaware</w:t>
            </w:r>
          </w:p>
        </w:tc>
      </w:tr>
      <w:tr>
        <w:trPr>
          <w:trHeight w:val="270"/>
        </w:trPr>
        <w:tc>
          <w:tcPr>
            <w:tcW w:w="4880" w:type="dxa"/>
            <w:vAlign w:val="bottom"/>
          </w:tcPr>
          <w:p>
            <w:pPr>
              <w:spacing w:after="0"/>
              <w:rPr>
                <w:sz w:val="23"/>
                <w:szCs w:val="23"/>
                <w:color w:val="auto"/>
              </w:rPr>
            </w:pPr>
          </w:p>
        </w:tc>
        <w:tc>
          <w:tcPr>
            <w:tcW w:w="6360" w:type="dxa"/>
            <w:vAlign w:val="bottom"/>
          </w:tcPr>
          <w:p>
            <w:pPr>
              <w:spacing w:after="0"/>
              <w:rPr>
                <w:sz w:val="23"/>
                <w:szCs w:val="23"/>
                <w:color w:val="auto"/>
              </w:rPr>
            </w:pPr>
          </w:p>
        </w:tc>
      </w:tr>
      <w:tr>
        <w:trPr>
          <w:trHeight w:val="243"/>
        </w:trPr>
        <w:tc>
          <w:tcPr>
            <w:tcW w:w="48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Envy Medical, Inc.</w:t>
            </w:r>
          </w:p>
        </w:tc>
        <w:tc>
          <w:tcPr>
            <w:tcW w:w="6360" w:type="dxa"/>
            <w:vAlign w:val="bottom"/>
            <w:shd w:val="clear" w:color="auto" w:fill="CCEEFF"/>
          </w:tcPr>
          <w:p>
            <w:pPr>
              <w:ind w:left="1540"/>
              <w:spacing w:after="0"/>
              <w:rPr>
                <w:sz w:val="20"/>
                <w:szCs w:val="20"/>
                <w:color w:val="auto"/>
              </w:rPr>
            </w:pPr>
            <w:r>
              <w:rPr>
                <w:rFonts w:ascii="Arial" w:cs="Arial" w:eastAsia="Arial" w:hAnsi="Arial"/>
                <w:sz w:val="20"/>
                <w:szCs w:val="20"/>
                <w:color w:val="auto"/>
              </w:rPr>
              <w:t>Delaware</w:t>
            </w:r>
          </w:p>
        </w:tc>
      </w:tr>
      <w:tr>
        <w:trPr>
          <w:trHeight w:val="270"/>
        </w:trPr>
        <w:tc>
          <w:tcPr>
            <w:tcW w:w="4880" w:type="dxa"/>
            <w:vAlign w:val="bottom"/>
          </w:tcPr>
          <w:p>
            <w:pPr>
              <w:spacing w:after="0"/>
              <w:rPr>
                <w:sz w:val="23"/>
                <w:szCs w:val="23"/>
                <w:color w:val="auto"/>
              </w:rPr>
            </w:pPr>
          </w:p>
        </w:tc>
        <w:tc>
          <w:tcPr>
            <w:tcW w:w="6360" w:type="dxa"/>
            <w:vAlign w:val="bottom"/>
          </w:tcPr>
          <w:p>
            <w:pPr>
              <w:spacing w:after="0"/>
              <w:rPr>
                <w:sz w:val="23"/>
                <w:szCs w:val="23"/>
                <w:color w:val="auto"/>
              </w:rPr>
            </w:pPr>
          </w:p>
        </w:tc>
      </w:tr>
      <w:tr>
        <w:trPr>
          <w:trHeight w:val="243"/>
        </w:trPr>
        <w:tc>
          <w:tcPr>
            <w:tcW w:w="48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Exemplar Pharma, LLC</w:t>
            </w:r>
          </w:p>
        </w:tc>
        <w:tc>
          <w:tcPr>
            <w:tcW w:w="6360" w:type="dxa"/>
            <w:vAlign w:val="bottom"/>
            <w:shd w:val="clear" w:color="auto" w:fill="CCEEFF"/>
          </w:tcPr>
          <w:p>
            <w:pPr>
              <w:ind w:left="1540"/>
              <w:spacing w:after="0"/>
              <w:rPr>
                <w:sz w:val="20"/>
                <w:szCs w:val="20"/>
                <w:color w:val="auto"/>
              </w:rPr>
            </w:pPr>
            <w:r>
              <w:rPr>
                <w:rFonts w:ascii="Arial" w:cs="Arial" w:eastAsia="Arial" w:hAnsi="Arial"/>
                <w:sz w:val="20"/>
                <w:szCs w:val="20"/>
                <w:color w:val="auto"/>
              </w:rPr>
              <w:t>Delaware</w:t>
            </w:r>
          </w:p>
        </w:tc>
      </w:tr>
      <w:tr>
        <w:trPr>
          <w:trHeight w:val="270"/>
        </w:trPr>
        <w:tc>
          <w:tcPr>
            <w:tcW w:w="4880" w:type="dxa"/>
            <w:vAlign w:val="bottom"/>
          </w:tcPr>
          <w:p>
            <w:pPr>
              <w:spacing w:after="0"/>
              <w:rPr>
                <w:sz w:val="23"/>
                <w:szCs w:val="23"/>
                <w:color w:val="auto"/>
              </w:rPr>
            </w:pPr>
          </w:p>
        </w:tc>
        <w:tc>
          <w:tcPr>
            <w:tcW w:w="6360" w:type="dxa"/>
            <w:vAlign w:val="bottom"/>
          </w:tcPr>
          <w:p>
            <w:pPr>
              <w:spacing w:after="0"/>
              <w:rPr>
                <w:sz w:val="23"/>
                <w:szCs w:val="23"/>
                <w:color w:val="auto"/>
              </w:rPr>
            </w:pPr>
          </w:p>
        </w:tc>
      </w:tr>
      <w:tr>
        <w:trPr>
          <w:trHeight w:val="243"/>
        </w:trPr>
        <w:tc>
          <w:tcPr>
            <w:tcW w:w="48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Foresight Vision5, Inc.</w:t>
            </w:r>
          </w:p>
        </w:tc>
        <w:tc>
          <w:tcPr>
            <w:tcW w:w="6360" w:type="dxa"/>
            <w:vAlign w:val="bottom"/>
            <w:shd w:val="clear" w:color="auto" w:fill="CCEEFF"/>
          </w:tcPr>
          <w:p>
            <w:pPr>
              <w:ind w:left="1540"/>
              <w:spacing w:after="0"/>
              <w:rPr>
                <w:sz w:val="20"/>
                <w:szCs w:val="20"/>
                <w:color w:val="auto"/>
              </w:rPr>
            </w:pPr>
            <w:r>
              <w:rPr>
                <w:rFonts w:ascii="Arial" w:cs="Arial" w:eastAsia="Arial" w:hAnsi="Arial"/>
                <w:sz w:val="20"/>
                <w:szCs w:val="20"/>
                <w:color w:val="auto"/>
              </w:rPr>
              <w:t>Delaware</w:t>
            </w:r>
          </w:p>
        </w:tc>
      </w:tr>
      <w:tr>
        <w:trPr>
          <w:trHeight w:val="270"/>
        </w:trPr>
        <w:tc>
          <w:tcPr>
            <w:tcW w:w="4880" w:type="dxa"/>
            <w:vAlign w:val="bottom"/>
          </w:tcPr>
          <w:p>
            <w:pPr>
              <w:spacing w:after="0"/>
              <w:rPr>
                <w:sz w:val="23"/>
                <w:szCs w:val="23"/>
                <w:color w:val="auto"/>
              </w:rPr>
            </w:pPr>
          </w:p>
        </w:tc>
        <w:tc>
          <w:tcPr>
            <w:tcW w:w="6360" w:type="dxa"/>
            <w:vAlign w:val="bottom"/>
          </w:tcPr>
          <w:p>
            <w:pPr>
              <w:spacing w:after="0"/>
              <w:rPr>
                <w:sz w:val="23"/>
                <w:szCs w:val="23"/>
                <w:color w:val="auto"/>
              </w:rPr>
            </w:pPr>
          </w:p>
        </w:tc>
      </w:tr>
      <w:tr>
        <w:trPr>
          <w:trHeight w:val="243"/>
        </w:trPr>
        <w:tc>
          <w:tcPr>
            <w:tcW w:w="48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Fremont Holding L.L.C.</w:t>
            </w:r>
          </w:p>
        </w:tc>
        <w:tc>
          <w:tcPr>
            <w:tcW w:w="6360" w:type="dxa"/>
            <w:vAlign w:val="bottom"/>
            <w:shd w:val="clear" w:color="auto" w:fill="CCEEFF"/>
          </w:tcPr>
          <w:p>
            <w:pPr>
              <w:ind w:left="1540"/>
              <w:spacing w:after="0"/>
              <w:rPr>
                <w:sz w:val="20"/>
                <w:szCs w:val="20"/>
                <w:color w:val="auto"/>
              </w:rPr>
            </w:pPr>
            <w:r>
              <w:rPr>
                <w:rFonts w:ascii="Arial" w:cs="Arial" w:eastAsia="Arial" w:hAnsi="Arial"/>
                <w:sz w:val="20"/>
                <w:szCs w:val="20"/>
                <w:color w:val="auto"/>
              </w:rPr>
              <w:t>Delaware</w:t>
            </w:r>
          </w:p>
        </w:tc>
      </w:tr>
      <w:tr>
        <w:trPr>
          <w:trHeight w:val="270"/>
        </w:trPr>
        <w:tc>
          <w:tcPr>
            <w:tcW w:w="4880" w:type="dxa"/>
            <w:vAlign w:val="bottom"/>
          </w:tcPr>
          <w:p>
            <w:pPr>
              <w:spacing w:after="0"/>
              <w:rPr>
                <w:sz w:val="23"/>
                <w:szCs w:val="23"/>
                <w:color w:val="auto"/>
              </w:rPr>
            </w:pPr>
          </w:p>
        </w:tc>
        <w:tc>
          <w:tcPr>
            <w:tcW w:w="6360" w:type="dxa"/>
            <w:vAlign w:val="bottom"/>
          </w:tcPr>
          <w:p>
            <w:pPr>
              <w:spacing w:after="0"/>
              <w:rPr>
                <w:sz w:val="23"/>
                <w:szCs w:val="23"/>
                <w:color w:val="auto"/>
              </w:rPr>
            </w:pPr>
          </w:p>
        </w:tc>
      </w:tr>
      <w:tr>
        <w:trPr>
          <w:trHeight w:val="243"/>
        </w:trPr>
        <w:tc>
          <w:tcPr>
            <w:tcW w:w="48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Furiex Pharmaceuticals LLC</w:t>
            </w:r>
          </w:p>
        </w:tc>
        <w:tc>
          <w:tcPr>
            <w:tcW w:w="6360" w:type="dxa"/>
            <w:vAlign w:val="bottom"/>
            <w:shd w:val="clear" w:color="auto" w:fill="CCEEFF"/>
          </w:tcPr>
          <w:p>
            <w:pPr>
              <w:ind w:left="1540"/>
              <w:spacing w:after="0"/>
              <w:rPr>
                <w:sz w:val="20"/>
                <w:szCs w:val="20"/>
                <w:color w:val="auto"/>
              </w:rPr>
            </w:pPr>
            <w:r>
              <w:rPr>
                <w:rFonts w:ascii="Arial" w:cs="Arial" w:eastAsia="Arial" w:hAnsi="Arial"/>
                <w:sz w:val="20"/>
                <w:szCs w:val="20"/>
                <w:color w:val="auto"/>
              </w:rPr>
              <w:t>Delaware</w:t>
            </w:r>
          </w:p>
        </w:tc>
      </w:tr>
      <w:tr>
        <w:trPr>
          <w:trHeight w:val="270"/>
        </w:trPr>
        <w:tc>
          <w:tcPr>
            <w:tcW w:w="4880" w:type="dxa"/>
            <w:vAlign w:val="bottom"/>
          </w:tcPr>
          <w:p>
            <w:pPr>
              <w:spacing w:after="0"/>
              <w:rPr>
                <w:sz w:val="23"/>
                <w:szCs w:val="23"/>
                <w:color w:val="auto"/>
              </w:rPr>
            </w:pPr>
          </w:p>
        </w:tc>
        <w:tc>
          <w:tcPr>
            <w:tcW w:w="6360" w:type="dxa"/>
            <w:vAlign w:val="bottom"/>
          </w:tcPr>
          <w:p>
            <w:pPr>
              <w:spacing w:after="0"/>
              <w:rPr>
                <w:sz w:val="23"/>
                <w:szCs w:val="23"/>
                <w:color w:val="auto"/>
              </w:rPr>
            </w:pPr>
          </w:p>
        </w:tc>
      </w:tr>
      <w:tr>
        <w:trPr>
          <w:trHeight w:val="243"/>
        </w:trPr>
        <w:tc>
          <w:tcPr>
            <w:tcW w:w="48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IEP Pharmaceutical Devices, LLC</w:t>
            </w:r>
          </w:p>
        </w:tc>
        <w:tc>
          <w:tcPr>
            <w:tcW w:w="6360" w:type="dxa"/>
            <w:vAlign w:val="bottom"/>
            <w:shd w:val="clear" w:color="auto" w:fill="CCEEFF"/>
          </w:tcPr>
          <w:p>
            <w:pPr>
              <w:ind w:left="1540"/>
              <w:spacing w:after="0"/>
              <w:rPr>
                <w:sz w:val="20"/>
                <w:szCs w:val="20"/>
                <w:color w:val="auto"/>
              </w:rPr>
            </w:pPr>
            <w:r>
              <w:rPr>
                <w:rFonts w:ascii="Arial" w:cs="Arial" w:eastAsia="Arial" w:hAnsi="Arial"/>
                <w:sz w:val="20"/>
                <w:szCs w:val="20"/>
                <w:color w:val="auto"/>
              </w:rPr>
              <w:t>Delaware</w:t>
            </w:r>
          </w:p>
        </w:tc>
      </w:tr>
      <w:tr>
        <w:trPr>
          <w:trHeight w:val="270"/>
        </w:trPr>
        <w:tc>
          <w:tcPr>
            <w:tcW w:w="4880" w:type="dxa"/>
            <w:vAlign w:val="bottom"/>
          </w:tcPr>
          <w:p>
            <w:pPr>
              <w:spacing w:after="0"/>
              <w:rPr>
                <w:sz w:val="23"/>
                <w:szCs w:val="23"/>
                <w:color w:val="auto"/>
              </w:rPr>
            </w:pPr>
          </w:p>
        </w:tc>
        <w:tc>
          <w:tcPr>
            <w:tcW w:w="6360" w:type="dxa"/>
            <w:vAlign w:val="bottom"/>
          </w:tcPr>
          <w:p>
            <w:pPr>
              <w:spacing w:after="0"/>
              <w:rPr>
                <w:sz w:val="23"/>
                <w:szCs w:val="23"/>
                <w:color w:val="auto"/>
              </w:rPr>
            </w:pPr>
          </w:p>
        </w:tc>
      </w:tr>
      <w:tr>
        <w:trPr>
          <w:trHeight w:val="243"/>
        </w:trPr>
        <w:tc>
          <w:tcPr>
            <w:tcW w:w="48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Keller Medical, Inc.</w:t>
            </w:r>
          </w:p>
        </w:tc>
        <w:tc>
          <w:tcPr>
            <w:tcW w:w="6360" w:type="dxa"/>
            <w:vAlign w:val="bottom"/>
            <w:shd w:val="clear" w:color="auto" w:fill="CCEEFF"/>
          </w:tcPr>
          <w:p>
            <w:pPr>
              <w:ind w:left="1540"/>
              <w:spacing w:after="0"/>
              <w:rPr>
                <w:sz w:val="20"/>
                <w:szCs w:val="20"/>
                <w:color w:val="auto"/>
              </w:rPr>
            </w:pPr>
            <w:r>
              <w:rPr>
                <w:rFonts w:ascii="Arial" w:cs="Arial" w:eastAsia="Arial" w:hAnsi="Arial"/>
                <w:sz w:val="20"/>
                <w:szCs w:val="20"/>
                <w:color w:val="auto"/>
              </w:rPr>
              <w:t>Delaware</w:t>
            </w:r>
          </w:p>
        </w:tc>
      </w:tr>
      <w:tr>
        <w:trPr>
          <w:trHeight w:val="270"/>
        </w:trPr>
        <w:tc>
          <w:tcPr>
            <w:tcW w:w="4880" w:type="dxa"/>
            <w:vAlign w:val="bottom"/>
          </w:tcPr>
          <w:p>
            <w:pPr>
              <w:spacing w:after="0"/>
              <w:rPr>
                <w:sz w:val="23"/>
                <w:szCs w:val="23"/>
                <w:color w:val="auto"/>
              </w:rPr>
            </w:pPr>
          </w:p>
        </w:tc>
        <w:tc>
          <w:tcPr>
            <w:tcW w:w="6360" w:type="dxa"/>
            <w:vAlign w:val="bottom"/>
          </w:tcPr>
          <w:p>
            <w:pPr>
              <w:spacing w:after="0"/>
              <w:rPr>
                <w:sz w:val="23"/>
                <w:szCs w:val="23"/>
                <w:color w:val="auto"/>
              </w:rPr>
            </w:pPr>
          </w:p>
        </w:tc>
      </w:tr>
      <w:tr>
        <w:trPr>
          <w:trHeight w:val="243"/>
        </w:trPr>
        <w:tc>
          <w:tcPr>
            <w:tcW w:w="48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Knoll Pharmaceutical Company</w:t>
            </w:r>
          </w:p>
        </w:tc>
        <w:tc>
          <w:tcPr>
            <w:tcW w:w="6360" w:type="dxa"/>
            <w:vAlign w:val="bottom"/>
            <w:shd w:val="clear" w:color="auto" w:fill="CCEEFF"/>
          </w:tcPr>
          <w:p>
            <w:pPr>
              <w:ind w:left="1540"/>
              <w:spacing w:after="0"/>
              <w:rPr>
                <w:sz w:val="20"/>
                <w:szCs w:val="20"/>
                <w:color w:val="auto"/>
              </w:rPr>
            </w:pPr>
            <w:r>
              <w:rPr>
                <w:rFonts w:ascii="Arial" w:cs="Arial" w:eastAsia="Arial" w:hAnsi="Arial"/>
                <w:sz w:val="20"/>
                <w:szCs w:val="20"/>
                <w:color w:val="auto"/>
              </w:rPr>
              <w:t>New Jersey</w:t>
            </w:r>
          </w:p>
        </w:tc>
      </w:tr>
      <w:tr>
        <w:trPr>
          <w:trHeight w:val="270"/>
        </w:trPr>
        <w:tc>
          <w:tcPr>
            <w:tcW w:w="4880" w:type="dxa"/>
            <w:vAlign w:val="bottom"/>
          </w:tcPr>
          <w:p>
            <w:pPr>
              <w:spacing w:after="0"/>
              <w:rPr>
                <w:sz w:val="23"/>
                <w:szCs w:val="23"/>
                <w:color w:val="auto"/>
              </w:rPr>
            </w:pPr>
          </w:p>
        </w:tc>
        <w:tc>
          <w:tcPr>
            <w:tcW w:w="6360" w:type="dxa"/>
            <w:vAlign w:val="bottom"/>
          </w:tcPr>
          <w:p>
            <w:pPr>
              <w:spacing w:after="0"/>
              <w:rPr>
                <w:sz w:val="23"/>
                <w:szCs w:val="23"/>
                <w:color w:val="auto"/>
              </w:rPr>
            </w:pPr>
          </w:p>
        </w:tc>
      </w:tr>
      <w:tr>
        <w:trPr>
          <w:trHeight w:val="243"/>
        </w:trPr>
        <w:tc>
          <w:tcPr>
            <w:tcW w:w="48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KOS Pharmaceuticals, Inc.</w:t>
            </w:r>
          </w:p>
        </w:tc>
        <w:tc>
          <w:tcPr>
            <w:tcW w:w="6360" w:type="dxa"/>
            <w:vAlign w:val="bottom"/>
            <w:shd w:val="clear" w:color="auto" w:fill="CCEEFF"/>
          </w:tcPr>
          <w:p>
            <w:pPr>
              <w:ind w:left="1540"/>
              <w:spacing w:after="0"/>
              <w:rPr>
                <w:sz w:val="20"/>
                <w:szCs w:val="20"/>
                <w:color w:val="auto"/>
              </w:rPr>
            </w:pPr>
            <w:r>
              <w:rPr>
                <w:rFonts w:ascii="Arial" w:cs="Arial" w:eastAsia="Arial" w:hAnsi="Arial"/>
                <w:sz w:val="20"/>
                <w:szCs w:val="20"/>
                <w:color w:val="auto"/>
              </w:rPr>
              <w:t>Delaware</w:t>
            </w:r>
          </w:p>
        </w:tc>
      </w:tr>
      <w:tr>
        <w:trPr>
          <w:trHeight w:val="270"/>
        </w:trPr>
        <w:tc>
          <w:tcPr>
            <w:tcW w:w="4880" w:type="dxa"/>
            <w:vAlign w:val="bottom"/>
          </w:tcPr>
          <w:p>
            <w:pPr>
              <w:spacing w:after="0"/>
              <w:rPr>
                <w:sz w:val="23"/>
                <w:szCs w:val="23"/>
                <w:color w:val="auto"/>
              </w:rPr>
            </w:pPr>
          </w:p>
        </w:tc>
        <w:tc>
          <w:tcPr>
            <w:tcW w:w="6360" w:type="dxa"/>
            <w:vAlign w:val="bottom"/>
          </w:tcPr>
          <w:p>
            <w:pPr>
              <w:spacing w:after="0"/>
              <w:rPr>
                <w:sz w:val="23"/>
                <w:szCs w:val="23"/>
                <w:color w:val="auto"/>
              </w:rPr>
            </w:pPr>
          </w:p>
        </w:tc>
      </w:tr>
      <w:tr>
        <w:trPr>
          <w:trHeight w:val="243"/>
        </w:trPr>
        <w:tc>
          <w:tcPr>
            <w:tcW w:w="48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Life Properties Inc.</w:t>
            </w:r>
          </w:p>
        </w:tc>
        <w:tc>
          <w:tcPr>
            <w:tcW w:w="6360" w:type="dxa"/>
            <w:vAlign w:val="bottom"/>
            <w:shd w:val="clear" w:color="auto" w:fill="CCEEFF"/>
          </w:tcPr>
          <w:p>
            <w:pPr>
              <w:ind w:left="1540"/>
              <w:spacing w:after="0"/>
              <w:rPr>
                <w:sz w:val="20"/>
                <w:szCs w:val="20"/>
                <w:color w:val="auto"/>
              </w:rPr>
            </w:pPr>
            <w:r>
              <w:rPr>
                <w:rFonts w:ascii="Arial" w:cs="Arial" w:eastAsia="Arial" w:hAnsi="Arial"/>
                <w:sz w:val="20"/>
                <w:szCs w:val="20"/>
                <w:color w:val="auto"/>
              </w:rPr>
              <w:t>Delaware</w:t>
            </w:r>
          </w:p>
        </w:tc>
      </w:tr>
      <w:tr>
        <w:trPr>
          <w:trHeight w:val="270"/>
        </w:trPr>
        <w:tc>
          <w:tcPr>
            <w:tcW w:w="4880" w:type="dxa"/>
            <w:vAlign w:val="bottom"/>
          </w:tcPr>
          <w:p>
            <w:pPr>
              <w:spacing w:after="0"/>
              <w:rPr>
                <w:sz w:val="23"/>
                <w:szCs w:val="23"/>
                <w:color w:val="auto"/>
              </w:rPr>
            </w:pPr>
          </w:p>
        </w:tc>
        <w:tc>
          <w:tcPr>
            <w:tcW w:w="6360" w:type="dxa"/>
            <w:vAlign w:val="bottom"/>
          </w:tcPr>
          <w:p>
            <w:pPr>
              <w:spacing w:after="0"/>
              <w:rPr>
                <w:sz w:val="23"/>
                <w:szCs w:val="23"/>
                <w:color w:val="auto"/>
              </w:rPr>
            </w:pPr>
          </w:p>
        </w:tc>
      </w:tr>
      <w:tr>
        <w:trPr>
          <w:trHeight w:val="243"/>
        </w:trPr>
        <w:tc>
          <w:tcPr>
            <w:tcW w:w="48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LifeCell Corporation</w:t>
            </w:r>
          </w:p>
        </w:tc>
        <w:tc>
          <w:tcPr>
            <w:tcW w:w="6360" w:type="dxa"/>
            <w:vAlign w:val="bottom"/>
            <w:shd w:val="clear" w:color="auto" w:fill="CCEEFF"/>
          </w:tcPr>
          <w:p>
            <w:pPr>
              <w:ind w:left="1540"/>
              <w:spacing w:after="0"/>
              <w:rPr>
                <w:sz w:val="20"/>
                <w:szCs w:val="20"/>
                <w:color w:val="auto"/>
              </w:rPr>
            </w:pPr>
            <w:r>
              <w:rPr>
                <w:rFonts w:ascii="Arial" w:cs="Arial" w:eastAsia="Arial" w:hAnsi="Arial"/>
                <w:sz w:val="20"/>
                <w:szCs w:val="20"/>
                <w:color w:val="auto"/>
              </w:rPr>
              <w:t>Delaware</w:t>
            </w:r>
          </w:p>
        </w:tc>
      </w:tr>
      <w:tr>
        <w:trPr>
          <w:trHeight w:val="270"/>
        </w:trPr>
        <w:tc>
          <w:tcPr>
            <w:tcW w:w="4880" w:type="dxa"/>
            <w:vAlign w:val="bottom"/>
          </w:tcPr>
          <w:p>
            <w:pPr>
              <w:spacing w:after="0"/>
              <w:rPr>
                <w:sz w:val="23"/>
                <w:szCs w:val="23"/>
                <w:color w:val="auto"/>
              </w:rPr>
            </w:pPr>
          </w:p>
        </w:tc>
        <w:tc>
          <w:tcPr>
            <w:tcW w:w="6360" w:type="dxa"/>
            <w:vAlign w:val="bottom"/>
          </w:tcPr>
          <w:p>
            <w:pPr>
              <w:spacing w:after="0"/>
              <w:rPr>
                <w:sz w:val="23"/>
                <w:szCs w:val="23"/>
                <w:color w:val="auto"/>
              </w:rPr>
            </w:pPr>
          </w:p>
        </w:tc>
      </w:tr>
      <w:tr>
        <w:trPr>
          <w:trHeight w:val="243"/>
        </w:trPr>
        <w:tc>
          <w:tcPr>
            <w:tcW w:w="48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MAP Pharmaceuticals, LLC</w:t>
            </w:r>
          </w:p>
        </w:tc>
        <w:tc>
          <w:tcPr>
            <w:tcW w:w="6360" w:type="dxa"/>
            <w:vAlign w:val="bottom"/>
            <w:shd w:val="clear" w:color="auto" w:fill="CCEEFF"/>
          </w:tcPr>
          <w:p>
            <w:pPr>
              <w:ind w:left="1540"/>
              <w:spacing w:after="0"/>
              <w:rPr>
                <w:sz w:val="20"/>
                <w:szCs w:val="20"/>
                <w:color w:val="auto"/>
              </w:rPr>
            </w:pPr>
            <w:r>
              <w:rPr>
                <w:rFonts w:ascii="Arial" w:cs="Arial" w:eastAsia="Arial" w:hAnsi="Arial"/>
                <w:sz w:val="20"/>
                <w:szCs w:val="20"/>
                <w:color w:val="auto"/>
              </w:rPr>
              <w:t>Delaware</w:t>
            </w:r>
          </w:p>
        </w:tc>
      </w:tr>
      <w:tr>
        <w:trPr>
          <w:trHeight w:val="270"/>
        </w:trPr>
        <w:tc>
          <w:tcPr>
            <w:tcW w:w="4880" w:type="dxa"/>
            <w:vAlign w:val="bottom"/>
          </w:tcPr>
          <w:p>
            <w:pPr>
              <w:spacing w:after="0"/>
              <w:rPr>
                <w:sz w:val="23"/>
                <w:szCs w:val="23"/>
                <w:color w:val="auto"/>
              </w:rPr>
            </w:pPr>
          </w:p>
        </w:tc>
        <w:tc>
          <w:tcPr>
            <w:tcW w:w="6360" w:type="dxa"/>
            <w:vAlign w:val="bottom"/>
          </w:tcPr>
          <w:p>
            <w:pPr>
              <w:spacing w:after="0"/>
              <w:rPr>
                <w:sz w:val="23"/>
                <w:szCs w:val="23"/>
                <w:color w:val="auto"/>
              </w:rPr>
            </w:pPr>
          </w:p>
        </w:tc>
      </w:tr>
      <w:tr>
        <w:trPr>
          <w:trHeight w:val="243"/>
        </w:trPr>
        <w:tc>
          <w:tcPr>
            <w:tcW w:w="48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Mavupharma, Inc.</w:t>
            </w:r>
          </w:p>
        </w:tc>
        <w:tc>
          <w:tcPr>
            <w:tcW w:w="6360" w:type="dxa"/>
            <w:vAlign w:val="bottom"/>
            <w:shd w:val="clear" w:color="auto" w:fill="CCEEFF"/>
          </w:tcPr>
          <w:p>
            <w:pPr>
              <w:ind w:left="1540"/>
              <w:spacing w:after="0"/>
              <w:rPr>
                <w:sz w:val="20"/>
                <w:szCs w:val="20"/>
                <w:color w:val="auto"/>
              </w:rPr>
            </w:pPr>
            <w:r>
              <w:rPr>
                <w:rFonts w:ascii="Arial" w:cs="Arial" w:eastAsia="Arial" w:hAnsi="Arial"/>
                <w:sz w:val="20"/>
                <w:szCs w:val="20"/>
                <w:color w:val="auto"/>
              </w:rPr>
              <w:t>Delaware</w:t>
            </w:r>
          </w:p>
        </w:tc>
      </w:tr>
      <w:tr>
        <w:trPr>
          <w:trHeight w:val="270"/>
        </w:trPr>
        <w:tc>
          <w:tcPr>
            <w:tcW w:w="4880" w:type="dxa"/>
            <w:vAlign w:val="bottom"/>
          </w:tcPr>
          <w:p>
            <w:pPr>
              <w:spacing w:after="0"/>
              <w:rPr>
                <w:sz w:val="23"/>
                <w:szCs w:val="23"/>
                <w:color w:val="auto"/>
              </w:rPr>
            </w:pPr>
          </w:p>
        </w:tc>
        <w:tc>
          <w:tcPr>
            <w:tcW w:w="6360" w:type="dxa"/>
            <w:vAlign w:val="bottom"/>
          </w:tcPr>
          <w:p>
            <w:pPr>
              <w:spacing w:after="0"/>
              <w:rPr>
                <w:sz w:val="23"/>
                <w:szCs w:val="23"/>
                <w:color w:val="auto"/>
              </w:rPr>
            </w:pPr>
          </w:p>
        </w:tc>
      </w:tr>
      <w:tr>
        <w:trPr>
          <w:trHeight w:val="243"/>
        </w:trPr>
        <w:tc>
          <w:tcPr>
            <w:tcW w:w="48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MPEX Pharmaceuticals, Inc.</w:t>
            </w:r>
          </w:p>
        </w:tc>
        <w:tc>
          <w:tcPr>
            <w:tcW w:w="6360" w:type="dxa"/>
            <w:vAlign w:val="bottom"/>
            <w:shd w:val="clear" w:color="auto" w:fill="CCEEFF"/>
          </w:tcPr>
          <w:p>
            <w:pPr>
              <w:ind w:left="1540"/>
              <w:spacing w:after="0"/>
              <w:rPr>
                <w:sz w:val="20"/>
                <w:szCs w:val="20"/>
                <w:color w:val="auto"/>
              </w:rPr>
            </w:pPr>
            <w:r>
              <w:rPr>
                <w:rFonts w:ascii="Arial" w:cs="Arial" w:eastAsia="Arial" w:hAnsi="Arial"/>
                <w:sz w:val="20"/>
                <w:szCs w:val="20"/>
                <w:color w:val="auto"/>
              </w:rPr>
              <w:t>Delaware</w:t>
            </w:r>
          </w:p>
        </w:tc>
      </w:tr>
      <w:tr>
        <w:trPr>
          <w:trHeight w:val="270"/>
        </w:trPr>
        <w:tc>
          <w:tcPr>
            <w:tcW w:w="4880" w:type="dxa"/>
            <w:vAlign w:val="bottom"/>
          </w:tcPr>
          <w:p>
            <w:pPr>
              <w:spacing w:after="0"/>
              <w:rPr>
                <w:sz w:val="23"/>
                <w:szCs w:val="23"/>
                <w:color w:val="auto"/>
              </w:rPr>
            </w:pPr>
          </w:p>
        </w:tc>
        <w:tc>
          <w:tcPr>
            <w:tcW w:w="6360" w:type="dxa"/>
            <w:vAlign w:val="bottom"/>
          </w:tcPr>
          <w:p>
            <w:pPr>
              <w:spacing w:after="0"/>
              <w:rPr>
                <w:sz w:val="23"/>
                <w:szCs w:val="23"/>
                <w:color w:val="auto"/>
              </w:rPr>
            </w:pPr>
          </w:p>
        </w:tc>
      </w:tr>
      <w:tr>
        <w:trPr>
          <w:trHeight w:val="243"/>
        </w:trPr>
        <w:tc>
          <w:tcPr>
            <w:tcW w:w="48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Naurex Inc.</w:t>
            </w:r>
          </w:p>
        </w:tc>
        <w:tc>
          <w:tcPr>
            <w:tcW w:w="6360" w:type="dxa"/>
            <w:vAlign w:val="bottom"/>
            <w:shd w:val="clear" w:color="auto" w:fill="CCEEFF"/>
          </w:tcPr>
          <w:p>
            <w:pPr>
              <w:ind w:left="1540"/>
              <w:spacing w:after="0"/>
              <w:rPr>
                <w:sz w:val="20"/>
                <w:szCs w:val="20"/>
                <w:color w:val="auto"/>
              </w:rPr>
            </w:pPr>
            <w:r>
              <w:rPr>
                <w:rFonts w:ascii="Arial" w:cs="Arial" w:eastAsia="Arial" w:hAnsi="Arial"/>
                <w:sz w:val="20"/>
                <w:szCs w:val="20"/>
                <w:color w:val="auto"/>
              </w:rPr>
              <w:t>Delaware</w:t>
            </w:r>
          </w:p>
        </w:tc>
      </w:tr>
      <w:tr>
        <w:trPr>
          <w:trHeight w:val="270"/>
        </w:trPr>
        <w:tc>
          <w:tcPr>
            <w:tcW w:w="4880" w:type="dxa"/>
            <w:vAlign w:val="bottom"/>
          </w:tcPr>
          <w:p>
            <w:pPr>
              <w:spacing w:after="0"/>
              <w:rPr>
                <w:sz w:val="23"/>
                <w:szCs w:val="23"/>
                <w:color w:val="auto"/>
              </w:rPr>
            </w:pPr>
          </w:p>
        </w:tc>
        <w:tc>
          <w:tcPr>
            <w:tcW w:w="6360" w:type="dxa"/>
            <w:vAlign w:val="bottom"/>
          </w:tcPr>
          <w:p>
            <w:pPr>
              <w:spacing w:after="0"/>
              <w:rPr>
                <w:sz w:val="23"/>
                <w:szCs w:val="23"/>
                <w:color w:val="auto"/>
              </w:rPr>
            </w:pPr>
          </w:p>
        </w:tc>
      </w:tr>
      <w:tr>
        <w:trPr>
          <w:trHeight w:val="243"/>
        </w:trPr>
        <w:tc>
          <w:tcPr>
            <w:tcW w:w="48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Oculeve, Inc.</w:t>
            </w:r>
          </w:p>
        </w:tc>
        <w:tc>
          <w:tcPr>
            <w:tcW w:w="6360" w:type="dxa"/>
            <w:vAlign w:val="bottom"/>
            <w:shd w:val="clear" w:color="auto" w:fill="CCEEFF"/>
          </w:tcPr>
          <w:p>
            <w:pPr>
              <w:ind w:left="1540"/>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240"/>
          </w:cols>
          <w:pgMar w:left="320" w:top="936" w:right="33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Organics L.L.C.</w:t>
            </w:r>
          </w:p>
        </w:tc>
        <w:tc>
          <w:tcPr>
            <w:tcW w:w="6220" w:type="dxa"/>
            <w:vAlign w:val="bottom"/>
            <w:shd w:val="clear" w:color="auto" w:fill="CCEEFF"/>
          </w:tcPr>
          <w:p>
            <w:pPr>
              <w:ind w:left="1400"/>
              <w:spacing w:after="0"/>
              <w:rPr>
                <w:sz w:val="20"/>
                <w:szCs w:val="20"/>
                <w:color w:val="auto"/>
              </w:rPr>
            </w:pPr>
            <w:r>
              <w:rPr>
                <w:rFonts w:ascii="Arial" w:cs="Arial" w:eastAsia="Arial" w:hAnsi="Arial"/>
                <w:sz w:val="20"/>
                <w:szCs w:val="20"/>
                <w:color w:val="auto"/>
              </w:rPr>
              <w:t>Delaware</w:t>
            </w:r>
          </w:p>
        </w:tc>
      </w:tr>
      <w:tr>
        <w:trPr>
          <w:trHeight w:val="270"/>
        </w:trPr>
        <w:tc>
          <w:tcPr>
            <w:tcW w:w="502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Pacific Pharma, Inc.</w:t>
            </w:r>
          </w:p>
        </w:tc>
        <w:tc>
          <w:tcPr>
            <w:tcW w:w="6220" w:type="dxa"/>
            <w:vAlign w:val="bottom"/>
            <w:shd w:val="clear" w:color="auto" w:fill="CCEEFF"/>
          </w:tcPr>
          <w:p>
            <w:pPr>
              <w:ind w:left="1400"/>
              <w:spacing w:after="0"/>
              <w:rPr>
                <w:sz w:val="20"/>
                <w:szCs w:val="20"/>
                <w:color w:val="auto"/>
              </w:rPr>
            </w:pPr>
            <w:r>
              <w:rPr>
                <w:rFonts w:ascii="Arial" w:cs="Arial" w:eastAsia="Arial" w:hAnsi="Arial"/>
                <w:sz w:val="20"/>
                <w:szCs w:val="20"/>
                <w:color w:val="auto"/>
              </w:rPr>
              <w:t>Delaware</w:t>
            </w:r>
          </w:p>
        </w:tc>
      </w:tr>
      <w:tr>
        <w:trPr>
          <w:trHeight w:val="270"/>
        </w:trPr>
        <w:tc>
          <w:tcPr>
            <w:tcW w:w="502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Pharmacyclics LLC</w:t>
            </w:r>
          </w:p>
        </w:tc>
        <w:tc>
          <w:tcPr>
            <w:tcW w:w="6220" w:type="dxa"/>
            <w:vAlign w:val="bottom"/>
            <w:shd w:val="clear" w:color="auto" w:fill="CCEEFF"/>
          </w:tcPr>
          <w:p>
            <w:pPr>
              <w:ind w:left="1400"/>
              <w:spacing w:after="0"/>
              <w:rPr>
                <w:sz w:val="20"/>
                <w:szCs w:val="20"/>
                <w:color w:val="auto"/>
              </w:rPr>
            </w:pPr>
            <w:r>
              <w:rPr>
                <w:rFonts w:ascii="Arial" w:cs="Arial" w:eastAsia="Arial" w:hAnsi="Arial"/>
                <w:sz w:val="20"/>
                <w:szCs w:val="20"/>
                <w:color w:val="auto"/>
              </w:rPr>
              <w:t>Delaware</w:t>
            </w:r>
          </w:p>
        </w:tc>
      </w:tr>
      <w:tr>
        <w:trPr>
          <w:trHeight w:val="270"/>
        </w:trPr>
        <w:tc>
          <w:tcPr>
            <w:tcW w:w="502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Pharmax Holding Limited</w:t>
            </w:r>
          </w:p>
        </w:tc>
        <w:tc>
          <w:tcPr>
            <w:tcW w:w="6220" w:type="dxa"/>
            <w:vAlign w:val="bottom"/>
            <w:shd w:val="clear" w:color="auto" w:fill="CCEEFF"/>
          </w:tcPr>
          <w:p>
            <w:pPr>
              <w:ind w:left="1400"/>
              <w:spacing w:after="0"/>
              <w:rPr>
                <w:sz w:val="20"/>
                <w:szCs w:val="20"/>
                <w:color w:val="auto"/>
              </w:rPr>
            </w:pPr>
            <w:r>
              <w:rPr>
                <w:rFonts w:ascii="Arial" w:cs="Arial" w:eastAsia="Arial" w:hAnsi="Arial"/>
                <w:sz w:val="20"/>
                <w:szCs w:val="20"/>
                <w:color w:val="auto"/>
              </w:rPr>
              <w:t>Delaware</w:t>
            </w:r>
          </w:p>
        </w:tc>
      </w:tr>
      <w:tr>
        <w:trPr>
          <w:trHeight w:val="270"/>
        </w:trPr>
        <w:tc>
          <w:tcPr>
            <w:tcW w:w="502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Repros Therapeutics Inc.</w:t>
            </w:r>
          </w:p>
        </w:tc>
        <w:tc>
          <w:tcPr>
            <w:tcW w:w="6220" w:type="dxa"/>
            <w:vAlign w:val="bottom"/>
            <w:shd w:val="clear" w:color="auto" w:fill="CCEEFF"/>
          </w:tcPr>
          <w:p>
            <w:pPr>
              <w:ind w:left="1400"/>
              <w:spacing w:after="0"/>
              <w:rPr>
                <w:sz w:val="20"/>
                <w:szCs w:val="20"/>
                <w:color w:val="auto"/>
              </w:rPr>
            </w:pPr>
            <w:r>
              <w:rPr>
                <w:rFonts w:ascii="Arial" w:cs="Arial" w:eastAsia="Arial" w:hAnsi="Arial"/>
                <w:sz w:val="20"/>
                <w:szCs w:val="20"/>
                <w:color w:val="auto"/>
              </w:rPr>
              <w:t>Delaware</w:t>
            </w:r>
          </w:p>
        </w:tc>
      </w:tr>
      <w:tr>
        <w:trPr>
          <w:trHeight w:val="270"/>
        </w:trPr>
        <w:tc>
          <w:tcPr>
            <w:tcW w:w="502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Rowell Laboratories, Inc.</w:t>
            </w:r>
          </w:p>
        </w:tc>
        <w:tc>
          <w:tcPr>
            <w:tcW w:w="6220" w:type="dxa"/>
            <w:vAlign w:val="bottom"/>
            <w:shd w:val="clear" w:color="auto" w:fill="CCEEFF"/>
          </w:tcPr>
          <w:p>
            <w:pPr>
              <w:ind w:left="1400"/>
              <w:spacing w:after="0"/>
              <w:rPr>
                <w:sz w:val="20"/>
                <w:szCs w:val="20"/>
                <w:color w:val="auto"/>
              </w:rPr>
            </w:pPr>
            <w:r>
              <w:rPr>
                <w:rFonts w:ascii="Arial" w:cs="Arial" w:eastAsia="Arial" w:hAnsi="Arial"/>
                <w:sz w:val="20"/>
                <w:szCs w:val="20"/>
                <w:color w:val="auto"/>
              </w:rPr>
              <w:t>Minnesota</w:t>
            </w:r>
          </w:p>
        </w:tc>
      </w:tr>
      <w:tr>
        <w:trPr>
          <w:trHeight w:val="270"/>
        </w:trPr>
        <w:tc>
          <w:tcPr>
            <w:tcW w:w="502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RP Merger Sub, Inc.</w:t>
            </w:r>
          </w:p>
        </w:tc>
        <w:tc>
          <w:tcPr>
            <w:tcW w:w="6220" w:type="dxa"/>
            <w:vAlign w:val="bottom"/>
            <w:shd w:val="clear" w:color="auto" w:fill="CCEEFF"/>
          </w:tcPr>
          <w:p>
            <w:pPr>
              <w:ind w:left="1400"/>
              <w:spacing w:after="0"/>
              <w:rPr>
                <w:sz w:val="20"/>
                <w:szCs w:val="20"/>
                <w:color w:val="auto"/>
              </w:rPr>
            </w:pPr>
            <w:r>
              <w:rPr>
                <w:rFonts w:ascii="Arial" w:cs="Arial" w:eastAsia="Arial" w:hAnsi="Arial"/>
                <w:sz w:val="20"/>
                <w:szCs w:val="20"/>
                <w:color w:val="auto"/>
              </w:rPr>
              <w:t>Delaware</w:t>
            </w:r>
          </w:p>
        </w:tc>
      </w:tr>
      <w:tr>
        <w:trPr>
          <w:trHeight w:val="270"/>
        </w:trPr>
        <w:tc>
          <w:tcPr>
            <w:tcW w:w="502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Sapphire Merger Sub, Inc.</w:t>
            </w:r>
          </w:p>
        </w:tc>
        <w:tc>
          <w:tcPr>
            <w:tcW w:w="6220" w:type="dxa"/>
            <w:vAlign w:val="bottom"/>
            <w:shd w:val="clear" w:color="auto" w:fill="CCEEFF"/>
          </w:tcPr>
          <w:p>
            <w:pPr>
              <w:ind w:left="1400"/>
              <w:spacing w:after="0"/>
              <w:rPr>
                <w:sz w:val="20"/>
                <w:szCs w:val="20"/>
                <w:color w:val="auto"/>
              </w:rPr>
            </w:pPr>
            <w:r>
              <w:rPr>
                <w:rFonts w:ascii="Arial" w:cs="Arial" w:eastAsia="Arial" w:hAnsi="Arial"/>
                <w:sz w:val="20"/>
                <w:szCs w:val="20"/>
                <w:color w:val="auto"/>
              </w:rPr>
              <w:t>Delaware</w:t>
            </w:r>
          </w:p>
        </w:tc>
      </w:tr>
      <w:tr>
        <w:trPr>
          <w:trHeight w:val="270"/>
        </w:trPr>
        <w:tc>
          <w:tcPr>
            <w:tcW w:w="502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Silicone Engineering, Inc.</w:t>
            </w:r>
          </w:p>
        </w:tc>
        <w:tc>
          <w:tcPr>
            <w:tcW w:w="6220" w:type="dxa"/>
            <w:vAlign w:val="bottom"/>
            <w:shd w:val="clear" w:color="auto" w:fill="CCEEFF"/>
          </w:tcPr>
          <w:p>
            <w:pPr>
              <w:ind w:left="1400"/>
              <w:spacing w:after="0"/>
              <w:rPr>
                <w:sz w:val="20"/>
                <w:szCs w:val="20"/>
                <w:color w:val="auto"/>
              </w:rPr>
            </w:pPr>
            <w:r>
              <w:rPr>
                <w:rFonts w:ascii="Arial" w:cs="Arial" w:eastAsia="Arial" w:hAnsi="Arial"/>
                <w:sz w:val="20"/>
                <w:szCs w:val="20"/>
                <w:color w:val="auto"/>
              </w:rPr>
              <w:t>California</w:t>
            </w:r>
          </w:p>
        </w:tc>
      </w:tr>
      <w:tr>
        <w:trPr>
          <w:trHeight w:val="270"/>
        </w:trPr>
        <w:tc>
          <w:tcPr>
            <w:tcW w:w="502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Suffolk Merger Sub, Inc.</w:t>
            </w:r>
          </w:p>
        </w:tc>
        <w:tc>
          <w:tcPr>
            <w:tcW w:w="6220" w:type="dxa"/>
            <w:vAlign w:val="bottom"/>
            <w:shd w:val="clear" w:color="auto" w:fill="CCEEFF"/>
          </w:tcPr>
          <w:p>
            <w:pPr>
              <w:ind w:left="1400"/>
              <w:spacing w:after="0"/>
              <w:rPr>
                <w:sz w:val="20"/>
                <w:szCs w:val="20"/>
                <w:color w:val="auto"/>
              </w:rPr>
            </w:pPr>
            <w:r>
              <w:rPr>
                <w:rFonts w:ascii="Arial" w:cs="Arial" w:eastAsia="Arial" w:hAnsi="Arial"/>
                <w:sz w:val="20"/>
                <w:szCs w:val="20"/>
                <w:color w:val="auto"/>
              </w:rPr>
              <w:t>Delaware</w:t>
            </w:r>
          </w:p>
        </w:tc>
      </w:tr>
      <w:tr>
        <w:trPr>
          <w:trHeight w:val="270"/>
        </w:trPr>
        <w:tc>
          <w:tcPr>
            <w:tcW w:w="502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Tobira Therapeutics, Inc.</w:t>
            </w:r>
          </w:p>
        </w:tc>
        <w:tc>
          <w:tcPr>
            <w:tcW w:w="6220" w:type="dxa"/>
            <w:vAlign w:val="bottom"/>
            <w:shd w:val="clear" w:color="auto" w:fill="CCEEFF"/>
          </w:tcPr>
          <w:p>
            <w:pPr>
              <w:ind w:left="1400"/>
              <w:spacing w:after="0"/>
              <w:rPr>
                <w:sz w:val="20"/>
                <w:szCs w:val="20"/>
                <w:color w:val="auto"/>
              </w:rPr>
            </w:pPr>
            <w:r>
              <w:rPr>
                <w:rFonts w:ascii="Arial" w:cs="Arial" w:eastAsia="Arial" w:hAnsi="Arial"/>
                <w:sz w:val="20"/>
                <w:szCs w:val="20"/>
                <w:color w:val="auto"/>
              </w:rPr>
              <w:t>Delaware</w:t>
            </w:r>
          </w:p>
        </w:tc>
      </w:tr>
      <w:tr>
        <w:trPr>
          <w:trHeight w:val="270"/>
        </w:trPr>
        <w:tc>
          <w:tcPr>
            <w:tcW w:w="502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Topokine Therapeutics, Inc.</w:t>
            </w:r>
          </w:p>
        </w:tc>
        <w:tc>
          <w:tcPr>
            <w:tcW w:w="6220" w:type="dxa"/>
            <w:vAlign w:val="bottom"/>
            <w:shd w:val="clear" w:color="auto" w:fill="CCEEFF"/>
          </w:tcPr>
          <w:p>
            <w:pPr>
              <w:ind w:left="1400"/>
              <w:spacing w:after="0"/>
              <w:rPr>
                <w:sz w:val="20"/>
                <w:szCs w:val="20"/>
                <w:color w:val="auto"/>
              </w:rPr>
            </w:pPr>
            <w:r>
              <w:rPr>
                <w:rFonts w:ascii="Arial" w:cs="Arial" w:eastAsia="Arial" w:hAnsi="Arial"/>
                <w:sz w:val="20"/>
                <w:szCs w:val="20"/>
                <w:color w:val="auto"/>
              </w:rPr>
              <w:t>Delaware</w:t>
            </w:r>
          </w:p>
        </w:tc>
      </w:tr>
      <w:tr>
        <w:trPr>
          <w:trHeight w:val="270"/>
        </w:trPr>
        <w:tc>
          <w:tcPr>
            <w:tcW w:w="502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Transderm, Inc.</w:t>
            </w:r>
          </w:p>
        </w:tc>
        <w:tc>
          <w:tcPr>
            <w:tcW w:w="6220" w:type="dxa"/>
            <w:vAlign w:val="bottom"/>
            <w:shd w:val="clear" w:color="auto" w:fill="CCEEFF"/>
          </w:tcPr>
          <w:p>
            <w:pPr>
              <w:ind w:left="1400"/>
              <w:spacing w:after="0"/>
              <w:rPr>
                <w:sz w:val="20"/>
                <w:szCs w:val="20"/>
                <w:color w:val="auto"/>
              </w:rPr>
            </w:pPr>
            <w:r>
              <w:rPr>
                <w:rFonts w:ascii="Arial" w:cs="Arial" w:eastAsia="Arial" w:hAnsi="Arial"/>
                <w:sz w:val="20"/>
                <w:szCs w:val="20"/>
                <w:color w:val="auto"/>
              </w:rPr>
              <w:t>Delaware</w:t>
            </w:r>
          </w:p>
        </w:tc>
      </w:tr>
      <w:tr>
        <w:trPr>
          <w:trHeight w:val="270"/>
        </w:trPr>
        <w:tc>
          <w:tcPr>
            <w:tcW w:w="502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Unimed Pharmaceuticals, LLC</w:t>
            </w:r>
          </w:p>
        </w:tc>
        <w:tc>
          <w:tcPr>
            <w:tcW w:w="6220" w:type="dxa"/>
            <w:vAlign w:val="bottom"/>
            <w:shd w:val="clear" w:color="auto" w:fill="CCEEFF"/>
          </w:tcPr>
          <w:p>
            <w:pPr>
              <w:ind w:left="1400"/>
              <w:spacing w:after="0"/>
              <w:rPr>
                <w:sz w:val="20"/>
                <w:szCs w:val="20"/>
                <w:color w:val="auto"/>
              </w:rPr>
            </w:pPr>
            <w:r>
              <w:rPr>
                <w:rFonts w:ascii="Arial" w:cs="Arial" w:eastAsia="Arial" w:hAnsi="Arial"/>
                <w:sz w:val="20"/>
                <w:szCs w:val="20"/>
                <w:color w:val="auto"/>
              </w:rPr>
              <w:t>Delaware</w:t>
            </w:r>
          </w:p>
        </w:tc>
      </w:tr>
      <w:tr>
        <w:trPr>
          <w:trHeight w:val="270"/>
        </w:trPr>
        <w:tc>
          <w:tcPr>
            <w:tcW w:w="502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Venice Subsidiary LLC</w:t>
            </w:r>
          </w:p>
        </w:tc>
        <w:tc>
          <w:tcPr>
            <w:tcW w:w="6220" w:type="dxa"/>
            <w:vAlign w:val="bottom"/>
            <w:shd w:val="clear" w:color="auto" w:fill="CCEEFF"/>
          </w:tcPr>
          <w:p>
            <w:pPr>
              <w:ind w:left="1400"/>
              <w:spacing w:after="0"/>
              <w:rPr>
                <w:sz w:val="20"/>
                <w:szCs w:val="20"/>
                <w:color w:val="auto"/>
              </w:rPr>
            </w:pPr>
            <w:r>
              <w:rPr>
                <w:rFonts w:ascii="Arial" w:cs="Arial" w:eastAsia="Arial" w:hAnsi="Arial"/>
                <w:sz w:val="20"/>
                <w:szCs w:val="20"/>
                <w:color w:val="auto"/>
              </w:rPr>
              <w:t>Delaware</w:t>
            </w:r>
          </w:p>
        </w:tc>
      </w:tr>
      <w:tr>
        <w:trPr>
          <w:trHeight w:val="270"/>
        </w:trPr>
        <w:tc>
          <w:tcPr>
            <w:tcW w:w="502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Vicuron Pharmaceuticals LLC</w:t>
            </w:r>
          </w:p>
        </w:tc>
        <w:tc>
          <w:tcPr>
            <w:tcW w:w="6220" w:type="dxa"/>
            <w:vAlign w:val="bottom"/>
            <w:shd w:val="clear" w:color="auto" w:fill="CCEEFF"/>
          </w:tcPr>
          <w:p>
            <w:pPr>
              <w:ind w:left="1400"/>
              <w:spacing w:after="0"/>
              <w:rPr>
                <w:sz w:val="20"/>
                <w:szCs w:val="20"/>
                <w:color w:val="auto"/>
              </w:rPr>
            </w:pPr>
            <w:r>
              <w:rPr>
                <w:rFonts w:ascii="Arial" w:cs="Arial" w:eastAsia="Arial" w:hAnsi="Arial"/>
                <w:sz w:val="20"/>
                <w:szCs w:val="20"/>
                <w:color w:val="auto"/>
              </w:rPr>
              <w:t>Delaware</w:t>
            </w:r>
          </w:p>
        </w:tc>
      </w:tr>
      <w:tr>
        <w:trPr>
          <w:trHeight w:val="270"/>
        </w:trPr>
        <w:tc>
          <w:tcPr>
            <w:tcW w:w="502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Vitae Pharmaceuticals, LLC</w:t>
            </w:r>
          </w:p>
        </w:tc>
        <w:tc>
          <w:tcPr>
            <w:tcW w:w="6220" w:type="dxa"/>
            <w:vAlign w:val="bottom"/>
            <w:shd w:val="clear" w:color="auto" w:fill="CCEEFF"/>
          </w:tcPr>
          <w:p>
            <w:pPr>
              <w:ind w:left="1400"/>
              <w:spacing w:after="0"/>
              <w:rPr>
                <w:sz w:val="20"/>
                <w:szCs w:val="20"/>
                <w:color w:val="auto"/>
              </w:rPr>
            </w:pPr>
            <w:r>
              <w:rPr>
                <w:rFonts w:ascii="Arial" w:cs="Arial" w:eastAsia="Arial" w:hAnsi="Arial"/>
                <w:sz w:val="20"/>
                <w:szCs w:val="20"/>
                <w:color w:val="auto"/>
              </w:rPr>
              <w:t>Delaware</w:t>
            </w:r>
          </w:p>
        </w:tc>
      </w:tr>
      <w:tr>
        <w:trPr>
          <w:trHeight w:val="270"/>
        </w:trPr>
        <w:tc>
          <w:tcPr>
            <w:tcW w:w="502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Warner Chilcott Leasing Equipment Inc.</w:t>
            </w:r>
          </w:p>
        </w:tc>
        <w:tc>
          <w:tcPr>
            <w:tcW w:w="6220" w:type="dxa"/>
            <w:vAlign w:val="bottom"/>
            <w:shd w:val="clear" w:color="auto" w:fill="CCEEFF"/>
          </w:tcPr>
          <w:p>
            <w:pPr>
              <w:ind w:left="1400"/>
              <w:spacing w:after="0"/>
              <w:rPr>
                <w:sz w:val="20"/>
                <w:szCs w:val="20"/>
                <w:color w:val="auto"/>
              </w:rPr>
            </w:pPr>
            <w:r>
              <w:rPr>
                <w:rFonts w:ascii="Arial" w:cs="Arial" w:eastAsia="Arial" w:hAnsi="Arial"/>
                <w:sz w:val="20"/>
                <w:szCs w:val="20"/>
                <w:color w:val="auto"/>
              </w:rPr>
              <w:t>Delaware</w:t>
            </w:r>
          </w:p>
        </w:tc>
      </w:tr>
      <w:tr>
        <w:trPr>
          <w:trHeight w:val="270"/>
        </w:trPr>
        <w:tc>
          <w:tcPr>
            <w:tcW w:w="502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Warner Chilcott Sales (US), LLC</w:t>
            </w:r>
          </w:p>
        </w:tc>
        <w:tc>
          <w:tcPr>
            <w:tcW w:w="6220" w:type="dxa"/>
            <w:vAlign w:val="bottom"/>
            <w:shd w:val="clear" w:color="auto" w:fill="CCEEFF"/>
          </w:tcPr>
          <w:p>
            <w:pPr>
              <w:ind w:left="1400"/>
              <w:spacing w:after="0"/>
              <w:rPr>
                <w:sz w:val="20"/>
                <w:szCs w:val="20"/>
                <w:color w:val="auto"/>
              </w:rPr>
            </w:pPr>
            <w:r>
              <w:rPr>
                <w:rFonts w:ascii="Arial" w:cs="Arial" w:eastAsia="Arial" w:hAnsi="Arial"/>
                <w:sz w:val="20"/>
                <w:szCs w:val="20"/>
                <w:color w:val="auto"/>
              </w:rPr>
              <w:t>Delaware</w:t>
            </w:r>
          </w:p>
        </w:tc>
      </w:tr>
      <w:tr>
        <w:trPr>
          <w:trHeight w:val="270"/>
        </w:trPr>
        <w:tc>
          <w:tcPr>
            <w:tcW w:w="502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Zeltiq A LLC</w:t>
            </w:r>
          </w:p>
        </w:tc>
        <w:tc>
          <w:tcPr>
            <w:tcW w:w="6220" w:type="dxa"/>
            <w:vAlign w:val="bottom"/>
            <w:shd w:val="clear" w:color="auto" w:fill="CCEEFF"/>
          </w:tcPr>
          <w:p>
            <w:pPr>
              <w:ind w:left="1400"/>
              <w:spacing w:after="0"/>
              <w:rPr>
                <w:sz w:val="20"/>
                <w:szCs w:val="20"/>
                <w:color w:val="auto"/>
              </w:rPr>
            </w:pPr>
            <w:r>
              <w:rPr>
                <w:rFonts w:ascii="Arial" w:cs="Arial" w:eastAsia="Arial" w:hAnsi="Arial"/>
                <w:sz w:val="20"/>
                <w:szCs w:val="20"/>
                <w:color w:val="auto"/>
              </w:rPr>
              <w:t>Delaware</w:t>
            </w:r>
          </w:p>
        </w:tc>
      </w:tr>
      <w:tr>
        <w:trPr>
          <w:trHeight w:val="270"/>
        </w:trPr>
        <w:tc>
          <w:tcPr>
            <w:tcW w:w="502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Zeltiq Aesthetics, Inc.</w:t>
            </w:r>
          </w:p>
        </w:tc>
        <w:tc>
          <w:tcPr>
            <w:tcW w:w="6220" w:type="dxa"/>
            <w:vAlign w:val="bottom"/>
            <w:shd w:val="clear" w:color="auto" w:fill="CCEEFF"/>
          </w:tcPr>
          <w:p>
            <w:pPr>
              <w:ind w:left="1400"/>
              <w:spacing w:after="0"/>
              <w:rPr>
                <w:sz w:val="20"/>
                <w:szCs w:val="20"/>
                <w:color w:val="auto"/>
              </w:rPr>
            </w:pPr>
            <w:r>
              <w:rPr>
                <w:rFonts w:ascii="Arial" w:cs="Arial" w:eastAsia="Arial" w:hAnsi="Arial"/>
                <w:sz w:val="20"/>
                <w:szCs w:val="20"/>
                <w:color w:val="auto"/>
              </w:rPr>
              <w:t>Delaware</w:t>
            </w:r>
          </w:p>
        </w:tc>
      </w:tr>
      <w:tr>
        <w:trPr>
          <w:trHeight w:val="270"/>
        </w:trPr>
        <w:tc>
          <w:tcPr>
            <w:tcW w:w="5020" w:type="dxa"/>
            <w:vAlign w:val="bottom"/>
          </w:tcPr>
          <w:p>
            <w:pPr>
              <w:spacing w:after="0"/>
              <w:rPr>
                <w:sz w:val="23"/>
                <w:szCs w:val="23"/>
                <w:color w:val="auto"/>
              </w:rPr>
            </w:pPr>
          </w:p>
        </w:tc>
        <w:tc>
          <w:tcPr>
            <w:tcW w:w="6220" w:type="dxa"/>
            <w:vAlign w:val="bottom"/>
          </w:tcPr>
          <w:p>
            <w:pPr>
              <w:spacing w:after="0"/>
              <w:rPr>
                <w:sz w:val="23"/>
                <w:szCs w:val="23"/>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Zeltiq International, LLC</w:t>
            </w:r>
          </w:p>
        </w:tc>
        <w:tc>
          <w:tcPr>
            <w:tcW w:w="6220" w:type="dxa"/>
            <w:vAlign w:val="bottom"/>
            <w:shd w:val="clear" w:color="auto" w:fill="CCEEFF"/>
          </w:tcPr>
          <w:p>
            <w:pPr>
              <w:ind w:left="1400"/>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240"/>
          </w:cols>
          <w:pgMar w:left="320" w:top="1206" w:right="33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260" w:type="dxa"/>
            <w:vAlign w:val="bottom"/>
          </w:tcPr>
          <w:p>
            <w:pPr>
              <w:ind w:left="140"/>
              <w:spacing w:after="0"/>
              <w:rPr>
                <w:sz w:val="20"/>
                <w:szCs w:val="20"/>
                <w:color w:val="auto"/>
              </w:rPr>
            </w:pPr>
            <w:r>
              <w:rPr>
                <w:rFonts w:ascii="Arial" w:cs="Arial" w:eastAsia="Arial" w:hAnsi="Arial"/>
                <w:sz w:val="20"/>
                <w:szCs w:val="20"/>
                <w:b w:val="1"/>
                <w:bCs w:val="1"/>
                <w:color w:val="auto"/>
              </w:rPr>
              <w:t>Foreign Subsidiaries</w:t>
            </w:r>
          </w:p>
        </w:tc>
        <w:tc>
          <w:tcPr>
            <w:tcW w:w="5960" w:type="dxa"/>
            <w:vAlign w:val="bottom"/>
          </w:tcPr>
          <w:p>
            <w:pPr>
              <w:ind w:left="1160"/>
              <w:spacing w:after="0"/>
              <w:rPr>
                <w:sz w:val="20"/>
                <w:szCs w:val="20"/>
                <w:color w:val="auto"/>
              </w:rPr>
            </w:pPr>
            <w:r>
              <w:rPr>
                <w:rFonts w:ascii="Arial" w:cs="Arial" w:eastAsia="Arial" w:hAnsi="Arial"/>
                <w:sz w:val="20"/>
                <w:szCs w:val="20"/>
                <w:b w:val="1"/>
                <w:bCs w:val="1"/>
                <w:color w:val="auto"/>
              </w:rPr>
              <w:t>Incorporation</w:t>
            </w:r>
          </w:p>
        </w:tc>
      </w:tr>
      <w:tr>
        <w:trPr>
          <w:trHeight w:val="252"/>
        </w:trPr>
        <w:tc>
          <w:tcPr>
            <w:tcW w:w="5260" w:type="dxa"/>
            <w:vAlign w:val="bottom"/>
          </w:tcPr>
          <w:p>
            <w:pPr>
              <w:spacing w:after="0"/>
              <w:rPr>
                <w:sz w:val="21"/>
                <w:szCs w:val="21"/>
                <w:color w:val="auto"/>
              </w:rPr>
            </w:pPr>
          </w:p>
        </w:tc>
        <w:tc>
          <w:tcPr>
            <w:tcW w:w="5960" w:type="dxa"/>
            <w:vAlign w:val="bottom"/>
          </w:tcPr>
          <w:p>
            <w:pPr>
              <w:spacing w:after="0"/>
              <w:rPr>
                <w:sz w:val="21"/>
                <w:szCs w:val="21"/>
                <w:color w:val="auto"/>
              </w:rPr>
            </w:pP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S.A.</w:t>
            </w:r>
          </w:p>
        </w:tc>
        <w:tc>
          <w:tcPr>
            <w:tcW w:w="59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Argentina</w:t>
            </w:r>
          </w:p>
        </w:tc>
      </w:tr>
      <w:tr>
        <w:trPr>
          <w:trHeight w:val="283"/>
        </w:trPr>
        <w:tc>
          <w:tcPr>
            <w:tcW w:w="526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Productos Farmaceuticos S.A.</w:t>
            </w:r>
          </w:p>
        </w:tc>
        <w:tc>
          <w:tcPr>
            <w:tcW w:w="59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Argentina</w:t>
            </w:r>
          </w:p>
        </w:tc>
      </w:tr>
      <w:tr>
        <w:trPr>
          <w:trHeight w:val="283"/>
        </w:trPr>
        <w:tc>
          <w:tcPr>
            <w:tcW w:w="526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Australia Pty Limited</w:t>
            </w:r>
          </w:p>
        </w:tc>
        <w:tc>
          <w:tcPr>
            <w:tcW w:w="59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Australia</w:t>
            </w:r>
          </w:p>
        </w:tc>
      </w:tr>
      <w:tr>
        <w:trPr>
          <w:trHeight w:val="283"/>
        </w:trPr>
        <w:tc>
          <w:tcPr>
            <w:tcW w:w="526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Elastagen Pty Ltd</w:t>
            </w:r>
          </w:p>
        </w:tc>
        <w:tc>
          <w:tcPr>
            <w:tcW w:w="59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Australia</w:t>
            </w:r>
          </w:p>
        </w:tc>
      </w:tr>
      <w:tr>
        <w:trPr>
          <w:trHeight w:val="283"/>
        </w:trPr>
        <w:tc>
          <w:tcPr>
            <w:tcW w:w="526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Kythera Biopharmaceuticals Australia Pty Ltd</w:t>
            </w:r>
          </w:p>
        </w:tc>
        <w:tc>
          <w:tcPr>
            <w:tcW w:w="59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Australia</w:t>
            </w:r>
          </w:p>
        </w:tc>
      </w:tr>
      <w:tr>
        <w:trPr>
          <w:trHeight w:val="283"/>
        </w:trPr>
        <w:tc>
          <w:tcPr>
            <w:tcW w:w="526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Pty Ltd</w:t>
            </w:r>
          </w:p>
        </w:tc>
        <w:tc>
          <w:tcPr>
            <w:tcW w:w="59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Australia</w:t>
            </w:r>
          </w:p>
        </w:tc>
      </w:tr>
      <w:tr>
        <w:trPr>
          <w:trHeight w:val="283"/>
        </w:trPr>
        <w:tc>
          <w:tcPr>
            <w:tcW w:w="526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GmbH</w:t>
            </w:r>
          </w:p>
        </w:tc>
        <w:tc>
          <w:tcPr>
            <w:tcW w:w="59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Austria</w:t>
            </w:r>
          </w:p>
        </w:tc>
      </w:tr>
      <w:tr>
        <w:trPr>
          <w:trHeight w:val="283"/>
        </w:trPr>
        <w:tc>
          <w:tcPr>
            <w:tcW w:w="526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Bahamas Ltd.</w:t>
            </w:r>
          </w:p>
        </w:tc>
        <w:tc>
          <w:tcPr>
            <w:tcW w:w="59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Bahamas</w:t>
            </w:r>
          </w:p>
        </w:tc>
      </w:tr>
      <w:tr>
        <w:trPr>
          <w:trHeight w:val="283"/>
        </w:trPr>
        <w:tc>
          <w:tcPr>
            <w:tcW w:w="526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SA</w:t>
            </w:r>
          </w:p>
        </w:tc>
        <w:tc>
          <w:tcPr>
            <w:tcW w:w="59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Belgium</w:t>
            </w:r>
          </w:p>
        </w:tc>
      </w:tr>
      <w:tr>
        <w:trPr>
          <w:trHeight w:val="283"/>
        </w:trPr>
        <w:tc>
          <w:tcPr>
            <w:tcW w:w="526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N.V.</w:t>
            </w:r>
          </w:p>
        </w:tc>
        <w:tc>
          <w:tcPr>
            <w:tcW w:w="59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Belgium</w:t>
            </w:r>
          </w:p>
        </w:tc>
      </w:tr>
      <w:tr>
        <w:trPr>
          <w:trHeight w:val="283"/>
        </w:trPr>
        <w:tc>
          <w:tcPr>
            <w:tcW w:w="526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Odyssa Pharma SPRL</w:t>
            </w:r>
          </w:p>
        </w:tc>
        <w:tc>
          <w:tcPr>
            <w:tcW w:w="59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Belgium</w:t>
            </w:r>
          </w:p>
        </w:tc>
      </w:tr>
      <w:tr>
        <w:trPr>
          <w:trHeight w:val="283"/>
        </w:trPr>
        <w:tc>
          <w:tcPr>
            <w:tcW w:w="526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Ltd</w:t>
            </w:r>
          </w:p>
        </w:tc>
        <w:tc>
          <w:tcPr>
            <w:tcW w:w="59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Bermuda</w:t>
            </w:r>
          </w:p>
        </w:tc>
      </w:tr>
      <w:tr>
        <w:trPr>
          <w:trHeight w:val="283"/>
        </w:trPr>
        <w:tc>
          <w:tcPr>
            <w:tcW w:w="526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Biotechnology Ltd</w:t>
            </w:r>
          </w:p>
        </w:tc>
        <w:tc>
          <w:tcPr>
            <w:tcW w:w="59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Bermuda</w:t>
            </w:r>
          </w:p>
        </w:tc>
      </w:tr>
      <w:tr>
        <w:trPr>
          <w:trHeight w:val="283"/>
        </w:trPr>
        <w:tc>
          <w:tcPr>
            <w:tcW w:w="526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Finance Limited</w:t>
            </w:r>
          </w:p>
        </w:tc>
        <w:tc>
          <w:tcPr>
            <w:tcW w:w="59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Bermuda</w:t>
            </w:r>
          </w:p>
        </w:tc>
      </w:tr>
      <w:tr>
        <w:trPr>
          <w:trHeight w:val="283"/>
        </w:trPr>
        <w:tc>
          <w:tcPr>
            <w:tcW w:w="526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Global Enterprises Ltd.</w:t>
            </w:r>
          </w:p>
        </w:tc>
        <w:tc>
          <w:tcPr>
            <w:tcW w:w="59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Bermuda</w:t>
            </w:r>
          </w:p>
        </w:tc>
      </w:tr>
      <w:tr>
        <w:trPr>
          <w:trHeight w:val="283"/>
        </w:trPr>
        <w:tc>
          <w:tcPr>
            <w:tcW w:w="526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Holdings Unlimited</w:t>
            </w:r>
          </w:p>
        </w:tc>
        <w:tc>
          <w:tcPr>
            <w:tcW w:w="59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Bermuda</w:t>
            </w:r>
          </w:p>
        </w:tc>
      </w:tr>
      <w:tr>
        <w:trPr>
          <w:trHeight w:val="283"/>
        </w:trPr>
        <w:tc>
          <w:tcPr>
            <w:tcW w:w="526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Development Ventures I, LP</w:t>
            </w:r>
          </w:p>
        </w:tc>
        <w:tc>
          <w:tcPr>
            <w:tcW w:w="59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Bermuda</w:t>
            </w:r>
          </w:p>
        </w:tc>
      </w:tr>
      <w:tr>
        <w:trPr>
          <w:trHeight w:val="283"/>
        </w:trPr>
        <w:tc>
          <w:tcPr>
            <w:tcW w:w="526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Holdings B Ltd.</w:t>
            </w:r>
          </w:p>
        </w:tc>
        <w:tc>
          <w:tcPr>
            <w:tcW w:w="59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Bermuda</w:t>
            </w:r>
          </w:p>
        </w:tc>
      </w:tr>
      <w:tr>
        <w:trPr>
          <w:trHeight w:val="283"/>
        </w:trPr>
        <w:tc>
          <w:tcPr>
            <w:tcW w:w="526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Holdings B2, Ltd.</w:t>
            </w:r>
          </w:p>
        </w:tc>
        <w:tc>
          <w:tcPr>
            <w:tcW w:w="59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Bermuda</w:t>
            </w:r>
          </w:p>
        </w:tc>
      </w:tr>
      <w:tr>
        <w:trPr>
          <w:trHeight w:val="283"/>
        </w:trPr>
        <w:tc>
          <w:tcPr>
            <w:tcW w:w="526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Kythera Holdings Ltd</w:t>
            </w:r>
          </w:p>
        </w:tc>
        <w:tc>
          <w:tcPr>
            <w:tcW w:w="5960" w:type="dxa"/>
            <w:vAlign w:val="bottom"/>
            <w:shd w:val="clear" w:color="auto" w:fill="CCEEFF"/>
          </w:tcPr>
          <w:p>
            <w:pPr>
              <w:ind w:left="1160"/>
              <w:spacing w:after="0"/>
              <w:rPr>
                <w:sz w:val="20"/>
                <w:szCs w:val="20"/>
                <w:color w:val="auto"/>
              </w:rPr>
            </w:pPr>
            <w:r>
              <w:rPr>
                <w:rFonts w:ascii="Arial" w:cs="Arial" w:eastAsia="Arial" w:hAnsi="Arial"/>
                <w:sz w:val="20"/>
                <w:szCs w:val="20"/>
                <w:color w:val="auto"/>
              </w:rPr>
              <w:t>Bermuda</w:t>
            </w:r>
          </w:p>
        </w:tc>
      </w:tr>
    </w:tbl>
    <w:p>
      <w:pPr>
        <w:sectPr>
          <w:pgSz w:w="11900" w:h="16838" w:orient="portrait"/>
          <w:cols w:equalWidth="0" w:num="1">
            <w:col w:w="11220"/>
          </w:cols>
          <w:pgMar w:left="320" w:top="1165" w:right="359"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Warner Chilcott Holdings Company II, Limited</w:t>
            </w:r>
          </w:p>
        </w:tc>
        <w:tc>
          <w:tcPr>
            <w:tcW w:w="5560" w:type="dxa"/>
            <w:vAlign w:val="bottom"/>
            <w:shd w:val="clear" w:color="auto" w:fill="CCEEFF"/>
          </w:tcPr>
          <w:p>
            <w:pPr>
              <w:ind w:left="760"/>
              <w:spacing w:after="0"/>
              <w:rPr>
                <w:sz w:val="20"/>
                <w:szCs w:val="20"/>
                <w:color w:val="auto"/>
              </w:rPr>
            </w:pPr>
            <w:r>
              <w:rPr>
                <w:rFonts w:ascii="Arial" w:cs="Arial" w:eastAsia="Arial" w:hAnsi="Arial"/>
                <w:sz w:val="20"/>
                <w:szCs w:val="20"/>
                <w:color w:val="auto"/>
              </w:rPr>
              <w:t>Bermuda</w:t>
            </w:r>
          </w:p>
        </w:tc>
      </w:tr>
      <w:tr>
        <w:trPr>
          <w:trHeight w:val="283"/>
        </w:trPr>
        <w:tc>
          <w:tcPr>
            <w:tcW w:w="566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Warner Chilcott Holdings Company III, Limited</w:t>
            </w:r>
          </w:p>
        </w:tc>
        <w:tc>
          <w:tcPr>
            <w:tcW w:w="5560" w:type="dxa"/>
            <w:vAlign w:val="bottom"/>
            <w:shd w:val="clear" w:color="auto" w:fill="CCEEFF"/>
          </w:tcPr>
          <w:p>
            <w:pPr>
              <w:ind w:left="760"/>
              <w:spacing w:after="0"/>
              <w:rPr>
                <w:sz w:val="20"/>
                <w:szCs w:val="20"/>
                <w:color w:val="auto"/>
              </w:rPr>
            </w:pPr>
            <w:r>
              <w:rPr>
                <w:rFonts w:ascii="Arial" w:cs="Arial" w:eastAsia="Arial" w:hAnsi="Arial"/>
                <w:sz w:val="20"/>
                <w:szCs w:val="20"/>
                <w:color w:val="auto"/>
              </w:rPr>
              <w:t>Bermuda</w:t>
            </w:r>
          </w:p>
        </w:tc>
      </w:tr>
      <w:tr>
        <w:trPr>
          <w:trHeight w:val="283"/>
        </w:trPr>
        <w:tc>
          <w:tcPr>
            <w:tcW w:w="566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Warner Chilcott Limited</w:t>
            </w:r>
          </w:p>
        </w:tc>
        <w:tc>
          <w:tcPr>
            <w:tcW w:w="5560" w:type="dxa"/>
            <w:vAlign w:val="bottom"/>
            <w:shd w:val="clear" w:color="auto" w:fill="CCEEFF"/>
          </w:tcPr>
          <w:p>
            <w:pPr>
              <w:ind w:left="760"/>
              <w:spacing w:after="0"/>
              <w:rPr>
                <w:sz w:val="20"/>
                <w:szCs w:val="20"/>
                <w:color w:val="auto"/>
              </w:rPr>
            </w:pPr>
            <w:r>
              <w:rPr>
                <w:rFonts w:ascii="Arial" w:cs="Arial" w:eastAsia="Arial" w:hAnsi="Arial"/>
                <w:sz w:val="20"/>
                <w:szCs w:val="20"/>
                <w:color w:val="auto"/>
              </w:rPr>
              <w:t>Bermuda</w:t>
            </w:r>
          </w:p>
        </w:tc>
      </w:tr>
      <w:tr>
        <w:trPr>
          <w:trHeight w:val="284"/>
        </w:trPr>
        <w:tc>
          <w:tcPr>
            <w:tcW w:w="566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d.o.o.</w:t>
            </w:r>
          </w:p>
        </w:tc>
        <w:tc>
          <w:tcPr>
            <w:tcW w:w="5560" w:type="dxa"/>
            <w:vAlign w:val="bottom"/>
            <w:shd w:val="clear" w:color="auto" w:fill="CCEEFF"/>
          </w:tcPr>
          <w:p>
            <w:pPr>
              <w:ind w:left="760"/>
              <w:spacing w:after="0"/>
              <w:rPr>
                <w:sz w:val="20"/>
                <w:szCs w:val="20"/>
                <w:color w:val="auto"/>
              </w:rPr>
            </w:pPr>
            <w:r>
              <w:rPr>
                <w:rFonts w:ascii="Arial" w:cs="Arial" w:eastAsia="Arial" w:hAnsi="Arial"/>
                <w:sz w:val="20"/>
                <w:szCs w:val="20"/>
                <w:color w:val="auto"/>
              </w:rPr>
              <w:t>Bosnia</w:t>
            </w:r>
          </w:p>
        </w:tc>
      </w:tr>
      <w:tr>
        <w:trPr>
          <w:trHeight w:val="270"/>
        </w:trPr>
        <w:tc>
          <w:tcPr>
            <w:tcW w:w="5660" w:type="dxa"/>
            <w:vAlign w:val="bottom"/>
          </w:tcPr>
          <w:p>
            <w:pPr>
              <w:spacing w:after="0"/>
              <w:rPr>
                <w:sz w:val="23"/>
                <w:szCs w:val="23"/>
                <w:color w:val="auto"/>
              </w:rPr>
            </w:pPr>
          </w:p>
        </w:tc>
        <w:tc>
          <w:tcPr>
            <w:tcW w:w="5560" w:type="dxa"/>
            <w:vAlign w:val="bottom"/>
          </w:tcPr>
          <w:p>
            <w:pPr>
              <w:spacing w:after="0"/>
              <w:rPr>
                <w:sz w:val="23"/>
                <w:szCs w:val="23"/>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Farmacêutica Ltda.</w:t>
            </w:r>
          </w:p>
        </w:tc>
        <w:tc>
          <w:tcPr>
            <w:tcW w:w="5560" w:type="dxa"/>
            <w:vAlign w:val="bottom"/>
            <w:shd w:val="clear" w:color="auto" w:fill="CCEEFF"/>
          </w:tcPr>
          <w:p>
            <w:pPr>
              <w:ind w:left="760"/>
              <w:spacing w:after="0"/>
              <w:rPr>
                <w:sz w:val="20"/>
                <w:szCs w:val="20"/>
                <w:color w:val="auto"/>
              </w:rPr>
            </w:pPr>
            <w:r>
              <w:rPr>
                <w:rFonts w:ascii="Arial" w:cs="Arial" w:eastAsia="Arial" w:hAnsi="Arial"/>
                <w:sz w:val="20"/>
                <w:szCs w:val="20"/>
                <w:color w:val="auto"/>
              </w:rPr>
              <w:t>Brazil</w:t>
            </w:r>
          </w:p>
        </w:tc>
      </w:tr>
      <w:tr>
        <w:trPr>
          <w:trHeight w:val="283"/>
        </w:trPr>
        <w:tc>
          <w:tcPr>
            <w:tcW w:w="566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Participações Ltda.</w:t>
            </w:r>
          </w:p>
        </w:tc>
        <w:tc>
          <w:tcPr>
            <w:tcW w:w="5560" w:type="dxa"/>
            <w:vAlign w:val="bottom"/>
            <w:shd w:val="clear" w:color="auto" w:fill="CCEEFF"/>
          </w:tcPr>
          <w:p>
            <w:pPr>
              <w:ind w:left="760"/>
              <w:spacing w:after="0"/>
              <w:rPr>
                <w:sz w:val="20"/>
                <w:szCs w:val="20"/>
                <w:color w:val="auto"/>
              </w:rPr>
            </w:pPr>
            <w:r>
              <w:rPr>
                <w:rFonts w:ascii="Arial" w:cs="Arial" w:eastAsia="Arial" w:hAnsi="Arial"/>
                <w:sz w:val="20"/>
                <w:szCs w:val="20"/>
                <w:color w:val="auto"/>
              </w:rPr>
              <w:t>Brazil</w:t>
            </w:r>
          </w:p>
        </w:tc>
      </w:tr>
      <w:tr>
        <w:trPr>
          <w:trHeight w:val="284"/>
        </w:trPr>
        <w:tc>
          <w:tcPr>
            <w:tcW w:w="566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Productos Farmaceuticos Ltda.</w:t>
            </w:r>
          </w:p>
        </w:tc>
        <w:tc>
          <w:tcPr>
            <w:tcW w:w="5560" w:type="dxa"/>
            <w:vAlign w:val="bottom"/>
            <w:shd w:val="clear" w:color="auto" w:fill="CCEEFF"/>
          </w:tcPr>
          <w:p>
            <w:pPr>
              <w:ind w:left="760"/>
              <w:spacing w:after="0"/>
              <w:rPr>
                <w:sz w:val="20"/>
                <w:szCs w:val="20"/>
                <w:color w:val="auto"/>
              </w:rPr>
            </w:pPr>
            <w:r>
              <w:rPr>
                <w:rFonts w:ascii="Arial" w:cs="Arial" w:eastAsia="Arial" w:hAnsi="Arial"/>
                <w:sz w:val="20"/>
                <w:szCs w:val="20"/>
                <w:color w:val="auto"/>
              </w:rPr>
              <w:t>Brazil</w:t>
            </w:r>
          </w:p>
        </w:tc>
      </w:tr>
      <w:tr>
        <w:trPr>
          <w:trHeight w:val="283"/>
        </w:trPr>
        <w:tc>
          <w:tcPr>
            <w:tcW w:w="566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EOOD</w:t>
            </w:r>
          </w:p>
        </w:tc>
        <w:tc>
          <w:tcPr>
            <w:tcW w:w="5560" w:type="dxa"/>
            <w:vAlign w:val="bottom"/>
            <w:shd w:val="clear" w:color="auto" w:fill="CCEEFF"/>
          </w:tcPr>
          <w:p>
            <w:pPr>
              <w:ind w:left="760"/>
              <w:spacing w:after="0"/>
              <w:rPr>
                <w:sz w:val="20"/>
                <w:szCs w:val="20"/>
                <w:color w:val="auto"/>
              </w:rPr>
            </w:pPr>
            <w:r>
              <w:rPr>
                <w:rFonts w:ascii="Arial" w:cs="Arial" w:eastAsia="Arial" w:hAnsi="Arial"/>
                <w:sz w:val="20"/>
                <w:szCs w:val="20"/>
                <w:color w:val="auto"/>
              </w:rPr>
              <w:t>Bulgaria</w:t>
            </w:r>
          </w:p>
        </w:tc>
      </w:tr>
      <w:tr>
        <w:trPr>
          <w:trHeight w:val="283"/>
        </w:trPr>
        <w:tc>
          <w:tcPr>
            <w:tcW w:w="566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Bulgaria EOOD</w:t>
            </w:r>
          </w:p>
        </w:tc>
        <w:tc>
          <w:tcPr>
            <w:tcW w:w="5560" w:type="dxa"/>
            <w:vAlign w:val="bottom"/>
            <w:shd w:val="clear" w:color="auto" w:fill="CCEEFF"/>
          </w:tcPr>
          <w:p>
            <w:pPr>
              <w:ind w:left="760"/>
              <w:spacing w:after="0"/>
              <w:rPr>
                <w:sz w:val="20"/>
                <w:szCs w:val="20"/>
                <w:color w:val="auto"/>
              </w:rPr>
            </w:pPr>
            <w:r>
              <w:rPr>
                <w:rFonts w:ascii="Arial" w:cs="Arial" w:eastAsia="Arial" w:hAnsi="Arial"/>
                <w:sz w:val="20"/>
                <w:szCs w:val="20"/>
                <w:color w:val="auto"/>
              </w:rPr>
              <w:t>Bulgaria</w:t>
            </w:r>
          </w:p>
        </w:tc>
      </w:tr>
      <w:tr>
        <w:trPr>
          <w:trHeight w:val="283"/>
        </w:trPr>
        <w:tc>
          <w:tcPr>
            <w:tcW w:w="566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Corporation</w:t>
            </w:r>
          </w:p>
        </w:tc>
        <w:tc>
          <w:tcPr>
            <w:tcW w:w="5560" w:type="dxa"/>
            <w:vAlign w:val="bottom"/>
            <w:shd w:val="clear" w:color="auto" w:fill="CCEEFF"/>
          </w:tcPr>
          <w:p>
            <w:pPr>
              <w:ind w:left="760"/>
              <w:spacing w:after="0"/>
              <w:rPr>
                <w:sz w:val="20"/>
                <w:szCs w:val="20"/>
                <w:color w:val="auto"/>
              </w:rPr>
            </w:pPr>
            <w:r>
              <w:rPr>
                <w:rFonts w:ascii="Arial" w:cs="Arial" w:eastAsia="Arial" w:hAnsi="Arial"/>
                <w:sz w:val="20"/>
                <w:szCs w:val="20"/>
                <w:color w:val="auto"/>
              </w:rPr>
              <w:t>Canada</w:t>
            </w:r>
          </w:p>
        </w:tc>
      </w:tr>
      <w:tr>
        <w:trPr>
          <w:trHeight w:val="284"/>
        </w:trPr>
        <w:tc>
          <w:tcPr>
            <w:tcW w:w="566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Holdings Corporation</w:t>
            </w:r>
          </w:p>
        </w:tc>
        <w:tc>
          <w:tcPr>
            <w:tcW w:w="5560" w:type="dxa"/>
            <w:vAlign w:val="bottom"/>
            <w:shd w:val="clear" w:color="auto" w:fill="CCEEFF"/>
          </w:tcPr>
          <w:p>
            <w:pPr>
              <w:ind w:left="760"/>
              <w:spacing w:after="0"/>
              <w:rPr>
                <w:sz w:val="20"/>
                <w:szCs w:val="20"/>
                <w:color w:val="auto"/>
              </w:rPr>
            </w:pPr>
            <w:r>
              <w:rPr>
                <w:rFonts w:ascii="Arial" w:cs="Arial" w:eastAsia="Arial" w:hAnsi="Arial"/>
                <w:sz w:val="20"/>
                <w:szCs w:val="20"/>
                <w:color w:val="auto"/>
              </w:rPr>
              <w:t>Canada</w:t>
            </w:r>
          </w:p>
        </w:tc>
      </w:tr>
      <w:tr>
        <w:trPr>
          <w:trHeight w:val="284"/>
        </w:trPr>
        <w:tc>
          <w:tcPr>
            <w:tcW w:w="566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Inc.</w:t>
            </w:r>
          </w:p>
        </w:tc>
        <w:tc>
          <w:tcPr>
            <w:tcW w:w="5560" w:type="dxa"/>
            <w:vAlign w:val="bottom"/>
            <w:shd w:val="clear" w:color="auto" w:fill="CCEEFF"/>
          </w:tcPr>
          <w:p>
            <w:pPr>
              <w:ind w:left="760"/>
              <w:spacing w:after="0"/>
              <w:rPr>
                <w:sz w:val="20"/>
                <w:szCs w:val="20"/>
                <w:color w:val="auto"/>
              </w:rPr>
            </w:pPr>
            <w:r>
              <w:rPr>
                <w:rFonts w:ascii="Arial" w:cs="Arial" w:eastAsia="Arial" w:hAnsi="Arial"/>
                <w:sz w:val="20"/>
                <w:szCs w:val="20"/>
                <w:color w:val="auto"/>
              </w:rPr>
              <w:t>Canada</w:t>
            </w:r>
          </w:p>
        </w:tc>
      </w:tr>
      <w:tr>
        <w:trPr>
          <w:trHeight w:val="283"/>
        </w:trPr>
        <w:tc>
          <w:tcPr>
            <w:tcW w:w="566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Aptalis Pharma Canada ULC</w:t>
            </w:r>
          </w:p>
        </w:tc>
        <w:tc>
          <w:tcPr>
            <w:tcW w:w="5560" w:type="dxa"/>
            <w:vAlign w:val="bottom"/>
            <w:shd w:val="clear" w:color="auto" w:fill="CCEEFF"/>
          </w:tcPr>
          <w:p>
            <w:pPr>
              <w:ind w:left="760"/>
              <w:spacing w:after="0"/>
              <w:rPr>
                <w:sz w:val="20"/>
                <w:szCs w:val="20"/>
                <w:color w:val="auto"/>
              </w:rPr>
            </w:pPr>
            <w:r>
              <w:rPr>
                <w:rFonts w:ascii="Arial" w:cs="Arial" w:eastAsia="Arial" w:hAnsi="Arial"/>
                <w:sz w:val="20"/>
                <w:szCs w:val="20"/>
                <w:color w:val="auto"/>
              </w:rPr>
              <w:t>Canada (Alberta)</w:t>
            </w:r>
          </w:p>
        </w:tc>
      </w:tr>
      <w:tr>
        <w:trPr>
          <w:trHeight w:val="284"/>
        </w:trPr>
        <w:tc>
          <w:tcPr>
            <w:tcW w:w="566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Holdings C, Ltd.</w:t>
            </w:r>
          </w:p>
        </w:tc>
        <w:tc>
          <w:tcPr>
            <w:tcW w:w="5560" w:type="dxa"/>
            <w:vAlign w:val="bottom"/>
            <w:shd w:val="clear" w:color="auto" w:fill="CCEEFF"/>
          </w:tcPr>
          <w:p>
            <w:pPr>
              <w:ind w:left="760"/>
              <w:spacing w:after="0"/>
              <w:rPr>
                <w:sz w:val="20"/>
                <w:szCs w:val="20"/>
                <w:color w:val="auto"/>
              </w:rPr>
            </w:pPr>
            <w:r>
              <w:rPr>
                <w:rFonts w:ascii="Arial" w:cs="Arial" w:eastAsia="Arial" w:hAnsi="Arial"/>
                <w:sz w:val="20"/>
                <w:szCs w:val="20"/>
                <w:color w:val="auto"/>
              </w:rPr>
              <w:t>Cayman Islands</w:t>
            </w:r>
          </w:p>
        </w:tc>
      </w:tr>
      <w:tr>
        <w:trPr>
          <w:trHeight w:val="283"/>
        </w:trPr>
        <w:tc>
          <w:tcPr>
            <w:tcW w:w="566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Overseas Holding</w:t>
            </w:r>
          </w:p>
        </w:tc>
        <w:tc>
          <w:tcPr>
            <w:tcW w:w="5560" w:type="dxa"/>
            <w:vAlign w:val="bottom"/>
            <w:shd w:val="clear" w:color="auto" w:fill="CCEEFF"/>
          </w:tcPr>
          <w:p>
            <w:pPr>
              <w:ind w:left="760"/>
              <w:spacing w:after="0"/>
              <w:rPr>
                <w:sz w:val="20"/>
                <w:szCs w:val="20"/>
                <w:color w:val="auto"/>
              </w:rPr>
            </w:pPr>
            <w:r>
              <w:rPr>
                <w:rFonts w:ascii="Arial" w:cs="Arial" w:eastAsia="Arial" w:hAnsi="Arial"/>
                <w:sz w:val="20"/>
                <w:szCs w:val="20"/>
                <w:color w:val="auto"/>
              </w:rPr>
              <w:t>Cayman Islands</w:t>
            </w:r>
          </w:p>
        </w:tc>
      </w:tr>
      <w:tr>
        <w:trPr>
          <w:trHeight w:val="284"/>
        </w:trPr>
        <w:tc>
          <w:tcPr>
            <w:tcW w:w="566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Pharmacyclics Cayman Ltd.</w:t>
            </w:r>
          </w:p>
        </w:tc>
        <w:tc>
          <w:tcPr>
            <w:tcW w:w="5560" w:type="dxa"/>
            <w:vAlign w:val="bottom"/>
            <w:shd w:val="clear" w:color="auto" w:fill="CCEEFF"/>
          </w:tcPr>
          <w:p>
            <w:pPr>
              <w:ind w:left="760"/>
              <w:spacing w:after="0"/>
              <w:rPr>
                <w:sz w:val="20"/>
                <w:szCs w:val="20"/>
                <w:color w:val="auto"/>
              </w:rPr>
            </w:pPr>
            <w:r>
              <w:rPr>
                <w:rFonts w:ascii="Arial" w:cs="Arial" w:eastAsia="Arial" w:hAnsi="Arial"/>
                <w:sz w:val="20"/>
                <w:szCs w:val="20"/>
                <w:color w:val="auto"/>
              </w:rPr>
              <w:t>Cayman Islands</w:t>
            </w:r>
          </w:p>
        </w:tc>
      </w:tr>
      <w:tr>
        <w:trPr>
          <w:trHeight w:val="283"/>
        </w:trPr>
        <w:tc>
          <w:tcPr>
            <w:tcW w:w="566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Stemcentrx Cayman Ltd.</w:t>
            </w:r>
          </w:p>
        </w:tc>
        <w:tc>
          <w:tcPr>
            <w:tcW w:w="5560" w:type="dxa"/>
            <w:vAlign w:val="bottom"/>
            <w:shd w:val="clear" w:color="auto" w:fill="CCEEFF"/>
          </w:tcPr>
          <w:p>
            <w:pPr>
              <w:ind w:left="760"/>
              <w:spacing w:after="0"/>
              <w:rPr>
                <w:sz w:val="20"/>
                <w:szCs w:val="20"/>
                <w:color w:val="auto"/>
              </w:rPr>
            </w:pPr>
            <w:r>
              <w:rPr>
                <w:rFonts w:ascii="Arial" w:cs="Arial" w:eastAsia="Arial" w:hAnsi="Arial"/>
                <w:sz w:val="20"/>
                <w:szCs w:val="20"/>
                <w:color w:val="auto"/>
              </w:rPr>
              <w:t>Cayman Islands</w:t>
            </w:r>
          </w:p>
        </w:tc>
      </w:tr>
      <w:tr>
        <w:trPr>
          <w:trHeight w:val="284"/>
        </w:trPr>
        <w:tc>
          <w:tcPr>
            <w:tcW w:w="566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Productos Farmacéuticos Limitada</w:t>
            </w:r>
          </w:p>
        </w:tc>
        <w:tc>
          <w:tcPr>
            <w:tcW w:w="5560" w:type="dxa"/>
            <w:vAlign w:val="bottom"/>
            <w:shd w:val="clear" w:color="auto" w:fill="CCEEFF"/>
          </w:tcPr>
          <w:p>
            <w:pPr>
              <w:ind w:left="760"/>
              <w:spacing w:after="0"/>
              <w:rPr>
                <w:sz w:val="20"/>
                <w:szCs w:val="20"/>
                <w:color w:val="auto"/>
              </w:rPr>
            </w:pPr>
            <w:r>
              <w:rPr>
                <w:rFonts w:ascii="Arial" w:cs="Arial" w:eastAsia="Arial" w:hAnsi="Arial"/>
                <w:sz w:val="20"/>
                <w:szCs w:val="20"/>
                <w:color w:val="auto"/>
              </w:rPr>
              <w:t>Chile</w:t>
            </w:r>
          </w:p>
        </w:tc>
      </w:tr>
      <w:tr>
        <w:trPr>
          <w:trHeight w:val="283"/>
        </w:trPr>
        <w:tc>
          <w:tcPr>
            <w:tcW w:w="566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Laboratorios Limitada</w:t>
            </w:r>
          </w:p>
        </w:tc>
        <w:tc>
          <w:tcPr>
            <w:tcW w:w="5560" w:type="dxa"/>
            <w:vAlign w:val="bottom"/>
            <w:shd w:val="clear" w:color="auto" w:fill="CCEEFF"/>
          </w:tcPr>
          <w:p>
            <w:pPr>
              <w:ind w:left="760"/>
              <w:spacing w:after="0"/>
              <w:rPr>
                <w:sz w:val="20"/>
                <w:szCs w:val="20"/>
                <w:color w:val="auto"/>
              </w:rPr>
            </w:pPr>
            <w:r>
              <w:rPr>
                <w:rFonts w:ascii="Arial" w:cs="Arial" w:eastAsia="Arial" w:hAnsi="Arial"/>
                <w:sz w:val="20"/>
                <w:szCs w:val="20"/>
                <w:color w:val="auto"/>
              </w:rPr>
              <w:t>Chile</w:t>
            </w:r>
          </w:p>
        </w:tc>
      </w:tr>
      <w:tr>
        <w:trPr>
          <w:trHeight w:val="284"/>
        </w:trPr>
        <w:tc>
          <w:tcPr>
            <w:tcW w:w="566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Pharmaceutical Trading (Shanghai) Co., Ltd.</w:t>
            </w:r>
          </w:p>
        </w:tc>
        <w:tc>
          <w:tcPr>
            <w:tcW w:w="5560" w:type="dxa"/>
            <w:vAlign w:val="bottom"/>
            <w:shd w:val="clear" w:color="auto" w:fill="CCEEFF"/>
          </w:tcPr>
          <w:p>
            <w:pPr>
              <w:ind w:left="760"/>
              <w:spacing w:after="0"/>
              <w:rPr>
                <w:sz w:val="20"/>
                <w:szCs w:val="20"/>
                <w:color w:val="auto"/>
              </w:rPr>
            </w:pPr>
            <w:r>
              <w:rPr>
                <w:rFonts w:ascii="Arial" w:cs="Arial" w:eastAsia="Arial" w:hAnsi="Arial"/>
                <w:sz w:val="20"/>
                <w:szCs w:val="20"/>
                <w:color w:val="auto"/>
              </w:rPr>
              <w:t>China</w:t>
            </w:r>
          </w:p>
        </w:tc>
      </w:tr>
      <w:tr>
        <w:trPr>
          <w:trHeight w:val="270"/>
        </w:trPr>
        <w:tc>
          <w:tcPr>
            <w:tcW w:w="5660" w:type="dxa"/>
            <w:vAlign w:val="bottom"/>
          </w:tcPr>
          <w:p>
            <w:pPr>
              <w:spacing w:after="0"/>
              <w:rPr>
                <w:sz w:val="23"/>
                <w:szCs w:val="23"/>
                <w:color w:val="auto"/>
              </w:rPr>
            </w:pPr>
          </w:p>
        </w:tc>
        <w:tc>
          <w:tcPr>
            <w:tcW w:w="5560" w:type="dxa"/>
            <w:vAlign w:val="bottom"/>
          </w:tcPr>
          <w:p>
            <w:pPr>
              <w:spacing w:after="0"/>
              <w:rPr>
                <w:sz w:val="23"/>
                <w:szCs w:val="23"/>
                <w:color w:val="auto"/>
              </w:rPr>
            </w:pPr>
          </w:p>
        </w:tc>
      </w:tr>
      <w:tr>
        <w:trPr>
          <w:trHeight w:val="243"/>
        </w:trPr>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(Chengdu) Medical Aesthetics Clinic Co., Ltd.</w:t>
            </w:r>
          </w:p>
        </w:tc>
        <w:tc>
          <w:tcPr>
            <w:tcW w:w="5560" w:type="dxa"/>
            <w:vAlign w:val="bottom"/>
            <w:shd w:val="clear" w:color="auto" w:fill="CCEEFF"/>
          </w:tcPr>
          <w:p>
            <w:pPr>
              <w:ind w:left="760"/>
              <w:spacing w:after="0"/>
              <w:rPr>
                <w:sz w:val="20"/>
                <w:szCs w:val="20"/>
                <w:color w:val="auto"/>
              </w:rPr>
            </w:pPr>
            <w:r>
              <w:rPr>
                <w:rFonts w:ascii="Arial" w:cs="Arial" w:eastAsia="Arial" w:hAnsi="Arial"/>
                <w:sz w:val="20"/>
                <w:szCs w:val="20"/>
                <w:color w:val="auto"/>
              </w:rPr>
              <w:t>China</w:t>
            </w:r>
          </w:p>
        </w:tc>
      </w:tr>
    </w:tbl>
    <w:p>
      <w:pPr>
        <w:sectPr>
          <w:pgSz w:w="11900" w:h="16838" w:orient="portrait"/>
          <w:cols w:equalWidth="0" w:num="1">
            <w:col w:w="11220"/>
          </w:cols>
          <w:pgMar w:left="320" w:top="936" w:right="35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Information Consulting (Shanghai) Co., Ltd.</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China</w:t>
            </w:r>
          </w:p>
        </w:tc>
      </w:tr>
      <w:tr>
        <w:trPr>
          <w:trHeight w:val="283"/>
        </w:trPr>
        <w:tc>
          <w:tcPr>
            <w:tcW w:w="624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Medical Device (Shanghai) Co., Ltd.</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China</w:t>
            </w:r>
          </w:p>
        </w:tc>
      </w:tr>
      <w:tr>
        <w:trPr>
          <w:trHeight w:val="283"/>
        </w:trPr>
        <w:tc>
          <w:tcPr>
            <w:tcW w:w="624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Pharmacyclics (Shanghai) Management Consulting Service Limited</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China</w:t>
            </w:r>
          </w:p>
        </w:tc>
      </w:tr>
      <w:tr>
        <w:trPr>
          <w:trHeight w:val="284"/>
        </w:trPr>
        <w:tc>
          <w:tcPr>
            <w:tcW w:w="624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S.A.S.</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Colombia</w:t>
            </w:r>
          </w:p>
        </w:tc>
      </w:tr>
      <w:tr>
        <w:trPr>
          <w:trHeight w:val="283"/>
        </w:trPr>
        <w:tc>
          <w:tcPr>
            <w:tcW w:w="624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de Colombia S.A.</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Colombia</w:t>
            </w:r>
          </w:p>
        </w:tc>
      </w:tr>
      <w:tr>
        <w:trPr>
          <w:trHeight w:val="283"/>
        </w:trPr>
        <w:tc>
          <w:tcPr>
            <w:tcW w:w="624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Costa Rica S.R.L.</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Costa Rica</w:t>
            </w:r>
          </w:p>
        </w:tc>
      </w:tr>
      <w:tr>
        <w:trPr>
          <w:trHeight w:val="283"/>
        </w:trPr>
        <w:tc>
          <w:tcPr>
            <w:tcW w:w="624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d.o.o.</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Croatia</w:t>
            </w:r>
          </w:p>
        </w:tc>
      </w:tr>
      <w:tr>
        <w:trPr>
          <w:trHeight w:val="284"/>
        </w:trPr>
        <w:tc>
          <w:tcPr>
            <w:tcW w:w="624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Limited</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Cyprus</w:t>
            </w:r>
          </w:p>
        </w:tc>
      </w:tr>
      <w:tr>
        <w:trPr>
          <w:trHeight w:val="283"/>
        </w:trPr>
        <w:tc>
          <w:tcPr>
            <w:tcW w:w="624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s.r.o.</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Czech Republic</w:t>
            </w:r>
          </w:p>
        </w:tc>
      </w:tr>
      <w:tr>
        <w:trPr>
          <w:trHeight w:val="283"/>
        </w:trPr>
        <w:tc>
          <w:tcPr>
            <w:tcW w:w="624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CZ, s.r.o.</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Czech Republic</w:t>
            </w:r>
          </w:p>
        </w:tc>
      </w:tr>
      <w:tr>
        <w:trPr>
          <w:trHeight w:val="283"/>
        </w:trPr>
        <w:tc>
          <w:tcPr>
            <w:tcW w:w="624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A/S</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Denmark</w:t>
            </w:r>
          </w:p>
        </w:tc>
      </w:tr>
      <w:tr>
        <w:trPr>
          <w:trHeight w:val="284"/>
        </w:trPr>
        <w:tc>
          <w:tcPr>
            <w:tcW w:w="624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ApS</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Denmark</w:t>
            </w:r>
          </w:p>
        </w:tc>
      </w:tr>
      <w:tr>
        <w:trPr>
          <w:trHeight w:val="284"/>
        </w:trPr>
        <w:tc>
          <w:tcPr>
            <w:tcW w:w="624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S.R.L.</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Dominican Republic</w:t>
            </w:r>
          </w:p>
        </w:tc>
      </w:tr>
      <w:tr>
        <w:trPr>
          <w:trHeight w:val="283"/>
        </w:trPr>
        <w:tc>
          <w:tcPr>
            <w:tcW w:w="624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L.L.C.</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Egypt</w:t>
            </w:r>
          </w:p>
        </w:tc>
      </w:tr>
      <w:tr>
        <w:trPr>
          <w:trHeight w:val="284"/>
        </w:trPr>
        <w:tc>
          <w:tcPr>
            <w:tcW w:w="624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OÜ</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Estonia</w:t>
            </w:r>
          </w:p>
        </w:tc>
      </w:tr>
      <w:tr>
        <w:trPr>
          <w:trHeight w:val="283"/>
        </w:trPr>
        <w:tc>
          <w:tcPr>
            <w:tcW w:w="624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Oy</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Finland</w:t>
            </w:r>
          </w:p>
        </w:tc>
      </w:tr>
      <w:tr>
        <w:trPr>
          <w:trHeight w:val="284"/>
        </w:trPr>
        <w:tc>
          <w:tcPr>
            <w:tcW w:w="624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Finland Oy</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Finland</w:t>
            </w:r>
          </w:p>
        </w:tc>
      </w:tr>
      <w:tr>
        <w:trPr>
          <w:trHeight w:val="283"/>
        </w:trPr>
        <w:tc>
          <w:tcPr>
            <w:tcW w:w="624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SAS</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France</w:t>
            </w:r>
          </w:p>
        </w:tc>
      </w:tr>
      <w:tr>
        <w:trPr>
          <w:trHeight w:val="284"/>
        </w:trPr>
        <w:tc>
          <w:tcPr>
            <w:tcW w:w="624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France SAS</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France</w:t>
            </w:r>
          </w:p>
        </w:tc>
      </w:tr>
      <w:tr>
        <w:trPr>
          <w:trHeight w:val="283"/>
        </w:trPr>
        <w:tc>
          <w:tcPr>
            <w:tcW w:w="624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Holdings France SAS</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France</w:t>
            </w:r>
          </w:p>
        </w:tc>
      </w:tr>
      <w:tr>
        <w:trPr>
          <w:trHeight w:val="284"/>
        </w:trPr>
        <w:tc>
          <w:tcPr>
            <w:tcW w:w="624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Industrie SAS</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France</w:t>
            </w:r>
          </w:p>
        </w:tc>
      </w:tr>
    </w:tbl>
    <w:p>
      <w:pPr>
        <w:sectPr>
          <w:pgSz w:w="11900" w:h="16838" w:orient="portrait"/>
          <w:cols w:equalWidth="0" w:num="1">
            <w:col w:w="11220"/>
          </w:cols>
          <w:pgMar w:left="320" w:top="936" w:right="359"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Eurand France S.A.S.</w:t>
            </w:r>
          </w:p>
        </w:tc>
        <w:tc>
          <w:tcPr>
            <w:tcW w:w="5740" w:type="dxa"/>
            <w:vAlign w:val="bottom"/>
            <w:shd w:val="clear" w:color="auto" w:fill="CCEEFF"/>
          </w:tcPr>
          <w:p>
            <w:pPr>
              <w:ind w:left="940"/>
              <w:spacing w:after="0"/>
              <w:rPr>
                <w:sz w:val="20"/>
                <w:szCs w:val="20"/>
                <w:color w:val="auto"/>
              </w:rPr>
            </w:pPr>
            <w:r>
              <w:rPr>
                <w:rFonts w:ascii="Arial" w:cs="Arial" w:eastAsia="Arial" w:hAnsi="Arial"/>
                <w:sz w:val="20"/>
                <w:szCs w:val="20"/>
                <w:color w:val="auto"/>
              </w:rPr>
              <w:t>France</w:t>
            </w:r>
          </w:p>
        </w:tc>
      </w:tr>
      <w:tr>
        <w:trPr>
          <w:trHeight w:val="283"/>
        </w:trPr>
        <w:tc>
          <w:tcPr>
            <w:tcW w:w="548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243"/>
        </w:trPr>
        <w:tc>
          <w:tcPr>
            <w:tcW w:w="54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Forest Holdings France S.A.S.</w:t>
            </w:r>
          </w:p>
        </w:tc>
        <w:tc>
          <w:tcPr>
            <w:tcW w:w="5740" w:type="dxa"/>
            <w:vAlign w:val="bottom"/>
            <w:shd w:val="clear" w:color="auto" w:fill="CCEEFF"/>
          </w:tcPr>
          <w:p>
            <w:pPr>
              <w:ind w:left="940"/>
              <w:spacing w:after="0"/>
              <w:rPr>
                <w:sz w:val="20"/>
                <w:szCs w:val="20"/>
                <w:color w:val="auto"/>
              </w:rPr>
            </w:pPr>
            <w:r>
              <w:rPr>
                <w:rFonts w:ascii="Arial" w:cs="Arial" w:eastAsia="Arial" w:hAnsi="Arial"/>
                <w:sz w:val="20"/>
                <w:szCs w:val="20"/>
                <w:color w:val="auto"/>
              </w:rPr>
              <w:t>France</w:t>
            </w:r>
          </w:p>
        </w:tc>
      </w:tr>
      <w:tr>
        <w:trPr>
          <w:trHeight w:val="283"/>
        </w:trPr>
        <w:tc>
          <w:tcPr>
            <w:tcW w:w="548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243"/>
        </w:trPr>
        <w:tc>
          <w:tcPr>
            <w:tcW w:w="54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Biotechnology GmbH</w:t>
            </w:r>
          </w:p>
        </w:tc>
        <w:tc>
          <w:tcPr>
            <w:tcW w:w="5740" w:type="dxa"/>
            <w:vAlign w:val="bottom"/>
            <w:shd w:val="clear" w:color="auto" w:fill="CCEEFF"/>
          </w:tcPr>
          <w:p>
            <w:pPr>
              <w:ind w:left="940"/>
              <w:spacing w:after="0"/>
              <w:rPr>
                <w:sz w:val="20"/>
                <w:szCs w:val="20"/>
                <w:color w:val="auto"/>
              </w:rPr>
            </w:pPr>
            <w:r>
              <w:rPr>
                <w:rFonts w:ascii="Arial" w:cs="Arial" w:eastAsia="Arial" w:hAnsi="Arial"/>
                <w:sz w:val="20"/>
                <w:szCs w:val="20"/>
                <w:color w:val="auto"/>
              </w:rPr>
              <w:t>Germany</w:t>
            </w:r>
          </w:p>
        </w:tc>
      </w:tr>
      <w:tr>
        <w:trPr>
          <w:trHeight w:val="284"/>
        </w:trPr>
        <w:tc>
          <w:tcPr>
            <w:tcW w:w="548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243"/>
        </w:trPr>
        <w:tc>
          <w:tcPr>
            <w:tcW w:w="54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Deutschland GmbH &amp; Co. KG</w:t>
            </w:r>
          </w:p>
        </w:tc>
        <w:tc>
          <w:tcPr>
            <w:tcW w:w="5740" w:type="dxa"/>
            <w:vAlign w:val="bottom"/>
            <w:shd w:val="clear" w:color="auto" w:fill="CCEEFF"/>
          </w:tcPr>
          <w:p>
            <w:pPr>
              <w:ind w:left="940"/>
              <w:spacing w:after="0"/>
              <w:rPr>
                <w:sz w:val="20"/>
                <w:szCs w:val="20"/>
                <w:color w:val="auto"/>
              </w:rPr>
            </w:pPr>
            <w:r>
              <w:rPr>
                <w:rFonts w:ascii="Arial" w:cs="Arial" w:eastAsia="Arial" w:hAnsi="Arial"/>
                <w:sz w:val="20"/>
                <w:szCs w:val="20"/>
                <w:color w:val="auto"/>
              </w:rPr>
              <w:t>Germany</w:t>
            </w:r>
          </w:p>
        </w:tc>
      </w:tr>
      <w:tr>
        <w:trPr>
          <w:trHeight w:val="283"/>
        </w:trPr>
        <w:tc>
          <w:tcPr>
            <w:tcW w:w="548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243"/>
        </w:trPr>
        <w:tc>
          <w:tcPr>
            <w:tcW w:w="54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Komplementär GmbH</w:t>
            </w:r>
          </w:p>
        </w:tc>
        <w:tc>
          <w:tcPr>
            <w:tcW w:w="5740" w:type="dxa"/>
            <w:vAlign w:val="bottom"/>
            <w:shd w:val="clear" w:color="auto" w:fill="CCEEFF"/>
          </w:tcPr>
          <w:p>
            <w:pPr>
              <w:ind w:left="940"/>
              <w:spacing w:after="0"/>
              <w:rPr>
                <w:sz w:val="20"/>
                <w:szCs w:val="20"/>
                <w:color w:val="auto"/>
              </w:rPr>
            </w:pPr>
            <w:r>
              <w:rPr>
                <w:rFonts w:ascii="Arial" w:cs="Arial" w:eastAsia="Arial" w:hAnsi="Arial"/>
                <w:sz w:val="20"/>
                <w:szCs w:val="20"/>
                <w:color w:val="auto"/>
              </w:rPr>
              <w:t>Germany</w:t>
            </w:r>
          </w:p>
        </w:tc>
      </w:tr>
      <w:tr>
        <w:trPr>
          <w:trHeight w:val="283"/>
        </w:trPr>
        <w:tc>
          <w:tcPr>
            <w:tcW w:w="548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243"/>
        </w:trPr>
        <w:tc>
          <w:tcPr>
            <w:tcW w:w="54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Pharmaceuticals GmbH</w:t>
            </w:r>
          </w:p>
        </w:tc>
        <w:tc>
          <w:tcPr>
            <w:tcW w:w="5740" w:type="dxa"/>
            <w:vAlign w:val="bottom"/>
            <w:shd w:val="clear" w:color="auto" w:fill="CCEEFF"/>
          </w:tcPr>
          <w:p>
            <w:pPr>
              <w:ind w:left="940"/>
              <w:spacing w:after="0"/>
              <w:rPr>
                <w:sz w:val="20"/>
                <w:szCs w:val="20"/>
                <w:color w:val="auto"/>
              </w:rPr>
            </w:pPr>
            <w:r>
              <w:rPr>
                <w:rFonts w:ascii="Arial" w:cs="Arial" w:eastAsia="Arial" w:hAnsi="Arial"/>
                <w:sz w:val="20"/>
                <w:szCs w:val="20"/>
                <w:color w:val="auto"/>
              </w:rPr>
              <w:t>Germany</w:t>
            </w:r>
          </w:p>
        </w:tc>
      </w:tr>
      <w:tr>
        <w:trPr>
          <w:trHeight w:val="283"/>
        </w:trPr>
        <w:tc>
          <w:tcPr>
            <w:tcW w:w="548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243"/>
        </w:trPr>
        <w:tc>
          <w:tcPr>
            <w:tcW w:w="54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Real Estate Management GmbH</w:t>
            </w:r>
          </w:p>
        </w:tc>
        <w:tc>
          <w:tcPr>
            <w:tcW w:w="5740" w:type="dxa"/>
            <w:vAlign w:val="bottom"/>
            <w:shd w:val="clear" w:color="auto" w:fill="CCEEFF"/>
          </w:tcPr>
          <w:p>
            <w:pPr>
              <w:ind w:left="940"/>
              <w:spacing w:after="0"/>
              <w:rPr>
                <w:sz w:val="20"/>
                <w:szCs w:val="20"/>
                <w:color w:val="auto"/>
              </w:rPr>
            </w:pPr>
            <w:r>
              <w:rPr>
                <w:rFonts w:ascii="Arial" w:cs="Arial" w:eastAsia="Arial" w:hAnsi="Arial"/>
                <w:sz w:val="20"/>
                <w:szCs w:val="20"/>
                <w:color w:val="auto"/>
              </w:rPr>
              <w:t>Germany</w:t>
            </w:r>
          </w:p>
        </w:tc>
      </w:tr>
      <w:tr>
        <w:trPr>
          <w:trHeight w:val="284"/>
        </w:trPr>
        <w:tc>
          <w:tcPr>
            <w:tcW w:w="548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243"/>
        </w:trPr>
        <w:tc>
          <w:tcPr>
            <w:tcW w:w="54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GmbH</w:t>
            </w:r>
          </w:p>
        </w:tc>
        <w:tc>
          <w:tcPr>
            <w:tcW w:w="5740" w:type="dxa"/>
            <w:vAlign w:val="bottom"/>
            <w:shd w:val="clear" w:color="auto" w:fill="CCEEFF"/>
          </w:tcPr>
          <w:p>
            <w:pPr>
              <w:ind w:left="940"/>
              <w:spacing w:after="0"/>
              <w:rPr>
                <w:sz w:val="20"/>
                <w:szCs w:val="20"/>
                <w:color w:val="auto"/>
              </w:rPr>
            </w:pPr>
            <w:r>
              <w:rPr>
                <w:rFonts w:ascii="Arial" w:cs="Arial" w:eastAsia="Arial" w:hAnsi="Arial"/>
                <w:sz w:val="20"/>
                <w:szCs w:val="20"/>
                <w:color w:val="auto"/>
              </w:rPr>
              <w:t>Germany</w:t>
            </w:r>
          </w:p>
        </w:tc>
      </w:tr>
      <w:tr>
        <w:trPr>
          <w:trHeight w:val="283"/>
        </w:trPr>
        <w:tc>
          <w:tcPr>
            <w:tcW w:w="548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243"/>
        </w:trPr>
        <w:tc>
          <w:tcPr>
            <w:tcW w:w="54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(Gibraltar) Holdings Limited</w:t>
            </w:r>
          </w:p>
        </w:tc>
        <w:tc>
          <w:tcPr>
            <w:tcW w:w="5740" w:type="dxa"/>
            <w:vAlign w:val="bottom"/>
            <w:shd w:val="clear" w:color="auto" w:fill="CCEEFF"/>
          </w:tcPr>
          <w:p>
            <w:pPr>
              <w:ind w:left="940"/>
              <w:spacing w:after="0"/>
              <w:rPr>
                <w:sz w:val="20"/>
                <w:szCs w:val="20"/>
                <w:color w:val="auto"/>
              </w:rPr>
            </w:pPr>
            <w:r>
              <w:rPr>
                <w:rFonts w:ascii="Arial" w:cs="Arial" w:eastAsia="Arial" w:hAnsi="Arial"/>
                <w:sz w:val="20"/>
                <w:szCs w:val="20"/>
                <w:color w:val="auto"/>
              </w:rPr>
              <w:t>Gibraltar</w:t>
            </w:r>
          </w:p>
        </w:tc>
      </w:tr>
      <w:tr>
        <w:trPr>
          <w:trHeight w:val="283"/>
        </w:trPr>
        <w:tc>
          <w:tcPr>
            <w:tcW w:w="548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243"/>
        </w:trPr>
        <w:tc>
          <w:tcPr>
            <w:tcW w:w="54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(Gibraltar) Limited</w:t>
            </w:r>
          </w:p>
        </w:tc>
        <w:tc>
          <w:tcPr>
            <w:tcW w:w="5740" w:type="dxa"/>
            <w:vAlign w:val="bottom"/>
            <w:shd w:val="clear" w:color="auto" w:fill="CCEEFF"/>
          </w:tcPr>
          <w:p>
            <w:pPr>
              <w:ind w:left="940"/>
              <w:spacing w:after="0"/>
              <w:rPr>
                <w:sz w:val="20"/>
                <w:szCs w:val="20"/>
                <w:color w:val="auto"/>
              </w:rPr>
            </w:pPr>
            <w:r>
              <w:rPr>
                <w:rFonts w:ascii="Arial" w:cs="Arial" w:eastAsia="Arial" w:hAnsi="Arial"/>
                <w:sz w:val="20"/>
                <w:szCs w:val="20"/>
                <w:color w:val="auto"/>
              </w:rPr>
              <w:t>Gibraltar</w:t>
            </w:r>
          </w:p>
        </w:tc>
      </w:tr>
      <w:tr>
        <w:trPr>
          <w:trHeight w:val="283"/>
        </w:trPr>
        <w:tc>
          <w:tcPr>
            <w:tcW w:w="548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243"/>
        </w:trPr>
        <w:tc>
          <w:tcPr>
            <w:tcW w:w="54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Pharmaceuticals Societe Anonyme</w:t>
            </w:r>
          </w:p>
        </w:tc>
        <w:tc>
          <w:tcPr>
            <w:tcW w:w="5740" w:type="dxa"/>
            <w:vAlign w:val="bottom"/>
            <w:shd w:val="clear" w:color="auto" w:fill="CCEEFF"/>
          </w:tcPr>
          <w:p>
            <w:pPr>
              <w:ind w:left="940"/>
              <w:spacing w:after="0"/>
              <w:rPr>
                <w:sz w:val="20"/>
                <w:szCs w:val="20"/>
                <w:color w:val="auto"/>
              </w:rPr>
            </w:pPr>
            <w:r>
              <w:rPr>
                <w:rFonts w:ascii="Arial" w:cs="Arial" w:eastAsia="Arial" w:hAnsi="Arial"/>
                <w:sz w:val="20"/>
                <w:szCs w:val="20"/>
                <w:color w:val="auto"/>
              </w:rPr>
              <w:t>Greece</w:t>
            </w:r>
          </w:p>
        </w:tc>
      </w:tr>
      <w:tr>
        <w:trPr>
          <w:trHeight w:val="284"/>
        </w:trPr>
        <w:tc>
          <w:tcPr>
            <w:tcW w:w="548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243"/>
        </w:trPr>
        <w:tc>
          <w:tcPr>
            <w:tcW w:w="54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Hellas Pharmaceuticals S.A.</w:t>
            </w:r>
          </w:p>
        </w:tc>
        <w:tc>
          <w:tcPr>
            <w:tcW w:w="5740" w:type="dxa"/>
            <w:vAlign w:val="bottom"/>
            <w:shd w:val="clear" w:color="auto" w:fill="CCEEFF"/>
          </w:tcPr>
          <w:p>
            <w:pPr>
              <w:ind w:left="940"/>
              <w:spacing w:after="0"/>
              <w:rPr>
                <w:sz w:val="20"/>
                <w:szCs w:val="20"/>
                <w:color w:val="auto"/>
              </w:rPr>
            </w:pPr>
            <w:r>
              <w:rPr>
                <w:rFonts w:ascii="Arial" w:cs="Arial" w:eastAsia="Arial" w:hAnsi="Arial"/>
                <w:sz w:val="20"/>
                <w:szCs w:val="20"/>
                <w:color w:val="auto"/>
              </w:rPr>
              <w:t>Greece</w:t>
            </w:r>
          </w:p>
        </w:tc>
      </w:tr>
      <w:tr>
        <w:trPr>
          <w:trHeight w:val="284"/>
        </w:trPr>
        <w:tc>
          <w:tcPr>
            <w:tcW w:w="548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243"/>
        </w:trPr>
        <w:tc>
          <w:tcPr>
            <w:tcW w:w="54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S.A.</w:t>
            </w:r>
          </w:p>
        </w:tc>
        <w:tc>
          <w:tcPr>
            <w:tcW w:w="5740" w:type="dxa"/>
            <w:vAlign w:val="bottom"/>
            <w:shd w:val="clear" w:color="auto" w:fill="CCEEFF"/>
          </w:tcPr>
          <w:p>
            <w:pPr>
              <w:ind w:left="940"/>
              <w:spacing w:after="0"/>
              <w:rPr>
                <w:sz w:val="20"/>
                <w:szCs w:val="20"/>
                <w:color w:val="auto"/>
              </w:rPr>
            </w:pPr>
            <w:r>
              <w:rPr>
                <w:rFonts w:ascii="Arial" w:cs="Arial" w:eastAsia="Arial" w:hAnsi="Arial"/>
                <w:sz w:val="20"/>
                <w:szCs w:val="20"/>
                <w:color w:val="auto"/>
              </w:rPr>
              <w:t>Guatemala</w:t>
            </w:r>
          </w:p>
        </w:tc>
      </w:tr>
      <w:tr>
        <w:trPr>
          <w:trHeight w:val="283"/>
        </w:trPr>
        <w:tc>
          <w:tcPr>
            <w:tcW w:w="548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243"/>
        </w:trPr>
        <w:tc>
          <w:tcPr>
            <w:tcW w:w="54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Limited</w:t>
            </w:r>
          </w:p>
        </w:tc>
        <w:tc>
          <w:tcPr>
            <w:tcW w:w="5740" w:type="dxa"/>
            <w:vAlign w:val="bottom"/>
            <w:shd w:val="clear" w:color="auto" w:fill="CCEEFF"/>
          </w:tcPr>
          <w:p>
            <w:pPr>
              <w:ind w:left="940"/>
              <w:spacing w:after="0"/>
              <w:rPr>
                <w:sz w:val="20"/>
                <w:szCs w:val="20"/>
                <w:color w:val="auto"/>
              </w:rPr>
            </w:pPr>
            <w:r>
              <w:rPr>
                <w:rFonts w:ascii="Arial" w:cs="Arial" w:eastAsia="Arial" w:hAnsi="Arial"/>
                <w:sz w:val="20"/>
                <w:szCs w:val="20"/>
                <w:color w:val="auto"/>
              </w:rPr>
              <w:t>Hong Kong</w:t>
            </w:r>
          </w:p>
        </w:tc>
      </w:tr>
      <w:tr>
        <w:trPr>
          <w:trHeight w:val="270"/>
        </w:trPr>
        <w:tc>
          <w:tcPr>
            <w:tcW w:w="5480" w:type="dxa"/>
            <w:vAlign w:val="bottom"/>
          </w:tcPr>
          <w:p>
            <w:pPr>
              <w:spacing w:after="0"/>
              <w:rPr>
                <w:sz w:val="23"/>
                <w:szCs w:val="23"/>
                <w:color w:val="auto"/>
              </w:rPr>
            </w:pPr>
          </w:p>
        </w:tc>
        <w:tc>
          <w:tcPr>
            <w:tcW w:w="5740" w:type="dxa"/>
            <w:vAlign w:val="bottom"/>
          </w:tcPr>
          <w:p>
            <w:pPr>
              <w:spacing w:after="0"/>
              <w:rPr>
                <w:sz w:val="23"/>
                <w:szCs w:val="23"/>
                <w:color w:val="auto"/>
              </w:rPr>
            </w:pPr>
          </w:p>
        </w:tc>
      </w:tr>
      <w:tr>
        <w:trPr>
          <w:trHeight w:val="243"/>
        </w:trPr>
        <w:tc>
          <w:tcPr>
            <w:tcW w:w="54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Hong Kong Limited</w:t>
            </w:r>
          </w:p>
        </w:tc>
        <w:tc>
          <w:tcPr>
            <w:tcW w:w="5740" w:type="dxa"/>
            <w:vAlign w:val="bottom"/>
            <w:shd w:val="clear" w:color="auto" w:fill="CCEEFF"/>
          </w:tcPr>
          <w:p>
            <w:pPr>
              <w:ind w:left="940"/>
              <w:spacing w:after="0"/>
              <w:rPr>
                <w:sz w:val="20"/>
                <w:szCs w:val="20"/>
                <w:color w:val="auto"/>
              </w:rPr>
            </w:pPr>
            <w:r>
              <w:rPr>
                <w:rFonts w:ascii="Arial" w:cs="Arial" w:eastAsia="Arial" w:hAnsi="Arial"/>
                <w:sz w:val="20"/>
                <w:szCs w:val="20"/>
                <w:color w:val="auto"/>
              </w:rPr>
              <w:t>Hong Kong</w:t>
            </w:r>
          </w:p>
        </w:tc>
      </w:tr>
      <w:tr>
        <w:trPr>
          <w:trHeight w:val="270"/>
        </w:trPr>
        <w:tc>
          <w:tcPr>
            <w:tcW w:w="5480" w:type="dxa"/>
            <w:vAlign w:val="bottom"/>
          </w:tcPr>
          <w:p>
            <w:pPr>
              <w:spacing w:after="0"/>
              <w:rPr>
                <w:sz w:val="23"/>
                <w:szCs w:val="23"/>
                <w:color w:val="auto"/>
              </w:rPr>
            </w:pPr>
          </w:p>
        </w:tc>
        <w:tc>
          <w:tcPr>
            <w:tcW w:w="5740" w:type="dxa"/>
            <w:vAlign w:val="bottom"/>
          </w:tcPr>
          <w:p>
            <w:pPr>
              <w:spacing w:after="0"/>
              <w:rPr>
                <w:sz w:val="23"/>
                <w:szCs w:val="23"/>
                <w:color w:val="auto"/>
              </w:rPr>
            </w:pPr>
          </w:p>
        </w:tc>
      </w:tr>
      <w:tr>
        <w:trPr>
          <w:trHeight w:val="243"/>
        </w:trPr>
        <w:tc>
          <w:tcPr>
            <w:tcW w:w="54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Kft.</w:t>
            </w:r>
          </w:p>
        </w:tc>
        <w:tc>
          <w:tcPr>
            <w:tcW w:w="5740" w:type="dxa"/>
            <w:vAlign w:val="bottom"/>
            <w:shd w:val="clear" w:color="auto" w:fill="CCEEFF"/>
          </w:tcPr>
          <w:p>
            <w:pPr>
              <w:ind w:left="940"/>
              <w:spacing w:after="0"/>
              <w:rPr>
                <w:sz w:val="20"/>
                <w:szCs w:val="20"/>
                <w:color w:val="auto"/>
              </w:rPr>
            </w:pPr>
            <w:r>
              <w:rPr>
                <w:rFonts w:ascii="Arial" w:cs="Arial" w:eastAsia="Arial" w:hAnsi="Arial"/>
                <w:sz w:val="20"/>
                <w:szCs w:val="20"/>
                <w:color w:val="auto"/>
              </w:rPr>
              <w:t>Hungary</w:t>
            </w:r>
          </w:p>
        </w:tc>
      </w:tr>
      <w:tr>
        <w:trPr>
          <w:trHeight w:val="270"/>
        </w:trPr>
        <w:tc>
          <w:tcPr>
            <w:tcW w:w="5480" w:type="dxa"/>
            <w:vAlign w:val="bottom"/>
          </w:tcPr>
          <w:p>
            <w:pPr>
              <w:spacing w:after="0"/>
              <w:rPr>
                <w:sz w:val="23"/>
                <w:szCs w:val="23"/>
                <w:color w:val="auto"/>
              </w:rPr>
            </w:pPr>
          </w:p>
        </w:tc>
        <w:tc>
          <w:tcPr>
            <w:tcW w:w="5740" w:type="dxa"/>
            <w:vAlign w:val="bottom"/>
          </w:tcPr>
          <w:p>
            <w:pPr>
              <w:spacing w:after="0"/>
              <w:rPr>
                <w:sz w:val="23"/>
                <w:szCs w:val="23"/>
                <w:color w:val="auto"/>
              </w:rPr>
            </w:pPr>
          </w:p>
        </w:tc>
      </w:tr>
      <w:tr>
        <w:trPr>
          <w:trHeight w:val="243"/>
        </w:trPr>
        <w:tc>
          <w:tcPr>
            <w:tcW w:w="54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Hungary Kft.</w:t>
            </w:r>
          </w:p>
        </w:tc>
        <w:tc>
          <w:tcPr>
            <w:tcW w:w="5740" w:type="dxa"/>
            <w:vAlign w:val="bottom"/>
            <w:shd w:val="clear" w:color="auto" w:fill="CCEEFF"/>
          </w:tcPr>
          <w:p>
            <w:pPr>
              <w:ind w:left="940"/>
              <w:spacing w:after="0"/>
              <w:rPr>
                <w:sz w:val="20"/>
                <w:szCs w:val="20"/>
                <w:color w:val="auto"/>
              </w:rPr>
            </w:pPr>
            <w:r>
              <w:rPr>
                <w:rFonts w:ascii="Arial" w:cs="Arial" w:eastAsia="Arial" w:hAnsi="Arial"/>
                <w:sz w:val="20"/>
                <w:szCs w:val="20"/>
                <w:color w:val="auto"/>
              </w:rPr>
              <w:t>Hungary</w:t>
            </w:r>
          </w:p>
        </w:tc>
      </w:tr>
      <w:tr>
        <w:trPr>
          <w:trHeight w:val="270"/>
        </w:trPr>
        <w:tc>
          <w:tcPr>
            <w:tcW w:w="5480" w:type="dxa"/>
            <w:vAlign w:val="bottom"/>
          </w:tcPr>
          <w:p>
            <w:pPr>
              <w:spacing w:after="0"/>
              <w:rPr>
                <w:sz w:val="23"/>
                <w:szCs w:val="23"/>
                <w:color w:val="auto"/>
              </w:rPr>
            </w:pPr>
          </w:p>
        </w:tc>
        <w:tc>
          <w:tcPr>
            <w:tcW w:w="5740" w:type="dxa"/>
            <w:vAlign w:val="bottom"/>
          </w:tcPr>
          <w:p>
            <w:pPr>
              <w:spacing w:after="0"/>
              <w:rPr>
                <w:sz w:val="23"/>
                <w:szCs w:val="23"/>
                <w:color w:val="auto"/>
              </w:rPr>
            </w:pPr>
          </w:p>
        </w:tc>
      </w:tr>
      <w:tr>
        <w:trPr>
          <w:trHeight w:val="243"/>
        </w:trPr>
        <w:tc>
          <w:tcPr>
            <w:tcW w:w="54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Healthcare India Private Limited</w:t>
            </w:r>
          </w:p>
        </w:tc>
        <w:tc>
          <w:tcPr>
            <w:tcW w:w="5740" w:type="dxa"/>
            <w:vAlign w:val="bottom"/>
            <w:shd w:val="clear" w:color="auto" w:fill="CCEEFF"/>
          </w:tcPr>
          <w:p>
            <w:pPr>
              <w:ind w:left="940"/>
              <w:spacing w:after="0"/>
              <w:rPr>
                <w:sz w:val="20"/>
                <w:szCs w:val="20"/>
                <w:color w:val="auto"/>
              </w:rPr>
            </w:pPr>
            <w:r>
              <w:rPr>
                <w:rFonts w:ascii="Arial" w:cs="Arial" w:eastAsia="Arial" w:hAnsi="Arial"/>
                <w:sz w:val="20"/>
                <w:szCs w:val="20"/>
                <w:color w:val="auto"/>
              </w:rPr>
              <w:t>India</w:t>
            </w:r>
          </w:p>
        </w:tc>
      </w:tr>
      <w:tr>
        <w:trPr>
          <w:trHeight w:val="270"/>
        </w:trPr>
        <w:tc>
          <w:tcPr>
            <w:tcW w:w="5480" w:type="dxa"/>
            <w:vAlign w:val="bottom"/>
          </w:tcPr>
          <w:p>
            <w:pPr>
              <w:spacing w:after="0"/>
              <w:rPr>
                <w:sz w:val="23"/>
                <w:szCs w:val="23"/>
                <w:color w:val="auto"/>
              </w:rPr>
            </w:pPr>
          </w:p>
        </w:tc>
        <w:tc>
          <w:tcPr>
            <w:tcW w:w="5740" w:type="dxa"/>
            <w:vAlign w:val="bottom"/>
          </w:tcPr>
          <w:p>
            <w:pPr>
              <w:spacing w:after="0"/>
              <w:rPr>
                <w:sz w:val="23"/>
                <w:szCs w:val="23"/>
                <w:color w:val="auto"/>
              </w:rPr>
            </w:pPr>
          </w:p>
        </w:tc>
      </w:tr>
      <w:tr>
        <w:trPr>
          <w:trHeight w:val="243"/>
        </w:trPr>
        <w:tc>
          <w:tcPr>
            <w:tcW w:w="54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India Private Limited*</w:t>
            </w:r>
          </w:p>
        </w:tc>
        <w:tc>
          <w:tcPr>
            <w:tcW w:w="5740" w:type="dxa"/>
            <w:vAlign w:val="bottom"/>
            <w:shd w:val="clear" w:color="auto" w:fill="CCEEFF"/>
          </w:tcPr>
          <w:p>
            <w:pPr>
              <w:ind w:left="940"/>
              <w:spacing w:after="0"/>
              <w:rPr>
                <w:sz w:val="20"/>
                <w:szCs w:val="20"/>
                <w:color w:val="auto"/>
              </w:rPr>
            </w:pPr>
            <w:r>
              <w:rPr>
                <w:rFonts w:ascii="Arial" w:cs="Arial" w:eastAsia="Arial" w:hAnsi="Arial"/>
                <w:sz w:val="20"/>
                <w:szCs w:val="20"/>
                <w:color w:val="auto"/>
              </w:rPr>
              <w:t>India</w:t>
            </w:r>
          </w:p>
        </w:tc>
      </w:tr>
      <w:tr>
        <w:trPr>
          <w:trHeight w:val="270"/>
        </w:trPr>
        <w:tc>
          <w:tcPr>
            <w:tcW w:w="5480" w:type="dxa"/>
            <w:vAlign w:val="bottom"/>
          </w:tcPr>
          <w:p>
            <w:pPr>
              <w:spacing w:after="0"/>
              <w:rPr>
                <w:sz w:val="23"/>
                <w:szCs w:val="23"/>
                <w:color w:val="auto"/>
              </w:rPr>
            </w:pPr>
          </w:p>
        </w:tc>
        <w:tc>
          <w:tcPr>
            <w:tcW w:w="5740" w:type="dxa"/>
            <w:vAlign w:val="bottom"/>
          </w:tcPr>
          <w:p>
            <w:pPr>
              <w:spacing w:after="0"/>
              <w:rPr>
                <w:sz w:val="23"/>
                <w:szCs w:val="23"/>
                <w:color w:val="auto"/>
              </w:rPr>
            </w:pPr>
          </w:p>
        </w:tc>
      </w:tr>
      <w:tr>
        <w:trPr>
          <w:trHeight w:val="243"/>
        </w:trPr>
        <w:tc>
          <w:tcPr>
            <w:tcW w:w="54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International Holdings Unlimited Company</w:t>
            </w:r>
          </w:p>
        </w:tc>
        <w:tc>
          <w:tcPr>
            <w:tcW w:w="5740" w:type="dxa"/>
            <w:vAlign w:val="bottom"/>
            <w:shd w:val="clear" w:color="auto" w:fill="CCEEFF"/>
          </w:tcPr>
          <w:p>
            <w:pPr>
              <w:ind w:left="940"/>
              <w:spacing w:after="0"/>
              <w:rPr>
                <w:sz w:val="20"/>
                <w:szCs w:val="20"/>
                <w:color w:val="auto"/>
              </w:rPr>
            </w:pPr>
            <w:r>
              <w:rPr>
                <w:rFonts w:ascii="Arial" w:cs="Arial" w:eastAsia="Arial" w:hAnsi="Arial"/>
                <w:sz w:val="20"/>
                <w:szCs w:val="20"/>
                <w:color w:val="auto"/>
              </w:rPr>
              <w:t>Ireland</w:t>
            </w:r>
          </w:p>
        </w:tc>
      </w:tr>
      <w:tr>
        <w:trPr>
          <w:trHeight w:val="270"/>
        </w:trPr>
        <w:tc>
          <w:tcPr>
            <w:tcW w:w="5480" w:type="dxa"/>
            <w:vAlign w:val="bottom"/>
          </w:tcPr>
          <w:p>
            <w:pPr>
              <w:spacing w:after="0"/>
              <w:rPr>
                <w:sz w:val="23"/>
                <w:szCs w:val="23"/>
                <w:color w:val="auto"/>
              </w:rPr>
            </w:pPr>
          </w:p>
        </w:tc>
        <w:tc>
          <w:tcPr>
            <w:tcW w:w="5740" w:type="dxa"/>
            <w:vAlign w:val="bottom"/>
          </w:tcPr>
          <w:p>
            <w:pPr>
              <w:spacing w:after="0"/>
              <w:rPr>
                <w:sz w:val="23"/>
                <w:szCs w:val="23"/>
                <w:color w:val="auto"/>
              </w:rPr>
            </w:pPr>
          </w:p>
        </w:tc>
      </w:tr>
      <w:tr>
        <w:trPr>
          <w:trHeight w:val="243"/>
        </w:trPr>
        <w:tc>
          <w:tcPr>
            <w:tcW w:w="54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Ireland Holdings Unlimited Company</w:t>
            </w:r>
          </w:p>
        </w:tc>
        <w:tc>
          <w:tcPr>
            <w:tcW w:w="5740" w:type="dxa"/>
            <w:vAlign w:val="bottom"/>
            <w:shd w:val="clear" w:color="auto" w:fill="CCEEFF"/>
          </w:tcPr>
          <w:p>
            <w:pPr>
              <w:ind w:left="940"/>
              <w:spacing w:after="0"/>
              <w:rPr>
                <w:sz w:val="20"/>
                <w:szCs w:val="20"/>
                <w:color w:val="auto"/>
              </w:rPr>
            </w:pPr>
            <w:r>
              <w:rPr>
                <w:rFonts w:ascii="Arial" w:cs="Arial" w:eastAsia="Arial" w:hAnsi="Arial"/>
                <w:sz w:val="20"/>
                <w:szCs w:val="20"/>
                <w:color w:val="auto"/>
              </w:rPr>
              <w:t>Ireland</w:t>
            </w:r>
          </w:p>
        </w:tc>
      </w:tr>
      <w:tr>
        <w:trPr>
          <w:trHeight w:val="270"/>
        </w:trPr>
        <w:tc>
          <w:tcPr>
            <w:tcW w:w="5480" w:type="dxa"/>
            <w:vAlign w:val="bottom"/>
          </w:tcPr>
          <w:p>
            <w:pPr>
              <w:spacing w:after="0"/>
              <w:rPr>
                <w:sz w:val="23"/>
                <w:szCs w:val="23"/>
                <w:color w:val="auto"/>
              </w:rPr>
            </w:pPr>
          </w:p>
        </w:tc>
        <w:tc>
          <w:tcPr>
            <w:tcW w:w="5740" w:type="dxa"/>
            <w:vAlign w:val="bottom"/>
          </w:tcPr>
          <w:p>
            <w:pPr>
              <w:spacing w:after="0"/>
              <w:rPr>
                <w:sz w:val="23"/>
                <w:szCs w:val="23"/>
                <w:color w:val="auto"/>
              </w:rPr>
            </w:pPr>
          </w:p>
        </w:tc>
      </w:tr>
      <w:tr>
        <w:trPr>
          <w:trHeight w:val="243"/>
        </w:trPr>
        <w:tc>
          <w:tcPr>
            <w:tcW w:w="54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Ireland Unlimited Company</w:t>
            </w:r>
          </w:p>
        </w:tc>
        <w:tc>
          <w:tcPr>
            <w:tcW w:w="5740" w:type="dxa"/>
            <w:vAlign w:val="bottom"/>
            <w:shd w:val="clear" w:color="auto" w:fill="CCEEFF"/>
          </w:tcPr>
          <w:p>
            <w:pPr>
              <w:ind w:left="940"/>
              <w:spacing w:after="0"/>
              <w:rPr>
                <w:sz w:val="20"/>
                <w:szCs w:val="20"/>
                <w:color w:val="auto"/>
              </w:rPr>
            </w:pPr>
            <w:r>
              <w:rPr>
                <w:rFonts w:ascii="Arial" w:cs="Arial" w:eastAsia="Arial" w:hAnsi="Arial"/>
                <w:sz w:val="20"/>
                <w:szCs w:val="20"/>
                <w:color w:val="auto"/>
              </w:rPr>
              <w:t>Ireland</w:t>
            </w:r>
          </w:p>
        </w:tc>
      </w:tr>
    </w:tbl>
    <w:p>
      <w:pPr>
        <w:sectPr>
          <w:pgSz w:w="11900" w:h="16838" w:orient="portrait"/>
          <w:cols w:equalWidth="0" w:num="1">
            <w:col w:w="11220"/>
          </w:cols>
          <w:pgMar w:left="320" w:top="936" w:right="359" w:bottom="144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Limited</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Ireland</w:t>
            </w:r>
          </w:p>
        </w:tc>
      </w:tr>
      <w:tr>
        <w:trPr>
          <w:trHeight w:val="270"/>
        </w:trPr>
        <w:tc>
          <w:tcPr>
            <w:tcW w:w="6240" w:type="dxa"/>
            <w:vAlign w:val="bottom"/>
          </w:tcPr>
          <w:p>
            <w:pPr>
              <w:spacing w:after="0"/>
              <w:rPr>
                <w:sz w:val="23"/>
                <w:szCs w:val="23"/>
                <w:color w:val="auto"/>
              </w:rPr>
            </w:pPr>
          </w:p>
        </w:tc>
        <w:tc>
          <w:tcPr>
            <w:tcW w:w="4980" w:type="dxa"/>
            <w:vAlign w:val="bottom"/>
          </w:tcPr>
          <w:p>
            <w:pPr>
              <w:spacing w:after="0"/>
              <w:rPr>
                <w:sz w:val="23"/>
                <w:szCs w:val="23"/>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Manufacturing Management Unlimited Company</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Ireland</w:t>
            </w:r>
          </w:p>
        </w:tc>
      </w:tr>
      <w:tr>
        <w:trPr>
          <w:trHeight w:val="270"/>
        </w:trPr>
        <w:tc>
          <w:tcPr>
            <w:tcW w:w="6240" w:type="dxa"/>
            <w:vAlign w:val="bottom"/>
          </w:tcPr>
          <w:p>
            <w:pPr>
              <w:spacing w:after="0"/>
              <w:rPr>
                <w:sz w:val="23"/>
                <w:szCs w:val="23"/>
                <w:color w:val="auto"/>
              </w:rPr>
            </w:pPr>
          </w:p>
        </w:tc>
        <w:tc>
          <w:tcPr>
            <w:tcW w:w="4980" w:type="dxa"/>
            <w:vAlign w:val="bottom"/>
          </w:tcPr>
          <w:p>
            <w:pPr>
              <w:spacing w:after="0"/>
              <w:rPr>
                <w:sz w:val="23"/>
                <w:szCs w:val="23"/>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Botox Unlimited Company (In voluntary liquidation)</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Ireland</w:t>
            </w:r>
          </w:p>
        </w:tc>
      </w:tr>
      <w:tr>
        <w:trPr>
          <w:trHeight w:val="270"/>
        </w:trPr>
        <w:tc>
          <w:tcPr>
            <w:tcW w:w="6240" w:type="dxa"/>
            <w:vAlign w:val="bottom"/>
          </w:tcPr>
          <w:p>
            <w:pPr>
              <w:spacing w:after="0"/>
              <w:rPr>
                <w:sz w:val="23"/>
                <w:szCs w:val="23"/>
                <w:color w:val="auto"/>
              </w:rPr>
            </w:pPr>
          </w:p>
        </w:tc>
        <w:tc>
          <w:tcPr>
            <w:tcW w:w="4980" w:type="dxa"/>
            <w:vAlign w:val="bottom"/>
          </w:tcPr>
          <w:p>
            <w:pPr>
              <w:spacing w:after="0"/>
              <w:rPr>
                <w:sz w:val="23"/>
                <w:szCs w:val="23"/>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Equities Unlimited Company</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Ireland</w:t>
            </w:r>
          </w:p>
        </w:tc>
      </w:tr>
      <w:tr>
        <w:trPr>
          <w:trHeight w:val="270"/>
        </w:trPr>
        <w:tc>
          <w:tcPr>
            <w:tcW w:w="6240" w:type="dxa"/>
            <w:vAlign w:val="bottom"/>
          </w:tcPr>
          <w:p>
            <w:pPr>
              <w:spacing w:after="0"/>
              <w:rPr>
                <w:sz w:val="23"/>
                <w:szCs w:val="23"/>
                <w:color w:val="auto"/>
              </w:rPr>
            </w:pPr>
          </w:p>
        </w:tc>
        <w:tc>
          <w:tcPr>
            <w:tcW w:w="4980" w:type="dxa"/>
            <w:vAlign w:val="bottom"/>
          </w:tcPr>
          <w:p>
            <w:pPr>
              <w:spacing w:after="0"/>
              <w:rPr>
                <w:sz w:val="23"/>
                <w:szCs w:val="23"/>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Furiex Ireland Limited (In voluntary liquidation)</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Ireland</w:t>
            </w:r>
          </w:p>
        </w:tc>
      </w:tr>
      <w:tr>
        <w:trPr>
          <w:trHeight w:val="270"/>
        </w:trPr>
        <w:tc>
          <w:tcPr>
            <w:tcW w:w="6240" w:type="dxa"/>
            <w:vAlign w:val="bottom"/>
          </w:tcPr>
          <w:p>
            <w:pPr>
              <w:spacing w:after="0"/>
              <w:rPr>
                <w:sz w:val="23"/>
                <w:szCs w:val="23"/>
                <w:color w:val="auto"/>
              </w:rPr>
            </w:pPr>
          </w:p>
        </w:tc>
        <w:tc>
          <w:tcPr>
            <w:tcW w:w="4980" w:type="dxa"/>
            <w:vAlign w:val="bottom"/>
          </w:tcPr>
          <w:p>
            <w:pPr>
              <w:spacing w:after="0"/>
              <w:rPr>
                <w:sz w:val="23"/>
                <w:szCs w:val="23"/>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Holdings Unlimited Company</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Ireland</w:t>
            </w:r>
          </w:p>
        </w:tc>
      </w:tr>
      <w:tr>
        <w:trPr>
          <w:trHeight w:val="270"/>
        </w:trPr>
        <w:tc>
          <w:tcPr>
            <w:tcW w:w="6240" w:type="dxa"/>
            <w:vAlign w:val="bottom"/>
          </w:tcPr>
          <w:p>
            <w:pPr>
              <w:spacing w:after="0"/>
              <w:rPr>
                <w:sz w:val="23"/>
                <w:szCs w:val="23"/>
                <w:color w:val="auto"/>
              </w:rPr>
            </w:pPr>
          </w:p>
        </w:tc>
        <w:tc>
          <w:tcPr>
            <w:tcW w:w="4980" w:type="dxa"/>
            <w:vAlign w:val="bottom"/>
          </w:tcPr>
          <w:p>
            <w:pPr>
              <w:spacing w:after="0"/>
              <w:rPr>
                <w:sz w:val="23"/>
                <w:szCs w:val="23"/>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Ireland Finance Limited (In voluntary liquidation)</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Ireland</w:t>
            </w:r>
          </w:p>
        </w:tc>
      </w:tr>
      <w:tr>
        <w:trPr>
          <w:trHeight w:val="270"/>
        </w:trPr>
        <w:tc>
          <w:tcPr>
            <w:tcW w:w="6240" w:type="dxa"/>
            <w:vAlign w:val="bottom"/>
          </w:tcPr>
          <w:p>
            <w:pPr>
              <w:spacing w:after="0"/>
              <w:rPr>
                <w:sz w:val="23"/>
                <w:szCs w:val="23"/>
                <w:color w:val="auto"/>
              </w:rPr>
            </w:pPr>
          </w:p>
        </w:tc>
        <w:tc>
          <w:tcPr>
            <w:tcW w:w="4980" w:type="dxa"/>
            <w:vAlign w:val="bottom"/>
          </w:tcPr>
          <w:p>
            <w:pPr>
              <w:spacing w:after="0"/>
              <w:rPr>
                <w:sz w:val="23"/>
                <w:szCs w:val="23"/>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Ireland Holdings Unlimited Company</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Ireland</w:t>
            </w:r>
          </w:p>
        </w:tc>
      </w:tr>
      <w:tr>
        <w:trPr>
          <w:trHeight w:val="270"/>
        </w:trPr>
        <w:tc>
          <w:tcPr>
            <w:tcW w:w="6240" w:type="dxa"/>
            <w:vAlign w:val="bottom"/>
          </w:tcPr>
          <w:p>
            <w:pPr>
              <w:spacing w:after="0"/>
              <w:rPr>
                <w:sz w:val="23"/>
                <w:szCs w:val="23"/>
                <w:color w:val="auto"/>
              </w:rPr>
            </w:pPr>
          </w:p>
        </w:tc>
        <w:tc>
          <w:tcPr>
            <w:tcW w:w="4980" w:type="dxa"/>
            <w:vAlign w:val="bottom"/>
          </w:tcPr>
          <w:p>
            <w:pPr>
              <w:spacing w:after="0"/>
              <w:rPr>
                <w:sz w:val="23"/>
                <w:szCs w:val="23"/>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Ireland Limited</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Ireland</w:t>
            </w:r>
          </w:p>
        </w:tc>
      </w:tr>
      <w:tr>
        <w:trPr>
          <w:trHeight w:val="270"/>
        </w:trPr>
        <w:tc>
          <w:tcPr>
            <w:tcW w:w="6240" w:type="dxa"/>
            <w:vAlign w:val="bottom"/>
          </w:tcPr>
          <w:p>
            <w:pPr>
              <w:spacing w:after="0"/>
              <w:rPr>
                <w:sz w:val="23"/>
                <w:szCs w:val="23"/>
                <w:color w:val="auto"/>
              </w:rPr>
            </w:pPr>
          </w:p>
        </w:tc>
        <w:tc>
          <w:tcPr>
            <w:tcW w:w="4980" w:type="dxa"/>
            <w:vAlign w:val="bottom"/>
          </w:tcPr>
          <w:p>
            <w:pPr>
              <w:spacing w:after="0"/>
              <w:rPr>
                <w:sz w:val="23"/>
                <w:szCs w:val="23"/>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Limited</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Ireland</w:t>
            </w:r>
          </w:p>
        </w:tc>
      </w:tr>
      <w:tr>
        <w:trPr>
          <w:trHeight w:val="270"/>
        </w:trPr>
        <w:tc>
          <w:tcPr>
            <w:tcW w:w="6240" w:type="dxa"/>
            <w:vAlign w:val="bottom"/>
          </w:tcPr>
          <w:p>
            <w:pPr>
              <w:spacing w:after="0"/>
              <w:rPr>
                <w:sz w:val="23"/>
                <w:szCs w:val="23"/>
                <w:color w:val="auto"/>
              </w:rPr>
            </w:pPr>
          </w:p>
        </w:tc>
        <w:tc>
          <w:tcPr>
            <w:tcW w:w="4980" w:type="dxa"/>
            <w:vAlign w:val="bottom"/>
          </w:tcPr>
          <w:p>
            <w:pPr>
              <w:spacing w:after="0"/>
              <w:rPr>
                <w:sz w:val="23"/>
                <w:szCs w:val="23"/>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Pharma Limited</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Ireland</w:t>
            </w:r>
          </w:p>
        </w:tc>
      </w:tr>
      <w:tr>
        <w:trPr>
          <w:trHeight w:val="270"/>
        </w:trPr>
        <w:tc>
          <w:tcPr>
            <w:tcW w:w="6240" w:type="dxa"/>
            <w:vAlign w:val="bottom"/>
          </w:tcPr>
          <w:p>
            <w:pPr>
              <w:spacing w:after="0"/>
              <w:rPr>
                <w:sz w:val="23"/>
                <w:szCs w:val="23"/>
                <w:color w:val="auto"/>
              </w:rPr>
            </w:pPr>
          </w:p>
        </w:tc>
        <w:tc>
          <w:tcPr>
            <w:tcW w:w="4980" w:type="dxa"/>
            <w:vAlign w:val="bottom"/>
          </w:tcPr>
          <w:p>
            <w:pPr>
              <w:spacing w:after="0"/>
              <w:rPr>
                <w:sz w:val="23"/>
                <w:szCs w:val="23"/>
                <w:color w:val="auto"/>
              </w:rPr>
            </w:pPr>
          </w:p>
        </w:tc>
      </w:tr>
      <w:tr>
        <w:trPr>
          <w:trHeight w:val="199"/>
        </w:trPr>
        <w:tc>
          <w:tcPr>
            <w:tcW w:w="6240" w:type="dxa"/>
            <w:vAlign w:val="bottom"/>
            <w:shd w:val="clear" w:color="auto" w:fill="CCEEFF"/>
          </w:tcPr>
          <w:p>
            <w:pPr>
              <w:ind w:left="140"/>
              <w:spacing w:after="0" w:line="199" w:lineRule="exact"/>
              <w:rPr>
                <w:sz w:val="20"/>
                <w:szCs w:val="20"/>
                <w:color w:val="auto"/>
              </w:rPr>
            </w:pPr>
            <w:r>
              <w:rPr>
                <w:rFonts w:ascii="Arial" w:cs="Arial" w:eastAsia="Arial" w:hAnsi="Arial"/>
                <w:sz w:val="20"/>
                <w:szCs w:val="20"/>
                <w:color w:val="auto"/>
              </w:rPr>
              <w:t>Allergan Pharmaceuticals Holdings (Ireland) Unlimited Company (In</w:t>
            </w:r>
          </w:p>
        </w:tc>
        <w:tc>
          <w:tcPr>
            <w:tcW w:w="4980" w:type="dxa"/>
            <w:vAlign w:val="bottom"/>
            <w:shd w:val="clear" w:color="auto" w:fill="CCEEFF"/>
          </w:tcPr>
          <w:p>
            <w:pPr>
              <w:ind w:left="180"/>
              <w:spacing w:after="0" w:line="199" w:lineRule="exact"/>
              <w:rPr>
                <w:sz w:val="20"/>
                <w:szCs w:val="20"/>
                <w:color w:val="auto"/>
              </w:rPr>
            </w:pPr>
            <w:r>
              <w:rPr>
                <w:rFonts w:ascii="Arial" w:cs="Arial" w:eastAsia="Arial" w:hAnsi="Arial"/>
                <w:sz w:val="20"/>
                <w:szCs w:val="20"/>
                <w:color w:val="auto"/>
              </w:rPr>
              <w:t>Ireland</w:t>
            </w:r>
          </w:p>
        </w:tc>
      </w:tr>
      <w:tr>
        <w:trPr>
          <w:trHeight w:val="23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voluntary liquidation)</w:t>
            </w:r>
          </w:p>
        </w:tc>
        <w:tc>
          <w:tcPr>
            <w:tcW w:w="4980" w:type="dxa"/>
            <w:vAlign w:val="bottom"/>
            <w:shd w:val="clear" w:color="auto" w:fill="CCEEFF"/>
          </w:tcPr>
          <w:p>
            <w:pPr>
              <w:spacing w:after="0"/>
              <w:rPr>
                <w:sz w:val="20"/>
                <w:szCs w:val="20"/>
                <w:color w:val="auto"/>
              </w:rPr>
            </w:pPr>
          </w:p>
        </w:tc>
      </w:tr>
      <w:tr>
        <w:trPr>
          <w:trHeight w:val="270"/>
        </w:trPr>
        <w:tc>
          <w:tcPr>
            <w:tcW w:w="6240" w:type="dxa"/>
            <w:vAlign w:val="bottom"/>
          </w:tcPr>
          <w:p>
            <w:pPr>
              <w:spacing w:after="0"/>
              <w:rPr>
                <w:sz w:val="23"/>
                <w:szCs w:val="23"/>
                <w:color w:val="auto"/>
              </w:rPr>
            </w:pPr>
          </w:p>
        </w:tc>
        <w:tc>
          <w:tcPr>
            <w:tcW w:w="4980" w:type="dxa"/>
            <w:vAlign w:val="bottom"/>
          </w:tcPr>
          <w:p>
            <w:pPr>
              <w:spacing w:after="0"/>
              <w:rPr>
                <w:sz w:val="23"/>
                <w:szCs w:val="23"/>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Pharmaceuticals International Limited</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Ireland</w:t>
            </w:r>
          </w:p>
        </w:tc>
      </w:tr>
      <w:tr>
        <w:trPr>
          <w:trHeight w:val="270"/>
        </w:trPr>
        <w:tc>
          <w:tcPr>
            <w:tcW w:w="6240" w:type="dxa"/>
            <w:vAlign w:val="bottom"/>
          </w:tcPr>
          <w:p>
            <w:pPr>
              <w:spacing w:after="0"/>
              <w:rPr>
                <w:sz w:val="23"/>
                <w:szCs w:val="23"/>
                <w:color w:val="auto"/>
              </w:rPr>
            </w:pPr>
          </w:p>
        </w:tc>
        <w:tc>
          <w:tcPr>
            <w:tcW w:w="4980" w:type="dxa"/>
            <w:vAlign w:val="bottom"/>
          </w:tcPr>
          <w:p>
            <w:pPr>
              <w:spacing w:after="0"/>
              <w:rPr>
                <w:sz w:val="23"/>
                <w:szCs w:val="23"/>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Pharmaceuticals Ireland</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Ireland</w:t>
            </w:r>
          </w:p>
        </w:tc>
      </w:tr>
      <w:tr>
        <w:trPr>
          <w:trHeight w:val="270"/>
        </w:trPr>
        <w:tc>
          <w:tcPr>
            <w:tcW w:w="6240" w:type="dxa"/>
            <w:vAlign w:val="bottom"/>
          </w:tcPr>
          <w:p>
            <w:pPr>
              <w:spacing w:after="0"/>
              <w:rPr>
                <w:sz w:val="23"/>
                <w:szCs w:val="23"/>
                <w:color w:val="auto"/>
              </w:rPr>
            </w:pPr>
          </w:p>
        </w:tc>
        <w:tc>
          <w:tcPr>
            <w:tcW w:w="4980" w:type="dxa"/>
            <w:vAlign w:val="bottom"/>
          </w:tcPr>
          <w:p>
            <w:pPr>
              <w:spacing w:after="0"/>
              <w:rPr>
                <w:sz w:val="23"/>
                <w:szCs w:val="23"/>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Services International, Unlimited Company</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Ireland</w:t>
            </w:r>
          </w:p>
        </w:tc>
      </w:tr>
      <w:tr>
        <w:trPr>
          <w:trHeight w:val="270"/>
        </w:trPr>
        <w:tc>
          <w:tcPr>
            <w:tcW w:w="6240" w:type="dxa"/>
            <w:vAlign w:val="bottom"/>
          </w:tcPr>
          <w:p>
            <w:pPr>
              <w:spacing w:after="0"/>
              <w:rPr>
                <w:sz w:val="23"/>
                <w:szCs w:val="23"/>
                <w:color w:val="auto"/>
              </w:rPr>
            </w:pPr>
          </w:p>
        </w:tc>
        <w:tc>
          <w:tcPr>
            <w:tcW w:w="4980" w:type="dxa"/>
            <w:vAlign w:val="bottom"/>
          </w:tcPr>
          <w:p>
            <w:pPr>
              <w:spacing w:after="0"/>
              <w:rPr>
                <w:sz w:val="23"/>
                <w:szCs w:val="23"/>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WC Ireland Holdings Limited</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Ireland</w:t>
            </w:r>
          </w:p>
        </w:tc>
      </w:tr>
      <w:tr>
        <w:trPr>
          <w:trHeight w:val="270"/>
        </w:trPr>
        <w:tc>
          <w:tcPr>
            <w:tcW w:w="6240" w:type="dxa"/>
            <w:vAlign w:val="bottom"/>
          </w:tcPr>
          <w:p>
            <w:pPr>
              <w:spacing w:after="0"/>
              <w:rPr>
                <w:sz w:val="23"/>
                <w:szCs w:val="23"/>
                <w:color w:val="auto"/>
              </w:rPr>
            </w:pPr>
          </w:p>
        </w:tc>
        <w:tc>
          <w:tcPr>
            <w:tcW w:w="4980" w:type="dxa"/>
            <w:vAlign w:val="bottom"/>
          </w:tcPr>
          <w:p>
            <w:pPr>
              <w:spacing w:after="0"/>
              <w:rPr>
                <w:sz w:val="23"/>
                <w:szCs w:val="23"/>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Forest Laboratories Ireland Limited</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Ireland</w:t>
            </w:r>
          </w:p>
        </w:tc>
      </w:tr>
      <w:tr>
        <w:trPr>
          <w:trHeight w:val="270"/>
        </w:trPr>
        <w:tc>
          <w:tcPr>
            <w:tcW w:w="6240" w:type="dxa"/>
            <w:vAlign w:val="bottom"/>
          </w:tcPr>
          <w:p>
            <w:pPr>
              <w:spacing w:after="0"/>
              <w:rPr>
                <w:sz w:val="23"/>
                <w:szCs w:val="23"/>
                <w:color w:val="auto"/>
              </w:rPr>
            </w:pPr>
          </w:p>
        </w:tc>
        <w:tc>
          <w:tcPr>
            <w:tcW w:w="4980" w:type="dxa"/>
            <w:vAlign w:val="bottom"/>
          </w:tcPr>
          <w:p>
            <w:pPr>
              <w:spacing w:after="0"/>
              <w:rPr>
                <w:sz w:val="23"/>
                <w:szCs w:val="23"/>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Fournier Laboratories Ireland Limited</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Ireland</w:t>
            </w:r>
          </w:p>
        </w:tc>
      </w:tr>
      <w:tr>
        <w:trPr>
          <w:trHeight w:val="270"/>
        </w:trPr>
        <w:tc>
          <w:tcPr>
            <w:tcW w:w="6240" w:type="dxa"/>
            <w:vAlign w:val="bottom"/>
          </w:tcPr>
          <w:p>
            <w:pPr>
              <w:spacing w:after="0"/>
              <w:rPr>
                <w:sz w:val="23"/>
                <w:szCs w:val="23"/>
                <w:color w:val="auto"/>
              </w:rPr>
            </w:pPr>
          </w:p>
        </w:tc>
        <w:tc>
          <w:tcPr>
            <w:tcW w:w="4980" w:type="dxa"/>
            <w:vAlign w:val="bottom"/>
          </w:tcPr>
          <w:p>
            <w:pPr>
              <w:spacing w:after="0"/>
              <w:rPr>
                <w:sz w:val="23"/>
                <w:szCs w:val="23"/>
                <w:color w:val="auto"/>
              </w:rPr>
            </w:pPr>
          </w:p>
        </w:tc>
      </w:tr>
      <w:tr>
        <w:trPr>
          <w:trHeight w:val="243"/>
        </w:trPr>
        <w:tc>
          <w:tcPr>
            <w:tcW w:w="62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Pharmacyclics (Europe) Limited</w:t>
            </w:r>
          </w:p>
        </w:tc>
        <w:tc>
          <w:tcPr>
            <w:tcW w:w="49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Ireland</w:t>
            </w:r>
          </w:p>
        </w:tc>
      </w:tr>
    </w:tbl>
    <w:p>
      <w:pPr>
        <w:sectPr>
          <w:pgSz w:w="11900" w:h="16838" w:orient="portrait"/>
          <w:cols w:equalWidth="0" w:num="1">
            <w:col w:w="11220"/>
          </w:cols>
          <w:pgMar w:left="320" w:top="1206" w:right="359"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Tosara Exports Unlimited Company (In voluntary liquidation)</w:t>
            </w:r>
          </w:p>
        </w:tc>
        <w:tc>
          <w:tcPr>
            <w:tcW w:w="53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Ireland</w:t>
            </w:r>
          </w:p>
        </w:tc>
      </w:tr>
      <w:tr>
        <w:trPr>
          <w:trHeight w:val="270"/>
        </w:trPr>
        <w:tc>
          <w:tcPr>
            <w:tcW w:w="5900" w:type="dxa"/>
            <w:vAlign w:val="bottom"/>
          </w:tcPr>
          <w:p>
            <w:pPr>
              <w:spacing w:after="0"/>
              <w:rPr>
                <w:sz w:val="23"/>
                <w:szCs w:val="23"/>
                <w:color w:val="auto"/>
              </w:rPr>
            </w:pPr>
          </w:p>
        </w:tc>
        <w:tc>
          <w:tcPr>
            <w:tcW w:w="5320" w:type="dxa"/>
            <w:vAlign w:val="bottom"/>
          </w:tcPr>
          <w:p>
            <w:pPr>
              <w:spacing w:after="0"/>
              <w:rPr>
                <w:sz w:val="23"/>
                <w:szCs w:val="23"/>
                <w:color w:val="auto"/>
              </w:rPr>
            </w:pPr>
          </w:p>
        </w:tc>
      </w:tr>
      <w:tr>
        <w:trPr>
          <w:trHeight w:val="243"/>
        </w:trPr>
        <w:tc>
          <w:tcPr>
            <w:tcW w:w="59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Warner Chilcott Intermediate (Ireland) ULC</w:t>
            </w:r>
          </w:p>
        </w:tc>
        <w:tc>
          <w:tcPr>
            <w:tcW w:w="53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Ireland</w:t>
            </w:r>
          </w:p>
        </w:tc>
      </w:tr>
      <w:tr>
        <w:trPr>
          <w:trHeight w:val="270"/>
        </w:trPr>
        <w:tc>
          <w:tcPr>
            <w:tcW w:w="5900" w:type="dxa"/>
            <w:vAlign w:val="bottom"/>
          </w:tcPr>
          <w:p>
            <w:pPr>
              <w:spacing w:after="0"/>
              <w:rPr>
                <w:sz w:val="23"/>
                <w:szCs w:val="23"/>
                <w:color w:val="auto"/>
              </w:rPr>
            </w:pPr>
          </w:p>
        </w:tc>
        <w:tc>
          <w:tcPr>
            <w:tcW w:w="5320" w:type="dxa"/>
            <w:vAlign w:val="bottom"/>
          </w:tcPr>
          <w:p>
            <w:pPr>
              <w:spacing w:after="0"/>
              <w:rPr>
                <w:sz w:val="23"/>
                <w:szCs w:val="23"/>
                <w:color w:val="auto"/>
              </w:rPr>
            </w:pPr>
          </w:p>
        </w:tc>
      </w:tr>
      <w:tr>
        <w:trPr>
          <w:trHeight w:val="243"/>
        </w:trPr>
        <w:tc>
          <w:tcPr>
            <w:tcW w:w="59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Zeltiq Ireland International Holdings Unlimited Company</w:t>
            </w:r>
          </w:p>
        </w:tc>
        <w:tc>
          <w:tcPr>
            <w:tcW w:w="53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Ireland</w:t>
            </w:r>
          </w:p>
        </w:tc>
      </w:tr>
      <w:tr>
        <w:trPr>
          <w:trHeight w:val="283"/>
        </w:trPr>
        <w:tc>
          <w:tcPr>
            <w:tcW w:w="590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243"/>
        </w:trPr>
        <w:tc>
          <w:tcPr>
            <w:tcW w:w="59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Zeltiq Ireland Unlimited Company</w:t>
            </w:r>
          </w:p>
        </w:tc>
        <w:tc>
          <w:tcPr>
            <w:tcW w:w="53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Ireland</w:t>
            </w:r>
          </w:p>
        </w:tc>
      </w:tr>
      <w:tr>
        <w:trPr>
          <w:trHeight w:val="270"/>
        </w:trPr>
        <w:tc>
          <w:tcPr>
            <w:tcW w:w="5900" w:type="dxa"/>
            <w:vAlign w:val="bottom"/>
          </w:tcPr>
          <w:p>
            <w:pPr>
              <w:spacing w:after="0"/>
              <w:rPr>
                <w:sz w:val="23"/>
                <w:szCs w:val="23"/>
                <w:color w:val="auto"/>
              </w:rPr>
            </w:pPr>
          </w:p>
        </w:tc>
        <w:tc>
          <w:tcPr>
            <w:tcW w:w="5320" w:type="dxa"/>
            <w:vAlign w:val="bottom"/>
          </w:tcPr>
          <w:p>
            <w:pPr>
              <w:spacing w:after="0"/>
              <w:rPr>
                <w:sz w:val="23"/>
                <w:szCs w:val="23"/>
                <w:color w:val="auto"/>
              </w:rPr>
            </w:pPr>
          </w:p>
        </w:tc>
      </w:tr>
      <w:tr>
        <w:trPr>
          <w:trHeight w:val="243"/>
        </w:trPr>
        <w:tc>
          <w:tcPr>
            <w:tcW w:w="59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Biopharmaceuticals Ltd.</w:t>
            </w:r>
          </w:p>
        </w:tc>
        <w:tc>
          <w:tcPr>
            <w:tcW w:w="53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Israel</w:t>
            </w:r>
          </w:p>
        </w:tc>
      </w:tr>
      <w:tr>
        <w:trPr>
          <w:trHeight w:val="270"/>
        </w:trPr>
        <w:tc>
          <w:tcPr>
            <w:tcW w:w="5900" w:type="dxa"/>
            <w:vAlign w:val="bottom"/>
          </w:tcPr>
          <w:p>
            <w:pPr>
              <w:spacing w:after="0"/>
              <w:rPr>
                <w:sz w:val="23"/>
                <w:szCs w:val="23"/>
                <w:color w:val="auto"/>
              </w:rPr>
            </w:pPr>
          </w:p>
        </w:tc>
        <w:tc>
          <w:tcPr>
            <w:tcW w:w="5320" w:type="dxa"/>
            <w:vAlign w:val="bottom"/>
          </w:tcPr>
          <w:p>
            <w:pPr>
              <w:spacing w:after="0"/>
              <w:rPr>
                <w:sz w:val="23"/>
                <w:szCs w:val="23"/>
                <w:color w:val="auto"/>
              </w:rPr>
            </w:pPr>
          </w:p>
        </w:tc>
      </w:tr>
      <w:tr>
        <w:trPr>
          <w:trHeight w:val="243"/>
        </w:trPr>
        <w:tc>
          <w:tcPr>
            <w:tcW w:w="59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Israel Ltd.</w:t>
            </w:r>
          </w:p>
        </w:tc>
        <w:tc>
          <w:tcPr>
            <w:tcW w:w="53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Israel</w:t>
            </w:r>
          </w:p>
        </w:tc>
      </w:tr>
      <w:tr>
        <w:trPr>
          <w:trHeight w:val="270"/>
        </w:trPr>
        <w:tc>
          <w:tcPr>
            <w:tcW w:w="5900" w:type="dxa"/>
            <w:vAlign w:val="bottom"/>
          </w:tcPr>
          <w:p>
            <w:pPr>
              <w:spacing w:after="0"/>
              <w:rPr>
                <w:sz w:val="23"/>
                <w:szCs w:val="23"/>
                <w:color w:val="auto"/>
              </w:rPr>
            </w:pPr>
          </w:p>
        </w:tc>
        <w:tc>
          <w:tcPr>
            <w:tcW w:w="5320" w:type="dxa"/>
            <w:vAlign w:val="bottom"/>
          </w:tcPr>
          <w:p>
            <w:pPr>
              <w:spacing w:after="0"/>
              <w:rPr>
                <w:sz w:val="23"/>
                <w:szCs w:val="23"/>
                <w:color w:val="auto"/>
              </w:rPr>
            </w:pPr>
          </w:p>
        </w:tc>
      </w:tr>
      <w:tr>
        <w:trPr>
          <w:trHeight w:val="243"/>
        </w:trPr>
        <w:tc>
          <w:tcPr>
            <w:tcW w:w="59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Marbelle Threads Ltd.</w:t>
            </w:r>
          </w:p>
        </w:tc>
        <w:tc>
          <w:tcPr>
            <w:tcW w:w="53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Israel</w:t>
            </w:r>
          </w:p>
        </w:tc>
      </w:tr>
      <w:tr>
        <w:trPr>
          <w:trHeight w:val="270"/>
        </w:trPr>
        <w:tc>
          <w:tcPr>
            <w:tcW w:w="5900" w:type="dxa"/>
            <w:vAlign w:val="bottom"/>
          </w:tcPr>
          <w:p>
            <w:pPr>
              <w:spacing w:after="0"/>
              <w:rPr>
                <w:sz w:val="23"/>
                <w:szCs w:val="23"/>
                <w:color w:val="auto"/>
              </w:rPr>
            </w:pPr>
          </w:p>
        </w:tc>
        <w:tc>
          <w:tcPr>
            <w:tcW w:w="5320" w:type="dxa"/>
            <w:vAlign w:val="bottom"/>
          </w:tcPr>
          <w:p>
            <w:pPr>
              <w:spacing w:after="0"/>
              <w:rPr>
                <w:sz w:val="23"/>
                <w:szCs w:val="23"/>
                <w:color w:val="auto"/>
              </w:rPr>
            </w:pPr>
          </w:p>
        </w:tc>
      </w:tr>
      <w:tr>
        <w:trPr>
          <w:trHeight w:val="243"/>
        </w:trPr>
        <w:tc>
          <w:tcPr>
            <w:tcW w:w="59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S.r.l.</w:t>
            </w:r>
          </w:p>
        </w:tc>
        <w:tc>
          <w:tcPr>
            <w:tcW w:w="53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Italy</w:t>
            </w:r>
          </w:p>
        </w:tc>
      </w:tr>
      <w:tr>
        <w:trPr>
          <w:trHeight w:val="270"/>
        </w:trPr>
        <w:tc>
          <w:tcPr>
            <w:tcW w:w="5900" w:type="dxa"/>
            <w:vAlign w:val="bottom"/>
          </w:tcPr>
          <w:p>
            <w:pPr>
              <w:spacing w:after="0"/>
              <w:rPr>
                <w:sz w:val="23"/>
                <w:szCs w:val="23"/>
                <w:color w:val="auto"/>
              </w:rPr>
            </w:pPr>
          </w:p>
        </w:tc>
        <w:tc>
          <w:tcPr>
            <w:tcW w:w="5320" w:type="dxa"/>
            <w:vAlign w:val="bottom"/>
          </w:tcPr>
          <w:p>
            <w:pPr>
              <w:spacing w:after="0"/>
              <w:rPr>
                <w:sz w:val="23"/>
                <w:szCs w:val="23"/>
                <w:color w:val="auto"/>
              </w:rPr>
            </w:pPr>
          </w:p>
        </w:tc>
      </w:tr>
      <w:tr>
        <w:trPr>
          <w:trHeight w:val="243"/>
        </w:trPr>
        <w:tc>
          <w:tcPr>
            <w:tcW w:w="59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S.p.A.</w:t>
            </w:r>
          </w:p>
        </w:tc>
        <w:tc>
          <w:tcPr>
            <w:tcW w:w="53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Italy</w:t>
            </w:r>
          </w:p>
        </w:tc>
      </w:tr>
      <w:tr>
        <w:trPr>
          <w:trHeight w:val="270"/>
        </w:trPr>
        <w:tc>
          <w:tcPr>
            <w:tcW w:w="5900" w:type="dxa"/>
            <w:vAlign w:val="bottom"/>
          </w:tcPr>
          <w:p>
            <w:pPr>
              <w:spacing w:after="0"/>
              <w:rPr>
                <w:sz w:val="23"/>
                <w:szCs w:val="23"/>
                <w:color w:val="auto"/>
              </w:rPr>
            </w:pPr>
          </w:p>
        </w:tc>
        <w:tc>
          <w:tcPr>
            <w:tcW w:w="5320" w:type="dxa"/>
            <w:vAlign w:val="bottom"/>
          </w:tcPr>
          <w:p>
            <w:pPr>
              <w:spacing w:after="0"/>
              <w:rPr>
                <w:sz w:val="23"/>
                <w:szCs w:val="23"/>
                <w:color w:val="auto"/>
              </w:rPr>
            </w:pPr>
          </w:p>
        </w:tc>
      </w:tr>
      <w:tr>
        <w:trPr>
          <w:trHeight w:val="243"/>
        </w:trPr>
        <w:tc>
          <w:tcPr>
            <w:tcW w:w="59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Aptalis Pharma S.r.l.</w:t>
            </w:r>
          </w:p>
        </w:tc>
        <w:tc>
          <w:tcPr>
            <w:tcW w:w="53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Italy</w:t>
            </w:r>
          </w:p>
        </w:tc>
      </w:tr>
      <w:tr>
        <w:trPr>
          <w:trHeight w:val="270"/>
        </w:trPr>
        <w:tc>
          <w:tcPr>
            <w:tcW w:w="5900" w:type="dxa"/>
            <w:vAlign w:val="bottom"/>
          </w:tcPr>
          <w:p>
            <w:pPr>
              <w:spacing w:after="0"/>
              <w:rPr>
                <w:sz w:val="23"/>
                <w:szCs w:val="23"/>
                <w:color w:val="auto"/>
              </w:rPr>
            </w:pPr>
          </w:p>
        </w:tc>
        <w:tc>
          <w:tcPr>
            <w:tcW w:w="5320" w:type="dxa"/>
            <w:vAlign w:val="bottom"/>
          </w:tcPr>
          <w:p>
            <w:pPr>
              <w:spacing w:after="0"/>
              <w:rPr>
                <w:sz w:val="23"/>
                <w:szCs w:val="23"/>
                <w:color w:val="auto"/>
              </w:rPr>
            </w:pPr>
          </w:p>
        </w:tc>
      </w:tr>
      <w:tr>
        <w:trPr>
          <w:trHeight w:val="243"/>
        </w:trPr>
        <w:tc>
          <w:tcPr>
            <w:tcW w:w="59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GK</w:t>
            </w:r>
          </w:p>
        </w:tc>
        <w:tc>
          <w:tcPr>
            <w:tcW w:w="53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Japan</w:t>
            </w:r>
          </w:p>
        </w:tc>
      </w:tr>
      <w:tr>
        <w:trPr>
          <w:trHeight w:val="270"/>
        </w:trPr>
        <w:tc>
          <w:tcPr>
            <w:tcW w:w="5900" w:type="dxa"/>
            <w:vAlign w:val="bottom"/>
          </w:tcPr>
          <w:p>
            <w:pPr>
              <w:spacing w:after="0"/>
              <w:rPr>
                <w:sz w:val="23"/>
                <w:szCs w:val="23"/>
                <w:color w:val="auto"/>
              </w:rPr>
            </w:pPr>
          </w:p>
        </w:tc>
        <w:tc>
          <w:tcPr>
            <w:tcW w:w="5320" w:type="dxa"/>
            <w:vAlign w:val="bottom"/>
          </w:tcPr>
          <w:p>
            <w:pPr>
              <w:spacing w:after="0"/>
              <w:rPr>
                <w:sz w:val="23"/>
                <w:szCs w:val="23"/>
                <w:color w:val="auto"/>
              </w:rPr>
            </w:pPr>
          </w:p>
        </w:tc>
      </w:tr>
      <w:tr>
        <w:trPr>
          <w:trHeight w:val="243"/>
        </w:trPr>
        <w:tc>
          <w:tcPr>
            <w:tcW w:w="59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International YK</w:t>
            </w:r>
          </w:p>
        </w:tc>
        <w:tc>
          <w:tcPr>
            <w:tcW w:w="53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Japan</w:t>
            </w:r>
          </w:p>
        </w:tc>
      </w:tr>
      <w:tr>
        <w:trPr>
          <w:trHeight w:val="270"/>
        </w:trPr>
        <w:tc>
          <w:tcPr>
            <w:tcW w:w="5900" w:type="dxa"/>
            <w:vAlign w:val="bottom"/>
          </w:tcPr>
          <w:p>
            <w:pPr>
              <w:spacing w:after="0"/>
              <w:rPr>
                <w:sz w:val="23"/>
                <w:szCs w:val="23"/>
                <w:color w:val="auto"/>
              </w:rPr>
            </w:pPr>
          </w:p>
        </w:tc>
        <w:tc>
          <w:tcPr>
            <w:tcW w:w="5320" w:type="dxa"/>
            <w:vAlign w:val="bottom"/>
          </w:tcPr>
          <w:p>
            <w:pPr>
              <w:spacing w:after="0"/>
              <w:rPr>
                <w:sz w:val="23"/>
                <w:szCs w:val="23"/>
                <w:color w:val="auto"/>
              </w:rPr>
            </w:pPr>
          </w:p>
        </w:tc>
      </w:tr>
      <w:tr>
        <w:trPr>
          <w:trHeight w:val="243"/>
        </w:trPr>
        <w:tc>
          <w:tcPr>
            <w:tcW w:w="59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Japan KK</w:t>
            </w:r>
          </w:p>
        </w:tc>
        <w:tc>
          <w:tcPr>
            <w:tcW w:w="53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Japan</w:t>
            </w:r>
          </w:p>
        </w:tc>
      </w:tr>
      <w:tr>
        <w:trPr>
          <w:trHeight w:val="270"/>
        </w:trPr>
        <w:tc>
          <w:tcPr>
            <w:tcW w:w="5900" w:type="dxa"/>
            <w:vAlign w:val="bottom"/>
          </w:tcPr>
          <w:p>
            <w:pPr>
              <w:spacing w:after="0"/>
              <w:rPr>
                <w:sz w:val="23"/>
                <w:szCs w:val="23"/>
                <w:color w:val="auto"/>
              </w:rPr>
            </w:pPr>
          </w:p>
        </w:tc>
        <w:tc>
          <w:tcPr>
            <w:tcW w:w="5320" w:type="dxa"/>
            <w:vAlign w:val="bottom"/>
          </w:tcPr>
          <w:p>
            <w:pPr>
              <w:spacing w:after="0"/>
              <w:rPr>
                <w:sz w:val="23"/>
                <w:szCs w:val="23"/>
                <w:color w:val="auto"/>
              </w:rPr>
            </w:pPr>
          </w:p>
        </w:tc>
      </w:tr>
      <w:tr>
        <w:trPr>
          <w:trHeight w:val="243"/>
        </w:trPr>
        <w:tc>
          <w:tcPr>
            <w:tcW w:w="59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K.K.</w:t>
            </w:r>
          </w:p>
        </w:tc>
        <w:tc>
          <w:tcPr>
            <w:tcW w:w="53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Japan</w:t>
            </w:r>
          </w:p>
        </w:tc>
      </w:tr>
      <w:tr>
        <w:trPr>
          <w:trHeight w:val="270"/>
        </w:trPr>
        <w:tc>
          <w:tcPr>
            <w:tcW w:w="5900" w:type="dxa"/>
            <w:vAlign w:val="bottom"/>
          </w:tcPr>
          <w:p>
            <w:pPr>
              <w:spacing w:after="0"/>
              <w:rPr>
                <w:sz w:val="23"/>
                <w:szCs w:val="23"/>
                <w:color w:val="auto"/>
              </w:rPr>
            </w:pPr>
          </w:p>
        </w:tc>
        <w:tc>
          <w:tcPr>
            <w:tcW w:w="5320" w:type="dxa"/>
            <w:vAlign w:val="bottom"/>
          </w:tcPr>
          <w:p>
            <w:pPr>
              <w:spacing w:after="0"/>
              <w:rPr>
                <w:sz w:val="23"/>
                <w:szCs w:val="23"/>
                <w:color w:val="auto"/>
              </w:rPr>
            </w:pPr>
          </w:p>
        </w:tc>
      </w:tr>
      <w:tr>
        <w:trPr>
          <w:trHeight w:val="243"/>
        </w:trPr>
        <w:tc>
          <w:tcPr>
            <w:tcW w:w="59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NK</w:t>
            </w:r>
          </w:p>
        </w:tc>
        <w:tc>
          <w:tcPr>
            <w:tcW w:w="53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Japan</w:t>
            </w:r>
          </w:p>
        </w:tc>
      </w:tr>
      <w:tr>
        <w:trPr>
          <w:trHeight w:val="270"/>
        </w:trPr>
        <w:tc>
          <w:tcPr>
            <w:tcW w:w="5900" w:type="dxa"/>
            <w:vAlign w:val="bottom"/>
          </w:tcPr>
          <w:p>
            <w:pPr>
              <w:spacing w:after="0"/>
              <w:rPr>
                <w:sz w:val="23"/>
                <w:szCs w:val="23"/>
                <w:color w:val="auto"/>
              </w:rPr>
            </w:pPr>
          </w:p>
        </w:tc>
        <w:tc>
          <w:tcPr>
            <w:tcW w:w="5320" w:type="dxa"/>
            <w:vAlign w:val="bottom"/>
          </w:tcPr>
          <w:p>
            <w:pPr>
              <w:spacing w:after="0"/>
              <w:rPr>
                <w:sz w:val="23"/>
                <w:szCs w:val="23"/>
                <w:color w:val="auto"/>
              </w:rPr>
            </w:pPr>
          </w:p>
        </w:tc>
      </w:tr>
      <w:tr>
        <w:trPr>
          <w:trHeight w:val="243"/>
        </w:trPr>
        <w:tc>
          <w:tcPr>
            <w:tcW w:w="59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Ltd</w:t>
            </w:r>
          </w:p>
        </w:tc>
        <w:tc>
          <w:tcPr>
            <w:tcW w:w="53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Korea, South</w:t>
            </w:r>
          </w:p>
        </w:tc>
      </w:tr>
      <w:tr>
        <w:trPr>
          <w:trHeight w:val="270"/>
        </w:trPr>
        <w:tc>
          <w:tcPr>
            <w:tcW w:w="5900" w:type="dxa"/>
            <w:vAlign w:val="bottom"/>
          </w:tcPr>
          <w:p>
            <w:pPr>
              <w:spacing w:after="0"/>
              <w:rPr>
                <w:sz w:val="23"/>
                <w:szCs w:val="23"/>
                <w:color w:val="auto"/>
              </w:rPr>
            </w:pPr>
          </w:p>
        </w:tc>
        <w:tc>
          <w:tcPr>
            <w:tcW w:w="5320" w:type="dxa"/>
            <w:vAlign w:val="bottom"/>
          </w:tcPr>
          <w:p>
            <w:pPr>
              <w:spacing w:after="0"/>
              <w:rPr>
                <w:sz w:val="23"/>
                <w:szCs w:val="23"/>
                <w:color w:val="auto"/>
              </w:rPr>
            </w:pPr>
          </w:p>
        </w:tc>
      </w:tr>
      <w:tr>
        <w:trPr>
          <w:trHeight w:val="243"/>
        </w:trPr>
        <w:tc>
          <w:tcPr>
            <w:tcW w:w="59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Korea Ltd.</w:t>
            </w:r>
          </w:p>
        </w:tc>
        <w:tc>
          <w:tcPr>
            <w:tcW w:w="53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Korea, South</w:t>
            </w:r>
          </w:p>
        </w:tc>
      </w:tr>
      <w:tr>
        <w:trPr>
          <w:trHeight w:val="270"/>
        </w:trPr>
        <w:tc>
          <w:tcPr>
            <w:tcW w:w="5900" w:type="dxa"/>
            <w:vAlign w:val="bottom"/>
          </w:tcPr>
          <w:p>
            <w:pPr>
              <w:spacing w:after="0"/>
              <w:rPr>
                <w:sz w:val="23"/>
                <w:szCs w:val="23"/>
                <w:color w:val="auto"/>
              </w:rPr>
            </w:pPr>
          </w:p>
        </w:tc>
        <w:tc>
          <w:tcPr>
            <w:tcW w:w="5320" w:type="dxa"/>
            <w:vAlign w:val="bottom"/>
          </w:tcPr>
          <w:p>
            <w:pPr>
              <w:spacing w:after="0"/>
              <w:rPr>
                <w:sz w:val="23"/>
                <w:szCs w:val="23"/>
                <w:color w:val="auto"/>
              </w:rPr>
            </w:pPr>
          </w:p>
        </w:tc>
      </w:tr>
      <w:tr>
        <w:trPr>
          <w:trHeight w:val="243"/>
        </w:trPr>
        <w:tc>
          <w:tcPr>
            <w:tcW w:w="59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SIA</w:t>
            </w:r>
          </w:p>
        </w:tc>
        <w:tc>
          <w:tcPr>
            <w:tcW w:w="53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Latvia</w:t>
            </w:r>
          </w:p>
        </w:tc>
      </w:tr>
      <w:tr>
        <w:trPr>
          <w:trHeight w:val="270"/>
        </w:trPr>
        <w:tc>
          <w:tcPr>
            <w:tcW w:w="5900" w:type="dxa"/>
            <w:vAlign w:val="bottom"/>
          </w:tcPr>
          <w:p>
            <w:pPr>
              <w:spacing w:after="0"/>
              <w:rPr>
                <w:sz w:val="23"/>
                <w:szCs w:val="23"/>
                <w:color w:val="auto"/>
              </w:rPr>
            </w:pPr>
          </w:p>
        </w:tc>
        <w:tc>
          <w:tcPr>
            <w:tcW w:w="5320" w:type="dxa"/>
            <w:vAlign w:val="bottom"/>
          </w:tcPr>
          <w:p>
            <w:pPr>
              <w:spacing w:after="0"/>
              <w:rPr>
                <w:sz w:val="23"/>
                <w:szCs w:val="23"/>
                <w:color w:val="auto"/>
              </w:rPr>
            </w:pPr>
          </w:p>
        </w:tc>
      </w:tr>
      <w:tr>
        <w:trPr>
          <w:trHeight w:val="243"/>
        </w:trPr>
        <w:tc>
          <w:tcPr>
            <w:tcW w:w="59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UAB</w:t>
            </w:r>
          </w:p>
        </w:tc>
        <w:tc>
          <w:tcPr>
            <w:tcW w:w="53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Lithuania</w:t>
            </w:r>
          </w:p>
        </w:tc>
      </w:tr>
      <w:tr>
        <w:trPr>
          <w:trHeight w:val="270"/>
        </w:trPr>
        <w:tc>
          <w:tcPr>
            <w:tcW w:w="5900" w:type="dxa"/>
            <w:vAlign w:val="bottom"/>
          </w:tcPr>
          <w:p>
            <w:pPr>
              <w:spacing w:after="0"/>
              <w:rPr>
                <w:sz w:val="23"/>
                <w:szCs w:val="23"/>
                <w:color w:val="auto"/>
              </w:rPr>
            </w:pPr>
          </w:p>
        </w:tc>
        <w:tc>
          <w:tcPr>
            <w:tcW w:w="5320" w:type="dxa"/>
            <w:vAlign w:val="bottom"/>
          </w:tcPr>
          <w:p>
            <w:pPr>
              <w:spacing w:after="0"/>
              <w:rPr>
                <w:sz w:val="23"/>
                <w:szCs w:val="23"/>
                <w:color w:val="auto"/>
              </w:rPr>
            </w:pPr>
          </w:p>
        </w:tc>
      </w:tr>
      <w:tr>
        <w:trPr>
          <w:trHeight w:val="243"/>
        </w:trPr>
        <w:tc>
          <w:tcPr>
            <w:tcW w:w="59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Baltics, UAB</w:t>
            </w:r>
          </w:p>
        </w:tc>
        <w:tc>
          <w:tcPr>
            <w:tcW w:w="53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Lithuania</w:t>
            </w:r>
          </w:p>
        </w:tc>
      </w:tr>
      <w:tr>
        <w:trPr>
          <w:trHeight w:val="270"/>
        </w:trPr>
        <w:tc>
          <w:tcPr>
            <w:tcW w:w="5900" w:type="dxa"/>
            <w:vAlign w:val="bottom"/>
          </w:tcPr>
          <w:p>
            <w:pPr>
              <w:spacing w:after="0"/>
              <w:rPr>
                <w:sz w:val="23"/>
                <w:szCs w:val="23"/>
                <w:color w:val="auto"/>
              </w:rPr>
            </w:pPr>
          </w:p>
        </w:tc>
        <w:tc>
          <w:tcPr>
            <w:tcW w:w="5320" w:type="dxa"/>
            <w:vAlign w:val="bottom"/>
          </w:tcPr>
          <w:p>
            <w:pPr>
              <w:spacing w:after="0"/>
              <w:rPr>
                <w:sz w:val="23"/>
                <w:szCs w:val="23"/>
                <w:color w:val="auto"/>
              </w:rPr>
            </w:pPr>
          </w:p>
        </w:tc>
      </w:tr>
      <w:tr>
        <w:trPr>
          <w:trHeight w:val="243"/>
        </w:trPr>
        <w:tc>
          <w:tcPr>
            <w:tcW w:w="59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Biotherapeutics S.àr.l.</w:t>
            </w:r>
          </w:p>
        </w:tc>
        <w:tc>
          <w:tcPr>
            <w:tcW w:w="53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Luxembourg</w:t>
            </w:r>
          </w:p>
        </w:tc>
      </w:tr>
    </w:tbl>
    <w:p>
      <w:pPr>
        <w:sectPr>
          <w:pgSz w:w="11900" w:h="16838" w:orient="portrait"/>
          <w:cols w:equalWidth="0" w:num="1">
            <w:col w:w="11220"/>
          </w:cols>
          <w:pgMar w:left="320" w:top="936" w:right="359" w:bottom="1440" w:gutter="0" w:footer="0" w:header="0"/>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(Gibraltar) Holdings Limited Luxembourg S.C.S.</w:t>
            </w:r>
          </w:p>
        </w:tc>
        <w:tc>
          <w:tcPr>
            <w:tcW w:w="5500" w:type="dxa"/>
            <w:vAlign w:val="bottom"/>
            <w:shd w:val="clear" w:color="auto" w:fill="CCEEFF"/>
          </w:tcPr>
          <w:p>
            <w:pPr>
              <w:ind w:left="700"/>
              <w:spacing w:after="0"/>
              <w:rPr>
                <w:sz w:val="20"/>
                <w:szCs w:val="20"/>
                <w:color w:val="auto"/>
              </w:rPr>
            </w:pPr>
            <w:r>
              <w:rPr>
                <w:rFonts w:ascii="Arial" w:cs="Arial" w:eastAsia="Arial" w:hAnsi="Arial"/>
                <w:sz w:val="20"/>
                <w:szCs w:val="20"/>
                <w:color w:val="auto"/>
              </w:rPr>
              <w:t>Luxembourg</w:t>
            </w:r>
          </w:p>
        </w:tc>
      </w:tr>
      <w:tr>
        <w:trPr>
          <w:trHeight w:val="270"/>
        </w:trPr>
        <w:tc>
          <w:tcPr>
            <w:tcW w:w="5720" w:type="dxa"/>
            <w:vAlign w:val="bottom"/>
          </w:tcPr>
          <w:p>
            <w:pPr>
              <w:spacing w:after="0"/>
              <w:rPr>
                <w:sz w:val="23"/>
                <w:szCs w:val="23"/>
                <w:color w:val="auto"/>
              </w:rPr>
            </w:pPr>
          </w:p>
        </w:tc>
        <w:tc>
          <w:tcPr>
            <w:tcW w:w="5500" w:type="dxa"/>
            <w:vAlign w:val="bottom"/>
          </w:tcPr>
          <w:p>
            <w:pPr>
              <w:spacing w:after="0"/>
              <w:rPr>
                <w:sz w:val="23"/>
                <w:szCs w:val="23"/>
                <w:color w:val="auto"/>
              </w:rPr>
            </w:pPr>
          </w:p>
        </w:tc>
      </w:t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International S.à r.l.</w:t>
            </w:r>
          </w:p>
        </w:tc>
        <w:tc>
          <w:tcPr>
            <w:tcW w:w="5500" w:type="dxa"/>
            <w:vAlign w:val="bottom"/>
            <w:shd w:val="clear" w:color="auto" w:fill="CCEEFF"/>
          </w:tcPr>
          <w:p>
            <w:pPr>
              <w:ind w:left="700"/>
              <w:spacing w:after="0"/>
              <w:rPr>
                <w:sz w:val="20"/>
                <w:szCs w:val="20"/>
                <w:color w:val="auto"/>
              </w:rPr>
            </w:pPr>
            <w:r>
              <w:rPr>
                <w:rFonts w:ascii="Arial" w:cs="Arial" w:eastAsia="Arial" w:hAnsi="Arial"/>
                <w:sz w:val="20"/>
                <w:szCs w:val="20"/>
                <w:color w:val="auto"/>
              </w:rPr>
              <w:t>Luxembourg</w:t>
            </w:r>
          </w:p>
        </w:tc>
      </w:tr>
      <w:tr>
        <w:trPr>
          <w:trHeight w:val="270"/>
        </w:trPr>
        <w:tc>
          <w:tcPr>
            <w:tcW w:w="5720" w:type="dxa"/>
            <w:vAlign w:val="bottom"/>
          </w:tcPr>
          <w:p>
            <w:pPr>
              <w:spacing w:after="0"/>
              <w:rPr>
                <w:sz w:val="23"/>
                <w:szCs w:val="23"/>
                <w:color w:val="auto"/>
              </w:rPr>
            </w:pPr>
          </w:p>
        </w:tc>
        <w:tc>
          <w:tcPr>
            <w:tcW w:w="5500" w:type="dxa"/>
            <w:vAlign w:val="bottom"/>
          </w:tcPr>
          <w:p>
            <w:pPr>
              <w:spacing w:after="0"/>
              <w:rPr>
                <w:sz w:val="23"/>
                <w:szCs w:val="23"/>
                <w:color w:val="auto"/>
              </w:rPr>
            </w:pPr>
          </w:p>
        </w:tc>
      </w:t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Investments S.à r.l.</w:t>
            </w:r>
          </w:p>
        </w:tc>
        <w:tc>
          <w:tcPr>
            <w:tcW w:w="5500" w:type="dxa"/>
            <w:vAlign w:val="bottom"/>
            <w:shd w:val="clear" w:color="auto" w:fill="CCEEFF"/>
          </w:tcPr>
          <w:p>
            <w:pPr>
              <w:ind w:left="700"/>
              <w:spacing w:after="0"/>
              <w:rPr>
                <w:sz w:val="20"/>
                <w:szCs w:val="20"/>
                <w:color w:val="auto"/>
              </w:rPr>
            </w:pPr>
            <w:r>
              <w:rPr>
                <w:rFonts w:ascii="Arial" w:cs="Arial" w:eastAsia="Arial" w:hAnsi="Arial"/>
                <w:sz w:val="20"/>
                <w:szCs w:val="20"/>
                <w:color w:val="auto"/>
              </w:rPr>
              <w:t>Luxembourg</w:t>
            </w:r>
          </w:p>
        </w:tc>
      </w:tr>
      <w:tr>
        <w:trPr>
          <w:trHeight w:val="270"/>
        </w:trPr>
        <w:tc>
          <w:tcPr>
            <w:tcW w:w="5720" w:type="dxa"/>
            <w:vAlign w:val="bottom"/>
          </w:tcPr>
          <w:p>
            <w:pPr>
              <w:spacing w:after="0"/>
              <w:rPr>
                <w:sz w:val="23"/>
                <w:szCs w:val="23"/>
                <w:color w:val="auto"/>
              </w:rPr>
            </w:pPr>
          </w:p>
        </w:tc>
        <w:tc>
          <w:tcPr>
            <w:tcW w:w="5500" w:type="dxa"/>
            <w:vAlign w:val="bottom"/>
          </w:tcPr>
          <w:p>
            <w:pPr>
              <w:spacing w:after="0"/>
              <w:rPr>
                <w:sz w:val="23"/>
                <w:szCs w:val="23"/>
                <w:color w:val="auto"/>
              </w:rPr>
            </w:pPr>
          </w:p>
        </w:tc>
      </w:t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Overseas S.àr.l.</w:t>
            </w:r>
          </w:p>
        </w:tc>
        <w:tc>
          <w:tcPr>
            <w:tcW w:w="5500" w:type="dxa"/>
            <w:vAlign w:val="bottom"/>
            <w:shd w:val="clear" w:color="auto" w:fill="CCEEFF"/>
          </w:tcPr>
          <w:p>
            <w:pPr>
              <w:ind w:left="700"/>
              <w:spacing w:after="0"/>
              <w:rPr>
                <w:sz w:val="20"/>
                <w:szCs w:val="20"/>
                <w:color w:val="auto"/>
              </w:rPr>
            </w:pPr>
            <w:r>
              <w:rPr>
                <w:rFonts w:ascii="Arial" w:cs="Arial" w:eastAsia="Arial" w:hAnsi="Arial"/>
                <w:sz w:val="20"/>
                <w:szCs w:val="20"/>
                <w:color w:val="auto"/>
              </w:rPr>
              <w:t>Luxembourg</w:t>
            </w:r>
          </w:p>
        </w:tc>
      </w:tr>
      <w:tr>
        <w:trPr>
          <w:trHeight w:val="270"/>
        </w:trPr>
        <w:tc>
          <w:tcPr>
            <w:tcW w:w="5720" w:type="dxa"/>
            <w:vAlign w:val="bottom"/>
          </w:tcPr>
          <w:p>
            <w:pPr>
              <w:spacing w:after="0"/>
              <w:rPr>
                <w:sz w:val="23"/>
                <w:szCs w:val="23"/>
                <w:color w:val="auto"/>
              </w:rPr>
            </w:pPr>
          </w:p>
        </w:tc>
        <w:tc>
          <w:tcPr>
            <w:tcW w:w="5500" w:type="dxa"/>
            <w:vAlign w:val="bottom"/>
          </w:tcPr>
          <w:p>
            <w:pPr>
              <w:spacing w:after="0"/>
              <w:rPr>
                <w:sz w:val="23"/>
                <w:szCs w:val="23"/>
                <w:color w:val="auto"/>
              </w:rPr>
            </w:pPr>
          </w:p>
        </w:tc>
      </w:t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Holdings S.à r.l.</w:t>
            </w:r>
          </w:p>
        </w:tc>
        <w:tc>
          <w:tcPr>
            <w:tcW w:w="5500" w:type="dxa"/>
            <w:vAlign w:val="bottom"/>
            <w:shd w:val="clear" w:color="auto" w:fill="CCEEFF"/>
          </w:tcPr>
          <w:p>
            <w:pPr>
              <w:ind w:left="700"/>
              <w:spacing w:after="0"/>
              <w:rPr>
                <w:sz w:val="20"/>
                <w:szCs w:val="20"/>
                <w:color w:val="auto"/>
              </w:rPr>
            </w:pPr>
            <w:r>
              <w:rPr>
                <w:rFonts w:ascii="Arial" w:cs="Arial" w:eastAsia="Arial" w:hAnsi="Arial"/>
                <w:sz w:val="20"/>
                <w:szCs w:val="20"/>
                <w:color w:val="auto"/>
              </w:rPr>
              <w:t>Luxembourg</w:t>
            </w:r>
          </w:p>
        </w:tc>
      </w:tr>
      <w:tr>
        <w:trPr>
          <w:trHeight w:val="270"/>
        </w:trPr>
        <w:tc>
          <w:tcPr>
            <w:tcW w:w="5720" w:type="dxa"/>
            <w:vAlign w:val="bottom"/>
          </w:tcPr>
          <w:p>
            <w:pPr>
              <w:spacing w:after="0"/>
              <w:rPr>
                <w:sz w:val="23"/>
                <w:szCs w:val="23"/>
                <w:color w:val="auto"/>
              </w:rPr>
            </w:pPr>
          </w:p>
        </w:tc>
        <w:tc>
          <w:tcPr>
            <w:tcW w:w="5500" w:type="dxa"/>
            <w:vAlign w:val="bottom"/>
          </w:tcPr>
          <w:p>
            <w:pPr>
              <w:spacing w:after="0"/>
              <w:rPr>
                <w:sz w:val="23"/>
                <w:szCs w:val="23"/>
                <w:color w:val="auto"/>
              </w:rPr>
            </w:pPr>
          </w:p>
        </w:tc>
      </w:t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Global S.à r.l.</w:t>
            </w:r>
          </w:p>
        </w:tc>
        <w:tc>
          <w:tcPr>
            <w:tcW w:w="5500" w:type="dxa"/>
            <w:vAlign w:val="bottom"/>
            <w:shd w:val="clear" w:color="auto" w:fill="CCEEFF"/>
          </w:tcPr>
          <w:p>
            <w:pPr>
              <w:ind w:left="700"/>
              <w:spacing w:after="0"/>
              <w:rPr>
                <w:sz w:val="20"/>
                <w:szCs w:val="20"/>
                <w:color w:val="auto"/>
              </w:rPr>
            </w:pPr>
            <w:r>
              <w:rPr>
                <w:rFonts w:ascii="Arial" w:cs="Arial" w:eastAsia="Arial" w:hAnsi="Arial"/>
                <w:sz w:val="20"/>
                <w:szCs w:val="20"/>
                <w:color w:val="auto"/>
              </w:rPr>
              <w:t>Luxembourg</w:t>
            </w:r>
          </w:p>
        </w:tc>
      </w:tr>
      <w:tr>
        <w:trPr>
          <w:trHeight w:val="270"/>
        </w:trPr>
        <w:tc>
          <w:tcPr>
            <w:tcW w:w="5720" w:type="dxa"/>
            <w:vAlign w:val="bottom"/>
          </w:tcPr>
          <w:p>
            <w:pPr>
              <w:spacing w:after="0"/>
              <w:rPr>
                <w:sz w:val="23"/>
                <w:szCs w:val="23"/>
                <w:color w:val="auto"/>
              </w:rPr>
            </w:pPr>
          </w:p>
        </w:tc>
        <w:tc>
          <w:tcPr>
            <w:tcW w:w="5500" w:type="dxa"/>
            <w:vAlign w:val="bottom"/>
          </w:tcPr>
          <w:p>
            <w:pPr>
              <w:spacing w:after="0"/>
              <w:rPr>
                <w:sz w:val="23"/>
                <w:szCs w:val="23"/>
                <w:color w:val="auto"/>
              </w:rPr>
            </w:pPr>
          </w:p>
        </w:tc>
      </w:t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AHI S.à r.l.</w:t>
            </w:r>
          </w:p>
        </w:tc>
        <w:tc>
          <w:tcPr>
            <w:tcW w:w="5500" w:type="dxa"/>
            <w:vAlign w:val="bottom"/>
            <w:shd w:val="clear" w:color="auto" w:fill="CCEEFF"/>
          </w:tcPr>
          <w:p>
            <w:pPr>
              <w:ind w:left="700"/>
              <w:spacing w:after="0"/>
              <w:rPr>
                <w:sz w:val="20"/>
                <w:szCs w:val="20"/>
                <w:color w:val="auto"/>
              </w:rPr>
            </w:pPr>
            <w:r>
              <w:rPr>
                <w:rFonts w:ascii="Arial" w:cs="Arial" w:eastAsia="Arial" w:hAnsi="Arial"/>
                <w:sz w:val="20"/>
                <w:szCs w:val="20"/>
                <w:color w:val="auto"/>
              </w:rPr>
              <w:t>Luxembourg</w:t>
            </w:r>
          </w:p>
        </w:tc>
      </w:tr>
      <w:tr>
        <w:trPr>
          <w:trHeight w:val="270"/>
        </w:trPr>
        <w:tc>
          <w:tcPr>
            <w:tcW w:w="5720" w:type="dxa"/>
            <w:vAlign w:val="bottom"/>
          </w:tcPr>
          <w:p>
            <w:pPr>
              <w:spacing w:after="0"/>
              <w:rPr>
                <w:sz w:val="23"/>
                <w:szCs w:val="23"/>
                <w:color w:val="auto"/>
              </w:rPr>
            </w:pPr>
          </w:p>
        </w:tc>
        <w:tc>
          <w:tcPr>
            <w:tcW w:w="5500" w:type="dxa"/>
            <w:vAlign w:val="bottom"/>
          </w:tcPr>
          <w:p>
            <w:pPr>
              <w:spacing w:after="0"/>
              <w:rPr>
                <w:sz w:val="23"/>
                <w:szCs w:val="23"/>
                <w:color w:val="auto"/>
              </w:rPr>
            </w:pPr>
          </w:p>
        </w:tc>
      </w:t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Capital 2 S.à r.l.</w:t>
            </w:r>
          </w:p>
        </w:tc>
        <w:tc>
          <w:tcPr>
            <w:tcW w:w="5500" w:type="dxa"/>
            <w:vAlign w:val="bottom"/>
            <w:shd w:val="clear" w:color="auto" w:fill="CCEEFF"/>
          </w:tcPr>
          <w:p>
            <w:pPr>
              <w:ind w:left="700"/>
              <w:spacing w:after="0"/>
              <w:rPr>
                <w:sz w:val="20"/>
                <w:szCs w:val="20"/>
                <w:color w:val="auto"/>
              </w:rPr>
            </w:pPr>
            <w:r>
              <w:rPr>
                <w:rFonts w:ascii="Arial" w:cs="Arial" w:eastAsia="Arial" w:hAnsi="Arial"/>
                <w:sz w:val="20"/>
                <w:szCs w:val="20"/>
                <w:color w:val="auto"/>
              </w:rPr>
              <w:t>Luxembourg</w:t>
            </w:r>
          </w:p>
        </w:tc>
      </w:tr>
      <w:tr>
        <w:trPr>
          <w:trHeight w:val="270"/>
        </w:trPr>
        <w:tc>
          <w:tcPr>
            <w:tcW w:w="5720" w:type="dxa"/>
            <w:vAlign w:val="bottom"/>
          </w:tcPr>
          <w:p>
            <w:pPr>
              <w:spacing w:after="0"/>
              <w:rPr>
                <w:sz w:val="23"/>
                <w:szCs w:val="23"/>
                <w:color w:val="auto"/>
              </w:rPr>
            </w:pPr>
          </w:p>
        </w:tc>
        <w:tc>
          <w:tcPr>
            <w:tcW w:w="5500" w:type="dxa"/>
            <w:vAlign w:val="bottom"/>
          </w:tcPr>
          <w:p>
            <w:pPr>
              <w:spacing w:after="0"/>
              <w:rPr>
                <w:sz w:val="23"/>
                <w:szCs w:val="23"/>
                <w:color w:val="auto"/>
              </w:rPr>
            </w:pPr>
          </w:p>
        </w:tc>
      </w:t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Capital S.à r.l.</w:t>
            </w:r>
          </w:p>
        </w:tc>
        <w:tc>
          <w:tcPr>
            <w:tcW w:w="5500" w:type="dxa"/>
            <w:vAlign w:val="bottom"/>
            <w:shd w:val="clear" w:color="auto" w:fill="CCEEFF"/>
          </w:tcPr>
          <w:p>
            <w:pPr>
              <w:ind w:left="700"/>
              <w:spacing w:after="0"/>
              <w:rPr>
                <w:sz w:val="20"/>
                <w:szCs w:val="20"/>
                <w:color w:val="auto"/>
              </w:rPr>
            </w:pPr>
            <w:r>
              <w:rPr>
                <w:rFonts w:ascii="Arial" w:cs="Arial" w:eastAsia="Arial" w:hAnsi="Arial"/>
                <w:sz w:val="20"/>
                <w:szCs w:val="20"/>
                <w:color w:val="auto"/>
              </w:rPr>
              <w:t>Luxembourg</w:t>
            </w:r>
          </w:p>
        </w:tc>
      </w:tr>
      <w:tr>
        <w:trPr>
          <w:trHeight w:val="270"/>
        </w:trPr>
        <w:tc>
          <w:tcPr>
            <w:tcW w:w="5720" w:type="dxa"/>
            <w:vAlign w:val="bottom"/>
          </w:tcPr>
          <w:p>
            <w:pPr>
              <w:spacing w:after="0"/>
              <w:rPr>
                <w:sz w:val="23"/>
                <w:szCs w:val="23"/>
                <w:color w:val="auto"/>
              </w:rPr>
            </w:pPr>
          </w:p>
        </w:tc>
        <w:tc>
          <w:tcPr>
            <w:tcW w:w="5500" w:type="dxa"/>
            <w:vAlign w:val="bottom"/>
          </w:tcPr>
          <w:p>
            <w:pPr>
              <w:spacing w:after="0"/>
              <w:rPr>
                <w:sz w:val="23"/>
                <w:szCs w:val="23"/>
                <w:color w:val="auto"/>
              </w:rPr>
            </w:pPr>
          </w:p>
        </w:tc>
      </w:t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Europe S.à r.l.</w:t>
            </w:r>
          </w:p>
        </w:tc>
        <w:tc>
          <w:tcPr>
            <w:tcW w:w="5500" w:type="dxa"/>
            <w:vAlign w:val="bottom"/>
            <w:shd w:val="clear" w:color="auto" w:fill="CCEEFF"/>
          </w:tcPr>
          <w:p>
            <w:pPr>
              <w:ind w:left="700"/>
              <w:spacing w:after="0"/>
              <w:rPr>
                <w:sz w:val="20"/>
                <w:szCs w:val="20"/>
                <w:color w:val="auto"/>
              </w:rPr>
            </w:pPr>
            <w:r>
              <w:rPr>
                <w:rFonts w:ascii="Arial" w:cs="Arial" w:eastAsia="Arial" w:hAnsi="Arial"/>
                <w:sz w:val="20"/>
                <w:szCs w:val="20"/>
                <w:color w:val="auto"/>
              </w:rPr>
              <w:t>Luxembourg</w:t>
            </w:r>
          </w:p>
        </w:tc>
      </w:tr>
      <w:tr>
        <w:trPr>
          <w:trHeight w:val="270"/>
        </w:trPr>
        <w:tc>
          <w:tcPr>
            <w:tcW w:w="5720" w:type="dxa"/>
            <w:vAlign w:val="bottom"/>
          </w:tcPr>
          <w:p>
            <w:pPr>
              <w:spacing w:after="0"/>
              <w:rPr>
                <w:sz w:val="23"/>
                <w:szCs w:val="23"/>
                <w:color w:val="auto"/>
              </w:rPr>
            </w:pPr>
          </w:p>
        </w:tc>
        <w:tc>
          <w:tcPr>
            <w:tcW w:w="5500" w:type="dxa"/>
            <w:vAlign w:val="bottom"/>
          </w:tcPr>
          <w:p>
            <w:pPr>
              <w:spacing w:after="0"/>
              <w:rPr>
                <w:sz w:val="23"/>
                <w:szCs w:val="23"/>
                <w:color w:val="auto"/>
              </w:rPr>
            </w:pPr>
          </w:p>
        </w:tc>
      </w:t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Finance S.à r.l.</w:t>
            </w:r>
          </w:p>
        </w:tc>
        <w:tc>
          <w:tcPr>
            <w:tcW w:w="5500" w:type="dxa"/>
            <w:vAlign w:val="bottom"/>
            <w:shd w:val="clear" w:color="auto" w:fill="CCEEFF"/>
          </w:tcPr>
          <w:p>
            <w:pPr>
              <w:ind w:left="700"/>
              <w:spacing w:after="0"/>
              <w:rPr>
                <w:sz w:val="20"/>
                <w:szCs w:val="20"/>
                <w:color w:val="auto"/>
              </w:rPr>
            </w:pPr>
            <w:r>
              <w:rPr>
                <w:rFonts w:ascii="Arial" w:cs="Arial" w:eastAsia="Arial" w:hAnsi="Arial"/>
                <w:sz w:val="20"/>
                <w:szCs w:val="20"/>
                <w:color w:val="auto"/>
              </w:rPr>
              <w:t>Luxembourg</w:t>
            </w:r>
          </w:p>
        </w:tc>
      </w:tr>
      <w:tr>
        <w:trPr>
          <w:trHeight w:val="270"/>
        </w:trPr>
        <w:tc>
          <w:tcPr>
            <w:tcW w:w="5720" w:type="dxa"/>
            <w:vAlign w:val="bottom"/>
          </w:tcPr>
          <w:p>
            <w:pPr>
              <w:spacing w:after="0"/>
              <w:rPr>
                <w:sz w:val="23"/>
                <w:szCs w:val="23"/>
                <w:color w:val="auto"/>
              </w:rPr>
            </w:pPr>
          </w:p>
        </w:tc>
        <w:tc>
          <w:tcPr>
            <w:tcW w:w="5500" w:type="dxa"/>
            <w:vAlign w:val="bottom"/>
          </w:tcPr>
          <w:p>
            <w:pPr>
              <w:spacing w:after="0"/>
              <w:rPr>
                <w:sz w:val="23"/>
                <w:szCs w:val="23"/>
                <w:color w:val="auto"/>
              </w:rPr>
            </w:pPr>
          </w:p>
        </w:tc>
      </w:t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Funding SCS</w:t>
            </w:r>
          </w:p>
        </w:tc>
        <w:tc>
          <w:tcPr>
            <w:tcW w:w="5500" w:type="dxa"/>
            <w:vAlign w:val="bottom"/>
            <w:shd w:val="clear" w:color="auto" w:fill="CCEEFF"/>
          </w:tcPr>
          <w:p>
            <w:pPr>
              <w:ind w:left="700"/>
              <w:spacing w:after="0"/>
              <w:rPr>
                <w:sz w:val="20"/>
                <w:szCs w:val="20"/>
                <w:color w:val="auto"/>
              </w:rPr>
            </w:pPr>
            <w:r>
              <w:rPr>
                <w:rFonts w:ascii="Arial" w:cs="Arial" w:eastAsia="Arial" w:hAnsi="Arial"/>
                <w:sz w:val="20"/>
                <w:szCs w:val="20"/>
                <w:color w:val="auto"/>
              </w:rPr>
              <w:t>Luxembourg</w:t>
            </w:r>
          </w:p>
        </w:tc>
      </w:tr>
      <w:tr>
        <w:trPr>
          <w:trHeight w:val="270"/>
        </w:trPr>
        <w:tc>
          <w:tcPr>
            <w:tcW w:w="5720" w:type="dxa"/>
            <w:vAlign w:val="bottom"/>
          </w:tcPr>
          <w:p>
            <w:pPr>
              <w:spacing w:after="0"/>
              <w:rPr>
                <w:sz w:val="23"/>
                <w:szCs w:val="23"/>
                <w:color w:val="auto"/>
              </w:rPr>
            </w:pPr>
          </w:p>
        </w:tc>
        <w:tc>
          <w:tcPr>
            <w:tcW w:w="5500" w:type="dxa"/>
            <w:vAlign w:val="bottom"/>
          </w:tcPr>
          <w:p>
            <w:pPr>
              <w:spacing w:after="0"/>
              <w:rPr>
                <w:sz w:val="23"/>
                <w:szCs w:val="23"/>
                <w:color w:val="auto"/>
              </w:rPr>
            </w:pPr>
          </w:p>
        </w:tc>
      </w:t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Global S.à r.l.</w:t>
            </w:r>
          </w:p>
        </w:tc>
        <w:tc>
          <w:tcPr>
            <w:tcW w:w="5500" w:type="dxa"/>
            <w:vAlign w:val="bottom"/>
            <w:shd w:val="clear" w:color="auto" w:fill="CCEEFF"/>
          </w:tcPr>
          <w:p>
            <w:pPr>
              <w:ind w:left="700"/>
              <w:spacing w:after="0"/>
              <w:rPr>
                <w:sz w:val="20"/>
                <w:szCs w:val="20"/>
                <w:color w:val="auto"/>
              </w:rPr>
            </w:pPr>
            <w:r>
              <w:rPr>
                <w:rFonts w:ascii="Arial" w:cs="Arial" w:eastAsia="Arial" w:hAnsi="Arial"/>
                <w:sz w:val="20"/>
                <w:szCs w:val="20"/>
                <w:color w:val="auto"/>
              </w:rPr>
              <w:t>Luxembourg</w:t>
            </w:r>
          </w:p>
        </w:tc>
      </w:tr>
      <w:tr>
        <w:trPr>
          <w:trHeight w:val="270"/>
        </w:trPr>
        <w:tc>
          <w:tcPr>
            <w:tcW w:w="5720" w:type="dxa"/>
            <w:vAlign w:val="bottom"/>
          </w:tcPr>
          <w:p>
            <w:pPr>
              <w:spacing w:after="0"/>
              <w:rPr>
                <w:sz w:val="23"/>
                <w:szCs w:val="23"/>
                <w:color w:val="auto"/>
              </w:rPr>
            </w:pPr>
          </w:p>
        </w:tc>
        <w:tc>
          <w:tcPr>
            <w:tcW w:w="5500" w:type="dxa"/>
            <w:vAlign w:val="bottom"/>
          </w:tcPr>
          <w:p>
            <w:pPr>
              <w:spacing w:after="0"/>
              <w:rPr>
                <w:sz w:val="23"/>
                <w:szCs w:val="23"/>
                <w:color w:val="auto"/>
              </w:rPr>
            </w:pPr>
          </w:p>
        </w:tc>
      </w:t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Holdings S.à r.l.</w:t>
            </w:r>
          </w:p>
        </w:tc>
        <w:tc>
          <w:tcPr>
            <w:tcW w:w="5500" w:type="dxa"/>
            <w:vAlign w:val="bottom"/>
            <w:shd w:val="clear" w:color="auto" w:fill="CCEEFF"/>
          </w:tcPr>
          <w:p>
            <w:pPr>
              <w:ind w:left="700"/>
              <w:spacing w:after="0"/>
              <w:rPr>
                <w:sz w:val="20"/>
                <w:szCs w:val="20"/>
                <w:color w:val="auto"/>
              </w:rPr>
            </w:pPr>
            <w:r>
              <w:rPr>
                <w:rFonts w:ascii="Arial" w:cs="Arial" w:eastAsia="Arial" w:hAnsi="Arial"/>
                <w:sz w:val="20"/>
                <w:szCs w:val="20"/>
                <w:color w:val="auto"/>
              </w:rPr>
              <w:t>Luxembourg</w:t>
            </w:r>
          </w:p>
        </w:tc>
      </w:tr>
      <w:tr>
        <w:trPr>
          <w:trHeight w:val="270"/>
        </w:trPr>
        <w:tc>
          <w:tcPr>
            <w:tcW w:w="5720" w:type="dxa"/>
            <w:vAlign w:val="bottom"/>
          </w:tcPr>
          <w:p>
            <w:pPr>
              <w:spacing w:after="0"/>
              <w:rPr>
                <w:sz w:val="23"/>
                <w:szCs w:val="23"/>
                <w:color w:val="auto"/>
              </w:rPr>
            </w:pPr>
          </w:p>
        </w:tc>
        <w:tc>
          <w:tcPr>
            <w:tcW w:w="5500" w:type="dxa"/>
            <w:vAlign w:val="bottom"/>
          </w:tcPr>
          <w:p>
            <w:pPr>
              <w:spacing w:after="0"/>
              <w:rPr>
                <w:sz w:val="23"/>
                <w:szCs w:val="23"/>
                <w:color w:val="auto"/>
              </w:rPr>
            </w:pPr>
          </w:p>
        </w:tc>
      </w:t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International Holding S.à r.l.</w:t>
            </w:r>
          </w:p>
        </w:tc>
        <w:tc>
          <w:tcPr>
            <w:tcW w:w="5500" w:type="dxa"/>
            <w:vAlign w:val="bottom"/>
            <w:shd w:val="clear" w:color="auto" w:fill="CCEEFF"/>
          </w:tcPr>
          <w:p>
            <w:pPr>
              <w:ind w:left="700"/>
              <w:spacing w:after="0"/>
              <w:rPr>
                <w:sz w:val="20"/>
                <w:szCs w:val="20"/>
                <w:color w:val="auto"/>
              </w:rPr>
            </w:pPr>
            <w:r>
              <w:rPr>
                <w:rFonts w:ascii="Arial" w:cs="Arial" w:eastAsia="Arial" w:hAnsi="Arial"/>
                <w:sz w:val="20"/>
                <w:szCs w:val="20"/>
                <w:color w:val="auto"/>
              </w:rPr>
              <w:t>Luxembourg</w:t>
            </w:r>
          </w:p>
        </w:tc>
      </w:tr>
      <w:tr>
        <w:trPr>
          <w:trHeight w:val="270"/>
        </w:trPr>
        <w:tc>
          <w:tcPr>
            <w:tcW w:w="5720" w:type="dxa"/>
            <w:vAlign w:val="bottom"/>
          </w:tcPr>
          <w:p>
            <w:pPr>
              <w:spacing w:after="0"/>
              <w:rPr>
                <w:sz w:val="23"/>
                <w:szCs w:val="23"/>
                <w:color w:val="auto"/>
              </w:rPr>
            </w:pPr>
          </w:p>
        </w:tc>
        <w:tc>
          <w:tcPr>
            <w:tcW w:w="5500" w:type="dxa"/>
            <w:vAlign w:val="bottom"/>
          </w:tcPr>
          <w:p>
            <w:pPr>
              <w:spacing w:after="0"/>
              <w:rPr>
                <w:sz w:val="23"/>
                <w:szCs w:val="23"/>
                <w:color w:val="auto"/>
              </w:rPr>
            </w:pPr>
          </w:p>
        </w:tc>
      </w:t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Luxembourg International S.à r.l.</w:t>
            </w:r>
          </w:p>
        </w:tc>
        <w:tc>
          <w:tcPr>
            <w:tcW w:w="5500" w:type="dxa"/>
            <w:vAlign w:val="bottom"/>
            <w:shd w:val="clear" w:color="auto" w:fill="CCEEFF"/>
          </w:tcPr>
          <w:p>
            <w:pPr>
              <w:ind w:left="700"/>
              <w:spacing w:after="0"/>
              <w:rPr>
                <w:sz w:val="20"/>
                <w:szCs w:val="20"/>
                <w:color w:val="auto"/>
              </w:rPr>
            </w:pPr>
            <w:r>
              <w:rPr>
                <w:rFonts w:ascii="Arial" w:cs="Arial" w:eastAsia="Arial" w:hAnsi="Arial"/>
                <w:sz w:val="20"/>
                <w:szCs w:val="20"/>
                <w:color w:val="auto"/>
              </w:rPr>
              <w:t>Luxembourg</w:t>
            </w:r>
          </w:p>
        </w:tc>
      </w:tr>
      <w:tr>
        <w:trPr>
          <w:trHeight w:val="270"/>
        </w:trPr>
        <w:tc>
          <w:tcPr>
            <w:tcW w:w="5720" w:type="dxa"/>
            <w:vAlign w:val="bottom"/>
          </w:tcPr>
          <w:p>
            <w:pPr>
              <w:spacing w:after="0"/>
              <w:rPr>
                <w:sz w:val="23"/>
                <w:szCs w:val="23"/>
                <w:color w:val="auto"/>
              </w:rPr>
            </w:pPr>
          </w:p>
        </w:tc>
        <w:tc>
          <w:tcPr>
            <w:tcW w:w="5500" w:type="dxa"/>
            <w:vAlign w:val="bottom"/>
          </w:tcPr>
          <w:p>
            <w:pPr>
              <w:spacing w:after="0"/>
              <w:rPr>
                <w:sz w:val="23"/>
                <w:szCs w:val="23"/>
                <w:color w:val="auto"/>
              </w:rPr>
            </w:pPr>
          </w:p>
        </w:tc>
      </w:t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WC 1 S.à r.l.</w:t>
            </w:r>
          </w:p>
        </w:tc>
        <w:tc>
          <w:tcPr>
            <w:tcW w:w="5500" w:type="dxa"/>
            <w:vAlign w:val="bottom"/>
            <w:shd w:val="clear" w:color="auto" w:fill="CCEEFF"/>
          </w:tcPr>
          <w:p>
            <w:pPr>
              <w:ind w:left="700"/>
              <w:spacing w:after="0"/>
              <w:rPr>
                <w:sz w:val="20"/>
                <w:szCs w:val="20"/>
                <w:color w:val="auto"/>
              </w:rPr>
            </w:pPr>
            <w:r>
              <w:rPr>
                <w:rFonts w:ascii="Arial" w:cs="Arial" w:eastAsia="Arial" w:hAnsi="Arial"/>
                <w:sz w:val="20"/>
                <w:szCs w:val="20"/>
                <w:color w:val="auto"/>
              </w:rPr>
              <w:t>Luxembourg</w:t>
            </w:r>
          </w:p>
        </w:tc>
      </w:tr>
      <w:tr>
        <w:trPr>
          <w:trHeight w:val="270"/>
        </w:trPr>
        <w:tc>
          <w:tcPr>
            <w:tcW w:w="5720" w:type="dxa"/>
            <w:vAlign w:val="bottom"/>
          </w:tcPr>
          <w:p>
            <w:pPr>
              <w:spacing w:after="0"/>
              <w:rPr>
                <w:sz w:val="23"/>
                <w:szCs w:val="23"/>
                <w:color w:val="auto"/>
              </w:rPr>
            </w:pPr>
          </w:p>
        </w:tc>
        <w:tc>
          <w:tcPr>
            <w:tcW w:w="5500" w:type="dxa"/>
            <w:vAlign w:val="bottom"/>
          </w:tcPr>
          <w:p>
            <w:pPr>
              <w:spacing w:after="0"/>
              <w:rPr>
                <w:sz w:val="23"/>
                <w:szCs w:val="23"/>
                <w:color w:val="auto"/>
              </w:rPr>
            </w:pPr>
          </w:p>
        </w:tc>
      </w:t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WC 2 S.à r.l.</w:t>
            </w:r>
          </w:p>
        </w:tc>
        <w:tc>
          <w:tcPr>
            <w:tcW w:w="5500" w:type="dxa"/>
            <w:vAlign w:val="bottom"/>
            <w:shd w:val="clear" w:color="auto" w:fill="CCEEFF"/>
          </w:tcPr>
          <w:p>
            <w:pPr>
              <w:ind w:left="700"/>
              <w:spacing w:after="0"/>
              <w:rPr>
                <w:sz w:val="20"/>
                <w:szCs w:val="20"/>
                <w:color w:val="auto"/>
              </w:rPr>
            </w:pPr>
            <w:r>
              <w:rPr>
                <w:rFonts w:ascii="Arial" w:cs="Arial" w:eastAsia="Arial" w:hAnsi="Arial"/>
                <w:sz w:val="20"/>
                <w:szCs w:val="20"/>
                <w:color w:val="auto"/>
              </w:rPr>
              <w:t>Luxembourg</w:t>
            </w:r>
          </w:p>
        </w:tc>
      </w:tr>
      <w:tr>
        <w:trPr>
          <w:trHeight w:val="270"/>
        </w:trPr>
        <w:tc>
          <w:tcPr>
            <w:tcW w:w="5720" w:type="dxa"/>
            <w:vAlign w:val="bottom"/>
          </w:tcPr>
          <w:p>
            <w:pPr>
              <w:spacing w:after="0"/>
              <w:rPr>
                <w:sz w:val="23"/>
                <w:szCs w:val="23"/>
                <w:color w:val="auto"/>
              </w:rPr>
            </w:pPr>
          </w:p>
        </w:tc>
        <w:tc>
          <w:tcPr>
            <w:tcW w:w="5500" w:type="dxa"/>
            <w:vAlign w:val="bottom"/>
          </w:tcPr>
          <w:p>
            <w:pPr>
              <w:spacing w:after="0"/>
              <w:rPr>
                <w:sz w:val="23"/>
                <w:szCs w:val="23"/>
                <w:color w:val="auto"/>
              </w:rPr>
            </w:pPr>
          </w:p>
        </w:tc>
      </w:t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Sdn. Bhd.</w:t>
            </w:r>
          </w:p>
        </w:tc>
        <w:tc>
          <w:tcPr>
            <w:tcW w:w="5500" w:type="dxa"/>
            <w:vAlign w:val="bottom"/>
            <w:shd w:val="clear" w:color="auto" w:fill="CCEEFF"/>
          </w:tcPr>
          <w:p>
            <w:pPr>
              <w:ind w:left="700"/>
              <w:spacing w:after="0"/>
              <w:rPr>
                <w:sz w:val="20"/>
                <w:szCs w:val="20"/>
                <w:color w:val="auto"/>
              </w:rPr>
            </w:pPr>
            <w:r>
              <w:rPr>
                <w:rFonts w:ascii="Arial" w:cs="Arial" w:eastAsia="Arial" w:hAnsi="Arial"/>
                <w:sz w:val="20"/>
                <w:szCs w:val="20"/>
                <w:color w:val="auto"/>
              </w:rPr>
              <w:t>Malaysia</w:t>
            </w:r>
          </w:p>
        </w:tc>
      </w:tr>
      <w:tr>
        <w:trPr>
          <w:trHeight w:val="270"/>
        </w:trPr>
        <w:tc>
          <w:tcPr>
            <w:tcW w:w="5720" w:type="dxa"/>
            <w:vAlign w:val="bottom"/>
          </w:tcPr>
          <w:p>
            <w:pPr>
              <w:spacing w:after="0"/>
              <w:rPr>
                <w:sz w:val="23"/>
                <w:szCs w:val="23"/>
                <w:color w:val="auto"/>
              </w:rPr>
            </w:pPr>
          </w:p>
        </w:tc>
        <w:tc>
          <w:tcPr>
            <w:tcW w:w="5500" w:type="dxa"/>
            <w:vAlign w:val="bottom"/>
          </w:tcPr>
          <w:p>
            <w:pPr>
              <w:spacing w:after="0"/>
              <w:rPr>
                <w:sz w:val="23"/>
                <w:szCs w:val="23"/>
                <w:color w:val="auto"/>
              </w:rPr>
            </w:pPr>
          </w:p>
        </w:tc>
      </w:t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Malaysia Sdn Bhd</w:t>
            </w:r>
          </w:p>
        </w:tc>
        <w:tc>
          <w:tcPr>
            <w:tcW w:w="5500" w:type="dxa"/>
            <w:vAlign w:val="bottom"/>
            <w:shd w:val="clear" w:color="auto" w:fill="CCEEFF"/>
          </w:tcPr>
          <w:p>
            <w:pPr>
              <w:ind w:left="700"/>
              <w:spacing w:after="0"/>
              <w:rPr>
                <w:sz w:val="20"/>
                <w:szCs w:val="20"/>
                <w:color w:val="auto"/>
              </w:rPr>
            </w:pPr>
            <w:r>
              <w:rPr>
                <w:rFonts w:ascii="Arial" w:cs="Arial" w:eastAsia="Arial" w:hAnsi="Arial"/>
                <w:sz w:val="20"/>
                <w:szCs w:val="20"/>
                <w:color w:val="auto"/>
              </w:rPr>
              <w:t>Malaysia</w:t>
            </w:r>
          </w:p>
        </w:tc>
      </w:tr>
      <w:tr>
        <w:trPr>
          <w:trHeight w:val="270"/>
        </w:trPr>
        <w:tc>
          <w:tcPr>
            <w:tcW w:w="5720" w:type="dxa"/>
            <w:vAlign w:val="bottom"/>
          </w:tcPr>
          <w:p>
            <w:pPr>
              <w:spacing w:after="0"/>
              <w:rPr>
                <w:sz w:val="23"/>
                <w:szCs w:val="23"/>
                <w:color w:val="auto"/>
              </w:rPr>
            </w:pPr>
          </w:p>
        </w:tc>
        <w:tc>
          <w:tcPr>
            <w:tcW w:w="5500" w:type="dxa"/>
            <w:vAlign w:val="bottom"/>
          </w:tcPr>
          <w:p>
            <w:pPr>
              <w:spacing w:after="0"/>
              <w:rPr>
                <w:sz w:val="23"/>
                <w:szCs w:val="23"/>
                <w:color w:val="auto"/>
              </w:rPr>
            </w:pPr>
          </w:p>
        </w:tc>
      </w:t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Malta Holding Limited</w:t>
            </w:r>
          </w:p>
        </w:tc>
        <w:tc>
          <w:tcPr>
            <w:tcW w:w="5500" w:type="dxa"/>
            <w:vAlign w:val="bottom"/>
            <w:shd w:val="clear" w:color="auto" w:fill="CCEEFF"/>
          </w:tcPr>
          <w:p>
            <w:pPr>
              <w:ind w:left="700"/>
              <w:spacing w:after="0"/>
              <w:rPr>
                <w:sz w:val="20"/>
                <w:szCs w:val="20"/>
                <w:color w:val="auto"/>
              </w:rPr>
            </w:pPr>
            <w:r>
              <w:rPr>
                <w:rFonts w:ascii="Arial" w:cs="Arial" w:eastAsia="Arial" w:hAnsi="Arial"/>
                <w:sz w:val="20"/>
                <w:szCs w:val="20"/>
                <w:color w:val="auto"/>
              </w:rPr>
              <w:t>Malta</w:t>
            </w:r>
          </w:p>
        </w:tc>
      </w:tr>
      <w:tr>
        <w:trPr>
          <w:trHeight w:val="270"/>
        </w:trPr>
        <w:tc>
          <w:tcPr>
            <w:tcW w:w="5720" w:type="dxa"/>
            <w:vAlign w:val="bottom"/>
          </w:tcPr>
          <w:p>
            <w:pPr>
              <w:spacing w:after="0"/>
              <w:rPr>
                <w:sz w:val="23"/>
                <w:szCs w:val="23"/>
                <w:color w:val="auto"/>
              </w:rPr>
            </w:pPr>
          </w:p>
        </w:tc>
        <w:tc>
          <w:tcPr>
            <w:tcW w:w="5500" w:type="dxa"/>
            <w:vAlign w:val="bottom"/>
          </w:tcPr>
          <w:p>
            <w:pPr>
              <w:spacing w:after="0"/>
              <w:rPr>
                <w:sz w:val="23"/>
                <w:szCs w:val="23"/>
                <w:color w:val="auto"/>
              </w:rPr>
            </w:pPr>
          </w:p>
        </w:tc>
      </w:tr>
      <w:tr>
        <w:trPr>
          <w:trHeight w:val="243"/>
        </w:trPr>
        <w:tc>
          <w:tcPr>
            <w:tcW w:w="57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Malta II Limited</w:t>
            </w:r>
          </w:p>
        </w:tc>
        <w:tc>
          <w:tcPr>
            <w:tcW w:w="5500" w:type="dxa"/>
            <w:vAlign w:val="bottom"/>
            <w:shd w:val="clear" w:color="auto" w:fill="CCEEFF"/>
          </w:tcPr>
          <w:p>
            <w:pPr>
              <w:ind w:left="700"/>
              <w:spacing w:after="0"/>
              <w:rPr>
                <w:sz w:val="20"/>
                <w:szCs w:val="20"/>
                <w:color w:val="auto"/>
              </w:rPr>
            </w:pPr>
            <w:r>
              <w:rPr>
                <w:rFonts w:ascii="Arial" w:cs="Arial" w:eastAsia="Arial" w:hAnsi="Arial"/>
                <w:sz w:val="20"/>
                <w:szCs w:val="20"/>
                <w:color w:val="auto"/>
              </w:rPr>
              <w:t>Malta</w:t>
            </w:r>
          </w:p>
        </w:tc>
      </w:tr>
    </w:tbl>
    <w:p>
      <w:pPr>
        <w:sectPr>
          <w:pgSz w:w="11900" w:h="16838" w:orient="portrait"/>
          <w:cols w:equalWidth="0" w:num="1">
            <w:col w:w="11220"/>
          </w:cols>
          <w:pgMar w:left="320" w:top="936" w:right="359" w:bottom="144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Malta Limited</w:t>
            </w:r>
          </w:p>
        </w:tc>
        <w:tc>
          <w:tcPr>
            <w:tcW w:w="5680" w:type="dxa"/>
            <w:vAlign w:val="bottom"/>
            <w:shd w:val="clear" w:color="auto" w:fill="CCEEFF"/>
          </w:tcPr>
          <w:p>
            <w:pPr>
              <w:ind w:left="880"/>
              <w:spacing w:after="0"/>
              <w:rPr>
                <w:sz w:val="20"/>
                <w:szCs w:val="20"/>
                <w:color w:val="auto"/>
              </w:rPr>
            </w:pPr>
            <w:r>
              <w:rPr>
                <w:rFonts w:ascii="Arial" w:cs="Arial" w:eastAsia="Arial" w:hAnsi="Arial"/>
                <w:sz w:val="20"/>
                <w:szCs w:val="20"/>
                <w:color w:val="auto"/>
              </w:rPr>
              <w:t>Malta</w:t>
            </w:r>
          </w:p>
        </w:tc>
      </w:tr>
      <w:tr>
        <w:trPr>
          <w:trHeight w:val="270"/>
        </w:trPr>
        <w:tc>
          <w:tcPr>
            <w:tcW w:w="5540" w:type="dxa"/>
            <w:vAlign w:val="bottom"/>
          </w:tcPr>
          <w:p>
            <w:pPr>
              <w:spacing w:after="0"/>
              <w:rPr>
                <w:sz w:val="23"/>
                <w:szCs w:val="23"/>
                <w:color w:val="auto"/>
              </w:rPr>
            </w:pPr>
          </w:p>
        </w:tc>
        <w:tc>
          <w:tcPr>
            <w:tcW w:w="5680" w:type="dxa"/>
            <w:vAlign w:val="bottom"/>
          </w:tcPr>
          <w:p>
            <w:pPr>
              <w:spacing w:after="0"/>
              <w:rPr>
                <w:sz w:val="23"/>
                <w:szCs w:val="23"/>
                <w:color w:val="auto"/>
              </w:rPr>
            </w:pPr>
          </w:p>
        </w:tc>
      </w:tr>
      <w:tr>
        <w:trPr>
          <w:trHeight w:val="243"/>
        </w:trPr>
        <w:tc>
          <w:tcPr>
            <w:tcW w:w="5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Farmacéuticos, S.A. de C.V.</w:t>
            </w:r>
          </w:p>
        </w:tc>
        <w:tc>
          <w:tcPr>
            <w:tcW w:w="5680" w:type="dxa"/>
            <w:vAlign w:val="bottom"/>
            <w:shd w:val="clear" w:color="auto" w:fill="CCEEFF"/>
          </w:tcPr>
          <w:p>
            <w:pPr>
              <w:ind w:left="880"/>
              <w:spacing w:after="0"/>
              <w:rPr>
                <w:sz w:val="20"/>
                <w:szCs w:val="20"/>
                <w:color w:val="auto"/>
              </w:rPr>
            </w:pPr>
            <w:r>
              <w:rPr>
                <w:rFonts w:ascii="Arial" w:cs="Arial" w:eastAsia="Arial" w:hAnsi="Arial"/>
                <w:sz w:val="20"/>
                <w:szCs w:val="20"/>
                <w:color w:val="auto"/>
              </w:rPr>
              <w:t>Mexico</w:t>
            </w:r>
          </w:p>
        </w:tc>
      </w:tr>
      <w:tr>
        <w:trPr>
          <w:trHeight w:val="270"/>
        </w:trPr>
        <w:tc>
          <w:tcPr>
            <w:tcW w:w="5540" w:type="dxa"/>
            <w:vAlign w:val="bottom"/>
          </w:tcPr>
          <w:p>
            <w:pPr>
              <w:spacing w:after="0"/>
              <w:rPr>
                <w:sz w:val="23"/>
                <w:szCs w:val="23"/>
                <w:color w:val="auto"/>
              </w:rPr>
            </w:pPr>
          </w:p>
        </w:tc>
        <w:tc>
          <w:tcPr>
            <w:tcW w:w="5680" w:type="dxa"/>
            <w:vAlign w:val="bottom"/>
          </w:tcPr>
          <w:p>
            <w:pPr>
              <w:spacing w:after="0"/>
              <w:rPr>
                <w:sz w:val="23"/>
                <w:szCs w:val="23"/>
                <w:color w:val="auto"/>
              </w:rPr>
            </w:pPr>
          </w:p>
        </w:tc>
      </w:tr>
      <w:tr>
        <w:trPr>
          <w:trHeight w:val="243"/>
        </w:trPr>
        <w:tc>
          <w:tcPr>
            <w:tcW w:w="5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Servicios Profesionales, S. de R.L. de C.V.</w:t>
            </w:r>
          </w:p>
        </w:tc>
        <w:tc>
          <w:tcPr>
            <w:tcW w:w="5680" w:type="dxa"/>
            <w:vAlign w:val="bottom"/>
            <w:shd w:val="clear" w:color="auto" w:fill="CCEEFF"/>
          </w:tcPr>
          <w:p>
            <w:pPr>
              <w:ind w:left="880"/>
              <w:spacing w:after="0"/>
              <w:rPr>
                <w:sz w:val="20"/>
                <w:szCs w:val="20"/>
                <w:color w:val="auto"/>
              </w:rPr>
            </w:pPr>
            <w:r>
              <w:rPr>
                <w:rFonts w:ascii="Arial" w:cs="Arial" w:eastAsia="Arial" w:hAnsi="Arial"/>
                <w:sz w:val="20"/>
                <w:szCs w:val="20"/>
                <w:color w:val="auto"/>
              </w:rPr>
              <w:t>Mexico</w:t>
            </w:r>
          </w:p>
        </w:tc>
      </w:tr>
      <w:tr>
        <w:trPr>
          <w:trHeight w:val="270"/>
        </w:trPr>
        <w:tc>
          <w:tcPr>
            <w:tcW w:w="5540" w:type="dxa"/>
            <w:vAlign w:val="bottom"/>
          </w:tcPr>
          <w:p>
            <w:pPr>
              <w:spacing w:after="0"/>
              <w:rPr>
                <w:sz w:val="23"/>
                <w:szCs w:val="23"/>
                <w:color w:val="auto"/>
              </w:rPr>
            </w:pPr>
          </w:p>
        </w:tc>
        <w:tc>
          <w:tcPr>
            <w:tcW w:w="5680" w:type="dxa"/>
            <w:vAlign w:val="bottom"/>
          </w:tcPr>
          <w:p>
            <w:pPr>
              <w:spacing w:after="0"/>
              <w:rPr>
                <w:sz w:val="23"/>
                <w:szCs w:val="23"/>
                <w:color w:val="auto"/>
              </w:rPr>
            </w:pPr>
          </w:p>
        </w:tc>
      </w:tr>
      <w:tr>
        <w:trPr>
          <w:trHeight w:val="243"/>
        </w:trPr>
        <w:tc>
          <w:tcPr>
            <w:tcW w:w="5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S.A. de C.V.</w:t>
            </w:r>
          </w:p>
        </w:tc>
        <w:tc>
          <w:tcPr>
            <w:tcW w:w="5680" w:type="dxa"/>
            <w:vAlign w:val="bottom"/>
            <w:shd w:val="clear" w:color="auto" w:fill="CCEEFF"/>
          </w:tcPr>
          <w:p>
            <w:pPr>
              <w:ind w:left="880"/>
              <w:spacing w:after="0"/>
              <w:rPr>
                <w:sz w:val="20"/>
                <w:szCs w:val="20"/>
                <w:color w:val="auto"/>
              </w:rPr>
            </w:pPr>
            <w:r>
              <w:rPr>
                <w:rFonts w:ascii="Arial" w:cs="Arial" w:eastAsia="Arial" w:hAnsi="Arial"/>
                <w:sz w:val="20"/>
                <w:szCs w:val="20"/>
                <w:color w:val="auto"/>
              </w:rPr>
              <w:t>Mexico</w:t>
            </w:r>
          </w:p>
        </w:tc>
      </w:tr>
      <w:tr>
        <w:trPr>
          <w:trHeight w:val="270"/>
        </w:trPr>
        <w:tc>
          <w:tcPr>
            <w:tcW w:w="5540" w:type="dxa"/>
            <w:vAlign w:val="bottom"/>
          </w:tcPr>
          <w:p>
            <w:pPr>
              <w:spacing w:after="0"/>
              <w:rPr>
                <w:sz w:val="23"/>
                <w:szCs w:val="23"/>
                <w:color w:val="auto"/>
              </w:rPr>
            </w:pPr>
          </w:p>
        </w:tc>
        <w:tc>
          <w:tcPr>
            <w:tcW w:w="5680" w:type="dxa"/>
            <w:vAlign w:val="bottom"/>
          </w:tcPr>
          <w:p>
            <w:pPr>
              <w:spacing w:after="0"/>
              <w:rPr>
                <w:sz w:val="23"/>
                <w:szCs w:val="23"/>
                <w:color w:val="auto"/>
              </w:rPr>
            </w:pPr>
          </w:p>
        </w:tc>
      </w:tr>
      <w:tr>
        <w:trPr>
          <w:trHeight w:val="243"/>
        </w:trPr>
        <w:tc>
          <w:tcPr>
            <w:tcW w:w="5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B.V.</w:t>
            </w:r>
          </w:p>
        </w:tc>
        <w:tc>
          <w:tcPr>
            <w:tcW w:w="5680" w:type="dxa"/>
            <w:vAlign w:val="bottom"/>
            <w:shd w:val="clear" w:color="auto" w:fill="CCEEFF"/>
          </w:tcPr>
          <w:p>
            <w:pPr>
              <w:ind w:left="880"/>
              <w:spacing w:after="0"/>
              <w:rPr>
                <w:sz w:val="20"/>
                <w:szCs w:val="20"/>
                <w:color w:val="auto"/>
              </w:rPr>
            </w:pPr>
            <w:r>
              <w:rPr>
                <w:rFonts w:ascii="Arial" w:cs="Arial" w:eastAsia="Arial" w:hAnsi="Arial"/>
                <w:sz w:val="20"/>
                <w:szCs w:val="20"/>
                <w:color w:val="auto"/>
              </w:rPr>
              <w:t>Netherlands</w:t>
            </w:r>
          </w:p>
        </w:tc>
      </w:tr>
      <w:tr>
        <w:trPr>
          <w:trHeight w:val="270"/>
        </w:trPr>
        <w:tc>
          <w:tcPr>
            <w:tcW w:w="5540" w:type="dxa"/>
            <w:vAlign w:val="bottom"/>
          </w:tcPr>
          <w:p>
            <w:pPr>
              <w:spacing w:after="0"/>
              <w:rPr>
                <w:sz w:val="23"/>
                <w:szCs w:val="23"/>
                <w:color w:val="auto"/>
              </w:rPr>
            </w:pPr>
          </w:p>
        </w:tc>
        <w:tc>
          <w:tcPr>
            <w:tcW w:w="5680" w:type="dxa"/>
            <w:vAlign w:val="bottom"/>
          </w:tcPr>
          <w:p>
            <w:pPr>
              <w:spacing w:after="0"/>
              <w:rPr>
                <w:sz w:val="23"/>
                <w:szCs w:val="23"/>
                <w:color w:val="auto"/>
              </w:rPr>
            </w:pPr>
          </w:p>
        </w:tc>
      </w:tr>
      <w:tr>
        <w:trPr>
          <w:trHeight w:val="243"/>
        </w:trPr>
        <w:tc>
          <w:tcPr>
            <w:tcW w:w="5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Central Finance B.V.</w:t>
            </w:r>
          </w:p>
        </w:tc>
        <w:tc>
          <w:tcPr>
            <w:tcW w:w="5680" w:type="dxa"/>
            <w:vAlign w:val="bottom"/>
            <w:shd w:val="clear" w:color="auto" w:fill="CCEEFF"/>
          </w:tcPr>
          <w:p>
            <w:pPr>
              <w:ind w:left="880"/>
              <w:spacing w:after="0"/>
              <w:rPr>
                <w:sz w:val="20"/>
                <w:szCs w:val="20"/>
                <w:color w:val="auto"/>
              </w:rPr>
            </w:pPr>
            <w:r>
              <w:rPr>
                <w:rFonts w:ascii="Arial" w:cs="Arial" w:eastAsia="Arial" w:hAnsi="Arial"/>
                <w:sz w:val="20"/>
                <w:szCs w:val="20"/>
                <w:color w:val="auto"/>
              </w:rPr>
              <w:t>Netherlands</w:t>
            </w:r>
          </w:p>
        </w:tc>
      </w:tr>
      <w:tr>
        <w:trPr>
          <w:trHeight w:val="270"/>
        </w:trPr>
        <w:tc>
          <w:tcPr>
            <w:tcW w:w="5540" w:type="dxa"/>
            <w:vAlign w:val="bottom"/>
          </w:tcPr>
          <w:p>
            <w:pPr>
              <w:spacing w:after="0"/>
              <w:rPr>
                <w:sz w:val="23"/>
                <w:szCs w:val="23"/>
                <w:color w:val="auto"/>
              </w:rPr>
            </w:pPr>
          </w:p>
        </w:tc>
        <w:tc>
          <w:tcPr>
            <w:tcW w:w="5680" w:type="dxa"/>
            <w:vAlign w:val="bottom"/>
          </w:tcPr>
          <w:p>
            <w:pPr>
              <w:spacing w:after="0"/>
              <w:rPr>
                <w:sz w:val="23"/>
                <w:szCs w:val="23"/>
                <w:color w:val="auto"/>
              </w:rPr>
            </w:pPr>
          </w:p>
        </w:tc>
      </w:tr>
      <w:tr>
        <w:trPr>
          <w:trHeight w:val="243"/>
        </w:trPr>
        <w:tc>
          <w:tcPr>
            <w:tcW w:w="5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Enterprises B.V.</w:t>
            </w:r>
          </w:p>
        </w:tc>
        <w:tc>
          <w:tcPr>
            <w:tcW w:w="5680" w:type="dxa"/>
            <w:vAlign w:val="bottom"/>
            <w:shd w:val="clear" w:color="auto" w:fill="CCEEFF"/>
          </w:tcPr>
          <w:p>
            <w:pPr>
              <w:ind w:left="880"/>
              <w:spacing w:after="0"/>
              <w:rPr>
                <w:sz w:val="20"/>
                <w:szCs w:val="20"/>
                <w:color w:val="auto"/>
              </w:rPr>
            </w:pPr>
            <w:r>
              <w:rPr>
                <w:rFonts w:ascii="Arial" w:cs="Arial" w:eastAsia="Arial" w:hAnsi="Arial"/>
                <w:sz w:val="20"/>
                <w:szCs w:val="20"/>
                <w:color w:val="auto"/>
              </w:rPr>
              <w:t>Netherlands</w:t>
            </w:r>
          </w:p>
        </w:tc>
      </w:tr>
      <w:tr>
        <w:trPr>
          <w:trHeight w:val="270"/>
        </w:trPr>
        <w:tc>
          <w:tcPr>
            <w:tcW w:w="5540" w:type="dxa"/>
            <w:vAlign w:val="bottom"/>
          </w:tcPr>
          <w:p>
            <w:pPr>
              <w:spacing w:after="0"/>
              <w:rPr>
                <w:sz w:val="23"/>
                <w:szCs w:val="23"/>
                <w:color w:val="auto"/>
              </w:rPr>
            </w:pPr>
          </w:p>
        </w:tc>
        <w:tc>
          <w:tcPr>
            <w:tcW w:w="5680" w:type="dxa"/>
            <w:vAlign w:val="bottom"/>
          </w:tcPr>
          <w:p>
            <w:pPr>
              <w:spacing w:after="0"/>
              <w:rPr>
                <w:sz w:val="23"/>
                <w:szCs w:val="23"/>
                <w:color w:val="auto"/>
              </w:rPr>
            </w:pPr>
          </w:p>
        </w:tc>
      </w:tr>
      <w:tr>
        <w:trPr>
          <w:trHeight w:val="243"/>
        </w:trPr>
        <w:tc>
          <w:tcPr>
            <w:tcW w:w="5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Finance B.V.</w:t>
            </w:r>
          </w:p>
        </w:tc>
        <w:tc>
          <w:tcPr>
            <w:tcW w:w="5680" w:type="dxa"/>
            <w:vAlign w:val="bottom"/>
            <w:shd w:val="clear" w:color="auto" w:fill="CCEEFF"/>
          </w:tcPr>
          <w:p>
            <w:pPr>
              <w:ind w:left="880"/>
              <w:spacing w:after="0"/>
              <w:rPr>
                <w:sz w:val="20"/>
                <w:szCs w:val="20"/>
                <w:color w:val="auto"/>
              </w:rPr>
            </w:pPr>
            <w:r>
              <w:rPr>
                <w:rFonts w:ascii="Arial" w:cs="Arial" w:eastAsia="Arial" w:hAnsi="Arial"/>
                <w:sz w:val="20"/>
                <w:szCs w:val="20"/>
                <w:color w:val="auto"/>
              </w:rPr>
              <w:t>Netherlands</w:t>
            </w:r>
          </w:p>
        </w:tc>
      </w:tr>
      <w:tr>
        <w:trPr>
          <w:trHeight w:val="270"/>
        </w:trPr>
        <w:tc>
          <w:tcPr>
            <w:tcW w:w="5540" w:type="dxa"/>
            <w:vAlign w:val="bottom"/>
          </w:tcPr>
          <w:p>
            <w:pPr>
              <w:spacing w:after="0"/>
              <w:rPr>
                <w:sz w:val="23"/>
                <w:szCs w:val="23"/>
                <w:color w:val="auto"/>
              </w:rPr>
            </w:pPr>
          </w:p>
        </w:tc>
        <w:tc>
          <w:tcPr>
            <w:tcW w:w="5680" w:type="dxa"/>
            <w:vAlign w:val="bottom"/>
          </w:tcPr>
          <w:p>
            <w:pPr>
              <w:spacing w:after="0"/>
              <w:rPr>
                <w:sz w:val="23"/>
                <w:szCs w:val="23"/>
                <w:color w:val="auto"/>
              </w:rPr>
            </w:pPr>
          </w:p>
        </w:tc>
      </w:tr>
      <w:tr>
        <w:trPr>
          <w:trHeight w:val="243"/>
        </w:trPr>
        <w:tc>
          <w:tcPr>
            <w:tcW w:w="5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Ireland NL B.V.</w:t>
            </w:r>
          </w:p>
        </w:tc>
        <w:tc>
          <w:tcPr>
            <w:tcW w:w="5680" w:type="dxa"/>
            <w:vAlign w:val="bottom"/>
            <w:shd w:val="clear" w:color="auto" w:fill="CCEEFF"/>
          </w:tcPr>
          <w:p>
            <w:pPr>
              <w:ind w:left="880"/>
              <w:spacing w:after="0"/>
              <w:rPr>
                <w:sz w:val="20"/>
                <w:szCs w:val="20"/>
                <w:color w:val="auto"/>
              </w:rPr>
            </w:pPr>
            <w:r>
              <w:rPr>
                <w:rFonts w:ascii="Arial" w:cs="Arial" w:eastAsia="Arial" w:hAnsi="Arial"/>
                <w:sz w:val="20"/>
                <w:szCs w:val="20"/>
                <w:color w:val="auto"/>
              </w:rPr>
              <w:t>Netherlands</w:t>
            </w:r>
          </w:p>
        </w:tc>
      </w:tr>
      <w:tr>
        <w:trPr>
          <w:trHeight w:val="270"/>
        </w:trPr>
        <w:tc>
          <w:tcPr>
            <w:tcW w:w="5540" w:type="dxa"/>
            <w:vAlign w:val="bottom"/>
          </w:tcPr>
          <w:p>
            <w:pPr>
              <w:spacing w:after="0"/>
              <w:rPr>
                <w:sz w:val="23"/>
                <w:szCs w:val="23"/>
                <w:color w:val="auto"/>
              </w:rPr>
            </w:pPr>
          </w:p>
        </w:tc>
        <w:tc>
          <w:tcPr>
            <w:tcW w:w="5680" w:type="dxa"/>
            <w:vAlign w:val="bottom"/>
          </w:tcPr>
          <w:p>
            <w:pPr>
              <w:spacing w:after="0"/>
              <w:rPr>
                <w:sz w:val="23"/>
                <w:szCs w:val="23"/>
                <w:color w:val="auto"/>
              </w:rPr>
            </w:pPr>
          </w:p>
        </w:tc>
      </w:tr>
      <w:tr>
        <w:trPr>
          <w:trHeight w:val="243"/>
        </w:trPr>
        <w:tc>
          <w:tcPr>
            <w:tcW w:w="5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Japan Holdings B.V.</w:t>
            </w:r>
          </w:p>
        </w:tc>
        <w:tc>
          <w:tcPr>
            <w:tcW w:w="5680" w:type="dxa"/>
            <w:vAlign w:val="bottom"/>
            <w:shd w:val="clear" w:color="auto" w:fill="CCEEFF"/>
          </w:tcPr>
          <w:p>
            <w:pPr>
              <w:ind w:left="880"/>
              <w:spacing w:after="0"/>
              <w:rPr>
                <w:sz w:val="20"/>
                <w:szCs w:val="20"/>
                <w:color w:val="auto"/>
              </w:rPr>
            </w:pPr>
            <w:r>
              <w:rPr>
                <w:rFonts w:ascii="Arial" w:cs="Arial" w:eastAsia="Arial" w:hAnsi="Arial"/>
                <w:sz w:val="20"/>
                <w:szCs w:val="20"/>
                <w:color w:val="auto"/>
              </w:rPr>
              <w:t>Netherlands</w:t>
            </w:r>
          </w:p>
        </w:tc>
      </w:tr>
      <w:tr>
        <w:trPr>
          <w:trHeight w:val="270"/>
        </w:trPr>
        <w:tc>
          <w:tcPr>
            <w:tcW w:w="5540" w:type="dxa"/>
            <w:vAlign w:val="bottom"/>
          </w:tcPr>
          <w:p>
            <w:pPr>
              <w:spacing w:after="0"/>
              <w:rPr>
                <w:sz w:val="23"/>
                <w:szCs w:val="23"/>
                <w:color w:val="auto"/>
              </w:rPr>
            </w:pPr>
          </w:p>
        </w:tc>
        <w:tc>
          <w:tcPr>
            <w:tcW w:w="5680" w:type="dxa"/>
            <w:vAlign w:val="bottom"/>
          </w:tcPr>
          <w:p>
            <w:pPr>
              <w:spacing w:after="0"/>
              <w:rPr>
                <w:sz w:val="23"/>
                <w:szCs w:val="23"/>
                <w:color w:val="auto"/>
              </w:rPr>
            </w:pPr>
          </w:p>
        </w:tc>
      </w:tr>
      <w:tr>
        <w:trPr>
          <w:trHeight w:val="243"/>
        </w:trPr>
        <w:tc>
          <w:tcPr>
            <w:tcW w:w="5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Logistics B.V</w:t>
            </w:r>
          </w:p>
        </w:tc>
        <w:tc>
          <w:tcPr>
            <w:tcW w:w="5680" w:type="dxa"/>
            <w:vAlign w:val="bottom"/>
            <w:shd w:val="clear" w:color="auto" w:fill="CCEEFF"/>
          </w:tcPr>
          <w:p>
            <w:pPr>
              <w:ind w:left="880"/>
              <w:spacing w:after="0"/>
              <w:rPr>
                <w:sz w:val="20"/>
                <w:szCs w:val="20"/>
                <w:color w:val="auto"/>
              </w:rPr>
            </w:pPr>
            <w:r>
              <w:rPr>
                <w:rFonts w:ascii="Arial" w:cs="Arial" w:eastAsia="Arial" w:hAnsi="Arial"/>
                <w:sz w:val="20"/>
                <w:szCs w:val="20"/>
                <w:color w:val="auto"/>
              </w:rPr>
              <w:t>Netherlands</w:t>
            </w:r>
          </w:p>
        </w:tc>
      </w:tr>
      <w:tr>
        <w:trPr>
          <w:trHeight w:val="270"/>
        </w:trPr>
        <w:tc>
          <w:tcPr>
            <w:tcW w:w="5540" w:type="dxa"/>
            <w:vAlign w:val="bottom"/>
          </w:tcPr>
          <w:p>
            <w:pPr>
              <w:spacing w:after="0"/>
              <w:rPr>
                <w:sz w:val="23"/>
                <w:szCs w:val="23"/>
                <w:color w:val="auto"/>
              </w:rPr>
            </w:pPr>
          </w:p>
        </w:tc>
        <w:tc>
          <w:tcPr>
            <w:tcW w:w="5680" w:type="dxa"/>
            <w:vAlign w:val="bottom"/>
          </w:tcPr>
          <w:p>
            <w:pPr>
              <w:spacing w:after="0"/>
              <w:rPr>
                <w:sz w:val="23"/>
                <w:szCs w:val="23"/>
                <w:color w:val="auto"/>
              </w:rPr>
            </w:pPr>
          </w:p>
        </w:tc>
      </w:tr>
      <w:tr>
        <w:trPr>
          <w:trHeight w:val="243"/>
        </w:trPr>
        <w:tc>
          <w:tcPr>
            <w:tcW w:w="5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Nederland Holdings B.V.</w:t>
            </w:r>
          </w:p>
        </w:tc>
        <w:tc>
          <w:tcPr>
            <w:tcW w:w="5680" w:type="dxa"/>
            <w:vAlign w:val="bottom"/>
            <w:shd w:val="clear" w:color="auto" w:fill="CCEEFF"/>
          </w:tcPr>
          <w:p>
            <w:pPr>
              <w:ind w:left="880"/>
              <w:spacing w:after="0"/>
              <w:rPr>
                <w:sz w:val="20"/>
                <w:szCs w:val="20"/>
                <w:color w:val="auto"/>
              </w:rPr>
            </w:pPr>
            <w:r>
              <w:rPr>
                <w:rFonts w:ascii="Arial" w:cs="Arial" w:eastAsia="Arial" w:hAnsi="Arial"/>
                <w:sz w:val="20"/>
                <w:szCs w:val="20"/>
                <w:color w:val="auto"/>
              </w:rPr>
              <w:t>Netherlands</w:t>
            </w:r>
          </w:p>
        </w:tc>
      </w:tr>
      <w:tr>
        <w:trPr>
          <w:trHeight w:val="270"/>
        </w:trPr>
        <w:tc>
          <w:tcPr>
            <w:tcW w:w="5540" w:type="dxa"/>
            <w:vAlign w:val="bottom"/>
          </w:tcPr>
          <w:p>
            <w:pPr>
              <w:spacing w:after="0"/>
              <w:rPr>
                <w:sz w:val="23"/>
                <w:szCs w:val="23"/>
                <w:color w:val="auto"/>
              </w:rPr>
            </w:pPr>
          </w:p>
        </w:tc>
        <w:tc>
          <w:tcPr>
            <w:tcW w:w="5680" w:type="dxa"/>
            <w:vAlign w:val="bottom"/>
          </w:tcPr>
          <w:p>
            <w:pPr>
              <w:spacing w:after="0"/>
              <w:rPr>
                <w:sz w:val="23"/>
                <w:szCs w:val="23"/>
                <w:color w:val="auto"/>
              </w:rPr>
            </w:pPr>
          </w:p>
        </w:tc>
      </w:tr>
      <w:tr>
        <w:trPr>
          <w:trHeight w:val="243"/>
        </w:trPr>
        <w:tc>
          <w:tcPr>
            <w:tcW w:w="5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Pharmaceuticals B.V.</w:t>
            </w:r>
          </w:p>
        </w:tc>
        <w:tc>
          <w:tcPr>
            <w:tcW w:w="5680" w:type="dxa"/>
            <w:vAlign w:val="bottom"/>
            <w:shd w:val="clear" w:color="auto" w:fill="CCEEFF"/>
          </w:tcPr>
          <w:p>
            <w:pPr>
              <w:ind w:left="880"/>
              <w:spacing w:after="0"/>
              <w:rPr>
                <w:sz w:val="20"/>
                <w:szCs w:val="20"/>
                <w:color w:val="auto"/>
              </w:rPr>
            </w:pPr>
            <w:r>
              <w:rPr>
                <w:rFonts w:ascii="Arial" w:cs="Arial" w:eastAsia="Arial" w:hAnsi="Arial"/>
                <w:sz w:val="20"/>
                <w:szCs w:val="20"/>
                <w:color w:val="auto"/>
              </w:rPr>
              <w:t>Netherlands</w:t>
            </w:r>
          </w:p>
        </w:tc>
      </w:tr>
      <w:tr>
        <w:trPr>
          <w:trHeight w:val="270"/>
        </w:trPr>
        <w:tc>
          <w:tcPr>
            <w:tcW w:w="5540" w:type="dxa"/>
            <w:vAlign w:val="bottom"/>
          </w:tcPr>
          <w:p>
            <w:pPr>
              <w:spacing w:after="0"/>
              <w:rPr>
                <w:sz w:val="23"/>
                <w:szCs w:val="23"/>
                <w:color w:val="auto"/>
              </w:rPr>
            </w:pPr>
          </w:p>
        </w:tc>
        <w:tc>
          <w:tcPr>
            <w:tcW w:w="5680" w:type="dxa"/>
            <w:vAlign w:val="bottom"/>
          </w:tcPr>
          <w:p>
            <w:pPr>
              <w:spacing w:after="0"/>
              <w:rPr>
                <w:sz w:val="23"/>
                <w:szCs w:val="23"/>
                <w:color w:val="auto"/>
              </w:rPr>
            </w:pPr>
          </w:p>
        </w:tc>
      </w:tr>
      <w:tr>
        <w:trPr>
          <w:trHeight w:val="243"/>
        </w:trPr>
        <w:tc>
          <w:tcPr>
            <w:tcW w:w="5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Research B.V.</w:t>
            </w:r>
          </w:p>
        </w:tc>
        <w:tc>
          <w:tcPr>
            <w:tcW w:w="5680" w:type="dxa"/>
            <w:vAlign w:val="bottom"/>
            <w:shd w:val="clear" w:color="auto" w:fill="CCEEFF"/>
          </w:tcPr>
          <w:p>
            <w:pPr>
              <w:ind w:left="880"/>
              <w:spacing w:after="0"/>
              <w:rPr>
                <w:sz w:val="20"/>
                <w:szCs w:val="20"/>
                <w:color w:val="auto"/>
              </w:rPr>
            </w:pPr>
            <w:r>
              <w:rPr>
                <w:rFonts w:ascii="Arial" w:cs="Arial" w:eastAsia="Arial" w:hAnsi="Arial"/>
                <w:sz w:val="20"/>
                <w:szCs w:val="20"/>
                <w:color w:val="auto"/>
              </w:rPr>
              <w:t>Netherlands</w:t>
            </w:r>
          </w:p>
        </w:tc>
      </w:tr>
      <w:tr>
        <w:trPr>
          <w:trHeight w:val="270"/>
        </w:trPr>
        <w:tc>
          <w:tcPr>
            <w:tcW w:w="5540" w:type="dxa"/>
            <w:vAlign w:val="bottom"/>
          </w:tcPr>
          <w:p>
            <w:pPr>
              <w:spacing w:after="0"/>
              <w:rPr>
                <w:sz w:val="23"/>
                <w:szCs w:val="23"/>
                <w:color w:val="auto"/>
              </w:rPr>
            </w:pPr>
          </w:p>
        </w:tc>
        <w:tc>
          <w:tcPr>
            <w:tcW w:w="5680" w:type="dxa"/>
            <w:vAlign w:val="bottom"/>
          </w:tcPr>
          <w:p>
            <w:pPr>
              <w:spacing w:after="0"/>
              <w:rPr>
                <w:sz w:val="23"/>
                <w:szCs w:val="23"/>
                <w:color w:val="auto"/>
              </w:rPr>
            </w:pPr>
          </w:p>
        </w:tc>
      </w:tr>
      <w:tr>
        <w:trPr>
          <w:trHeight w:val="243"/>
        </w:trPr>
        <w:tc>
          <w:tcPr>
            <w:tcW w:w="5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Venezuela B.V.</w:t>
            </w:r>
          </w:p>
        </w:tc>
        <w:tc>
          <w:tcPr>
            <w:tcW w:w="5680" w:type="dxa"/>
            <w:vAlign w:val="bottom"/>
            <w:shd w:val="clear" w:color="auto" w:fill="CCEEFF"/>
          </w:tcPr>
          <w:p>
            <w:pPr>
              <w:ind w:left="880"/>
              <w:spacing w:after="0"/>
              <w:rPr>
                <w:sz w:val="20"/>
                <w:szCs w:val="20"/>
                <w:color w:val="auto"/>
              </w:rPr>
            </w:pPr>
            <w:r>
              <w:rPr>
                <w:rFonts w:ascii="Arial" w:cs="Arial" w:eastAsia="Arial" w:hAnsi="Arial"/>
                <w:sz w:val="20"/>
                <w:szCs w:val="20"/>
                <w:color w:val="auto"/>
              </w:rPr>
              <w:t>Netherlands</w:t>
            </w:r>
          </w:p>
        </w:tc>
      </w:tr>
      <w:tr>
        <w:trPr>
          <w:trHeight w:val="270"/>
        </w:trPr>
        <w:tc>
          <w:tcPr>
            <w:tcW w:w="5540" w:type="dxa"/>
            <w:vAlign w:val="bottom"/>
          </w:tcPr>
          <w:p>
            <w:pPr>
              <w:spacing w:after="0"/>
              <w:rPr>
                <w:sz w:val="23"/>
                <w:szCs w:val="23"/>
                <w:color w:val="auto"/>
              </w:rPr>
            </w:pPr>
          </w:p>
        </w:tc>
        <w:tc>
          <w:tcPr>
            <w:tcW w:w="5680" w:type="dxa"/>
            <w:vAlign w:val="bottom"/>
          </w:tcPr>
          <w:p>
            <w:pPr>
              <w:spacing w:after="0"/>
              <w:rPr>
                <w:sz w:val="23"/>
                <w:szCs w:val="23"/>
                <w:color w:val="auto"/>
              </w:rPr>
            </w:pPr>
          </w:p>
        </w:tc>
      </w:tr>
      <w:tr>
        <w:trPr>
          <w:trHeight w:val="243"/>
        </w:trPr>
        <w:tc>
          <w:tcPr>
            <w:tcW w:w="5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Venezuela Holdings B.V.</w:t>
            </w:r>
          </w:p>
        </w:tc>
        <w:tc>
          <w:tcPr>
            <w:tcW w:w="5680" w:type="dxa"/>
            <w:vAlign w:val="bottom"/>
            <w:shd w:val="clear" w:color="auto" w:fill="CCEEFF"/>
          </w:tcPr>
          <w:p>
            <w:pPr>
              <w:ind w:left="880"/>
              <w:spacing w:after="0"/>
              <w:rPr>
                <w:sz w:val="20"/>
                <w:szCs w:val="20"/>
                <w:color w:val="auto"/>
              </w:rPr>
            </w:pPr>
            <w:r>
              <w:rPr>
                <w:rFonts w:ascii="Arial" w:cs="Arial" w:eastAsia="Arial" w:hAnsi="Arial"/>
                <w:sz w:val="20"/>
                <w:szCs w:val="20"/>
                <w:color w:val="auto"/>
              </w:rPr>
              <w:t>Netherlands</w:t>
            </w:r>
          </w:p>
        </w:tc>
      </w:tr>
      <w:tr>
        <w:trPr>
          <w:trHeight w:val="270"/>
        </w:trPr>
        <w:tc>
          <w:tcPr>
            <w:tcW w:w="5540" w:type="dxa"/>
            <w:vAlign w:val="bottom"/>
          </w:tcPr>
          <w:p>
            <w:pPr>
              <w:spacing w:after="0"/>
              <w:rPr>
                <w:sz w:val="23"/>
                <w:szCs w:val="23"/>
                <w:color w:val="auto"/>
              </w:rPr>
            </w:pPr>
          </w:p>
        </w:tc>
        <w:tc>
          <w:tcPr>
            <w:tcW w:w="5680" w:type="dxa"/>
            <w:vAlign w:val="bottom"/>
          </w:tcPr>
          <w:p>
            <w:pPr>
              <w:spacing w:after="0"/>
              <w:rPr>
                <w:sz w:val="23"/>
                <w:szCs w:val="23"/>
                <w:color w:val="auto"/>
              </w:rPr>
            </w:pPr>
          </w:p>
        </w:tc>
      </w:tr>
      <w:tr>
        <w:trPr>
          <w:trHeight w:val="243"/>
        </w:trPr>
        <w:tc>
          <w:tcPr>
            <w:tcW w:w="5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B.V.</w:t>
            </w:r>
          </w:p>
        </w:tc>
        <w:tc>
          <w:tcPr>
            <w:tcW w:w="5680" w:type="dxa"/>
            <w:vAlign w:val="bottom"/>
            <w:shd w:val="clear" w:color="auto" w:fill="CCEEFF"/>
          </w:tcPr>
          <w:p>
            <w:pPr>
              <w:ind w:left="880"/>
              <w:spacing w:after="0"/>
              <w:rPr>
                <w:sz w:val="20"/>
                <w:szCs w:val="20"/>
                <w:color w:val="auto"/>
              </w:rPr>
            </w:pPr>
            <w:r>
              <w:rPr>
                <w:rFonts w:ascii="Arial" w:cs="Arial" w:eastAsia="Arial" w:hAnsi="Arial"/>
                <w:sz w:val="20"/>
                <w:szCs w:val="20"/>
                <w:color w:val="auto"/>
              </w:rPr>
              <w:t>Netherlands</w:t>
            </w:r>
          </w:p>
        </w:tc>
      </w:tr>
      <w:tr>
        <w:trPr>
          <w:trHeight w:val="270"/>
        </w:trPr>
        <w:tc>
          <w:tcPr>
            <w:tcW w:w="5540" w:type="dxa"/>
            <w:vAlign w:val="bottom"/>
          </w:tcPr>
          <w:p>
            <w:pPr>
              <w:spacing w:after="0"/>
              <w:rPr>
                <w:sz w:val="23"/>
                <w:szCs w:val="23"/>
                <w:color w:val="auto"/>
              </w:rPr>
            </w:pPr>
          </w:p>
        </w:tc>
        <w:tc>
          <w:tcPr>
            <w:tcW w:w="5680" w:type="dxa"/>
            <w:vAlign w:val="bottom"/>
          </w:tcPr>
          <w:p>
            <w:pPr>
              <w:spacing w:after="0"/>
              <w:rPr>
                <w:sz w:val="23"/>
                <w:szCs w:val="23"/>
                <w:color w:val="auto"/>
              </w:rPr>
            </w:pPr>
          </w:p>
        </w:tc>
      </w:tr>
      <w:tr>
        <w:trPr>
          <w:trHeight w:val="243"/>
        </w:trPr>
        <w:tc>
          <w:tcPr>
            <w:tcW w:w="5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Aptalis Holding B.V.</w:t>
            </w:r>
          </w:p>
        </w:tc>
        <w:tc>
          <w:tcPr>
            <w:tcW w:w="5680" w:type="dxa"/>
            <w:vAlign w:val="bottom"/>
            <w:shd w:val="clear" w:color="auto" w:fill="CCEEFF"/>
          </w:tcPr>
          <w:p>
            <w:pPr>
              <w:ind w:left="880"/>
              <w:spacing w:after="0"/>
              <w:rPr>
                <w:sz w:val="20"/>
                <w:szCs w:val="20"/>
                <w:color w:val="auto"/>
              </w:rPr>
            </w:pPr>
            <w:r>
              <w:rPr>
                <w:rFonts w:ascii="Arial" w:cs="Arial" w:eastAsia="Arial" w:hAnsi="Arial"/>
                <w:sz w:val="20"/>
                <w:szCs w:val="20"/>
                <w:color w:val="auto"/>
              </w:rPr>
              <w:t>Netherlands</w:t>
            </w:r>
          </w:p>
        </w:tc>
      </w:tr>
      <w:tr>
        <w:trPr>
          <w:trHeight w:val="270"/>
        </w:trPr>
        <w:tc>
          <w:tcPr>
            <w:tcW w:w="5540" w:type="dxa"/>
            <w:vAlign w:val="bottom"/>
          </w:tcPr>
          <w:p>
            <w:pPr>
              <w:spacing w:after="0"/>
              <w:rPr>
                <w:sz w:val="23"/>
                <w:szCs w:val="23"/>
                <w:color w:val="auto"/>
              </w:rPr>
            </w:pPr>
          </w:p>
        </w:tc>
        <w:tc>
          <w:tcPr>
            <w:tcW w:w="5680" w:type="dxa"/>
            <w:vAlign w:val="bottom"/>
          </w:tcPr>
          <w:p>
            <w:pPr>
              <w:spacing w:after="0"/>
              <w:rPr>
                <w:sz w:val="23"/>
                <w:szCs w:val="23"/>
                <w:color w:val="auto"/>
              </w:rPr>
            </w:pPr>
          </w:p>
        </w:tc>
      </w:tr>
      <w:tr>
        <w:trPr>
          <w:trHeight w:val="243"/>
        </w:trPr>
        <w:tc>
          <w:tcPr>
            <w:tcW w:w="5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Aptalis Netherlands B.V.</w:t>
            </w:r>
          </w:p>
        </w:tc>
        <w:tc>
          <w:tcPr>
            <w:tcW w:w="5680" w:type="dxa"/>
            <w:vAlign w:val="bottom"/>
            <w:shd w:val="clear" w:color="auto" w:fill="CCEEFF"/>
          </w:tcPr>
          <w:p>
            <w:pPr>
              <w:ind w:left="880"/>
              <w:spacing w:after="0"/>
              <w:rPr>
                <w:sz w:val="20"/>
                <w:szCs w:val="20"/>
                <w:color w:val="auto"/>
              </w:rPr>
            </w:pPr>
            <w:r>
              <w:rPr>
                <w:rFonts w:ascii="Arial" w:cs="Arial" w:eastAsia="Arial" w:hAnsi="Arial"/>
                <w:sz w:val="20"/>
                <w:szCs w:val="20"/>
                <w:color w:val="auto"/>
              </w:rPr>
              <w:t>Netherlands</w:t>
            </w:r>
          </w:p>
        </w:tc>
      </w:tr>
      <w:tr>
        <w:trPr>
          <w:trHeight w:val="270"/>
        </w:trPr>
        <w:tc>
          <w:tcPr>
            <w:tcW w:w="5540" w:type="dxa"/>
            <w:vAlign w:val="bottom"/>
          </w:tcPr>
          <w:p>
            <w:pPr>
              <w:spacing w:after="0"/>
              <w:rPr>
                <w:sz w:val="23"/>
                <w:szCs w:val="23"/>
                <w:color w:val="auto"/>
              </w:rPr>
            </w:pPr>
          </w:p>
        </w:tc>
        <w:tc>
          <w:tcPr>
            <w:tcW w:w="5680" w:type="dxa"/>
            <w:vAlign w:val="bottom"/>
          </w:tcPr>
          <w:p>
            <w:pPr>
              <w:spacing w:after="0"/>
              <w:rPr>
                <w:sz w:val="23"/>
                <w:szCs w:val="23"/>
                <w:color w:val="auto"/>
              </w:rPr>
            </w:pPr>
          </w:p>
        </w:tc>
      </w:tr>
      <w:tr>
        <w:trPr>
          <w:trHeight w:val="243"/>
        </w:trPr>
        <w:tc>
          <w:tcPr>
            <w:tcW w:w="5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Forest Finance B.V.</w:t>
            </w:r>
          </w:p>
        </w:tc>
        <w:tc>
          <w:tcPr>
            <w:tcW w:w="5680" w:type="dxa"/>
            <w:vAlign w:val="bottom"/>
            <w:shd w:val="clear" w:color="auto" w:fill="CCEEFF"/>
          </w:tcPr>
          <w:p>
            <w:pPr>
              <w:ind w:left="880"/>
              <w:spacing w:after="0"/>
              <w:rPr>
                <w:sz w:val="20"/>
                <w:szCs w:val="20"/>
                <w:color w:val="auto"/>
              </w:rPr>
            </w:pPr>
            <w:r>
              <w:rPr>
                <w:rFonts w:ascii="Arial" w:cs="Arial" w:eastAsia="Arial" w:hAnsi="Arial"/>
                <w:sz w:val="20"/>
                <w:szCs w:val="20"/>
                <w:color w:val="auto"/>
              </w:rPr>
              <w:t>Netherlands</w:t>
            </w:r>
          </w:p>
        </w:tc>
      </w:tr>
      <w:tr>
        <w:trPr>
          <w:trHeight w:val="270"/>
        </w:trPr>
        <w:tc>
          <w:tcPr>
            <w:tcW w:w="5540" w:type="dxa"/>
            <w:vAlign w:val="bottom"/>
          </w:tcPr>
          <w:p>
            <w:pPr>
              <w:spacing w:after="0"/>
              <w:rPr>
                <w:sz w:val="23"/>
                <w:szCs w:val="23"/>
                <w:color w:val="auto"/>
              </w:rPr>
            </w:pPr>
          </w:p>
        </w:tc>
        <w:tc>
          <w:tcPr>
            <w:tcW w:w="5680" w:type="dxa"/>
            <w:vAlign w:val="bottom"/>
          </w:tcPr>
          <w:p>
            <w:pPr>
              <w:spacing w:after="0"/>
              <w:rPr>
                <w:sz w:val="23"/>
                <w:szCs w:val="23"/>
                <w:color w:val="auto"/>
              </w:rPr>
            </w:pPr>
          </w:p>
        </w:tc>
      </w:tr>
      <w:tr>
        <w:trPr>
          <w:trHeight w:val="243"/>
        </w:trPr>
        <w:tc>
          <w:tcPr>
            <w:tcW w:w="5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Warner Chilcott Nederland B.V.</w:t>
            </w:r>
          </w:p>
        </w:tc>
        <w:tc>
          <w:tcPr>
            <w:tcW w:w="5680" w:type="dxa"/>
            <w:vAlign w:val="bottom"/>
            <w:shd w:val="clear" w:color="auto" w:fill="CCEEFF"/>
          </w:tcPr>
          <w:p>
            <w:pPr>
              <w:ind w:left="880"/>
              <w:spacing w:after="0"/>
              <w:rPr>
                <w:sz w:val="20"/>
                <w:szCs w:val="20"/>
                <w:color w:val="auto"/>
              </w:rPr>
            </w:pPr>
            <w:r>
              <w:rPr>
                <w:rFonts w:ascii="Arial" w:cs="Arial" w:eastAsia="Arial" w:hAnsi="Arial"/>
                <w:sz w:val="20"/>
                <w:szCs w:val="20"/>
                <w:color w:val="auto"/>
              </w:rPr>
              <w:t>Netherlands</w:t>
            </w:r>
          </w:p>
        </w:tc>
      </w:tr>
    </w:tbl>
    <w:p>
      <w:pPr>
        <w:sectPr>
          <w:pgSz w:w="11900" w:h="16838" w:orient="portrait"/>
          <w:cols w:equalWidth="0" w:num="1">
            <w:col w:w="11220"/>
          </w:cols>
          <w:pgMar w:left="320" w:top="1206" w:right="359" w:bottom="144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Limited</w:t>
            </w:r>
          </w:p>
        </w:tc>
        <w:tc>
          <w:tcPr>
            <w:tcW w:w="6240" w:type="dxa"/>
            <w:vAlign w:val="bottom"/>
            <w:shd w:val="clear" w:color="auto" w:fill="CCEEFF"/>
          </w:tcPr>
          <w:p>
            <w:pPr>
              <w:ind w:left="1440"/>
              <w:spacing w:after="0"/>
              <w:rPr>
                <w:sz w:val="20"/>
                <w:szCs w:val="20"/>
                <w:color w:val="auto"/>
              </w:rPr>
            </w:pPr>
            <w:r>
              <w:rPr>
                <w:rFonts w:ascii="Arial" w:cs="Arial" w:eastAsia="Arial" w:hAnsi="Arial"/>
                <w:sz w:val="20"/>
                <w:szCs w:val="20"/>
                <w:color w:val="auto"/>
              </w:rPr>
              <w:t>New Zealand</w:t>
            </w:r>
          </w:p>
        </w:tc>
      </w:tr>
      <w:tr>
        <w:trPr>
          <w:trHeight w:val="270"/>
        </w:trPr>
        <w:tc>
          <w:tcPr>
            <w:tcW w:w="4980" w:type="dxa"/>
            <w:vAlign w:val="bottom"/>
          </w:tcPr>
          <w:p>
            <w:pPr>
              <w:spacing w:after="0"/>
              <w:rPr>
                <w:sz w:val="23"/>
                <w:szCs w:val="23"/>
                <w:color w:val="auto"/>
              </w:rPr>
            </w:pPr>
          </w:p>
        </w:tc>
        <w:tc>
          <w:tcPr>
            <w:tcW w:w="6240" w:type="dxa"/>
            <w:vAlign w:val="bottom"/>
          </w:tcPr>
          <w:p>
            <w:pPr>
              <w:spacing w:after="0"/>
              <w:rPr>
                <w:sz w:val="23"/>
                <w:szCs w:val="23"/>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New Zealand Limited</w:t>
            </w:r>
          </w:p>
        </w:tc>
        <w:tc>
          <w:tcPr>
            <w:tcW w:w="6240" w:type="dxa"/>
            <w:vAlign w:val="bottom"/>
            <w:shd w:val="clear" w:color="auto" w:fill="CCEEFF"/>
          </w:tcPr>
          <w:p>
            <w:pPr>
              <w:ind w:left="1440"/>
              <w:spacing w:after="0"/>
              <w:rPr>
                <w:sz w:val="20"/>
                <w:szCs w:val="20"/>
                <w:color w:val="auto"/>
              </w:rPr>
            </w:pPr>
            <w:r>
              <w:rPr>
                <w:rFonts w:ascii="Arial" w:cs="Arial" w:eastAsia="Arial" w:hAnsi="Arial"/>
                <w:sz w:val="20"/>
                <w:szCs w:val="20"/>
                <w:color w:val="auto"/>
              </w:rPr>
              <w:t>New Zealand</w:t>
            </w:r>
          </w:p>
        </w:tc>
      </w:tr>
      <w:tr>
        <w:trPr>
          <w:trHeight w:val="270"/>
        </w:trPr>
        <w:tc>
          <w:tcPr>
            <w:tcW w:w="4980" w:type="dxa"/>
            <w:vAlign w:val="bottom"/>
          </w:tcPr>
          <w:p>
            <w:pPr>
              <w:spacing w:after="0"/>
              <w:rPr>
                <w:sz w:val="23"/>
                <w:szCs w:val="23"/>
                <w:color w:val="auto"/>
              </w:rPr>
            </w:pPr>
          </w:p>
        </w:tc>
        <w:tc>
          <w:tcPr>
            <w:tcW w:w="6240" w:type="dxa"/>
            <w:vAlign w:val="bottom"/>
          </w:tcPr>
          <w:p>
            <w:pPr>
              <w:spacing w:after="0"/>
              <w:rPr>
                <w:sz w:val="23"/>
                <w:szCs w:val="23"/>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AS</w:t>
            </w:r>
          </w:p>
        </w:tc>
        <w:tc>
          <w:tcPr>
            <w:tcW w:w="6240" w:type="dxa"/>
            <w:vAlign w:val="bottom"/>
            <w:shd w:val="clear" w:color="auto" w:fill="CCEEFF"/>
          </w:tcPr>
          <w:p>
            <w:pPr>
              <w:ind w:left="1440"/>
              <w:spacing w:after="0"/>
              <w:rPr>
                <w:sz w:val="20"/>
                <w:szCs w:val="20"/>
                <w:color w:val="auto"/>
              </w:rPr>
            </w:pPr>
            <w:r>
              <w:rPr>
                <w:rFonts w:ascii="Arial" w:cs="Arial" w:eastAsia="Arial" w:hAnsi="Arial"/>
                <w:sz w:val="20"/>
                <w:szCs w:val="20"/>
                <w:color w:val="auto"/>
              </w:rPr>
              <w:t>Norway</w:t>
            </w:r>
          </w:p>
        </w:tc>
      </w:tr>
      <w:tr>
        <w:trPr>
          <w:trHeight w:val="270"/>
        </w:trPr>
        <w:tc>
          <w:tcPr>
            <w:tcW w:w="4980" w:type="dxa"/>
            <w:vAlign w:val="bottom"/>
          </w:tcPr>
          <w:p>
            <w:pPr>
              <w:spacing w:after="0"/>
              <w:rPr>
                <w:sz w:val="23"/>
                <w:szCs w:val="23"/>
                <w:color w:val="auto"/>
              </w:rPr>
            </w:pPr>
          </w:p>
        </w:tc>
        <w:tc>
          <w:tcPr>
            <w:tcW w:w="6240" w:type="dxa"/>
            <w:vAlign w:val="bottom"/>
          </w:tcPr>
          <w:p>
            <w:pPr>
              <w:spacing w:after="0"/>
              <w:rPr>
                <w:sz w:val="23"/>
                <w:szCs w:val="23"/>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AS</w:t>
            </w:r>
          </w:p>
        </w:tc>
        <w:tc>
          <w:tcPr>
            <w:tcW w:w="6240" w:type="dxa"/>
            <w:vAlign w:val="bottom"/>
            <w:shd w:val="clear" w:color="auto" w:fill="CCEEFF"/>
          </w:tcPr>
          <w:p>
            <w:pPr>
              <w:ind w:left="1440"/>
              <w:spacing w:after="0"/>
              <w:rPr>
                <w:sz w:val="20"/>
                <w:szCs w:val="20"/>
                <w:color w:val="auto"/>
              </w:rPr>
            </w:pPr>
            <w:r>
              <w:rPr>
                <w:rFonts w:ascii="Arial" w:cs="Arial" w:eastAsia="Arial" w:hAnsi="Arial"/>
                <w:sz w:val="20"/>
                <w:szCs w:val="20"/>
                <w:color w:val="auto"/>
              </w:rPr>
              <w:t>Norway</w:t>
            </w:r>
          </w:p>
        </w:tc>
      </w:tr>
      <w:tr>
        <w:trPr>
          <w:trHeight w:val="270"/>
        </w:trPr>
        <w:tc>
          <w:tcPr>
            <w:tcW w:w="4980" w:type="dxa"/>
            <w:vAlign w:val="bottom"/>
          </w:tcPr>
          <w:p>
            <w:pPr>
              <w:spacing w:after="0"/>
              <w:rPr>
                <w:sz w:val="23"/>
                <w:szCs w:val="23"/>
                <w:color w:val="auto"/>
              </w:rPr>
            </w:pPr>
          </w:p>
        </w:tc>
        <w:tc>
          <w:tcPr>
            <w:tcW w:w="6240" w:type="dxa"/>
            <w:vAlign w:val="bottom"/>
          </w:tcPr>
          <w:p>
            <w:pPr>
              <w:spacing w:after="0"/>
              <w:rPr>
                <w:sz w:val="23"/>
                <w:szCs w:val="23"/>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S. de R.L.</w:t>
            </w:r>
          </w:p>
        </w:tc>
        <w:tc>
          <w:tcPr>
            <w:tcW w:w="6240" w:type="dxa"/>
            <w:vAlign w:val="bottom"/>
            <w:shd w:val="clear" w:color="auto" w:fill="CCEEFF"/>
          </w:tcPr>
          <w:p>
            <w:pPr>
              <w:ind w:left="1440"/>
              <w:spacing w:after="0"/>
              <w:rPr>
                <w:sz w:val="20"/>
                <w:szCs w:val="20"/>
                <w:color w:val="auto"/>
              </w:rPr>
            </w:pPr>
            <w:r>
              <w:rPr>
                <w:rFonts w:ascii="Arial" w:cs="Arial" w:eastAsia="Arial" w:hAnsi="Arial"/>
                <w:sz w:val="20"/>
                <w:szCs w:val="20"/>
                <w:color w:val="auto"/>
              </w:rPr>
              <w:t>Panama</w:t>
            </w:r>
          </w:p>
        </w:tc>
      </w:tr>
      <w:tr>
        <w:trPr>
          <w:trHeight w:val="270"/>
        </w:trPr>
        <w:tc>
          <w:tcPr>
            <w:tcW w:w="4980" w:type="dxa"/>
            <w:vAlign w:val="bottom"/>
          </w:tcPr>
          <w:p>
            <w:pPr>
              <w:spacing w:after="0"/>
              <w:rPr>
                <w:sz w:val="23"/>
                <w:szCs w:val="23"/>
                <w:color w:val="auto"/>
              </w:rPr>
            </w:pPr>
          </w:p>
        </w:tc>
        <w:tc>
          <w:tcPr>
            <w:tcW w:w="6240" w:type="dxa"/>
            <w:vAlign w:val="bottom"/>
          </w:tcPr>
          <w:p>
            <w:pPr>
              <w:spacing w:after="0"/>
              <w:rPr>
                <w:sz w:val="23"/>
                <w:szCs w:val="23"/>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Healthcare Philippines, Inc.</w:t>
            </w:r>
          </w:p>
        </w:tc>
        <w:tc>
          <w:tcPr>
            <w:tcW w:w="6240" w:type="dxa"/>
            <w:vAlign w:val="bottom"/>
            <w:shd w:val="clear" w:color="auto" w:fill="CCEEFF"/>
          </w:tcPr>
          <w:p>
            <w:pPr>
              <w:ind w:left="1440"/>
              <w:spacing w:after="0"/>
              <w:rPr>
                <w:sz w:val="20"/>
                <w:szCs w:val="20"/>
                <w:color w:val="auto"/>
              </w:rPr>
            </w:pPr>
            <w:r>
              <w:rPr>
                <w:rFonts w:ascii="Arial" w:cs="Arial" w:eastAsia="Arial" w:hAnsi="Arial"/>
                <w:sz w:val="20"/>
                <w:szCs w:val="20"/>
                <w:color w:val="auto"/>
              </w:rPr>
              <w:t>Philippines</w:t>
            </w:r>
          </w:p>
        </w:tc>
      </w:tr>
      <w:tr>
        <w:trPr>
          <w:trHeight w:val="270"/>
        </w:trPr>
        <w:tc>
          <w:tcPr>
            <w:tcW w:w="4980" w:type="dxa"/>
            <w:vAlign w:val="bottom"/>
          </w:tcPr>
          <w:p>
            <w:pPr>
              <w:spacing w:after="0"/>
              <w:rPr>
                <w:sz w:val="23"/>
                <w:szCs w:val="23"/>
                <w:color w:val="auto"/>
              </w:rPr>
            </w:pPr>
          </w:p>
        </w:tc>
        <w:tc>
          <w:tcPr>
            <w:tcW w:w="6240" w:type="dxa"/>
            <w:vAlign w:val="bottom"/>
          </w:tcPr>
          <w:p>
            <w:pPr>
              <w:spacing w:after="0"/>
              <w:rPr>
                <w:sz w:val="23"/>
                <w:szCs w:val="23"/>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Polska Sp. z o.o.</w:t>
            </w:r>
          </w:p>
        </w:tc>
        <w:tc>
          <w:tcPr>
            <w:tcW w:w="6240" w:type="dxa"/>
            <w:vAlign w:val="bottom"/>
            <w:shd w:val="clear" w:color="auto" w:fill="CCEEFF"/>
          </w:tcPr>
          <w:p>
            <w:pPr>
              <w:ind w:left="1440"/>
              <w:spacing w:after="0"/>
              <w:rPr>
                <w:sz w:val="20"/>
                <w:szCs w:val="20"/>
                <w:color w:val="auto"/>
              </w:rPr>
            </w:pPr>
            <w:r>
              <w:rPr>
                <w:rFonts w:ascii="Arial" w:cs="Arial" w:eastAsia="Arial" w:hAnsi="Arial"/>
                <w:sz w:val="20"/>
                <w:szCs w:val="20"/>
                <w:color w:val="auto"/>
              </w:rPr>
              <w:t>Poland</w:t>
            </w:r>
          </w:p>
        </w:tc>
      </w:tr>
      <w:tr>
        <w:trPr>
          <w:trHeight w:val="270"/>
        </w:trPr>
        <w:tc>
          <w:tcPr>
            <w:tcW w:w="4980" w:type="dxa"/>
            <w:vAlign w:val="bottom"/>
          </w:tcPr>
          <w:p>
            <w:pPr>
              <w:spacing w:after="0"/>
              <w:rPr>
                <w:sz w:val="23"/>
                <w:szCs w:val="23"/>
                <w:color w:val="auto"/>
              </w:rPr>
            </w:pPr>
          </w:p>
        </w:tc>
        <w:tc>
          <w:tcPr>
            <w:tcW w:w="6240" w:type="dxa"/>
            <w:vAlign w:val="bottom"/>
          </w:tcPr>
          <w:p>
            <w:pPr>
              <w:spacing w:after="0"/>
              <w:rPr>
                <w:sz w:val="23"/>
                <w:szCs w:val="23"/>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Sp. z o.o.</w:t>
            </w:r>
          </w:p>
        </w:tc>
        <w:tc>
          <w:tcPr>
            <w:tcW w:w="6240" w:type="dxa"/>
            <w:vAlign w:val="bottom"/>
            <w:shd w:val="clear" w:color="auto" w:fill="CCEEFF"/>
          </w:tcPr>
          <w:p>
            <w:pPr>
              <w:ind w:left="1440"/>
              <w:spacing w:after="0"/>
              <w:rPr>
                <w:sz w:val="20"/>
                <w:szCs w:val="20"/>
                <w:color w:val="auto"/>
              </w:rPr>
            </w:pPr>
            <w:r>
              <w:rPr>
                <w:rFonts w:ascii="Arial" w:cs="Arial" w:eastAsia="Arial" w:hAnsi="Arial"/>
                <w:sz w:val="20"/>
                <w:szCs w:val="20"/>
                <w:color w:val="auto"/>
              </w:rPr>
              <w:t>Poland</w:t>
            </w:r>
          </w:p>
        </w:tc>
      </w:tr>
      <w:tr>
        <w:trPr>
          <w:trHeight w:val="270"/>
        </w:trPr>
        <w:tc>
          <w:tcPr>
            <w:tcW w:w="4980" w:type="dxa"/>
            <w:vAlign w:val="bottom"/>
          </w:tcPr>
          <w:p>
            <w:pPr>
              <w:spacing w:after="0"/>
              <w:rPr>
                <w:sz w:val="23"/>
                <w:szCs w:val="23"/>
                <w:color w:val="auto"/>
              </w:rPr>
            </w:pPr>
          </w:p>
        </w:tc>
        <w:tc>
          <w:tcPr>
            <w:tcW w:w="6240" w:type="dxa"/>
            <w:vAlign w:val="bottom"/>
          </w:tcPr>
          <w:p>
            <w:pPr>
              <w:spacing w:after="0"/>
              <w:rPr>
                <w:sz w:val="23"/>
                <w:szCs w:val="23"/>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Sp. z .o.o.</w:t>
            </w:r>
          </w:p>
        </w:tc>
        <w:tc>
          <w:tcPr>
            <w:tcW w:w="6240" w:type="dxa"/>
            <w:vAlign w:val="bottom"/>
            <w:shd w:val="clear" w:color="auto" w:fill="CCEEFF"/>
          </w:tcPr>
          <w:p>
            <w:pPr>
              <w:ind w:left="1440"/>
              <w:spacing w:after="0"/>
              <w:rPr>
                <w:sz w:val="20"/>
                <w:szCs w:val="20"/>
                <w:color w:val="auto"/>
              </w:rPr>
            </w:pPr>
            <w:r>
              <w:rPr>
                <w:rFonts w:ascii="Arial" w:cs="Arial" w:eastAsia="Arial" w:hAnsi="Arial"/>
                <w:sz w:val="20"/>
                <w:szCs w:val="20"/>
                <w:color w:val="auto"/>
              </w:rPr>
              <w:t>Poland</w:t>
            </w:r>
          </w:p>
        </w:tc>
      </w:tr>
      <w:tr>
        <w:trPr>
          <w:trHeight w:val="270"/>
        </w:trPr>
        <w:tc>
          <w:tcPr>
            <w:tcW w:w="4980" w:type="dxa"/>
            <w:vAlign w:val="bottom"/>
          </w:tcPr>
          <w:p>
            <w:pPr>
              <w:spacing w:after="0"/>
              <w:rPr>
                <w:sz w:val="23"/>
                <w:szCs w:val="23"/>
                <w:color w:val="auto"/>
              </w:rPr>
            </w:pPr>
          </w:p>
        </w:tc>
        <w:tc>
          <w:tcPr>
            <w:tcW w:w="6240" w:type="dxa"/>
            <w:vAlign w:val="bottom"/>
          </w:tcPr>
          <w:p>
            <w:pPr>
              <w:spacing w:after="0"/>
              <w:rPr>
                <w:sz w:val="23"/>
                <w:szCs w:val="23"/>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L.da</w:t>
            </w:r>
          </w:p>
        </w:tc>
        <w:tc>
          <w:tcPr>
            <w:tcW w:w="6240" w:type="dxa"/>
            <w:vAlign w:val="bottom"/>
            <w:shd w:val="clear" w:color="auto" w:fill="CCEEFF"/>
          </w:tcPr>
          <w:p>
            <w:pPr>
              <w:ind w:left="1440"/>
              <w:spacing w:after="0"/>
              <w:rPr>
                <w:sz w:val="20"/>
                <w:szCs w:val="20"/>
                <w:color w:val="auto"/>
              </w:rPr>
            </w:pPr>
            <w:r>
              <w:rPr>
                <w:rFonts w:ascii="Arial" w:cs="Arial" w:eastAsia="Arial" w:hAnsi="Arial"/>
                <w:sz w:val="20"/>
                <w:szCs w:val="20"/>
                <w:color w:val="auto"/>
              </w:rPr>
              <w:t>Portugal</w:t>
            </w:r>
          </w:p>
        </w:tc>
      </w:tr>
      <w:tr>
        <w:trPr>
          <w:trHeight w:val="270"/>
        </w:trPr>
        <w:tc>
          <w:tcPr>
            <w:tcW w:w="4980" w:type="dxa"/>
            <w:vAlign w:val="bottom"/>
          </w:tcPr>
          <w:p>
            <w:pPr>
              <w:spacing w:after="0"/>
              <w:rPr>
                <w:sz w:val="23"/>
                <w:szCs w:val="23"/>
                <w:color w:val="auto"/>
              </w:rPr>
            </w:pPr>
          </w:p>
        </w:tc>
        <w:tc>
          <w:tcPr>
            <w:tcW w:w="6240" w:type="dxa"/>
            <w:vAlign w:val="bottom"/>
          </w:tcPr>
          <w:p>
            <w:pPr>
              <w:spacing w:after="0"/>
              <w:rPr>
                <w:sz w:val="23"/>
                <w:szCs w:val="23"/>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Promoção, L.da</w:t>
            </w:r>
          </w:p>
        </w:tc>
        <w:tc>
          <w:tcPr>
            <w:tcW w:w="6240" w:type="dxa"/>
            <w:vAlign w:val="bottom"/>
            <w:shd w:val="clear" w:color="auto" w:fill="CCEEFF"/>
          </w:tcPr>
          <w:p>
            <w:pPr>
              <w:ind w:left="1440"/>
              <w:spacing w:after="0"/>
              <w:rPr>
                <w:sz w:val="20"/>
                <w:szCs w:val="20"/>
                <w:color w:val="auto"/>
              </w:rPr>
            </w:pPr>
            <w:r>
              <w:rPr>
                <w:rFonts w:ascii="Arial" w:cs="Arial" w:eastAsia="Arial" w:hAnsi="Arial"/>
                <w:sz w:val="20"/>
                <w:szCs w:val="20"/>
                <w:color w:val="auto"/>
              </w:rPr>
              <w:t>Portugal</w:t>
            </w:r>
          </w:p>
        </w:tc>
      </w:tr>
      <w:tr>
        <w:trPr>
          <w:trHeight w:val="270"/>
        </w:trPr>
        <w:tc>
          <w:tcPr>
            <w:tcW w:w="4980" w:type="dxa"/>
            <w:vAlign w:val="bottom"/>
          </w:tcPr>
          <w:p>
            <w:pPr>
              <w:spacing w:after="0"/>
              <w:rPr>
                <w:sz w:val="23"/>
                <w:szCs w:val="23"/>
                <w:color w:val="auto"/>
              </w:rPr>
            </w:pPr>
          </w:p>
        </w:tc>
        <w:tc>
          <w:tcPr>
            <w:tcW w:w="6240" w:type="dxa"/>
            <w:vAlign w:val="bottom"/>
          </w:tcPr>
          <w:p>
            <w:pPr>
              <w:spacing w:after="0"/>
              <w:rPr>
                <w:sz w:val="23"/>
                <w:szCs w:val="23"/>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Corp</w:t>
            </w:r>
          </w:p>
        </w:tc>
        <w:tc>
          <w:tcPr>
            <w:tcW w:w="6240" w:type="dxa"/>
            <w:vAlign w:val="bottom"/>
            <w:shd w:val="clear" w:color="auto" w:fill="CCEEFF"/>
          </w:tcPr>
          <w:p>
            <w:pPr>
              <w:ind w:left="1440"/>
              <w:spacing w:after="0"/>
              <w:rPr>
                <w:sz w:val="20"/>
                <w:szCs w:val="20"/>
                <w:color w:val="auto"/>
              </w:rPr>
            </w:pPr>
            <w:r>
              <w:rPr>
                <w:rFonts w:ascii="Arial" w:cs="Arial" w:eastAsia="Arial" w:hAnsi="Arial"/>
                <w:sz w:val="20"/>
                <w:szCs w:val="20"/>
                <w:color w:val="auto"/>
              </w:rPr>
              <w:t>Puerto Rico</w:t>
            </w:r>
          </w:p>
        </w:tc>
      </w:tr>
      <w:tr>
        <w:trPr>
          <w:trHeight w:val="270"/>
        </w:trPr>
        <w:tc>
          <w:tcPr>
            <w:tcW w:w="4980" w:type="dxa"/>
            <w:vAlign w:val="bottom"/>
          </w:tcPr>
          <w:p>
            <w:pPr>
              <w:spacing w:after="0"/>
              <w:rPr>
                <w:sz w:val="23"/>
                <w:szCs w:val="23"/>
                <w:color w:val="auto"/>
              </w:rPr>
            </w:pPr>
          </w:p>
        </w:tc>
        <w:tc>
          <w:tcPr>
            <w:tcW w:w="6240" w:type="dxa"/>
            <w:vAlign w:val="bottom"/>
          </w:tcPr>
          <w:p>
            <w:pPr>
              <w:spacing w:after="0"/>
              <w:rPr>
                <w:sz w:val="23"/>
                <w:szCs w:val="23"/>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Knoll LLC</w:t>
            </w:r>
          </w:p>
        </w:tc>
        <w:tc>
          <w:tcPr>
            <w:tcW w:w="6240" w:type="dxa"/>
            <w:vAlign w:val="bottom"/>
            <w:shd w:val="clear" w:color="auto" w:fill="CCEEFF"/>
          </w:tcPr>
          <w:p>
            <w:pPr>
              <w:ind w:left="1440"/>
              <w:spacing w:after="0"/>
              <w:rPr>
                <w:sz w:val="20"/>
                <w:szCs w:val="20"/>
                <w:color w:val="auto"/>
              </w:rPr>
            </w:pPr>
            <w:r>
              <w:rPr>
                <w:rFonts w:ascii="Arial" w:cs="Arial" w:eastAsia="Arial" w:hAnsi="Arial"/>
                <w:sz w:val="20"/>
                <w:szCs w:val="20"/>
                <w:color w:val="auto"/>
              </w:rPr>
              <w:t>Puerto Rico</w:t>
            </w:r>
          </w:p>
        </w:tc>
      </w:tr>
      <w:tr>
        <w:trPr>
          <w:trHeight w:val="270"/>
        </w:trPr>
        <w:tc>
          <w:tcPr>
            <w:tcW w:w="4980" w:type="dxa"/>
            <w:vAlign w:val="bottom"/>
          </w:tcPr>
          <w:p>
            <w:pPr>
              <w:spacing w:after="0"/>
              <w:rPr>
                <w:sz w:val="23"/>
                <w:szCs w:val="23"/>
                <w:color w:val="auto"/>
              </w:rPr>
            </w:pPr>
          </w:p>
        </w:tc>
        <w:tc>
          <w:tcPr>
            <w:tcW w:w="6240" w:type="dxa"/>
            <w:vAlign w:val="bottom"/>
          </w:tcPr>
          <w:p>
            <w:pPr>
              <w:spacing w:after="0"/>
              <w:rPr>
                <w:sz w:val="23"/>
                <w:szCs w:val="23"/>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S.R.L.</w:t>
            </w:r>
          </w:p>
        </w:tc>
        <w:tc>
          <w:tcPr>
            <w:tcW w:w="6240" w:type="dxa"/>
            <w:vAlign w:val="bottom"/>
            <w:shd w:val="clear" w:color="auto" w:fill="CCEEFF"/>
          </w:tcPr>
          <w:p>
            <w:pPr>
              <w:ind w:left="1440"/>
              <w:spacing w:after="0"/>
              <w:rPr>
                <w:sz w:val="20"/>
                <w:szCs w:val="20"/>
                <w:color w:val="auto"/>
              </w:rPr>
            </w:pPr>
            <w:r>
              <w:rPr>
                <w:rFonts w:ascii="Arial" w:cs="Arial" w:eastAsia="Arial" w:hAnsi="Arial"/>
                <w:sz w:val="20"/>
                <w:szCs w:val="20"/>
                <w:color w:val="auto"/>
              </w:rPr>
              <w:t>Romania</w:t>
            </w:r>
          </w:p>
        </w:tc>
      </w:tr>
      <w:tr>
        <w:trPr>
          <w:trHeight w:val="270"/>
        </w:trPr>
        <w:tc>
          <w:tcPr>
            <w:tcW w:w="4980" w:type="dxa"/>
            <w:vAlign w:val="bottom"/>
          </w:tcPr>
          <w:p>
            <w:pPr>
              <w:spacing w:after="0"/>
              <w:rPr>
                <w:sz w:val="23"/>
                <w:szCs w:val="23"/>
                <w:color w:val="auto"/>
              </w:rPr>
            </w:pPr>
          </w:p>
        </w:tc>
        <w:tc>
          <w:tcPr>
            <w:tcW w:w="6240" w:type="dxa"/>
            <w:vAlign w:val="bottom"/>
          </w:tcPr>
          <w:p>
            <w:pPr>
              <w:spacing w:after="0"/>
              <w:rPr>
                <w:sz w:val="23"/>
                <w:szCs w:val="23"/>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Trading S.R.L.</w:t>
            </w:r>
          </w:p>
        </w:tc>
        <w:tc>
          <w:tcPr>
            <w:tcW w:w="6240" w:type="dxa"/>
            <w:vAlign w:val="bottom"/>
            <w:shd w:val="clear" w:color="auto" w:fill="CCEEFF"/>
          </w:tcPr>
          <w:p>
            <w:pPr>
              <w:ind w:left="1440"/>
              <w:spacing w:after="0"/>
              <w:rPr>
                <w:sz w:val="20"/>
                <w:szCs w:val="20"/>
                <w:color w:val="auto"/>
              </w:rPr>
            </w:pPr>
            <w:r>
              <w:rPr>
                <w:rFonts w:ascii="Arial" w:cs="Arial" w:eastAsia="Arial" w:hAnsi="Arial"/>
                <w:sz w:val="20"/>
                <w:szCs w:val="20"/>
                <w:color w:val="auto"/>
              </w:rPr>
              <w:t>Romania</w:t>
            </w:r>
          </w:p>
        </w:tc>
      </w:tr>
      <w:tr>
        <w:trPr>
          <w:trHeight w:val="270"/>
        </w:trPr>
        <w:tc>
          <w:tcPr>
            <w:tcW w:w="4980" w:type="dxa"/>
            <w:vAlign w:val="bottom"/>
          </w:tcPr>
          <w:p>
            <w:pPr>
              <w:spacing w:after="0"/>
              <w:rPr>
                <w:sz w:val="23"/>
                <w:szCs w:val="23"/>
                <w:color w:val="auto"/>
              </w:rPr>
            </w:pPr>
          </w:p>
        </w:tc>
        <w:tc>
          <w:tcPr>
            <w:tcW w:w="6240" w:type="dxa"/>
            <w:vAlign w:val="bottom"/>
          </w:tcPr>
          <w:p>
            <w:pPr>
              <w:spacing w:after="0"/>
              <w:rPr>
                <w:sz w:val="23"/>
                <w:szCs w:val="23"/>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S.R.L.</w:t>
            </w:r>
          </w:p>
        </w:tc>
        <w:tc>
          <w:tcPr>
            <w:tcW w:w="6240" w:type="dxa"/>
            <w:vAlign w:val="bottom"/>
            <w:shd w:val="clear" w:color="auto" w:fill="CCEEFF"/>
          </w:tcPr>
          <w:p>
            <w:pPr>
              <w:ind w:left="1440"/>
              <w:spacing w:after="0"/>
              <w:rPr>
                <w:sz w:val="20"/>
                <w:szCs w:val="20"/>
                <w:color w:val="auto"/>
              </w:rPr>
            </w:pPr>
            <w:r>
              <w:rPr>
                <w:rFonts w:ascii="Arial" w:cs="Arial" w:eastAsia="Arial" w:hAnsi="Arial"/>
                <w:sz w:val="20"/>
                <w:szCs w:val="20"/>
                <w:color w:val="auto"/>
              </w:rPr>
              <w:t>Romania</w:t>
            </w:r>
          </w:p>
        </w:tc>
      </w:tr>
      <w:tr>
        <w:trPr>
          <w:trHeight w:val="270"/>
        </w:trPr>
        <w:tc>
          <w:tcPr>
            <w:tcW w:w="4980" w:type="dxa"/>
            <w:vAlign w:val="bottom"/>
          </w:tcPr>
          <w:p>
            <w:pPr>
              <w:spacing w:after="0"/>
              <w:rPr>
                <w:sz w:val="23"/>
                <w:szCs w:val="23"/>
                <w:color w:val="auto"/>
              </w:rPr>
            </w:pPr>
          </w:p>
        </w:tc>
        <w:tc>
          <w:tcPr>
            <w:tcW w:w="6240" w:type="dxa"/>
            <w:vAlign w:val="bottom"/>
          </w:tcPr>
          <w:p>
            <w:pPr>
              <w:spacing w:after="0"/>
              <w:rPr>
                <w:sz w:val="23"/>
                <w:szCs w:val="23"/>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Limited Liability Company</w:t>
            </w:r>
          </w:p>
        </w:tc>
        <w:tc>
          <w:tcPr>
            <w:tcW w:w="6240" w:type="dxa"/>
            <w:vAlign w:val="bottom"/>
            <w:shd w:val="clear" w:color="auto" w:fill="CCEEFF"/>
          </w:tcPr>
          <w:p>
            <w:pPr>
              <w:ind w:left="1440"/>
              <w:spacing w:after="0"/>
              <w:rPr>
                <w:sz w:val="20"/>
                <w:szCs w:val="20"/>
                <w:color w:val="auto"/>
              </w:rPr>
            </w:pPr>
            <w:r>
              <w:rPr>
                <w:rFonts w:ascii="Arial" w:cs="Arial" w:eastAsia="Arial" w:hAnsi="Arial"/>
                <w:sz w:val="20"/>
                <w:szCs w:val="20"/>
                <w:color w:val="auto"/>
              </w:rPr>
              <w:t>Russia</w:t>
            </w:r>
          </w:p>
        </w:tc>
      </w:tr>
      <w:tr>
        <w:trPr>
          <w:trHeight w:val="270"/>
        </w:trPr>
        <w:tc>
          <w:tcPr>
            <w:tcW w:w="4980" w:type="dxa"/>
            <w:vAlign w:val="bottom"/>
          </w:tcPr>
          <w:p>
            <w:pPr>
              <w:spacing w:after="0"/>
              <w:rPr>
                <w:sz w:val="23"/>
                <w:szCs w:val="23"/>
                <w:color w:val="auto"/>
              </w:rPr>
            </w:pPr>
          </w:p>
        </w:tc>
        <w:tc>
          <w:tcPr>
            <w:tcW w:w="6240" w:type="dxa"/>
            <w:vAlign w:val="bottom"/>
          </w:tcPr>
          <w:p>
            <w:pPr>
              <w:spacing w:after="0"/>
              <w:rPr>
                <w:sz w:val="23"/>
                <w:szCs w:val="23"/>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C.I.S. S.a.r.l.</w:t>
            </w:r>
          </w:p>
        </w:tc>
        <w:tc>
          <w:tcPr>
            <w:tcW w:w="6240" w:type="dxa"/>
            <w:vAlign w:val="bottom"/>
            <w:shd w:val="clear" w:color="auto" w:fill="CCEEFF"/>
          </w:tcPr>
          <w:p>
            <w:pPr>
              <w:ind w:left="1440"/>
              <w:spacing w:after="0"/>
              <w:rPr>
                <w:sz w:val="20"/>
                <w:szCs w:val="20"/>
                <w:color w:val="auto"/>
              </w:rPr>
            </w:pPr>
            <w:r>
              <w:rPr>
                <w:rFonts w:ascii="Arial" w:cs="Arial" w:eastAsia="Arial" w:hAnsi="Arial"/>
                <w:sz w:val="20"/>
                <w:szCs w:val="20"/>
                <w:color w:val="auto"/>
              </w:rPr>
              <w:t>Russia</w:t>
            </w:r>
          </w:p>
        </w:tc>
      </w:tr>
      <w:tr>
        <w:trPr>
          <w:trHeight w:val="270"/>
        </w:trPr>
        <w:tc>
          <w:tcPr>
            <w:tcW w:w="4980" w:type="dxa"/>
            <w:vAlign w:val="bottom"/>
          </w:tcPr>
          <w:p>
            <w:pPr>
              <w:spacing w:after="0"/>
              <w:rPr>
                <w:sz w:val="23"/>
                <w:szCs w:val="23"/>
                <w:color w:val="auto"/>
              </w:rPr>
            </w:pPr>
          </w:p>
        </w:tc>
        <w:tc>
          <w:tcPr>
            <w:tcW w:w="6240" w:type="dxa"/>
            <w:vAlign w:val="bottom"/>
          </w:tcPr>
          <w:p>
            <w:pPr>
              <w:spacing w:after="0"/>
              <w:rPr>
                <w:sz w:val="23"/>
                <w:szCs w:val="23"/>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Saudi Arabia LLC*</w:t>
            </w:r>
          </w:p>
        </w:tc>
        <w:tc>
          <w:tcPr>
            <w:tcW w:w="6240" w:type="dxa"/>
            <w:vAlign w:val="bottom"/>
            <w:shd w:val="clear" w:color="auto" w:fill="CCEEFF"/>
          </w:tcPr>
          <w:p>
            <w:pPr>
              <w:ind w:left="1440"/>
              <w:spacing w:after="0"/>
              <w:rPr>
                <w:sz w:val="20"/>
                <w:szCs w:val="20"/>
                <w:color w:val="auto"/>
              </w:rPr>
            </w:pPr>
            <w:r>
              <w:rPr>
                <w:rFonts w:ascii="Arial" w:cs="Arial" w:eastAsia="Arial" w:hAnsi="Arial"/>
                <w:sz w:val="20"/>
                <w:szCs w:val="20"/>
                <w:color w:val="auto"/>
              </w:rPr>
              <w:t>Saudi Arabia</w:t>
            </w:r>
          </w:p>
        </w:tc>
      </w:tr>
      <w:tr>
        <w:trPr>
          <w:trHeight w:val="270"/>
        </w:trPr>
        <w:tc>
          <w:tcPr>
            <w:tcW w:w="4980" w:type="dxa"/>
            <w:vAlign w:val="bottom"/>
          </w:tcPr>
          <w:p>
            <w:pPr>
              <w:spacing w:after="0"/>
              <w:rPr>
                <w:sz w:val="23"/>
                <w:szCs w:val="23"/>
                <w:color w:val="auto"/>
              </w:rPr>
            </w:pPr>
          </w:p>
        </w:tc>
        <w:tc>
          <w:tcPr>
            <w:tcW w:w="6240" w:type="dxa"/>
            <w:vAlign w:val="bottom"/>
          </w:tcPr>
          <w:p>
            <w:pPr>
              <w:spacing w:after="0"/>
              <w:rPr>
                <w:sz w:val="23"/>
                <w:szCs w:val="23"/>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d.o.o. Beograd</w:t>
            </w:r>
          </w:p>
        </w:tc>
        <w:tc>
          <w:tcPr>
            <w:tcW w:w="6240" w:type="dxa"/>
            <w:vAlign w:val="bottom"/>
            <w:shd w:val="clear" w:color="auto" w:fill="CCEEFF"/>
          </w:tcPr>
          <w:p>
            <w:pPr>
              <w:ind w:left="1440"/>
              <w:spacing w:after="0"/>
              <w:rPr>
                <w:sz w:val="20"/>
                <w:szCs w:val="20"/>
                <w:color w:val="auto"/>
              </w:rPr>
            </w:pPr>
            <w:r>
              <w:rPr>
                <w:rFonts w:ascii="Arial" w:cs="Arial" w:eastAsia="Arial" w:hAnsi="Arial"/>
                <w:sz w:val="20"/>
                <w:szCs w:val="20"/>
                <w:color w:val="auto"/>
              </w:rPr>
              <w:t>Serbia</w:t>
            </w:r>
          </w:p>
        </w:tc>
      </w:tr>
      <w:tr>
        <w:trPr>
          <w:trHeight w:val="270"/>
        </w:trPr>
        <w:tc>
          <w:tcPr>
            <w:tcW w:w="4980" w:type="dxa"/>
            <w:vAlign w:val="bottom"/>
          </w:tcPr>
          <w:p>
            <w:pPr>
              <w:spacing w:after="0"/>
              <w:rPr>
                <w:sz w:val="23"/>
                <w:szCs w:val="23"/>
                <w:color w:val="auto"/>
              </w:rPr>
            </w:pPr>
          </w:p>
        </w:tc>
        <w:tc>
          <w:tcPr>
            <w:tcW w:w="6240" w:type="dxa"/>
            <w:vAlign w:val="bottom"/>
          </w:tcPr>
          <w:p>
            <w:pPr>
              <w:spacing w:after="0"/>
              <w:rPr>
                <w:sz w:val="23"/>
                <w:szCs w:val="23"/>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Operations Singapore Pte. Ltd.</w:t>
            </w:r>
          </w:p>
        </w:tc>
        <w:tc>
          <w:tcPr>
            <w:tcW w:w="6240" w:type="dxa"/>
            <w:vAlign w:val="bottom"/>
            <w:shd w:val="clear" w:color="auto" w:fill="CCEEFF"/>
          </w:tcPr>
          <w:p>
            <w:pPr>
              <w:ind w:left="1440"/>
              <w:spacing w:after="0"/>
              <w:rPr>
                <w:sz w:val="20"/>
                <w:szCs w:val="20"/>
                <w:color w:val="auto"/>
              </w:rPr>
            </w:pPr>
            <w:r>
              <w:rPr>
                <w:rFonts w:ascii="Arial" w:cs="Arial" w:eastAsia="Arial" w:hAnsi="Arial"/>
                <w:sz w:val="20"/>
                <w:szCs w:val="20"/>
                <w:color w:val="auto"/>
              </w:rPr>
              <w:t>Singapore</w:t>
            </w:r>
          </w:p>
        </w:tc>
      </w:tr>
      <w:tr>
        <w:trPr>
          <w:trHeight w:val="270"/>
        </w:trPr>
        <w:tc>
          <w:tcPr>
            <w:tcW w:w="4980" w:type="dxa"/>
            <w:vAlign w:val="bottom"/>
          </w:tcPr>
          <w:p>
            <w:pPr>
              <w:spacing w:after="0"/>
              <w:rPr>
                <w:sz w:val="23"/>
                <w:szCs w:val="23"/>
                <w:color w:val="auto"/>
              </w:rPr>
            </w:pPr>
          </w:p>
        </w:tc>
        <w:tc>
          <w:tcPr>
            <w:tcW w:w="6240" w:type="dxa"/>
            <w:vAlign w:val="bottom"/>
          </w:tcPr>
          <w:p>
            <w:pPr>
              <w:spacing w:after="0"/>
              <w:rPr>
                <w:sz w:val="23"/>
                <w:szCs w:val="23"/>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Pte. Ltd.</w:t>
            </w:r>
          </w:p>
        </w:tc>
        <w:tc>
          <w:tcPr>
            <w:tcW w:w="6240" w:type="dxa"/>
            <w:vAlign w:val="bottom"/>
            <w:shd w:val="clear" w:color="auto" w:fill="CCEEFF"/>
          </w:tcPr>
          <w:p>
            <w:pPr>
              <w:ind w:left="1440"/>
              <w:spacing w:after="0"/>
              <w:rPr>
                <w:sz w:val="20"/>
                <w:szCs w:val="20"/>
                <w:color w:val="auto"/>
              </w:rPr>
            </w:pPr>
            <w:r>
              <w:rPr>
                <w:rFonts w:ascii="Arial" w:cs="Arial" w:eastAsia="Arial" w:hAnsi="Arial"/>
                <w:sz w:val="20"/>
                <w:szCs w:val="20"/>
                <w:color w:val="auto"/>
              </w:rPr>
              <w:t>Singapore</w:t>
            </w:r>
          </w:p>
        </w:tc>
      </w:tr>
    </w:tbl>
    <w:p>
      <w:pPr>
        <w:sectPr>
          <w:pgSz w:w="11900" w:h="16838" w:orient="portrait"/>
          <w:cols w:equalWidth="0" w:num="1">
            <w:col w:w="11220"/>
          </w:cols>
          <w:pgMar w:left="320" w:top="936" w:right="359" w:bottom="1440"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Singapore Pte. Ltd.</w:t>
            </w:r>
          </w:p>
        </w:tc>
        <w:tc>
          <w:tcPr>
            <w:tcW w:w="5640" w:type="dxa"/>
            <w:vAlign w:val="bottom"/>
            <w:shd w:val="clear" w:color="auto" w:fill="CCEEFF"/>
          </w:tcPr>
          <w:p>
            <w:pPr>
              <w:ind w:left="840"/>
              <w:spacing w:after="0"/>
              <w:rPr>
                <w:sz w:val="20"/>
                <w:szCs w:val="20"/>
                <w:color w:val="auto"/>
              </w:rPr>
            </w:pPr>
            <w:r>
              <w:rPr>
                <w:rFonts w:ascii="Arial" w:cs="Arial" w:eastAsia="Arial" w:hAnsi="Arial"/>
                <w:sz w:val="20"/>
                <w:szCs w:val="20"/>
                <w:color w:val="auto"/>
              </w:rPr>
              <w:t>Singapore</w:t>
            </w:r>
          </w:p>
        </w:tc>
      </w:tr>
      <w:tr>
        <w:trPr>
          <w:trHeight w:val="270"/>
        </w:trPr>
        <w:tc>
          <w:tcPr>
            <w:tcW w:w="5580" w:type="dxa"/>
            <w:vAlign w:val="bottom"/>
          </w:tcPr>
          <w:p>
            <w:pPr>
              <w:spacing w:after="0"/>
              <w:rPr>
                <w:sz w:val="23"/>
                <w:szCs w:val="23"/>
                <w:color w:val="auto"/>
              </w:rPr>
            </w:pPr>
          </w:p>
        </w:tc>
        <w:tc>
          <w:tcPr>
            <w:tcW w:w="5640" w:type="dxa"/>
            <w:vAlign w:val="bottom"/>
          </w:tcPr>
          <w:p>
            <w:pPr>
              <w:spacing w:after="0"/>
              <w:rPr>
                <w:sz w:val="23"/>
                <w:szCs w:val="23"/>
                <w:color w:val="auto"/>
              </w:rPr>
            </w:pPr>
          </w:p>
        </w:tc>
      </w:tr>
      <w:tr>
        <w:trPr>
          <w:trHeight w:val="243"/>
        </w:trPr>
        <w:tc>
          <w:tcPr>
            <w:tcW w:w="55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Holdings s.r.o.</w:t>
            </w:r>
          </w:p>
        </w:tc>
        <w:tc>
          <w:tcPr>
            <w:tcW w:w="5640" w:type="dxa"/>
            <w:vAlign w:val="bottom"/>
            <w:shd w:val="clear" w:color="auto" w:fill="CCEEFF"/>
          </w:tcPr>
          <w:p>
            <w:pPr>
              <w:ind w:left="840"/>
              <w:spacing w:after="0"/>
              <w:rPr>
                <w:sz w:val="20"/>
                <w:szCs w:val="20"/>
                <w:color w:val="auto"/>
              </w:rPr>
            </w:pPr>
            <w:r>
              <w:rPr>
                <w:rFonts w:ascii="Arial" w:cs="Arial" w:eastAsia="Arial" w:hAnsi="Arial"/>
                <w:sz w:val="20"/>
                <w:szCs w:val="20"/>
                <w:color w:val="auto"/>
              </w:rPr>
              <w:t>Slovakia</w:t>
            </w:r>
          </w:p>
        </w:tc>
      </w:tr>
      <w:tr>
        <w:trPr>
          <w:trHeight w:val="270"/>
        </w:trPr>
        <w:tc>
          <w:tcPr>
            <w:tcW w:w="5580" w:type="dxa"/>
            <w:vAlign w:val="bottom"/>
          </w:tcPr>
          <w:p>
            <w:pPr>
              <w:spacing w:after="0"/>
              <w:rPr>
                <w:sz w:val="23"/>
                <w:szCs w:val="23"/>
                <w:color w:val="auto"/>
              </w:rPr>
            </w:pPr>
          </w:p>
        </w:tc>
        <w:tc>
          <w:tcPr>
            <w:tcW w:w="5640" w:type="dxa"/>
            <w:vAlign w:val="bottom"/>
          </w:tcPr>
          <w:p>
            <w:pPr>
              <w:spacing w:after="0"/>
              <w:rPr>
                <w:sz w:val="23"/>
                <w:szCs w:val="23"/>
                <w:color w:val="auto"/>
              </w:rPr>
            </w:pPr>
          </w:p>
        </w:tc>
      </w:tr>
      <w:tr>
        <w:trPr>
          <w:trHeight w:val="243"/>
        </w:trPr>
        <w:tc>
          <w:tcPr>
            <w:tcW w:w="55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s.r.o.</w:t>
            </w:r>
          </w:p>
        </w:tc>
        <w:tc>
          <w:tcPr>
            <w:tcW w:w="5640" w:type="dxa"/>
            <w:vAlign w:val="bottom"/>
            <w:shd w:val="clear" w:color="auto" w:fill="CCEEFF"/>
          </w:tcPr>
          <w:p>
            <w:pPr>
              <w:ind w:left="840"/>
              <w:spacing w:after="0"/>
              <w:rPr>
                <w:sz w:val="20"/>
                <w:szCs w:val="20"/>
                <w:color w:val="auto"/>
              </w:rPr>
            </w:pPr>
            <w:r>
              <w:rPr>
                <w:rFonts w:ascii="Arial" w:cs="Arial" w:eastAsia="Arial" w:hAnsi="Arial"/>
                <w:sz w:val="20"/>
                <w:szCs w:val="20"/>
                <w:color w:val="auto"/>
              </w:rPr>
              <w:t>Slovakia</w:t>
            </w:r>
          </w:p>
        </w:tc>
      </w:tr>
      <w:tr>
        <w:trPr>
          <w:trHeight w:val="270"/>
        </w:trPr>
        <w:tc>
          <w:tcPr>
            <w:tcW w:w="5580" w:type="dxa"/>
            <w:vAlign w:val="bottom"/>
          </w:tcPr>
          <w:p>
            <w:pPr>
              <w:spacing w:after="0"/>
              <w:rPr>
                <w:sz w:val="23"/>
                <w:szCs w:val="23"/>
                <w:color w:val="auto"/>
              </w:rPr>
            </w:pPr>
          </w:p>
        </w:tc>
        <w:tc>
          <w:tcPr>
            <w:tcW w:w="5640" w:type="dxa"/>
            <w:vAlign w:val="bottom"/>
          </w:tcPr>
          <w:p>
            <w:pPr>
              <w:spacing w:after="0"/>
              <w:rPr>
                <w:sz w:val="23"/>
                <w:szCs w:val="23"/>
                <w:color w:val="auto"/>
              </w:rPr>
            </w:pPr>
          </w:p>
        </w:tc>
      </w:tr>
      <w:tr>
        <w:trPr>
          <w:trHeight w:val="243"/>
        </w:trPr>
        <w:tc>
          <w:tcPr>
            <w:tcW w:w="55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SK s.r.o.</w:t>
            </w:r>
          </w:p>
        </w:tc>
        <w:tc>
          <w:tcPr>
            <w:tcW w:w="5640" w:type="dxa"/>
            <w:vAlign w:val="bottom"/>
            <w:shd w:val="clear" w:color="auto" w:fill="CCEEFF"/>
          </w:tcPr>
          <w:p>
            <w:pPr>
              <w:ind w:left="840"/>
              <w:spacing w:after="0"/>
              <w:rPr>
                <w:sz w:val="20"/>
                <w:szCs w:val="20"/>
                <w:color w:val="auto"/>
              </w:rPr>
            </w:pPr>
            <w:r>
              <w:rPr>
                <w:rFonts w:ascii="Arial" w:cs="Arial" w:eastAsia="Arial" w:hAnsi="Arial"/>
                <w:sz w:val="20"/>
                <w:szCs w:val="20"/>
                <w:color w:val="auto"/>
              </w:rPr>
              <w:t>Slovakia</w:t>
            </w:r>
          </w:p>
        </w:tc>
      </w:tr>
      <w:tr>
        <w:trPr>
          <w:trHeight w:val="270"/>
        </w:trPr>
        <w:tc>
          <w:tcPr>
            <w:tcW w:w="5580" w:type="dxa"/>
            <w:vAlign w:val="bottom"/>
          </w:tcPr>
          <w:p>
            <w:pPr>
              <w:spacing w:after="0"/>
              <w:rPr>
                <w:sz w:val="23"/>
                <w:szCs w:val="23"/>
                <w:color w:val="auto"/>
              </w:rPr>
            </w:pPr>
          </w:p>
        </w:tc>
        <w:tc>
          <w:tcPr>
            <w:tcW w:w="5640" w:type="dxa"/>
            <w:vAlign w:val="bottom"/>
          </w:tcPr>
          <w:p>
            <w:pPr>
              <w:spacing w:after="0"/>
              <w:rPr>
                <w:sz w:val="23"/>
                <w:szCs w:val="23"/>
                <w:color w:val="auto"/>
              </w:rPr>
            </w:pPr>
          </w:p>
        </w:tc>
      </w:tr>
      <w:tr>
        <w:trPr>
          <w:trHeight w:val="243"/>
        </w:trPr>
        <w:tc>
          <w:tcPr>
            <w:tcW w:w="55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Biofarmacevtska druzba d.o.o.</w:t>
            </w:r>
          </w:p>
        </w:tc>
        <w:tc>
          <w:tcPr>
            <w:tcW w:w="5640" w:type="dxa"/>
            <w:vAlign w:val="bottom"/>
            <w:shd w:val="clear" w:color="auto" w:fill="CCEEFF"/>
          </w:tcPr>
          <w:p>
            <w:pPr>
              <w:ind w:left="840"/>
              <w:spacing w:after="0"/>
              <w:rPr>
                <w:sz w:val="20"/>
                <w:szCs w:val="20"/>
                <w:color w:val="auto"/>
              </w:rPr>
            </w:pPr>
            <w:r>
              <w:rPr>
                <w:rFonts w:ascii="Arial" w:cs="Arial" w:eastAsia="Arial" w:hAnsi="Arial"/>
                <w:sz w:val="20"/>
                <w:szCs w:val="20"/>
                <w:color w:val="auto"/>
              </w:rPr>
              <w:t>Slovenia</w:t>
            </w:r>
          </w:p>
        </w:tc>
      </w:tr>
      <w:tr>
        <w:trPr>
          <w:trHeight w:val="270"/>
        </w:trPr>
        <w:tc>
          <w:tcPr>
            <w:tcW w:w="5580" w:type="dxa"/>
            <w:vAlign w:val="bottom"/>
          </w:tcPr>
          <w:p>
            <w:pPr>
              <w:spacing w:after="0"/>
              <w:rPr>
                <w:sz w:val="23"/>
                <w:szCs w:val="23"/>
                <w:color w:val="auto"/>
              </w:rPr>
            </w:pPr>
          </w:p>
        </w:tc>
        <w:tc>
          <w:tcPr>
            <w:tcW w:w="5640" w:type="dxa"/>
            <w:vAlign w:val="bottom"/>
          </w:tcPr>
          <w:p>
            <w:pPr>
              <w:spacing w:after="0"/>
              <w:rPr>
                <w:sz w:val="23"/>
                <w:szCs w:val="23"/>
                <w:color w:val="auto"/>
              </w:rPr>
            </w:pPr>
          </w:p>
        </w:tc>
      </w:tr>
      <w:tr>
        <w:trPr>
          <w:trHeight w:val="243"/>
        </w:trPr>
        <w:tc>
          <w:tcPr>
            <w:tcW w:w="55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(Pty) Ltd.</w:t>
            </w:r>
          </w:p>
        </w:tc>
        <w:tc>
          <w:tcPr>
            <w:tcW w:w="5640" w:type="dxa"/>
            <w:vAlign w:val="bottom"/>
            <w:shd w:val="clear" w:color="auto" w:fill="CCEEFF"/>
          </w:tcPr>
          <w:p>
            <w:pPr>
              <w:ind w:left="840"/>
              <w:spacing w:after="0"/>
              <w:rPr>
                <w:sz w:val="20"/>
                <w:szCs w:val="20"/>
                <w:color w:val="auto"/>
              </w:rPr>
            </w:pPr>
            <w:r>
              <w:rPr>
                <w:rFonts w:ascii="Arial" w:cs="Arial" w:eastAsia="Arial" w:hAnsi="Arial"/>
                <w:sz w:val="20"/>
                <w:szCs w:val="20"/>
                <w:color w:val="auto"/>
              </w:rPr>
              <w:t>South Africa</w:t>
            </w:r>
          </w:p>
        </w:tc>
      </w:tr>
      <w:tr>
        <w:trPr>
          <w:trHeight w:val="270"/>
        </w:trPr>
        <w:tc>
          <w:tcPr>
            <w:tcW w:w="5580" w:type="dxa"/>
            <w:vAlign w:val="bottom"/>
          </w:tcPr>
          <w:p>
            <w:pPr>
              <w:spacing w:after="0"/>
              <w:rPr>
                <w:sz w:val="23"/>
                <w:szCs w:val="23"/>
                <w:color w:val="auto"/>
              </w:rPr>
            </w:pPr>
          </w:p>
        </w:tc>
        <w:tc>
          <w:tcPr>
            <w:tcW w:w="5640" w:type="dxa"/>
            <w:vAlign w:val="bottom"/>
          </w:tcPr>
          <w:p>
            <w:pPr>
              <w:spacing w:after="0"/>
              <w:rPr>
                <w:sz w:val="23"/>
                <w:szCs w:val="23"/>
                <w:color w:val="auto"/>
              </w:rPr>
            </w:pPr>
          </w:p>
        </w:tc>
      </w:tr>
      <w:tr>
        <w:trPr>
          <w:trHeight w:val="243"/>
        </w:trPr>
        <w:tc>
          <w:tcPr>
            <w:tcW w:w="55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Pharmaceuticals (Proprietary) Limited</w:t>
            </w:r>
          </w:p>
        </w:tc>
        <w:tc>
          <w:tcPr>
            <w:tcW w:w="5640" w:type="dxa"/>
            <w:vAlign w:val="bottom"/>
            <w:shd w:val="clear" w:color="auto" w:fill="CCEEFF"/>
          </w:tcPr>
          <w:p>
            <w:pPr>
              <w:ind w:left="840"/>
              <w:spacing w:after="0"/>
              <w:rPr>
                <w:sz w:val="20"/>
                <w:szCs w:val="20"/>
                <w:color w:val="auto"/>
              </w:rPr>
            </w:pPr>
            <w:r>
              <w:rPr>
                <w:rFonts w:ascii="Arial" w:cs="Arial" w:eastAsia="Arial" w:hAnsi="Arial"/>
                <w:sz w:val="20"/>
                <w:szCs w:val="20"/>
                <w:color w:val="auto"/>
              </w:rPr>
              <w:t>South Africa</w:t>
            </w:r>
          </w:p>
        </w:tc>
      </w:tr>
      <w:tr>
        <w:trPr>
          <w:trHeight w:val="270"/>
        </w:trPr>
        <w:tc>
          <w:tcPr>
            <w:tcW w:w="5580" w:type="dxa"/>
            <w:vAlign w:val="bottom"/>
          </w:tcPr>
          <w:p>
            <w:pPr>
              <w:spacing w:after="0"/>
              <w:rPr>
                <w:sz w:val="23"/>
                <w:szCs w:val="23"/>
                <w:color w:val="auto"/>
              </w:rPr>
            </w:pPr>
          </w:p>
        </w:tc>
        <w:tc>
          <w:tcPr>
            <w:tcW w:w="5640" w:type="dxa"/>
            <w:vAlign w:val="bottom"/>
          </w:tcPr>
          <w:p>
            <w:pPr>
              <w:spacing w:after="0"/>
              <w:rPr>
                <w:sz w:val="23"/>
                <w:szCs w:val="23"/>
                <w:color w:val="auto"/>
              </w:rPr>
            </w:pPr>
          </w:p>
        </w:tc>
      </w:tr>
      <w:tr>
        <w:trPr>
          <w:trHeight w:val="243"/>
        </w:trPr>
        <w:tc>
          <w:tcPr>
            <w:tcW w:w="55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Spain, S.L.</w:t>
            </w:r>
          </w:p>
        </w:tc>
        <w:tc>
          <w:tcPr>
            <w:tcW w:w="5640" w:type="dxa"/>
            <w:vAlign w:val="bottom"/>
            <w:shd w:val="clear" w:color="auto" w:fill="CCEEFF"/>
          </w:tcPr>
          <w:p>
            <w:pPr>
              <w:ind w:left="840"/>
              <w:spacing w:after="0"/>
              <w:rPr>
                <w:sz w:val="20"/>
                <w:szCs w:val="20"/>
                <w:color w:val="auto"/>
              </w:rPr>
            </w:pPr>
            <w:r>
              <w:rPr>
                <w:rFonts w:ascii="Arial" w:cs="Arial" w:eastAsia="Arial" w:hAnsi="Arial"/>
                <w:sz w:val="20"/>
                <w:szCs w:val="20"/>
                <w:color w:val="auto"/>
              </w:rPr>
              <w:t>Spain</w:t>
            </w:r>
          </w:p>
        </w:tc>
      </w:tr>
      <w:tr>
        <w:trPr>
          <w:trHeight w:val="270"/>
        </w:trPr>
        <w:tc>
          <w:tcPr>
            <w:tcW w:w="5580" w:type="dxa"/>
            <w:vAlign w:val="bottom"/>
          </w:tcPr>
          <w:p>
            <w:pPr>
              <w:spacing w:after="0"/>
              <w:rPr>
                <w:sz w:val="23"/>
                <w:szCs w:val="23"/>
                <w:color w:val="auto"/>
              </w:rPr>
            </w:pPr>
          </w:p>
        </w:tc>
        <w:tc>
          <w:tcPr>
            <w:tcW w:w="5640" w:type="dxa"/>
            <w:vAlign w:val="bottom"/>
          </w:tcPr>
          <w:p>
            <w:pPr>
              <w:spacing w:after="0"/>
              <w:rPr>
                <w:sz w:val="23"/>
                <w:szCs w:val="23"/>
                <w:color w:val="auto"/>
              </w:rPr>
            </w:pPr>
          </w:p>
        </w:tc>
      </w:tr>
      <w:tr>
        <w:trPr>
          <w:trHeight w:val="243"/>
        </w:trPr>
        <w:tc>
          <w:tcPr>
            <w:tcW w:w="55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S.A.</w:t>
            </w:r>
          </w:p>
        </w:tc>
        <w:tc>
          <w:tcPr>
            <w:tcW w:w="5640" w:type="dxa"/>
            <w:vAlign w:val="bottom"/>
            <w:shd w:val="clear" w:color="auto" w:fill="CCEEFF"/>
          </w:tcPr>
          <w:p>
            <w:pPr>
              <w:ind w:left="840"/>
              <w:spacing w:after="0"/>
              <w:rPr>
                <w:sz w:val="20"/>
                <w:szCs w:val="20"/>
                <w:color w:val="auto"/>
              </w:rPr>
            </w:pPr>
            <w:r>
              <w:rPr>
                <w:rFonts w:ascii="Arial" w:cs="Arial" w:eastAsia="Arial" w:hAnsi="Arial"/>
                <w:sz w:val="20"/>
                <w:szCs w:val="20"/>
                <w:color w:val="auto"/>
              </w:rPr>
              <w:t>Spain</w:t>
            </w:r>
          </w:p>
        </w:tc>
      </w:tr>
      <w:tr>
        <w:trPr>
          <w:trHeight w:val="270"/>
        </w:trPr>
        <w:tc>
          <w:tcPr>
            <w:tcW w:w="5580" w:type="dxa"/>
            <w:vAlign w:val="bottom"/>
          </w:tcPr>
          <w:p>
            <w:pPr>
              <w:spacing w:after="0"/>
              <w:rPr>
                <w:sz w:val="23"/>
                <w:szCs w:val="23"/>
                <w:color w:val="auto"/>
              </w:rPr>
            </w:pPr>
          </w:p>
        </w:tc>
        <w:tc>
          <w:tcPr>
            <w:tcW w:w="5640" w:type="dxa"/>
            <w:vAlign w:val="bottom"/>
          </w:tcPr>
          <w:p>
            <w:pPr>
              <w:spacing w:after="0"/>
              <w:rPr>
                <w:sz w:val="23"/>
                <w:szCs w:val="23"/>
                <w:color w:val="auto"/>
              </w:rPr>
            </w:pPr>
          </w:p>
        </w:tc>
      </w:tr>
      <w:tr>
        <w:trPr>
          <w:trHeight w:val="243"/>
        </w:trPr>
        <w:tc>
          <w:tcPr>
            <w:tcW w:w="55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AB</w:t>
            </w:r>
          </w:p>
        </w:tc>
        <w:tc>
          <w:tcPr>
            <w:tcW w:w="5640" w:type="dxa"/>
            <w:vAlign w:val="bottom"/>
            <w:shd w:val="clear" w:color="auto" w:fill="CCEEFF"/>
          </w:tcPr>
          <w:p>
            <w:pPr>
              <w:ind w:left="840"/>
              <w:spacing w:after="0"/>
              <w:rPr>
                <w:sz w:val="20"/>
                <w:szCs w:val="20"/>
                <w:color w:val="auto"/>
              </w:rPr>
            </w:pPr>
            <w:r>
              <w:rPr>
                <w:rFonts w:ascii="Arial" w:cs="Arial" w:eastAsia="Arial" w:hAnsi="Arial"/>
                <w:sz w:val="20"/>
                <w:szCs w:val="20"/>
                <w:color w:val="auto"/>
              </w:rPr>
              <w:t>Sweden</w:t>
            </w:r>
          </w:p>
        </w:tc>
      </w:tr>
      <w:tr>
        <w:trPr>
          <w:trHeight w:val="270"/>
        </w:trPr>
        <w:tc>
          <w:tcPr>
            <w:tcW w:w="5580" w:type="dxa"/>
            <w:vAlign w:val="bottom"/>
          </w:tcPr>
          <w:p>
            <w:pPr>
              <w:spacing w:after="0"/>
              <w:rPr>
                <w:sz w:val="23"/>
                <w:szCs w:val="23"/>
                <w:color w:val="auto"/>
              </w:rPr>
            </w:pPr>
          </w:p>
        </w:tc>
        <w:tc>
          <w:tcPr>
            <w:tcW w:w="5640" w:type="dxa"/>
            <w:vAlign w:val="bottom"/>
          </w:tcPr>
          <w:p>
            <w:pPr>
              <w:spacing w:after="0"/>
              <w:rPr>
                <w:sz w:val="23"/>
                <w:szCs w:val="23"/>
                <w:color w:val="auto"/>
              </w:rPr>
            </w:pPr>
          </w:p>
        </w:tc>
      </w:tr>
      <w:tr>
        <w:trPr>
          <w:trHeight w:val="243"/>
        </w:trPr>
        <w:tc>
          <w:tcPr>
            <w:tcW w:w="55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Norden AB</w:t>
            </w:r>
          </w:p>
        </w:tc>
        <w:tc>
          <w:tcPr>
            <w:tcW w:w="5640" w:type="dxa"/>
            <w:vAlign w:val="bottom"/>
            <w:shd w:val="clear" w:color="auto" w:fill="CCEEFF"/>
          </w:tcPr>
          <w:p>
            <w:pPr>
              <w:ind w:left="840"/>
              <w:spacing w:after="0"/>
              <w:rPr>
                <w:sz w:val="20"/>
                <w:szCs w:val="20"/>
                <w:color w:val="auto"/>
              </w:rPr>
            </w:pPr>
            <w:r>
              <w:rPr>
                <w:rFonts w:ascii="Arial" w:cs="Arial" w:eastAsia="Arial" w:hAnsi="Arial"/>
                <w:sz w:val="20"/>
                <w:szCs w:val="20"/>
                <w:color w:val="auto"/>
              </w:rPr>
              <w:t>Sweden</w:t>
            </w:r>
          </w:p>
        </w:tc>
      </w:tr>
      <w:tr>
        <w:trPr>
          <w:trHeight w:val="270"/>
        </w:trPr>
        <w:tc>
          <w:tcPr>
            <w:tcW w:w="5580" w:type="dxa"/>
            <w:vAlign w:val="bottom"/>
          </w:tcPr>
          <w:p>
            <w:pPr>
              <w:spacing w:after="0"/>
              <w:rPr>
                <w:sz w:val="23"/>
                <w:szCs w:val="23"/>
                <w:color w:val="auto"/>
              </w:rPr>
            </w:pPr>
          </w:p>
        </w:tc>
        <w:tc>
          <w:tcPr>
            <w:tcW w:w="5640" w:type="dxa"/>
            <w:vAlign w:val="bottom"/>
          </w:tcPr>
          <w:p>
            <w:pPr>
              <w:spacing w:after="0"/>
              <w:rPr>
                <w:sz w:val="23"/>
                <w:szCs w:val="23"/>
                <w:color w:val="auto"/>
              </w:rPr>
            </w:pPr>
          </w:p>
        </w:tc>
      </w:tr>
      <w:tr>
        <w:trPr>
          <w:trHeight w:val="243"/>
        </w:trPr>
        <w:tc>
          <w:tcPr>
            <w:tcW w:w="55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AG</w:t>
            </w:r>
          </w:p>
        </w:tc>
        <w:tc>
          <w:tcPr>
            <w:tcW w:w="5640" w:type="dxa"/>
            <w:vAlign w:val="bottom"/>
            <w:shd w:val="clear" w:color="auto" w:fill="CCEEFF"/>
          </w:tcPr>
          <w:p>
            <w:pPr>
              <w:ind w:left="840"/>
              <w:spacing w:after="0"/>
              <w:rPr>
                <w:sz w:val="20"/>
                <w:szCs w:val="20"/>
                <w:color w:val="auto"/>
              </w:rPr>
            </w:pPr>
            <w:r>
              <w:rPr>
                <w:rFonts w:ascii="Arial" w:cs="Arial" w:eastAsia="Arial" w:hAnsi="Arial"/>
                <w:sz w:val="20"/>
                <w:szCs w:val="20"/>
                <w:color w:val="auto"/>
              </w:rPr>
              <w:t>Switzerland</w:t>
            </w:r>
          </w:p>
        </w:tc>
      </w:tr>
      <w:tr>
        <w:trPr>
          <w:trHeight w:val="270"/>
        </w:trPr>
        <w:tc>
          <w:tcPr>
            <w:tcW w:w="5580" w:type="dxa"/>
            <w:vAlign w:val="bottom"/>
          </w:tcPr>
          <w:p>
            <w:pPr>
              <w:spacing w:after="0"/>
              <w:rPr>
                <w:sz w:val="23"/>
                <w:szCs w:val="23"/>
                <w:color w:val="auto"/>
              </w:rPr>
            </w:pPr>
          </w:p>
        </w:tc>
        <w:tc>
          <w:tcPr>
            <w:tcW w:w="5640" w:type="dxa"/>
            <w:vAlign w:val="bottom"/>
          </w:tcPr>
          <w:p>
            <w:pPr>
              <w:spacing w:after="0"/>
              <w:rPr>
                <w:sz w:val="23"/>
                <w:szCs w:val="23"/>
                <w:color w:val="auto"/>
              </w:rPr>
            </w:pPr>
          </w:p>
        </w:tc>
      </w:tr>
      <w:tr>
        <w:trPr>
          <w:trHeight w:val="243"/>
        </w:trPr>
        <w:tc>
          <w:tcPr>
            <w:tcW w:w="55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Biopharmaceuticals GmbH</w:t>
            </w:r>
          </w:p>
        </w:tc>
        <w:tc>
          <w:tcPr>
            <w:tcW w:w="5640" w:type="dxa"/>
            <w:vAlign w:val="bottom"/>
            <w:shd w:val="clear" w:color="auto" w:fill="CCEEFF"/>
          </w:tcPr>
          <w:p>
            <w:pPr>
              <w:ind w:left="840"/>
              <w:spacing w:after="0"/>
              <w:rPr>
                <w:sz w:val="20"/>
                <w:szCs w:val="20"/>
                <w:color w:val="auto"/>
              </w:rPr>
            </w:pPr>
            <w:r>
              <w:rPr>
                <w:rFonts w:ascii="Arial" w:cs="Arial" w:eastAsia="Arial" w:hAnsi="Arial"/>
                <w:sz w:val="20"/>
                <w:szCs w:val="20"/>
                <w:color w:val="auto"/>
              </w:rPr>
              <w:t>Switzerland</w:t>
            </w:r>
          </w:p>
        </w:tc>
      </w:tr>
      <w:tr>
        <w:trPr>
          <w:trHeight w:val="270"/>
        </w:trPr>
        <w:tc>
          <w:tcPr>
            <w:tcW w:w="5580" w:type="dxa"/>
            <w:vAlign w:val="bottom"/>
          </w:tcPr>
          <w:p>
            <w:pPr>
              <w:spacing w:after="0"/>
              <w:rPr>
                <w:sz w:val="23"/>
                <w:szCs w:val="23"/>
                <w:color w:val="auto"/>
              </w:rPr>
            </w:pPr>
          </w:p>
        </w:tc>
        <w:tc>
          <w:tcPr>
            <w:tcW w:w="5640" w:type="dxa"/>
            <w:vAlign w:val="bottom"/>
          </w:tcPr>
          <w:p>
            <w:pPr>
              <w:spacing w:after="0"/>
              <w:rPr>
                <w:sz w:val="23"/>
                <w:szCs w:val="23"/>
                <w:color w:val="auto"/>
              </w:rPr>
            </w:pPr>
          </w:p>
        </w:tc>
      </w:tr>
      <w:tr>
        <w:trPr>
          <w:trHeight w:val="243"/>
        </w:trPr>
        <w:tc>
          <w:tcPr>
            <w:tcW w:w="55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AG</w:t>
            </w:r>
          </w:p>
        </w:tc>
        <w:tc>
          <w:tcPr>
            <w:tcW w:w="5640" w:type="dxa"/>
            <w:vAlign w:val="bottom"/>
            <w:shd w:val="clear" w:color="auto" w:fill="CCEEFF"/>
          </w:tcPr>
          <w:p>
            <w:pPr>
              <w:ind w:left="840"/>
              <w:spacing w:after="0"/>
              <w:rPr>
                <w:sz w:val="20"/>
                <w:szCs w:val="20"/>
                <w:color w:val="auto"/>
              </w:rPr>
            </w:pPr>
            <w:r>
              <w:rPr>
                <w:rFonts w:ascii="Arial" w:cs="Arial" w:eastAsia="Arial" w:hAnsi="Arial"/>
                <w:sz w:val="20"/>
                <w:szCs w:val="20"/>
                <w:color w:val="auto"/>
              </w:rPr>
              <w:t>Switzerland</w:t>
            </w:r>
          </w:p>
        </w:tc>
      </w:tr>
      <w:tr>
        <w:trPr>
          <w:trHeight w:val="270"/>
        </w:trPr>
        <w:tc>
          <w:tcPr>
            <w:tcW w:w="5580" w:type="dxa"/>
            <w:vAlign w:val="bottom"/>
          </w:tcPr>
          <w:p>
            <w:pPr>
              <w:spacing w:after="0"/>
              <w:rPr>
                <w:sz w:val="23"/>
                <w:szCs w:val="23"/>
                <w:color w:val="auto"/>
              </w:rPr>
            </w:pPr>
          </w:p>
        </w:tc>
        <w:tc>
          <w:tcPr>
            <w:tcW w:w="5640" w:type="dxa"/>
            <w:vAlign w:val="bottom"/>
          </w:tcPr>
          <w:p>
            <w:pPr>
              <w:spacing w:after="0"/>
              <w:rPr>
                <w:sz w:val="23"/>
                <w:szCs w:val="23"/>
                <w:color w:val="auto"/>
              </w:rPr>
            </w:pPr>
          </w:p>
        </w:tc>
      </w:tr>
      <w:tr>
        <w:trPr>
          <w:trHeight w:val="243"/>
        </w:trPr>
        <w:tc>
          <w:tcPr>
            <w:tcW w:w="55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Pharmacyclics Switzerland GmbH</w:t>
            </w:r>
          </w:p>
        </w:tc>
        <w:tc>
          <w:tcPr>
            <w:tcW w:w="5640" w:type="dxa"/>
            <w:vAlign w:val="bottom"/>
            <w:shd w:val="clear" w:color="auto" w:fill="CCEEFF"/>
          </w:tcPr>
          <w:p>
            <w:pPr>
              <w:ind w:left="840"/>
              <w:spacing w:after="0"/>
              <w:rPr>
                <w:sz w:val="20"/>
                <w:szCs w:val="20"/>
                <w:color w:val="auto"/>
              </w:rPr>
            </w:pPr>
            <w:r>
              <w:rPr>
                <w:rFonts w:ascii="Arial" w:cs="Arial" w:eastAsia="Arial" w:hAnsi="Arial"/>
                <w:sz w:val="20"/>
                <w:szCs w:val="20"/>
                <w:color w:val="auto"/>
              </w:rPr>
              <w:t>Switzerland</w:t>
            </w:r>
          </w:p>
        </w:tc>
      </w:tr>
      <w:tr>
        <w:trPr>
          <w:trHeight w:val="270"/>
        </w:trPr>
        <w:tc>
          <w:tcPr>
            <w:tcW w:w="5580" w:type="dxa"/>
            <w:vAlign w:val="bottom"/>
          </w:tcPr>
          <w:p>
            <w:pPr>
              <w:spacing w:after="0"/>
              <w:rPr>
                <w:sz w:val="23"/>
                <w:szCs w:val="23"/>
                <w:color w:val="auto"/>
              </w:rPr>
            </w:pPr>
          </w:p>
        </w:tc>
        <w:tc>
          <w:tcPr>
            <w:tcW w:w="5640" w:type="dxa"/>
            <w:vAlign w:val="bottom"/>
          </w:tcPr>
          <w:p>
            <w:pPr>
              <w:spacing w:after="0"/>
              <w:rPr>
                <w:sz w:val="23"/>
                <w:szCs w:val="23"/>
                <w:color w:val="auto"/>
              </w:rPr>
            </w:pPr>
          </w:p>
        </w:tc>
      </w:tr>
      <w:tr>
        <w:trPr>
          <w:trHeight w:val="243"/>
        </w:trPr>
        <w:tc>
          <w:tcPr>
            <w:tcW w:w="55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VarioRaw Percutive S.à r.l.</w:t>
            </w:r>
          </w:p>
        </w:tc>
        <w:tc>
          <w:tcPr>
            <w:tcW w:w="5640" w:type="dxa"/>
            <w:vAlign w:val="bottom"/>
            <w:shd w:val="clear" w:color="auto" w:fill="CCEEFF"/>
          </w:tcPr>
          <w:p>
            <w:pPr>
              <w:ind w:left="840"/>
              <w:spacing w:after="0"/>
              <w:rPr>
                <w:sz w:val="20"/>
                <w:szCs w:val="20"/>
                <w:color w:val="auto"/>
              </w:rPr>
            </w:pPr>
            <w:r>
              <w:rPr>
                <w:rFonts w:ascii="Arial" w:cs="Arial" w:eastAsia="Arial" w:hAnsi="Arial"/>
                <w:sz w:val="20"/>
                <w:szCs w:val="20"/>
                <w:color w:val="auto"/>
              </w:rPr>
              <w:t>Switzerland</w:t>
            </w:r>
          </w:p>
        </w:tc>
      </w:tr>
      <w:tr>
        <w:trPr>
          <w:trHeight w:val="270"/>
        </w:trPr>
        <w:tc>
          <w:tcPr>
            <w:tcW w:w="5580" w:type="dxa"/>
            <w:vAlign w:val="bottom"/>
          </w:tcPr>
          <w:p>
            <w:pPr>
              <w:spacing w:after="0"/>
              <w:rPr>
                <w:sz w:val="23"/>
                <w:szCs w:val="23"/>
                <w:color w:val="auto"/>
              </w:rPr>
            </w:pPr>
          </w:p>
        </w:tc>
        <w:tc>
          <w:tcPr>
            <w:tcW w:w="5640" w:type="dxa"/>
            <w:vAlign w:val="bottom"/>
          </w:tcPr>
          <w:p>
            <w:pPr>
              <w:spacing w:after="0"/>
              <w:rPr>
                <w:sz w:val="23"/>
                <w:szCs w:val="23"/>
                <w:color w:val="auto"/>
              </w:rPr>
            </w:pPr>
          </w:p>
        </w:tc>
      </w:tr>
      <w:tr>
        <w:trPr>
          <w:trHeight w:val="243"/>
        </w:trPr>
        <w:tc>
          <w:tcPr>
            <w:tcW w:w="55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Warner Chilcott Pharmaceuticals Sárl</w:t>
            </w:r>
          </w:p>
        </w:tc>
        <w:tc>
          <w:tcPr>
            <w:tcW w:w="5640" w:type="dxa"/>
            <w:vAlign w:val="bottom"/>
            <w:shd w:val="clear" w:color="auto" w:fill="CCEEFF"/>
          </w:tcPr>
          <w:p>
            <w:pPr>
              <w:ind w:left="840"/>
              <w:spacing w:after="0"/>
              <w:rPr>
                <w:sz w:val="20"/>
                <w:szCs w:val="20"/>
                <w:color w:val="auto"/>
              </w:rPr>
            </w:pPr>
            <w:r>
              <w:rPr>
                <w:rFonts w:ascii="Arial" w:cs="Arial" w:eastAsia="Arial" w:hAnsi="Arial"/>
                <w:sz w:val="20"/>
                <w:szCs w:val="20"/>
                <w:color w:val="auto"/>
              </w:rPr>
              <w:t>Switzerland</w:t>
            </w:r>
          </w:p>
        </w:tc>
      </w:tr>
      <w:tr>
        <w:trPr>
          <w:trHeight w:val="270"/>
        </w:trPr>
        <w:tc>
          <w:tcPr>
            <w:tcW w:w="5580" w:type="dxa"/>
            <w:vAlign w:val="bottom"/>
          </w:tcPr>
          <w:p>
            <w:pPr>
              <w:spacing w:after="0"/>
              <w:rPr>
                <w:sz w:val="23"/>
                <w:szCs w:val="23"/>
                <w:color w:val="auto"/>
              </w:rPr>
            </w:pPr>
          </w:p>
        </w:tc>
        <w:tc>
          <w:tcPr>
            <w:tcW w:w="5640" w:type="dxa"/>
            <w:vAlign w:val="bottom"/>
          </w:tcPr>
          <w:p>
            <w:pPr>
              <w:spacing w:after="0"/>
              <w:rPr>
                <w:sz w:val="23"/>
                <w:szCs w:val="23"/>
                <w:color w:val="auto"/>
              </w:rPr>
            </w:pPr>
          </w:p>
        </w:tc>
      </w:tr>
      <w:tr>
        <w:trPr>
          <w:trHeight w:val="243"/>
        </w:trPr>
        <w:tc>
          <w:tcPr>
            <w:tcW w:w="55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Pharmaceuticals Taiwan Co. Ltd.</w:t>
            </w:r>
          </w:p>
        </w:tc>
        <w:tc>
          <w:tcPr>
            <w:tcW w:w="5640" w:type="dxa"/>
            <w:vAlign w:val="bottom"/>
            <w:shd w:val="clear" w:color="auto" w:fill="CCEEFF"/>
          </w:tcPr>
          <w:p>
            <w:pPr>
              <w:ind w:left="840"/>
              <w:spacing w:after="0"/>
              <w:rPr>
                <w:sz w:val="20"/>
                <w:szCs w:val="20"/>
                <w:color w:val="auto"/>
              </w:rPr>
            </w:pPr>
            <w:r>
              <w:rPr>
                <w:rFonts w:ascii="Arial" w:cs="Arial" w:eastAsia="Arial" w:hAnsi="Arial"/>
                <w:sz w:val="20"/>
                <w:szCs w:val="20"/>
                <w:color w:val="auto"/>
              </w:rPr>
              <w:t>Taiwan</w:t>
            </w:r>
          </w:p>
        </w:tc>
      </w:tr>
      <w:tr>
        <w:trPr>
          <w:trHeight w:val="270"/>
        </w:trPr>
        <w:tc>
          <w:tcPr>
            <w:tcW w:w="5580" w:type="dxa"/>
            <w:vAlign w:val="bottom"/>
          </w:tcPr>
          <w:p>
            <w:pPr>
              <w:spacing w:after="0"/>
              <w:rPr>
                <w:sz w:val="23"/>
                <w:szCs w:val="23"/>
                <w:color w:val="auto"/>
              </w:rPr>
            </w:pPr>
          </w:p>
        </w:tc>
        <w:tc>
          <w:tcPr>
            <w:tcW w:w="5640" w:type="dxa"/>
            <w:vAlign w:val="bottom"/>
          </w:tcPr>
          <w:p>
            <w:pPr>
              <w:spacing w:after="0"/>
              <w:rPr>
                <w:sz w:val="23"/>
                <w:szCs w:val="23"/>
                <w:color w:val="auto"/>
              </w:rPr>
            </w:pPr>
          </w:p>
        </w:tc>
      </w:tr>
      <w:tr>
        <w:trPr>
          <w:trHeight w:val="243"/>
        </w:trPr>
        <w:tc>
          <w:tcPr>
            <w:tcW w:w="55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Ltd.</w:t>
            </w:r>
          </w:p>
        </w:tc>
        <w:tc>
          <w:tcPr>
            <w:tcW w:w="5640" w:type="dxa"/>
            <w:vAlign w:val="bottom"/>
            <w:shd w:val="clear" w:color="auto" w:fill="CCEEFF"/>
          </w:tcPr>
          <w:p>
            <w:pPr>
              <w:ind w:left="840"/>
              <w:spacing w:after="0"/>
              <w:rPr>
                <w:sz w:val="20"/>
                <w:szCs w:val="20"/>
                <w:color w:val="auto"/>
              </w:rPr>
            </w:pPr>
            <w:r>
              <w:rPr>
                <w:rFonts w:ascii="Arial" w:cs="Arial" w:eastAsia="Arial" w:hAnsi="Arial"/>
                <w:sz w:val="20"/>
                <w:szCs w:val="20"/>
                <w:color w:val="auto"/>
              </w:rPr>
              <w:t>Thailand</w:t>
            </w:r>
          </w:p>
        </w:tc>
      </w:tr>
      <w:tr>
        <w:trPr>
          <w:trHeight w:val="270"/>
        </w:trPr>
        <w:tc>
          <w:tcPr>
            <w:tcW w:w="5580" w:type="dxa"/>
            <w:vAlign w:val="bottom"/>
          </w:tcPr>
          <w:p>
            <w:pPr>
              <w:spacing w:after="0"/>
              <w:rPr>
                <w:sz w:val="23"/>
                <w:szCs w:val="23"/>
                <w:color w:val="auto"/>
              </w:rPr>
            </w:pPr>
          </w:p>
        </w:tc>
        <w:tc>
          <w:tcPr>
            <w:tcW w:w="5640" w:type="dxa"/>
            <w:vAlign w:val="bottom"/>
          </w:tcPr>
          <w:p>
            <w:pPr>
              <w:spacing w:after="0"/>
              <w:rPr>
                <w:sz w:val="23"/>
                <w:szCs w:val="23"/>
                <w:color w:val="auto"/>
              </w:rPr>
            </w:pPr>
          </w:p>
        </w:tc>
      </w:tr>
      <w:tr>
        <w:trPr>
          <w:trHeight w:val="243"/>
        </w:trPr>
        <w:tc>
          <w:tcPr>
            <w:tcW w:w="55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(Thailand) Limited</w:t>
            </w:r>
          </w:p>
        </w:tc>
        <w:tc>
          <w:tcPr>
            <w:tcW w:w="5640" w:type="dxa"/>
            <w:vAlign w:val="bottom"/>
            <w:shd w:val="clear" w:color="auto" w:fill="CCEEFF"/>
          </w:tcPr>
          <w:p>
            <w:pPr>
              <w:ind w:left="840"/>
              <w:spacing w:after="0"/>
              <w:rPr>
                <w:sz w:val="20"/>
                <w:szCs w:val="20"/>
                <w:color w:val="auto"/>
              </w:rPr>
            </w:pPr>
            <w:r>
              <w:rPr>
                <w:rFonts w:ascii="Arial" w:cs="Arial" w:eastAsia="Arial" w:hAnsi="Arial"/>
                <w:sz w:val="20"/>
                <w:szCs w:val="20"/>
                <w:color w:val="auto"/>
              </w:rPr>
              <w:t>Thailand</w:t>
            </w:r>
          </w:p>
        </w:tc>
      </w:tr>
      <w:tr>
        <w:trPr>
          <w:trHeight w:val="270"/>
        </w:trPr>
        <w:tc>
          <w:tcPr>
            <w:tcW w:w="5580" w:type="dxa"/>
            <w:vAlign w:val="bottom"/>
          </w:tcPr>
          <w:p>
            <w:pPr>
              <w:spacing w:after="0"/>
              <w:rPr>
                <w:sz w:val="23"/>
                <w:szCs w:val="23"/>
                <w:color w:val="auto"/>
              </w:rPr>
            </w:pPr>
          </w:p>
        </w:tc>
        <w:tc>
          <w:tcPr>
            <w:tcW w:w="5640" w:type="dxa"/>
            <w:vAlign w:val="bottom"/>
          </w:tcPr>
          <w:p>
            <w:pPr>
              <w:spacing w:after="0"/>
              <w:rPr>
                <w:sz w:val="23"/>
                <w:szCs w:val="23"/>
                <w:color w:val="auto"/>
              </w:rPr>
            </w:pPr>
          </w:p>
        </w:tc>
      </w:tr>
      <w:tr>
        <w:trPr>
          <w:trHeight w:val="243"/>
        </w:trPr>
        <w:tc>
          <w:tcPr>
            <w:tcW w:w="55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Sarl</w:t>
            </w:r>
          </w:p>
        </w:tc>
        <w:tc>
          <w:tcPr>
            <w:tcW w:w="5640" w:type="dxa"/>
            <w:vAlign w:val="bottom"/>
            <w:shd w:val="clear" w:color="auto" w:fill="CCEEFF"/>
          </w:tcPr>
          <w:p>
            <w:pPr>
              <w:ind w:left="840"/>
              <w:spacing w:after="0"/>
              <w:rPr>
                <w:sz w:val="20"/>
                <w:szCs w:val="20"/>
                <w:color w:val="auto"/>
              </w:rPr>
            </w:pPr>
            <w:r>
              <w:rPr>
                <w:rFonts w:ascii="Arial" w:cs="Arial" w:eastAsia="Arial" w:hAnsi="Arial"/>
                <w:sz w:val="20"/>
                <w:szCs w:val="20"/>
                <w:color w:val="auto"/>
              </w:rPr>
              <w:t>Tunisia</w:t>
            </w:r>
          </w:p>
        </w:tc>
      </w:tr>
      <w:tr>
        <w:trPr>
          <w:trHeight w:val="270"/>
        </w:trPr>
        <w:tc>
          <w:tcPr>
            <w:tcW w:w="5580" w:type="dxa"/>
            <w:vAlign w:val="bottom"/>
          </w:tcPr>
          <w:p>
            <w:pPr>
              <w:spacing w:after="0"/>
              <w:rPr>
                <w:sz w:val="23"/>
                <w:szCs w:val="23"/>
                <w:color w:val="auto"/>
              </w:rPr>
            </w:pPr>
          </w:p>
        </w:tc>
        <w:tc>
          <w:tcPr>
            <w:tcW w:w="5640" w:type="dxa"/>
            <w:vAlign w:val="bottom"/>
          </w:tcPr>
          <w:p>
            <w:pPr>
              <w:spacing w:after="0"/>
              <w:rPr>
                <w:sz w:val="23"/>
                <w:szCs w:val="23"/>
                <w:color w:val="auto"/>
              </w:rPr>
            </w:pPr>
          </w:p>
        </w:tc>
      </w:tr>
      <w:tr>
        <w:trPr>
          <w:trHeight w:val="243"/>
        </w:trPr>
        <w:tc>
          <w:tcPr>
            <w:tcW w:w="558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Tıbbi İlaçlar Sanayi ve Ticaret Limited Şirketi</w:t>
            </w:r>
          </w:p>
        </w:tc>
        <w:tc>
          <w:tcPr>
            <w:tcW w:w="5640" w:type="dxa"/>
            <w:vAlign w:val="bottom"/>
            <w:shd w:val="clear" w:color="auto" w:fill="CCEEFF"/>
          </w:tcPr>
          <w:p>
            <w:pPr>
              <w:ind w:left="840"/>
              <w:spacing w:after="0"/>
              <w:rPr>
                <w:sz w:val="20"/>
                <w:szCs w:val="20"/>
                <w:color w:val="auto"/>
              </w:rPr>
            </w:pPr>
            <w:r>
              <w:rPr>
                <w:rFonts w:ascii="Arial" w:cs="Arial" w:eastAsia="Arial" w:hAnsi="Arial"/>
                <w:sz w:val="20"/>
                <w:szCs w:val="20"/>
                <w:color w:val="auto"/>
              </w:rPr>
              <w:t>Turkey</w:t>
            </w:r>
          </w:p>
        </w:tc>
      </w:tr>
    </w:tbl>
    <w:p>
      <w:pPr>
        <w:sectPr>
          <w:pgSz w:w="11900" w:h="16838" w:orient="portrait"/>
          <w:cols w:equalWidth="0" w:num="1">
            <w:col w:w="11220"/>
          </w:cols>
          <w:pgMar w:left="320" w:top="936" w:right="359" w:bottom="144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Illaclari Ticaret Anonim Sirketi</w:t>
            </w:r>
          </w:p>
        </w:tc>
        <w:tc>
          <w:tcPr>
            <w:tcW w:w="6260" w:type="dxa"/>
            <w:vAlign w:val="bottom"/>
            <w:shd w:val="clear" w:color="auto" w:fill="CCEEFF"/>
          </w:tcPr>
          <w:p>
            <w:pPr>
              <w:ind w:left="1460"/>
              <w:spacing w:after="0"/>
              <w:rPr>
                <w:sz w:val="20"/>
                <w:szCs w:val="20"/>
                <w:color w:val="auto"/>
              </w:rPr>
            </w:pPr>
            <w:r>
              <w:rPr>
                <w:rFonts w:ascii="Arial" w:cs="Arial" w:eastAsia="Arial" w:hAnsi="Arial"/>
                <w:sz w:val="20"/>
                <w:szCs w:val="20"/>
                <w:color w:val="auto"/>
              </w:rPr>
              <w:t>Turkey</w:t>
            </w:r>
          </w:p>
        </w:tc>
      </w:tr>
      <w:tr>
        <w:trPr>
          <w:trHeight w:val="270"/>
        </w:trPr>
        <w:tc>
          <w:tcPr>
            <w:tcW w:w="4960" w:type="dxa"/>
            <w:vAlign w:val="bottom"/>
          </w:tcPr>
          <w:p>
            <w:pPr>
              <w:spacing w:after="0"/>
              <w:rPr>
                <w:sz w:val="23"/>
                <w:szCs w:val="23"/>
                <w:color w:val="auto"/>
              </w:rPr>
            </w:pPr>
          </w:p>
        </w:tc>
        <w:tc>
          <w:tcPr>
            <w:tcW w:w="6260" w:type="dxa"/>
            <w:vAlign w:val="bottom"/>
          </w:tcPr>
          <w:p>
            <w:pPr>
              <w:spacing w:after="0"/>
              <w:rPr>
                <w:sz w:val="23"/>
                <w:szCs w:val="23"/>
                <w:color w:val="auto"/>
              </w:rPr>
            </w:pPr>
          </w:p>
        </w:tc>
      </w:tr>
      <w:tr>
        <w:trPr>
          <w:trHeight w:val="243"/>
        </w:trPr>
        <w:tc>
          <w:tcPr>
            <w:tcW w:w="4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Ukraine LLC</w:t>
            </w:r>
          </w:p>
        </w:tc>
        <w:tc>
          <w:tcPr>
            <w:tcW w:w="6260" w:type="dxa"/>
            <w:vAlign w:val="bottom"/>
            <w:shd w:val="clear" w:color="auto" w:fill="CCEEFF"/>
          </w:tcPr>
          <w:p>
            <w:pPr>
              <w:ind w:left="1460"/>
              <w:spacing w:after="0"/>
              <w:rPr>
                <w:sz w:val="20"/>
                <w:szCs w:val="20"/>
                <w:color w:val="auto"/>
              </w:rPr>
            </w:pPr>
            <w:r>
              <w:rPr>
                <w:rFonts w:ascii="Arial" w:cs="Arial" w:eastAsia="Arial" w:hAnsi="Arial"/>
                <w:sz w:val="20"/>
                <w:szCs w:val="20"/>
                <w:color w:val="auto"/>
              </w:rPr>
              <w:t>Ukraine</w:t>
            </w:r>
          </w:p>
        </w:tc>
      </w:tr>
      <w:tr>
        <w:trPr>
          <w:trHeight w:val="270"/>
        </w:trPr>
        <w:tc>
          <w:tcPr>
            <w:tcW w:w="4960" w:type="dxa"/>
            <w:vAlign w:val="bottom"/>
          </w:tcPr>
          <w:p>
            <w:pPr>
              <w:spacing w:after="0"/>
              <w:rPr>
                <w:sz w:val="23"/>
                <w:szCs w:val="23"/>
                <w:color w:val="auto"/>
              </w:rPr>
            </w:pPr>
          </w:p>
        </w:tc>
        <w:tc>
          <w:tcPr>
            <w:tcW w:w="6260" w:type="dxa"/>
            <w:vAlign w:val="bottom"/>
          </w:tcPr>
          <w:p>
            <w:pPr>
              <w:spacing w:after="0"/>
              <w:rPr>
                <w:sz w:val="23"/>
                <w:szCs w:val="23"/>
                <w:color w:val="auto"/>
              </w:rPr>
            </w:pPr>
          </w:p>
        </w:tc>
      </w:tr>
      <w:tr>
        <w:trPr>
          <w:trHeight w:val="243"/>
        </w:trPr>
        <w:tc>
          <w:tcPr>
            <w:tcW w:w="4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Middle East Limited</w:t>
            </w:r>
          </w:p>
        </w:tc>
        <w:tc>
          <w:tcPr>
            <w:tcW w:w="6260" w:type="dxa"/>
            <w:vAlign w:val="bottom"/>
            <w:shd w:val="clear" w:color="auto" w:fill="CCEEFF"/>
          </w:tcPr>
          <w:p>
            <w:pPr>
              <w:ind w:left="1460"/>
              <w:spacing w:after="0"/>
              <w:rPr>
                <w:sz w:val="20"/>
                <w:szCs w:val="20"/>
                <w:color w:val="auto"/>
              </w:rPr>
            </w:pPr>
            <w:r>
              <w:rPr>
                <w:rFonts w:ascii="Arial" w:cs="Arial" w:eastAsia="Arial" w:hAnsi="Arial"/>
                <w:sz w:val="20"/>
                <w:szCs w:val="20"/>
                <w:color w:val="auto"/>
              </w:rPr>
              <w:t>United Arab Emirates</w:t>
            </w:r>
          </w:p>
        </w:tc>
      </w:tr>
      <w:tr>
        <w:trPr>
          <w:trHeight w:val="270"/>
        </w:trPr>
        <w:tc>
          <w:tcPr>
            <w:tcW w:w="4960" w:type="dxa"/>
            <w:vAlign w:val="bottom"/>
          </w:tcPr>
          <w:p>
            <w:pPr>
              <w:spacing w:after="0"/>
              <w:rPr>
                <w:sz w:val="23"/>
                <w:szCs w:val="23"/>
                <w:color w:val="auto"/>
              </w:rPr>
            </w:pPr>
          </w:p>
        </w:tc>
        <w:tc>
          <w:tcPr>
            <w:tcW w:w="6260" w:type="dxa"/>
            <w:vAlign w:val="bottom"/>
          </w:tcPr>
          <w:p>
            <w:pPr>
              <w:spacing w:after="0"/>
              <w:rPr>
                <w:sz w:val="23"/>
                <w:szCs w:val="23"/>
                <w:color w:val="auto"/>
              </w:rPr>
            </w:pPr>
          </w:p>
        </w:tc>
      </w:tr>
      <w:tr>
        <w:trPr>
          <w:trHeight w:val="243"/>
        </w:trPr>
        <w:tc>
          <w:tcPr>
            <w:tcW w:w="4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Australasia Holdings Limited</w:t>
            </w:r>
          </w:p>
        </w:tc>
        <w:tc>
          <w:tcPr>
            <w:tcW w:w="6260" w:type="dxa"/>
            <w:vAlign w:val="bottom"/>
            <w:shd w:val="clear" w:color="auto" w:fill="CCEEFF"/>
          </w:tcPr>
          <w:p>
            <w:pPr>
              <w:ind w:left="1460"/>
              <w:spacing w:after="0"/>
              <w:rPr>
                <w:sz w:val="20"/>
                <w:szCs w:val="20"/>
                <w:color w:val="auto"/>
              </w:rPr>
            </w:pPr>
            <w:r>
              <w:rPr>
                <w:rFonts w:ascii="Arial" w:cs="Arial" w:eastAsia="Arial" w:hAnsi="Arial"/>
                <w:sz w:val="20"/>
                <w:szCs w:val="20"/>
                <w:color w:val="auto"/>
              </w:rPr>
              <w:t>United Kingdom</w:t>
            </w:r>
          </w:p>
        </w:tc>
      </w:tr>
      <w:tr>
        <w:trPr>
          <w:trHeight w:val="270"/>
        </w:trPr>
        <w:tc>
          <w:tcPr>
            <w:tcW w:w="4960" w:type="dxa"/>
            <w:vAlign w:val="bottom"/>
          </w:tcPr>
          <w:p>
            <w:pPr>
              <w:spacing w:after="0"/>
              <w:rPr>
                <w:sz w:val="23"/>
                <w:szCs w:val="23"/>
                <w:color w:val="auto"/>
              </w:rPr>
            </w:pPr>
          </w:p>
        </w:tc>
        <w:tc>
          <w:tcPr>
            <w:tcW w:w="6260" w:type="dxa"/>
            <w:vAlign w:val="bottom"/>
          </w:tcPr>
          <w:p>
            <w:pPr>
              <w:spacing w:after="0"/>
              <w:rPr>
                <w:sz w:val="23"/>
                <w:szCs w:val="23"/>
                <w:color w:val="auto"/>
              </w:rPr>
            </w:pPr>
          </w:p>
        </w:tc>
      </w:tr>
      <w:tr>
        <w:trPr>
          <w:trHeight w:val="243"/>
        </w:trPr>
        <w:tc>
          <w:tcPr>
            <w:tcW w:w="4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Biotherapeutics Limited</w:t>
            </w:r>
          </w:p>
        </w:tc>
        <w:tc>
          <w:tcPr>
            <w:tcW w:w="6260" w:type="dxa"/>
            <w:vAlign w:val="bottom"/>
            <w:shd w:val="clear" w:color="auto" w:fill="CCEEFF"/>
          </w:tcPr>
          <w:p>
            <w:pPr>
              <w:ind w:left="1460"/>
              <w:spacing w:after="0"/>
              <w:rPr>
                <w:sz w:val="20"/>
                <w:szCs w:val="20"/>
                <w:color w:val="auto"/>
              </w:rPr>
            </w:pPr>
            <w:r>
              <w:rPr>
                <w:rFonts w:ascii="Arial" w:cs="Arial" w:eastAsia="Arial" w:hAnsi="Arial"/>
                <w:sz w:val="20"/>
                <w:szCs w:val="20"/>
                <w:color w:val="auto"/>
              </w:rPr>
              <w:t>United Kingdom</w:t>
            </w:r>
          </w:p>
        </w:tc>
      </w:tr>
      <w:tr>
        <w:trPr>
          <w:trHeight w:val="270"/>
        </w:trPr>
        <w:tc>
          <w:tcPr>
            <w:tcW w:w="4960" w:type="dxa"/>
            <w:vAlign w:val="bottom"/>
          </w:tcPr>
          <w:p>
            <w:pPr>
              <w:spacing w:after="0"/>
              <w:rPr>
                <w:sz w:val="23"/>
                <w:szCs w:val="23"/>
                <w:color w:val="auto"/>
              </w:rPr>
            </w:pPr>
          </w:p>
        </w:tc>
        <w:tc>
          <w:tcPr>
            <w:tcW w:w="6260" w:type="dxa"/>
            <w:vAlign w:val="bottom"/>
          </w:tcPr>
          <w:p>
            <w:pPr>
              <w:spacing w:after="0"/>
              <w:rPr>
                <w:sz w:val="23"/>
                <w:szCs w:val="23"/>
                <w:color w:val="auto"/>
              </w:rPr>
            </w:pPr>
          </w:p>
        </w:tc>
      </w:tr>
      <w:tr>
        <w:trPr>
          <w:trHeight w:val="243"/>
        </w:trPr>
        <w:tc>
          <w:tcPr>
            <w:tcW w:w="4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Investments Limited</w:t>
            </w:r>
          </w:p>
        </w:tc>
        <w:tc>
          <w:tcPr>
            <w:tcW w:w="6260" w:type="dxa"/>
            <w:vAlign w:val="bottom"/>
            <w:shd w:val="clear" w:color="auto" w:fill="CCEEFF"/>
          </w:tcPr>
          <w:p>
            <w:pPr>
              <w:ind w:left="1460"/>
              <w:spacing w:after="0"/>
              <w:rPr>
                <w:sz w:val="20"/>
                <w:szCs w:val="20"/>
                <w:color w:val="auto"/>
              </w:rPr>
            </w:pPr>
            <w:r>
              <w:rPr>
                <w:rFonts w:ascii="Arial" w:cs="Arial" w:eastAsia="Arial" w:hAnsi="Arial"/>
                <w:sz w:val="20"/>
                <w:szCs w:val="20"/>
                <w:color w:val="auto"/>
              </w:rPr>
              <w:t>United Kingdom</w:t>
            </w:r>
          </w:p>
        </w:tc>
      </w:tr>
      <w:tr>
        <w:trPr>
          <w:trHeight w:val="270"/>
        </w:trPr>
        <w:tc>
          <w:tcPr>
            <w:tcW w:w="4960" w:type="dxa"/>
            <w:vAlign w:val="bottom"/>
          </w:tcPr>
          <w:p>
            <w:pPr>
              <w:spacing w:after="0"/>
              <w:rPr>
                <w:sz w:val="23"/>
                <w:szCs w:val="23"/>
                <w:color w:val="auto"/>
              </w:rPr>
            </w:pPr>
          </w:p>
        </w:tc>
        <w:tc>
          <w:tcPr>
            <w:tcW w:w="6260" w:type="dxa"/>
            <w:vAlign w:val="bottom"/>
          </w:tcPr>
          <w:p>
            <w:pPr>
              <w:spacing w:after="0"/>
              <w:rPr>
                <w:sz w:val="23"/>
                <w:szCs w:val="23"/>
                <w:color w:val="auto"/>
              </w:rPr>
            </w:pPr>
          </w:p>
        </w:tc>
      </w:tr>
      <w:tr>
        <w:trPr>
          <w:trHeight w:val="243"/>
        </w:trPr>
        <w:tc>
          <w:tcPr>
            <w:tcW w:w="4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Ltd</w:t>
            </w:r>
          </w:p>
        </w:tc>
        <w:tc>
          <w:tcPr>
            <w:tcW w:w="6260" w:type="dxa"/>
            <w:vAlign w:val="bottom"/>
            <w:shd w:val="clear" w:color="auto" w:fill="CCEEFF"/>
          </w:tcPr>
          <w:p>
            <w:pPr>
              <w:ind w:left="1460"/>
              <w:spacing w:after="0"/>
              <w:rPr>
                <w:sz w:val="20"/>
                <w:szCs w:val="20"/>
                <w:color w:val="auto"/>
              </w:rPr>
            </w:pPr>
            <w:r>
              <w:rPr>
                <w:rFonts w:ascii="Arial" w:cs="Arial" w:eastAsia="Arial" w:hAnsi="Arial"/>
                <w:sz w:val="20"/>
                <w:szCs w:val="20"/>
                <w:color w:val="auto"/>
              </w:rPr>
              <w:t>United Kingdom</w:t>
            </w:r>
          </w:p>
        </w:tc>
      </w:tr>
      <w:tr>
        <w:trPr>
          <w:trHeight w:val="270"/>
        </w:trPr>
        <w:tc>
          <w:tcPr>
            <w:tcW w:w="4960" w:type="dxa"/>
            <w:vAlign w:val="bottom"/>
          </w:tcPr>
          <w:p>
            <w:pPr>
              <w:spacing w:after="0"/>
              <w:rPr>
                <w:sz w:val="23"/>
                <w:szCs w:val="23"/>
                <w:color w:val="auto"/>
              </w:rPr>
            </w:pPr>
          </w:p>
        </w:tc>
        <w:tc>
          <w:tcPr>
            <w:tcW w:w="6260" w:type="dxa"/>
            <w:vAlign w:val="bottom"/>
          </w:tcPr>
          <w:p>
            <w:pPr>
              <w:spacing w:after="0"/>
              <w:rPr>
                <w:sz w:val="23"/>
                <w:szCs w:val="23"/>
                <w:color w:val="auto"/>
              </w:rPr>
            </w:pPr>
          </w:p>
        </w:tc>
      </w:tr>
      <w:tr>
        <w:trPr>
          <w:trHeight w:val="243"/>
        </w:trPr>
        <w:tc>
          <w:tcPr>
            <w:tcW w:w="4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Trustee Company Limited</w:t>
            </w:r>
          </w:p>
        </w:tc>
        <w:tc>
          <w:tcPr>
            <w:tcW w:w="6260" w:type="dxa"/>
            <w:vAlign w:val="bottom"/>
            <w:shd w:val="clear" w:color="auto" w:fill="CCEEFF"/>
          </w:tcPr>
          <w:p>
            <w:pPr>
              <w:ind w:left="1460"/>
              <w:spacing w:after="0"/>
              <w:rPr>
                <w:sz w:val="20"/>
                <w:szCs w:val="20"/>
                <w:color w:val="auto"/>
              </w:rPr>
            </w:pPr>
            <w:r>
              <w:rPr>
                <w:rFonts w:ascii="Arial" w:cs="Arial" w:eastAsia="Arial" w:hAnsi="Arial"/>
                <w:sz w:val="20"/>
                <w:szCs w:val="20"/>
                <w:color w:val="auto"/>
              </w:rPr>
              <w:t>United Kingdom</w:t>
            </w:r>
          </w:p>
        </w:tc>
      </w:tr>
      <w:tr>
        <w:trPr>
          <w:trHeight w:val="270"/>
        </w:trPr>
        <w:tc>
          <w:tcPr>
            <w:tcW w:w="4960" w:type="dxa"/>
            <w:vAlign w:val="bottom"/>
          </w:tcPr>
          <w:p>
            <w:pPr>
              <w:spacing w:after="0"/>
              <w:rPr>
                <w:sz w:val="23"/>
                <w:szCs w:val="23"/>
                <w:color w:val="auto"/>
              </w:rPr>
            </w:pPr>
          </w:p>
        </w:tc>
        <w:tc>
          <w:tcPr>
            <w:tcW w:w="6260" w:type="dxa"/>
            <w:vAlign w:val="bottom"/>
          </w:tcPr>
          <w:p>
            <w:pPr>
              <w:spacing w:after="0"/>
              <w:rPr>
                <w:sz w:val="23"/>
                <w:szCs w:val="23"/>
                <w:color w:val="auto"/>
              </w:rPr>
            </w:pPr>
          </w:p>
        </w:tc>
      </w:tr>
      <w:tr>
        <w:trPr>
          <w:trHeight w:val="243"/>
        </w:trPr>
        <w:tc>
          <w:tcPr>
            <w:tcW w:w="4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UK Holdco Limited</w:t>
            </w:r>
          </w:p>
        </w:tc>
        <w:tc>
          <w:tcPr>
            <w:tcW w:w="6260" w:type="dxa"/>
            <w:vAlign w:val="bottom"/>
            <w:shd w:val="clear" w:color="auto" w:fill="CCEEFF"/>
          </w:tcPr>
          <w:p>
            <w:pPr>
              <w:ind w:left="1460"/>
              <w:spacing w:after="0"/>
              <w:rPr>
                <w:sz w:val="20"/>
                <w:szCs w:val="20"/>
                <w:color w:val="auto"/>
              </w:rPr>
            </w:pPr>
            <w:r>
              <w:rPr>
                <w:rFonts w:ascii="Arial" w:cs="Arial" w:eastAsia="Arial" w:hAnsi="Arial"/>
                <w:sz w:val="20"/>
                <w:szCs w:val="20"/>
                <w:color w:val="auto"/>
              </w:rPr>
              <w:t>United Kingdom</w:t>
            </w:r>
          </w:p>
        </w:tc>
      </w:tr>
      <w:tr>
        <w:trPr>
          <w:trHeight w:val="270"/>
        </w:trPr>
        <w:tc>
          <w:tcPr>
            <w:tcW w:w="4960" w:type="dxa"/>
            <w:vAlign w:val="bottom"/>
          </w:tcPr>
          <w:p>
            <w:pPr>
              <w:spacing w:after="0"/>
              <w:rPr>
                <w:sz w:val="23"/>
                <w:szCs w:val="23"/>
                <w:color w:val="auto"/>
              </w:rPr>
            </w:pPr>
          </w:p>
        </w:tc>
        <w:tc>
          <w:tcPr>
            <w:tcW w:w="6260" w:type="dxa"/>
            <w:vAlign w:val="bottom"/>
          </w:tcPr>
          <w:p>
            <w:pPr>
              <w:spacing w:after="0"/>
              <w:rPr>
                <w:sz w:val="23"/>
                <w:szCs w:val="23"/>
                <w:color w:val="auto"/>
              </w:rPr>
            </w:pPr>
          </w:p>
        </w:tc>
      </w:tr>
      <w:tr>
        <w:trPr>
          <w:trHeight w:val="243"/>
        </w:trPr>
        <w:tc>
          <w:tcPr>
            <w:tcW w:w="4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Akarna Therapeutics, Limited</w:t>
            </w:r>
          </w:p>
        </w:tc>
        <w:tc>
          <w:tcPr>
            <w:tcW w:w="6260" w:type="dxa"/>
            <w:vAlign w:val="bottom"/>
            <w:shd w:val="clear" w:color="auto" w:fill="CCEEFF"/>
          </w:tcPr>
          <w:p>
            <w:pPr>
              <w:ind w:left="1460"/>
              <w:spacing w:after="0"/>
              <w:rPr>
                <w:sz w:val="20"/>
                <w:szCs w:val="20"/>
                <w:color w:val="auto"/>
              </w:rPr>
            </w:pPr>
            <w:r>
              <w:rPr>
                <w:rFonts w:ascii="Arial" w:cs="Arial" w:eastAsia="Arial" w:hAnsi="Arial"/>
                <w:sz w:val="20"/>
                <w:szCs w:val="20"/>
                <w:color w:val="auto"/>
              </w:rPr>
              <w:t>United Kingdom</w:t>
            </w:r>
          </w:p>
        </w:tc>
      </w:tr>
      <w:tr>
        <w:trPr>
          <w:trHeight w:val="270"/>
        </w:trPr>
        <w:tc>
          <w:tcPr>
            <w:tcW w:w="4960" w:type="dxa"/>
            <w:vAlign w:val="bottom"/>
          </w:tcPr>
          <w:p>
            <w:pPr>
              <w:spacing w:after="0"/>
              <w:rPr>
                <w:sz w:val="23"/>
                <w:szCs w:val="23"/>
                <w:color w:val="auto"/>
              </w:rPr>
            </w:pPr>
          </w:p>
        </w:tc>
        <w:tc>
          <w:tcPr>
            <w:tcW w:w="6260" w:type="dxa"/>
            <w:vAlign w:val="bottom"/>
          </w:tcPr>
          <w:p>
            <w:pPr>
              <w:spacing w:after="0"/>
              <w:rPr>
                <w:sz w:val="23"/>
                <w:szCs w:val="23"/>
                <w:color w:val="auto"/>
              </w:rPr>
            </w:pPr>
          </w:p>
        </w:tc>
      </w:tr>
      <w:tr>
        <w:trPr>
          <w:trHeight w:val="243"/>
        </w:trPr>
        <w:tc>
          <w:tcPr>
            <w:tcW w:w="4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Biologics Limited</w:t>
            </w:r>
          </w:p>
        </w:tc>
        <w:tc>
          <w:tcPr>
            <w:tcW w:w="6260" w:type="dxa"/>
            <w:vAlign w:val="bottom"/>
            <w:shd w:val="clear" w:color="auto" w:fill="CCEEFF"/>
          </w:tcPr>
          <w:p>
            <w:pPr>
              <w:ind w:left="1460"/>
              <w:spacing w:after="0"/>
              <w:rPr>
                <w:sz w:val="20"/>
                <w:szCs w:val="20"/>
                <w:color w:val="auto"/>
              </w:rPr>
            </w:pPr>
            <w:r>
              <w:rPr>
                <w:rFonts w:ascii="Arial" w:cs="Arial" w:eastAsia="Arial" w:hAnsi="Arial"/>
                <w:sz w:val="20"/>
                <w:szCs w:val="20"/>
                <w:color w:val="auto"/>
              </w:rPr>
              <w:t>United Kingdom</w:t>
            </w:r>
          </w:p>
        </w:tc>
      </w:tr>
      <w:tr>
        <w:trPr>
          <w:trHeight w:val="270"/>
        </w:trPr>
        <w:tc>
          <w:tcPr>
            <w:tcW w:w="4960" w:type="dxa"/>
            <w:vAlign w:val="bottom"/>
          </w:tcPr>
          <w:p>
            <w:pPr>
              <w:spacing w:after="0"/>
              <w:rPr>
                <w:sz w:val="23"/>
                <w:szCs w:val="23"/>
                <w:color w:val="auto"/>
              </w:rPr>
            </w:pPr>
          </w:p>
        </w:tc>
        <w:tc>
          <w:tcPr>
            <w:tcW w:w="6260" w:type="dxa"/>
            <w:vAlign w:val="bottom"/>
          </w:tcPr>
          <w:p>
            <w:pPr>
              <w:spacing w:after="0"/>
              <w:rPr>
                <w:sz w:val="23"/>
                <w:szCs w:val="23"/>
                <w:color w:val="auto"/>
              </w:rPr>
            </w:pPr>
          </w:p>
        </w:tc>
      </w:tr>
      <w:tr>
        <w:trPr>
          <w:trHeight w:val="243"/>
        </w:trPr>
        <w:tc>
          <w:tcPr>
            <w:tcW w:w="4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Holdco UK Limited</w:t>
            </w:r>
          </w:p>
        </w:tc>
        <w:tc>
          <w:tcPr>
            <w:tcW w:w="6260" w:type="dxa"/>
            <w:vAlign w:val="bottom"/>
            <w:shd w:val="clear" w:color="auto" w:fill="CCEEFF"/>
          </w:tcPr>
          <w:p>
            <w:pPr>
              <w:ind w:left="1460"/>
              <w:spacing w:after="0"/>
              <w:rPr>
                <w:sz w:val="20"/>
                <w:szCs w:val="20"/>
                <w:color w:val="auto"/>
              </w:rPr>
            </w:pPr>
            <w:r>
              <w:rPr>
                <w:rFonts w:ascii="Arial" w:cs="Arial" w:eastAsia="Arial" w:hAnsi="Arial"/>
                <w:sz w:val="20"/>
                <w:szCs w:val="20"/>
                <w:color w:val="auto"/>
              </w:rPr>
              <w:t>United Kingdom</w:t>
            </w:r>
          </w:p>
        </w:tc>
      </w:tr>
      <w:tr>
        <w:trPr>
          <w:trHeight w:val="270"/>
        </w:trPr>
        <w:tc>
          <w:tcPr>
            <w:tcW w:w="4960" w:type="dxa"/>
            <w:vAlign w:val="bottom"/>
          </w:tcPr>
          <w:p>
            <w:pPr>
              <w:spacing w:after="0"/>
              <w:rPr>
                <w:sz w:val="23"/>
                <w:szCs w:val="23"/>
                <w:color w:val="auto"/>
              </w:rPr>
            </w:pPr>
          </w:p>
        </w:tc>
        <w:tc>
          <w:tcPr>
            <w:tcW w:w="6260" w:type="dxa"/>
            <w:vAlign w:val="bottom"/>
          </w:tcPr>
          <w:p>
            <w:pPr>
              <w:spacing w:after="0"/>
              <w:rPr>
                <w:sz w:val="23"/>
                <w:szCs w:val="23"/>
                <w:color w:val="auto"/>
              </w:rPr>
            </w:pPr>
          </w:p>
        </w:tc>
      </w:tr>
      <w:tr>
        <w:trPr>
          <w:trHeight w:val="243"/>
        </w:trPr>
        <w:tc>
          <w:tcPr>
            <w:tcW w:w="4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Holdings Limited</w:t>
            </w:r>
          </w:p>
        </w:tc>
        <w:tc>
          <w:tcPr>
            <w:tcW w:w="6260" w:type="dxa"/>
            <w:vAlign w:val="bottom"/>
            <w:shd w:val="clear" w:color="auto" w:fill="CCEEFF"/>
          </w:tcPr>
          <w:p>
            <w:pPr>
              <w:ind w:left="1460"/>
              <w:spacing w:after="0"/>
              <w:rPr>
                <w:sz w:val="20"/>
                <w:szCs w:val="20"/>
                <w:color w:val="auto"/>
              </w:rPr>
            </w:pPr>
            <w:r>
              <w:rPr>
                <w:rFonts w:ascii="Arial" w:cs="Arial" w:eastAsia="Arial" w:hAnsi="Arial"/>
                <w:sz w:val="20"/>
                <w:szCs w:val="20"/>
                <w:color w:val="auto"/>
              </w:rPr>
              <w:t>United Kingdom</w:t>
            </w:r>
          </w:p>
        </w:tc>
      </w:tr>
      <w:tr>
        <w:trPr>
          <w:trHeight w:val="270"/>
        </w:trPr>
        <w:tc>
          <w:tcPr>
            <w:tcW w:w="4960" w:type="dxa"/>
            <w:vAlign w:val="bottom"/>
          </w:tcPr>
          <w:p>
            <w:pPr>
              <w:spacing w:after="0"/>
              <w:rPr>
                <w:sz w:val="23"/>
                <w:szCs w:val="23"/>
                <w:color w:val="auto"/>
              </w:rPr>
            </w:pPr>
          </w:p>
        </w:tc>
        <w:tc>
          <w:tcPr>
            <w:tcW w:w="6260" w:type="dxa"/>
            <w:vAlign w:val="bottom"/>
          </w:tcPr>
          <w:p>
            <w:pPr>
              <w:spacing w:after="0"/>
              <w:rPr>
                <w:sz w:val="23"/>
                <w:szCs w:val="23"/>
                <w:color w:val="auto"/>
              </w:rPr>
            </w:pPr>
          </w:p>
        </w:tc>
      </w:tr>
      <w:tr>
        <w:trPr>
          <w:trHeight w:val="243"/>
        </w:trPr>
        <w:tc>
          <w:tcPr>
            <w:tcW w:w="4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Limited</w:t>
            </w:r>
          </w:p>
        </w:tc>
        <w:tc>
          <w:tcPr>
            <w:tcW w:w="6260" w:type="dxa"/>
            <w:vAlign w:val="bottom"/>
            <w:shd w:val="clear" w:color="auto" w:fill="CCEEFF"/>
          </w:tcPr>
          <w:p>
            <w:pPr>
              <w:ind w:left="1460"/>
              <w:spacing w:after="0"/>
              <w:rPr>
                <w:sz w:val="20"/>
                <w:szCs w:val="20"/>
                <w:color w:val="auto"/>
              </w:rPr>
            </w:pPr>
            <w:r>
              <w:rPr>
                <w:rFonts w:ascii="Arial" w:cs="Arial" w:eastAsia="Arial" w:hAnsi="Arial"/>
                <w:sz w:val="20"/>
                <w:szCs w:val="20"/>
                <w:color w:val="auto"/>
              </w:rPr>
              <w:t>United Kingdom</w:t>
            </w:r>
          </w:p>
        </w:tc>
      </w:tr>
      <w:tr>
        <w:trPr>
          <w:trHeight w:val="270"/>
        </w:trPr>
        <w:tc>
          <w:tcPr>
            <w:tcW w:w="4960" w:type="dxa"/>
            <w:vAlign w:val="bottom"/>
          </w:tcPr>
          <w:p>
            <w:pPr>
              <w:spacing w:after="0"/>
              <w:rPr>
                <w:sz w:val="23"/>
                <w:szCs w:val="23"/>
                <w:color w:val="auto"/>
              </w:rPr>
            </w:pPr>
          </w:p>
        </w:tc>
        <w:tc>
          <w:tcPr>
            <w:tcW w:w="6260" w:type="dxa"/>
            <w:vAlign w:val="bottom"/>
          </w:tcPr>
          <w:p>
            <w:pPr>
              <w:spacing w:after="0"/>
              <w:rPr>
                <w:sz w:val="23"/>
                <w:szCs w:val="23"/>
                <w:color w:val="auto"/>
              </w:rPr>
            </w:pPr>
          </w:p>
        </w:tc>
      </w:tr>
      <w:tr>
        <w:trPr>
          <w:trHeight w:val="243"/>
        </w:trPr>
        <w:tc>
          <w:tcPr>
            <w:tcW w:w="4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Aptalis Pharma UK Limited</w:t>
            </w:r>
          </w:p>
        </w:tc>
        <w:tc>
          <w:tcPr>
            <w:tcW w:w="6260" w:type="dxa"/>
            <w:vAlign w:val="bottom"/>
            <w:shd w:val="clear" w:color="auto" w:fill="CCEEFF"/>
          </w:tcPr>
          <w:p>
            <w:pPr>
              <w:ind w:left="1460"/>
              <w:spacing w:after="0"/>
              <w:rPr>
                <w:sz w:val="20"/>
                <w:szCs w:val="20"/>
                <w:color w:val="auto"/>
              </w:rPr>
            </w:pPr>
            <w:r>
              <w:rPr>
                <w:rFonts w:ascii="Arial" w:cs="Arial" w:eastAsia="Arial" w:hAnsi="Arial"/>
                <w:sz w:val="20"/>
                <w:szCs w:val="20"/>
                <w:color w:val="auto"/>
              </w:rPr>
              <w:t>United Kingdom</w:t>
            </w:r>
          </w:p>
        </w:tc>
      </w:tr>
      <w:tr>
        <w:trPr>
          <w:trHeight w:val="270"/>
        </w:trPr>
        <w:tc>
          <w:tcPr>
            <w:tcW w:w="4960" w:type="dxa"/>
            <w:vAlign w:val="bottom"/>
          </w:tcPr>
          <w:p>
            <w:pPr>
              <w:spacing w:after="0"/>
              <w:rPr>
                <w:sz w:val="23"/>
                <w:szCs w:val="23"/>
                <w:color w:val="auto"/>
              </w:rPr>
            </w:pPr>
          </w:p>
        </w:tc>
        <w:tc>
          <w:tcPr>
            <w:tcW w:w="6260" w:type="dxa"/>
            <w:vAlign w:val="bottom"/>
          </w:tcPr>
          <w:p>
            <w:pPr>
              <w:spacing w:after="0"/>
              <w:rPr>
                <w:sz w:val="23"/>
                <w:szCs w:val="23"/>
                <w:color w:val="auto"/>
              </w:rPr>
            </w:pPr>
          </w:p>
        </w:tc>
      </w:tr>
      <w:tr>
        <w:trPr>
          <w:trHeight w:val="243"/>
        </w:trPr>
        <w:tc>
          <w:tcPr>
            <w:tcW w:w="4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Lifecell EMEA Limited</w:t>
            </w:r>
          </w:p>
        </w:tc>
        <w:tc>
          <w:tcPr>
            <w:tcW w:w="6260" w:type="dxa"/>
            <w:vAlign w:val="bottom"/>
            <w:shd w:val="clear" w:color="auto" w:fill="CCEEFF"/>
          </w:tcPr>
          <w:p>
            <w:pPr>
              <w:ind w:left="1460"/>
              <w:spacing w:after="0"/>
              <w:rPr>
                <w:sz w:val="20"/>
                <w:szCs w:val="20"/>
                <w:color w:val="auto"/>
              </w:rPr>
            </w:pPr>
            <w:r>
              <w:rPr>
                <w:rFonts w:ascii="Arial" w:cs="Arial" w:eastAsia="Arial" w:hAnsi="Arial"/>
                <w:sz w:val="20"/>
                <w:szCs w:val="20"/>
                <w:color w:val="auto"/>
              </w:rPr>
              <w:t>United Kingdom</w:t>
            </w:r>
          </w:p>
        </w:tc>
      </w:tr>
      <w:tr>
        <w:trPr>
          <w:trHeight w:val="270"/>
        </w:trPr>
        <w:tc>
          <w:tcPr>
            <w:tcW w:w="4960" w:type="dxa"/>
            <w:vAlign w:val="bottom"/>
          </w:tcPr>
          <w:p>
            <w:pPr>
              <w:spacing w:after="0"/>
              <w:rPr>
                <w:sz w:val="23"/>
                <w:szCs w:val="23"/>
                <w:color w:val="auto"/>
              </w:rPr>
            </w:pPr>
          </w:p>
        </w:tc>
        <w:tc>
          <w:tcPr>
            <w:tcW w:w="6260" w:type="dxa"/>
            <w:vAlign w:val="bottom"/>
          </w:tcPr>
          <w:p>
            <w:pPr>
              <w:spacing w:after="0"/>
              <w:rPr>
                <w:sz w:val="23"/>
                <w:szCs w:val="23"/>
                <w:color w:val="auto"/>
              </w:rPr>
            </w:pPr>
          </w:p>
        </w:tc>
      </w:tr>
      <w:tr>
        <w:trPr>
          <w:trHeight w:val="243"/>
        </w:trPr>
        <w:tc>
          <w:tcPr>
            <w:tcW w:w="4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Northwood Medical Innovation, Ltd.</w:t>
            </w:r>
          </w:p>
        </w:tc>
        <w:tc>
          <w:tcPr>
            <w:tcW w:w="6260" w:type="dxa"/>
            <w:vAlign w:val="bottom"/>
            <w:shd w:val="clear" w:color="auto" w:fill="CCEEFF"/>
          </w:tcPr>
          <w:p>
            <w:pPr>
              <w:ind w:left="1460"/>
              <w:spacing w:after="0"/>
              <w:rPr>
                <w:sz w:val="20"/>
                <w:szCs w:val="20"/>
                <w:color w:val="auto"/>
              </w:rPr>
            </w:pPr>
            <w:r>
              <w:rPr>
                <w:rFonts w:ascii="Arial" w:cs="Arial" w:eastAsia="Arial" w:hAnsi="Arial"/>
                <w:sz w:val="20"/>
                <w:szCs w:val="20"/>
                <w:color w:val="auto"/>
              </w:rPr>
              <w:t>United Kingdom</w:t>
            </w:r>
          </w:p>
        </w:tc>
      </w:tr>
      <w:tr>
        <w:trPr>
          <w:trHeight w:val="270"/>
        </w:trPr>
        <w:tc>
          <w:tcPr>
            <w:tcW w:w="4960" w:type="dxa"/>
            <w:vAlign w:val="bottom"/>
          </w:tcPr>
          <w:p>
            <w:pPr>
              <w:spacing w:after="0"/>
              <w:rPr>
                <w:sz w:val="23"/>
                <w:szCs w:val="23"/>
                <w:color w:val="auto"/>
              </w:rPr>
            </w:pPr>
          </w:p>
        </w:tc>
        <w:tc>
          <w:tcPr>
            <w:tcW w:w="6260" w:type="dxa"/>
            <w:vAlign w:val="bottom"/>
          </w:tcPr>
          <w:p>
            <w:pPr>
              <w:spacing w:after="0"/>
              <w:rPr>
                <w:sz w:val="23"/>
                <w:szCs w:val="23"/>
                <w:color w:val="auto"/>
              </w:rPr>
            </w:pPr>
          </w:p>
        </w:tc>
      </w:tr>
      <w:tr>
        <w:trPr>
          <w:trHeight w:val="243"/>
        </w:trPr>
        <w:tc>
          <w:tcPr>
            <w:tcW w:w="4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Renable Pharma Ltd.</w:t>
            </w:r>
          </w:p>
        </w:tc>
        <w:tc>
          <w:tcPr>
            <w:tcW w:w="6260" w:type="dxa"/>
            <w:vAlign w:val="bottom"/>
            <w:shd w:val="clear" w:color="auto" w:fill="CCEEFF"/>
          </w:tcPr>
          <w:p>
            <w:pPr>
              <w:ind w:left="1460"/>
              <w:spacing w:after="0"/>
              <w:rPr>
                <w:sz w:val="20"/>
                <w:szCs w:val="20"/>
                <w:color w:val="auto"/>
              </w:rPr>
            </w:pPr>
            <w:r>
              <w:rPr>
                <w:rFonts w:ascii="Arial" w:cs="Arial" w:eastAsia="Arial" w:hAnsi="Arial"/>
                <w:sz w:val="20"/>
                <w:szCs w:val="20"/>
                <w:color w:val="auto"/>
              </w:rPr>
              <w:t>United Kingdom</w:t>
            </w:r>
          </w:p>
        </w:tc>
      </w:tr>
      <w:tr>
        <w:trPr>
          <w:trHeight w:val="270"/>
        </w:trPr>
        <w:tc>
          <w:tcPr>
            <w:tcW w:w="4960" w:type="dxa"/>
            <w:vAlign w:val="bottom"/>
          </w:tcPr>
          <w:p>
            <w:pPr>
              <w:spacing w:after="0"/>
              <w:rPr>
                <w:sz w:val="23"/>
                <w:szCs w:val="23"/>
                <w:color w:val="auto"/>
              </w:rPr>
            </w:pPr>
          </w:p>
        </w:tc>
        <w:tc>
          <w:tcPr>
            <w:tcW w:w="6260" w:type="dxa"/>
            <w:vAlign w:val="bottom"/>
          </w:tcPr>
          <w:p>
            <w:pPr>
              <w:spacing w:after="0"/>
              <w:rPr>
                <w:sz w:val="23"/>
                <w:szCs w:val="23"/>
                <w:color w:val="auto"/>
              </w:rPr>
            </w:pPr>
          </w:p>
        </w:tc>
      </w:tr>
      <w:tr>
        <w:trPr>
          <w:trHeight w:val="243"/>
        </w:trPr>
        <w:tc>
          <w:tcPr>
            <w:tcW w:w="4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Zeltiq Limited</w:t>
            </w:r>
          </w:p>
        </w:tc>
        <w:tc>
          <w:tcPr>
            <w:tcW w:w="6260" w:type="dxa"/>
            <w:vAlign w:val="bottom"/>
            <w:shd w:val="clear" w:color="auto" w:fill="CCEEFF"/>
          </w:tcPr>
          <w:p>
            <w:pPr>
              <w:ind w:left="1460"/>
              <w:spacing w:after="0"/>
              <w:rPr>
                <w:sz w:val="20"/>
                <w:szCs w:val="20"/>
                <w:color w:val="auto"/>
              </w:rPr>
            </w:pPr>
            <w:r>
              <w:rPr>
                <w:rFonts w:ascii="Arial" w:cs="Arial" w:eastAsia="Arial" w:hAnsi="Arial"/>
                <w:sz w:val="20"/>
                <w:szCs w:val="20"/>
                <w:color w:val="auto"/>
              </w:rPr>
              <w:t>United Kingdom</w:t>
            </w:r>
          </w:p>
        </w:tc>
      </w:tr>
      <w:tr>
        <w:trPr>
          <w:trHeight w:val="270"/>
        </w:trPr>
        <w:tc>
          <w:tcPr>
            <w:tcW w:w="4960" w:type="dxa"/>
            <w:vAlign w:val="bottom"/>
          </w:tcPr>
          <w:p>
            <w:pPr>
              <w:spacing w:after="0"/>
              <w:rPr>
                <w:sz w:val="23"/>
                <w:szCs w:val="23"/>
                <w:color w:val="auto"/>
              </w:rPr>
            </w:pPr>
          </w:p>
        </w:tc>
        <w:tc>
          <w:tcPr>
            <w:tcW w:w="6260" w:type="dxa"/>
            <w:vAlign w:val="bottom"/>
          </w:tcPr>
          <w:p>
            <w:pPr>
              <w:spacing w:after="0"/>
              <w:rPr>
                <w:sz w:val="23"/>
                <w:szCs w:val="23"/>
                <w:color w:val="auto"/>
              </w:rPr>
            </w:pPr>
          </w:p>
        </w:tc>
      </w:tr>
      <w:tr>
        <w:trPr>
          <w:trHeight w:val="243"/>
        </w:trPr>
        <w:tc>
          <w:tcPr>
            <w:tcW w:w="4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S.A.</w:t>
            </w:r>
          </w:p>
        </w:tc>
        <w:tc>
          <w:tcPr>
            <w:tcW w:w="6260" w:type="dxa"/>
            <w:vAlign w:val="bottom"/>
            <w:shd w:val="clear" w:color="auto" w:fill="CCEEFF"/>
          </w:tcPr>
          <w:p>
            <w:pPr>
              <w:ind w:left="1460"/>
              <w:spacing w:after="0"/>
              <w:rPr>
                <w:sz w:val="20"/>
                <w:szCs w:val="20"/>
                <w:color w:val="auto"/>
              </w:rPr>
            </w:pPr>
            <w:r>
              <w:rPr>
                <w:rFonts w:ascii="Arial" w:cs="Arial" w:eastAsia="Arial" w:hAnsi="Arial"/>
                <w:sz w:val="20"/>
                <w:szCs w:val="20"/>
                <w:color w:val="auto"/>
              </w:rPr>
              <w:t>Uruguay</w:t>
            </w:r>
          </w:p>
        </w:tc>
      </w:tr>
      <w:tr>
        <w:trPr>
          <w:trHeight w:val="270"/>
        </w:trPr>
        <w:tc>
          <w:tcPr>
            <w:tcW w:w="4960" w:type="dxa"/>
            <w:vAlign w:val="bottom"/>
          </w:tcPr>
          <w:p>
            <w:pPr>
              <w:spacing w:after="0"/>
              <w:rPr>
                <w:sz w:val="23"/>
                <w:szCs w:val="23"/>
                <w:color w:val="auto"/>
              </w:rPr>
            </w:pPr>
          </w:p>
        </w:tc>
        <w:tc>
          <w:tcPr>
            <w:tcW w:w="6260" w:type="dxa"/>
            <w:vAlign w:val="bottom"/>
          </w:tcPr>
          <w:p>
            <w:pPr>
              <w:spacing w:after="0"/>
              <w:rPr>
                <w:sz w:val="23"/>
                <w:szCs w:val="23"/>
                <w:color w:val="auto"/>
              </w:rPr>
            </w:pPr>
          </w:p>
        </w:tc>
      </w:tr>
      <w:tr>
        <w:trPr>
          <w:trHeight w:val="243"/>
        </w:trPr>
        <w:tc>
          <w:tcPr>
            <w:tcW w:w="4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AbbVie Pharmaceuticals SCA.</w:t>
            </w:r>
          </w:p>
        </w:tc>
        <w:tc>
          <w:tcPr>
            <w:tcW w:w="6260" w:type="dxa"/>
            <w:vAlign w:val="bottom"/>
            <w:shd w:val="clear" w:color="auto" w:fill="CCEEFF"/>
          </w:tcPr>
          <w:p>
            <w:pPr>
              <w:ind w:left="1460"/>
              <w:spacing w:after="0"/>
              <w:rPr>
                <w:sz w:val="20"/>
                <w:szCs w:val="20"/>
                <w:color w:val="auto"/>
              </w:rPr>
            </w:pPr>
            <w:r>
              <w:rPr>
                <w:rFonts w:ascii="Arial" w:cs="Arial" w:eastAsia="Arial" w:hAnsi="Arial"/>
                <w:sz w:val="20"/>
                <w:szCs w:val="20"/>
                <w:color w:val="auto"/>
              </w:rPr>
              <w:t>Venezuela</w:t>
            </w:r>
          </w:p>
        </w:tc>
      </w:tr>
      <w:tr>
        <w:trPr>
          <w:trHeight w:val="270"/>
        </w:trPr>
        <w:tc>
          <w:tcPr>
            <w:tcW w:w="4960" w:type="dxa"/>
            <w:vAlign w:val="bottom"/>
          </w:tcPr>
          <w:p>
            <w:pPr>
              <w:spacing w:after="0"/>
              <w:rPr>
                <w:sz w:val="23"/>
                <w:szCs w:val="23"/>
                <w:color w:val="auto"/>
              </w:rPr>
            </w:pPr>
          </w:p>
        </w:tc>
        <w:tc>
          <w:tcPr>
            <w:tcW w:w="6260" w:type="dxa"/>
            <w:vAlign w:val="bottom"/>
          </w:tcPr>
          <w:p>
            <w:pPr>
              <w:spacing w:after="0"/>
              <w:rPr>
                <w:sz w:val="23"/>
                <w:szCs w:val="23"/>
                <w:color w:val="auto"/>
              </w:rPr>
            </w:pPr>
          </w:p>
        </w:tc>
      </w:tr>
      <w:tr>
        <w:trPr>
          <w:trHeight w:val="243"/>
        </w:trPr>
        <w:tc>
          <w:tcPr>
            <w:tcW w:w="4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Allergan de Venezuela, C.A.</w:t>
            </w:r>
          </w:p>
        </w:tc>
        <w:tc>
          <w:tcPr>
            <w:tcW w:w="6260" w:type="dxa"/>
            <w:vAlign w:val="bottom"/>
            <w:shd w:val="clear" w:color="auto" w:fill="CCEEFF"/>
          </w:tcPr>
          <w:p>
            <w:pPr>
              <w:ind w:left="1460"/>
              <w:spacing w:after="0"/>
              <w:rPr>
                <w:sz w:val="20"/>
                <w:szCs w:val="20"/>
                <w:color w:val="auto"/>
              </w:rPr>
            </w:pPr>
            <w:r>
              <w:rPr>
                <w:rFonts w:ascii="Arial" w:cs="Arial" w:eastAsia="Arial" w:hAnsi="Arial"/>
                <w:sz w:val="20"/>
                <w:szCs w:val="20"/>
                <w:color w:val="auto"/>
              </w:rPr>
              <w:t>Venezuela</w:t>
            </w:r>
          </w:p>
        </w:tc>
      </w:tr>
    </w:tbl>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 Ownership of such subsidiary is less than 100% by AbbVie or an AbbVie subsidiary.</w:t>
      </w:r>
    </w:p>
    <w:p>
      <w:pPr>
        <w:sectPr>
          <w:pgSz w:w="11900" w:h="16838" w:orient="portrait"/>
          <w:cols w:equalWidth="0" w:num="1">
            <w:col w:w="11220"/>
          </w:cols>
          <w:pgMar w:left="320" w:top="936" w:right="35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17" w:lineRule="exact"/>
        <w:rPr>
          <w:sz w:val="20"/>
          <w:szCs w:val="20"/>
          <w:color w:val="auto"/>
        </w:rPr>
      </w:pPr>
    </w:p>
    <w:p>
      <w:pPr>
        <w:ind w:left="280" w:hanging="272"/>
        <w:spacing w:after="0"/>
        <w:tabs>
          <w:tab w:leader="none" w:pos="2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Registration Statement (Form S-3 No. 333-227316) pertaining to debt securities of AbbVie Inc.,</w:t>
      </w:r>
    </w:p>
    <w:p>
      <w:pPr>
        <w:spacing w:after="0" w:line="117" w:lineRule="exact"/>
        <w:rPr>
          <w:rFonts w:ascii="Arial" w:cs="Arial" w:eastAsia="Arial" w:hAnsi="Arial"/>
          <w:sz w:val="18"/>
          <w:szCs w:val="18"/>
          <w:color w:val="auto"/>
        </w:rPr>
      </w:pPr>
    </w:p>
    <w:p>
      <w:pPr>
        <w:ind w:right="80" w:firstLine="8"/>
        <w:spacing w:after="0" w:line="261" w:lineRule="auto"/>
        <w:tabs>
          <w:tab w:leader="none" w:pos="27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Registration Statements (Form S-8 No. 333-185561, Form S-3 No. 333-207422, and Form S-8 No. 333-222107) pertaining to the AbbVie 2013 Incentive Stock Program,</w:t>
      </w:r>
    </w:p>
    <w:p>
      <w:pPr>
        <w:spacing w:after="0" w:line="89" w:lineRule="exact"/>
        <w:rPr>
          <w:rFonts w:ascii="Arial" w:cs="Arial" w:eastAsia="Arial" w:hAnsi="Arial"/>
          <w:sz w:val="18"/>
          <w:szCs w:val="18"/>
          <w:color w:val="auto"/>
        </w:rPr>
      </w:pPr>
    </w:p>
    <w:p>
      <w:pPr>
        <w:ind w:right="840" w:firstLine="8"/>
        <w:spacing w:after="0" w:line="261" w:lineRule="auto"/>
        <w:tabs>
          <w:tab w:leader="none" w:pos="27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Registration Statement (Form S-8 No. 333-185562) pertaining to the AbbVie 2013 Employee Stock Purchase Plan for Non-U.S. Employees,</w:t>
      </w:r>
    </w:p>
    <w:p>
      <w:pPr>
        <w:spacing w:after="0" w:line="89" w:lineRule="exact"/>
        <w:rPr>
          <w:rFonts w:ascii="Arial" w:cs="Arial" w:eastAsia="Arial" w:hAnsi="Arial"/>
          <w:sz w:val="18"/>
          <w:szCs w:val="18"/>
          <w:color w:val="auto"/>
        </w:rPr>
      </w:pPr>
    </w:p>
    <w:p>
      <w:pPr>
        <w:ind w:right="360" w:firstLine="8"/>
        <w:spacing w:after="0" w:line="261" w:lineRule="auto"/>
        <w:tabs>
          <w:tab w:leader="none" w:pos="27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Registration Statements (Form S-8 No. 333-185563 and Form S-8 No. 333-222105) pertaining to the AbbVie Deferred Compensation Plan,</w:t>
      </w:r>
    </w:p>
    <w:p>
      <w:pPr>
        <w:spacing w:after="0" w:line="89" w:lineRule="exact"/>
        <w:rPr>
          <w:rFonts w:ascii="Arial" w:cs="Arial" w:eastAsia="Arial" w:hAnsi="Arial"/>
          <w:sz w:val="18"/>
          <w:szCs w:val="18"/>
          <w:color w:val="auto"/>
        </w:rPr>
      </w:pPr>
    </w:p>
    <w:p>
      <w:pPr>
        <w:ind w:left="280" w:hanging="272"/>
        <w:spacing w:after="0"/>
        <w:tabs>
          <w:tab w:leader="none" w:pos="2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Registration Statement (Form S-8 No. 333-185564) pertaining to the AbbVie Savings Program,</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Registration Statement (Form S-8 No. 333-204466) pertaining to the Pharmacyclics, Inc. 2014 Equity Incentive Awards Plan,</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Registration Statement (Form S-8 No. 333-212067) pertaining to the Stemcentrx 2011 Equity Incentive Plan,</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Registration Statement (Form S-3 No. 333-238302) pertaining to common stock of AbbVie Inc., and</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Registration Statement (Form S-8 No. 333-239320) pertaining to the Allergan, Inc. Retirement 401(k) Plan;</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of our reports dated February 19, 2021, with respect to the consolidated financial statements of AbbVie Inc. and subsidiaries and the effectiveness of internal control over financial reporting of AbbVie Inc. and subsidiaries included in this Annual Report (Form 10-K) of AbbVie Inc. and subsidiaries for the year ended December 31,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ectPr>
          <w:pgSz w:w="11900" w:h="16838" w:orient="portrait"/>
          <w:cols w:equalWidth="0" w:num="1">
            <w:col w:w="11240"/>
          </w:cols>
          <w:pgMar w:left="320" w:top="118"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Richard A. Gonzalez, certify that:</w:t>
      </w:r>
    </w:p>
    <w:p>
      <w:pPr>
        <w:spacing w:after="0" w:line="252"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AbbVie Inc.;</w:t>
      </w:r>
    </w:p>
    <w:p>
      <w:pPr>
        <w:spacing w:after="0" w:line="252" w:lineRule="exact"/>
        <w:rPr>
          <w:rFonts w:ascii="Arial" w:cs="Arial" w:eastAsia="Arial" w:hAnsi="Arial"/>
          <w:sz w:val="18"/>
          <w:szCs w:val="18"/>
          <w:color w:val="auto"/>
        </w:rPr>
      </w:pPr>
    </w:p>
    <w:p>
      <w:pPr>
        <w:ind w:left="660" w:right="80" w:hanging="652"/>
        <w:spacing w:after="0" w:line="256" w:lineRule="auto"/>
        <w:tabs>
          <w:tab w:leader="none" w:pos="661"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660" w:right="120" w:hanging="652"/>
        <w:spacing w:after="0" w:line="291" w:lineRule="auto"/>
        <w:tabs>
          <w:tab w:leader="none" w:pos="661"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AbbVie as of, and for, the periods presented in this report;</w:t>
      </w:r>
    </w:p>
    <w:p>
      <w:pPr>
        <w:spacing w:after="0" w:line="200" w:lineRule="exact"/>
        <w:rPr>
          <w:rFonts w:ascii="Arial" w:cs="Arial" w:eastAsia="Arial" w:hAnsi="Arial"/>
          <w:sz w:val="17"/>
          <w:szCs w:val="17"/>
          <w:color w:val="auto"/>
        </w:rPr>
      </w:pPr>
    </w:p>
    <w:p>
      <w:pPr>
        <w:jc w:val="both"/>
        <w:ind w:left="660" w:right="20" w:hanging="652"/>
        <w:spacing w:after="0" w:line="256" w:lineRule="auto"/>
        <w:tabs>
          <w:tab w:leader="none" w:pos="661" w:val="left"/>
        </w:tabs>
        <w:numPr>
          <w:ilvl w:val="0"/>
          <w:numId w:val="84"/>
        </w:numPr>
        <w:rPr>
          <w:rFonts w:ascii="Arial" w:cs="Arial" w:eastAsia="Arial" w:hAnsi="Arial"/>
          <w:sz w:val="18"/>
          <w:szCs w:val="18"/>
          <w:color w:val="auto"/>
        </w:rPr>
      </w:pPr>
      <w:r>
        <w:rPr>
          <w:rFonts w:ascii="Arial" w:cs="Arial" w:eastAsia="Arial" w:hAnsi="Arial"/>
          <w:sz w:val="18"/>
          <w:szCs w:val="18"/>
          <w:color w:val="auto"/>
        </w:rPr>
        <w:t>AbbVie’s other certifying officer and I are responsible for establishing and maintaining disclosure controls and procedures (as defined in Exchange Act Rules 13a-15(e) and 15d-15(e)) and internal control over financial reporting (as defined in Exchange Act Rules 13a-15(f) and 15d-15(f)) for AbbVie and have:</w:t>
      </w:r>
    </w:p>
    <w:p>
      <w:pPr>
        <w:spacing w:after="0" w:line="228" w:lineRule="exact"/>
        <w:rPr>
          <w:rFonts w:ascii="Arial" w:cs="Arial" w:eastAsia="Arial" w:hAnsi="Arial"/>
          <w:sz w:val="18"/>
          <w:szCs w:val="18"/>
          <w:color w:val="auto"/>
        </w:rPr>
      </w:pPr>
    </w:p>
    <w:p>
      <w:pPr>
        <w:ind w:left="1300" w:right="80" w:hanging="644"/>
        <w:spacing w:after="0" w:line="256" w:lineRule="auto"/>
        <w:tabs>
          <w:tab w:leader="none" w:pos="1317"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AbbVie,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1300" w:right="540" w:hanging="644"/>
        <w:spacing w:after="0" w:line="278" w:lineRule="auto"/>
        <w:tabs>
          <w:tab w:leader="none" w:pos="1304" w:val="left"/>
        </w:tabs>
        <w:numPr>
          <w:ilvl w:val="1"/>
          <w:numId w:val="8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7"/>
          <w:szCs w:val="17"/>
          <w:color w:val="auto"/>
        </w:rPr>
      </w:pPr>
    </w:p>
    <w:p>
      <w:pPr>
        <w:ind w:left="1300" w:right="240" w:hanging="644"/>
        <w:spacing w:after="0" w:line="256" w:lineRule="auto"/>
        <w:tabs>
          <w:tab w:leader="none" w:pos="1321" w:val="left"/>
        </w:tabs>
        <w:numPr>
          <w:ilvl w:val="1"/>
          <w:numId w:val="84"/>
        </w:numPr>
        <w:rPr>
          <w:rFonts w:ascii="Arial" w:cs="Arial" w:eastAsia="Arial" w:hAnsi="Arial"/>
          <w:sz w:val="18"/>
          <w:szCs w:val="18"/>
          <w:color w:val="auto"/>
        </w:rPr>
      </w:pPr>
      <w:r>
        <w:rPr>
          <w:rFonts w:ascii="Arial" w:cs="Arial" w:eastAsia="Arial" w:hAnsi="Arial"/>
          <w:sz w:val="18"/>
          <w:szCs w:val="18"/>
          <w:color w:val="auto"/>
        </w:rPr>
        <w:t>Evaluated the effectiveness of AbbVie’s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1300" w:right="240" w:hanging="644"/>
        <w:spacing w:after="0" w:line="256" w:lineRule="auto"/>
        <w:tabs>
          <w:tab w:leader="none" w:pos="1304"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AbbVie’s internal control over financial reporting that occurred during AbbVie’s most recent fiscal quarter that has materially affected, or is reasonably likely to materially affect, AbbVie’s internal control over financial reporting; and</w:t>
      </w:r>
    </w:p>
    <w:p>
      <w:pPr>
        <w:spacing w:after="0" w:line="228" w:lineRule="exact"/>
        <w:rPr>
          <w:rFonts w:ascii="Arial" w:cs="Arial" w:eastAsia="Arial" w:hAnsi="Arial"/>
          <w:sz w:val="18"/>
          <w:szCs w:val="18"/>
          <w:color w:val="auto"/>
        </w:rPr>
      </w:pPr>
    </w:p>
    <w:p>
      <w:pPr>
        <w:ind w:left="660" w:right="60" w:hanging="652"/>
        <w:spacing w:after="0" w:line="261" w:lineRule="auto"/>
        <w:tabs>
          <w:tab w:leader="none" w:pos="661" w:val="left"/>
        </w:tabs>
        <w:numPr>
          <w:ilvl w:val="0"/>
          <w:numId w:val="84"/>
        </w:numPr>
        <w:rPr>
          <w:rFonts w:ascii="Arial" w:cs="Arial" w:eastAsia="Arial" w:hAnsi="Arial"/>
          <w:sz w:val="18"/>
          <w:szCs w:val="18"/>
          <w:color w:val="auto"/>
        </w:rPr>
      </w:pPr>
      <w:r>
        <w:rPr>
          <w:rFonts w:ascii="Arial" w:cs="Arial" w:eastAsia="Arial" w:hAnsi="Arial"/>
          <w:sz w:val="18"/>
          <w:szCs w:val="18"/>
          <w:color w:val="auto"/>
        </w:rPr>
        <w:t>AbbVie’s other certifying officer and I have disclosed, based on our most recent evaluation of internal control over financial reporting, to AbbVie’s auditors and the audit committee of AbbVie’s board of directors:</w:t>
      </w:r>
    </w:p>
    <w:p>
      <w:pPr>
        <w:spacing w:after="0" w:line="224" w:lineRule="exact"/>
        <w:rPr>
          <w:rFonts w:ascii="Arial" w:cs="Arial" w:eastAsia="Arial" w:hAnsi="Arial"/>
          <w:sz w:val="18"/>
          <w:szCs w:val="18"/>
          <w:color w:val="auto"/>
        </w:rPr>
      </w:pPr>
    </w:p>
    <w:p>
      <w:pPr>
        <w:ind w:left="1300" w:right="420" w:hanging="644"/>
        <w:spacing w:after="0" w:line="256" w:lineRule="auto"/>
        <w:tabs>
          <w:tab w:leader="none" w:pos="1317"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AbbVie’s ability to record, process, summarize and report financial information; and</w:t>
      </w:r>
    </w:p>
    <w:p>
      <w:pPr>
        <w:spacing w:after="0" w:line="228" w:lineRule="exact"/>
        <w:rPr>
          <w:rFonts w:ascii="Arial" w:cs="Arial" w:eastAsia="Arial" w:hAnsi="Arial"/>
          <w:sz w:val="18"/>
          <w:szCs w:val="18"/>
          <w:color w:val="auto"/>
        </w:rPr>
      </w:pPr>
    </w:p>
    <w:p>
      <w:pPr>
        <w:ind w:left="1300" w:right="320" w:hanging="644"/>
        <w:spacing w:after="0" w:line="261" w:lineRule="auto"/>
        <w:tabs>
          <w:tab w:leader="none" w:pos="1304"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AbbVie’s internal control over financial reporting.</w:t>
      </w:r>
    </w:p>
    <w:p>
      <w:pPr>
        <w:spacing w:after="0" w:line="200" w:lineRule="exact"/>
        <w:rPr>
          <w:sz w:val="20"/>
          <w:szCs w:val="20"/>
          <w:color w:val="auto"/>
        </w:rPr>
      </w:pPr>
    </w:p>
    <w:p>
      <w:pPr>
        <w:spacing w:after="0" w:line="308" w:lineRule="exact"/>
        <w:rPr>
          <w:sz w:val="20"/>
          <w:szCs w:val="20"/>
          <w:color w:val="auto"/>
        </w:rPr>
      </w:pPr>
    </w:p>
    <w:p>
      <w:pPr>
        <w:ind w:left="500"/>
        <w:spacing w:after="0"/>
        <w:tabs>
          <w:tab w:leader="none" w:pos="5640" w:val="left"/>
        </w:tabs>
        <w:rPr>
          <w:sz w:val="20"/>
          <w:szCs w:val="20"/>
          <w:color w:val="auto"/>
        </w:rPr>
      </w:pPr>
      <w:r>
        <w:rPr>
          <w:rFonts w:ascii="Arial" w:cs="Arial" w:eastAsia="Arial" w:hAnsi="Arial"/>
          <w:sz w:val="18"/>
          <w:szCs w:val="18"/>
          <w:color w:val="auto"/>
        </w:rPr>
        <w:t>Date: February 19, 2021</w:t>
      </w:r>
      <w:r>
        <w:rPr>
          <w:sz w:val="20"/>
          <w:szCs w:val="20"/>
          <w:color w:val="auto"/>
        </w:rPr>
        <w:tab/>
      </w:r>
      <w:r>
        <w:rPr>
          <w:rFonts w:ascii="Arial" w:cs="Arial" w:eastAsia="Arial" w:hAnsi="Arial"/>
          <w:sz w:val="18"/>
          <w:szCs w:val="18"/>
          <w:color w:val="auto"/>
        </w:rPr>
        <w:t>/s/ 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25755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1">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Richard A. Gonzalez, Chairman of the Board</w:t>
      </w:r>
    </w:p>
    <w:p>
      <w:pPr>
        <w:ind w:left="566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240"/>
          </w:cols>
          <w:pgMar w:left="320" w:top="118"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Robert A. Michael, certify that:</w:t>
      </w:r>
    </w:p>
    <w:p>
      <w:pPr>
        <w:spacing w:after="0" w:line="252"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AbbVie Inc.;</w:t>
      </w:r>
    </w:p>
    <w:p>
      <w:pPr>
        <w:spacing w:after="0" w:line="252" w:lineRule="exact"/>
        <w:rPr>
          <w:rFonts w:ascii="Arial" w:cs="Arial" w:eastAsia="Arial" w:hAnsi="Arial"/>
          <w:sz w:val="18"/>
          <w:szCs w:val="18"/>
          <w:color w:val="auto"/>
        </w:rPr>
      </w:pPr>
    </w:p>
    <w:p>
      <w:pPr>
        <w:ind w:left="660" w:right="80" w:hanging="652"/>
        <w:spacing w:after="0" w:line="256" w:lineRule="auto"/>
        <w:tabs>
          <w:tab w:leader="none" w:pos="661"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660" w:right="120" w:hanging="652"/>
        <w:spacing w:after="0" w:line="291" w:lineRule="auto"/>
        <w:tabs>
          <w:tab w:leader="none" w:pos="661"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AbbVie as of, and for, the periods presented in this report;</w:t>
      </w:r>
    </w:p>
    <w:p>
      <w:pPr>
        <w:spacing w:after="0" w:line="200" w:lineRule="exact"/>
        <w:rPr>
          <w:rFonts w:ascii="Arial" w:cs="Arial" w:eastAsia="Arial" w:hAnsi="Arial"/>
          <w:sz w:val="17"/>
          <w:szCs w:val="17"/>
          <w:color w:val="auto"/>
        </w:rPr>
      </w:pPr>
    </w:p>
    <w:p>
      <w:pPr>
        <w:jc w:val="both"/>
        <w:ind w:left="660" w:right="20" w:hanging="652"/>
        <w:spacing w:after="0" w:line="256" w:lineRule="auto"/>
        <w:tabs>
          <w:tab w:leader="none" w:pos="661" w:val="left"/>
        </w:tabs>
        <w:numPr>
          <w:ilvl w:val="0"/>
          <w:numId w:val="85"/>
        </w:numPr>
        <w:rPr>
          <w:rFonts w:ascii="Arial" w:cs="Arial" w:eastAsia="Arial" w:hAnsi="Arial"/>
          <w:sz w:val="18"/>
          <w:szCs w:val="18"/>
          <w:color w:val="auto"/>
        </w:rPr>
      </w:pPr>
      <w:r>
        <w:rPr>
          <w:rFonts w:ascii="Arial" w:cs="Arial" w:eastAsia="Arial" w:hAnsi="Arial"/>
          <w:sz w:val="18"/>
          <w:szCs w:val="18"/>
          <w:color w:val="auto"/>
        </w:rPr>
        <w:t>AbbVie’s other certifying officer and I are responsible for establishing and maintaining disclosure controls and procedures (as defined in Exchange Act Rules 13a-15(e) and 15d-15(e)) and internal control over financial reporting (as defined in Exchange Act Rules 13a-15(f) and 15d-15(f)) for AbbVie and have:</w:t>
      </w:r>
    </w:p>
    <w:p>
      <w:pPr>
        <w:spacing w:after="0" w:line="228" w:lineRule="exact"/>
        <w:rPr>
          <w:rFonts w:ascii="Arial" w:cs="Arial" w:eastAsia="Arial" w:hAnsi="Arial"/>
          <w:sz w:val="18"/>
          <w:szCs w:val="18"/>
          <w:color w:val="auto"/>
        </w:rPr>
      </w:pPr>
    </w:p>
    <w:p>
      <w:pPr>
        <w:ind w:left="1300" w:right="80" w:hanging="644"/>
        <w:spacing w:after="0" w:line="256" w:lineRule="auto"/>
        <w:tabs>
          <w:tab w:leader="none" w:pos="1317"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AbbVie,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1300" w:right="540" w:hanging="644"/>
        <w:spacing w:after="0" w:line="278" w:lineRule="auto"/>
        <w:tabs>
          <w:tab w:leader="none" w:pos="1304" w:val="left"/>
        </w:tabs>
        <w:numPr>
          <w:ilvl w:val="1"/>
          <w:numId w:val="8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7"/>
          <w:szCs w:val="17"/>
          <w:color w:val="auto"/>
        </w:rPr>
      </w:pPr>
    </w:p>
    <w:p>
      <w:pPr>
        <w:ind w:left="1300" w:right="240" w:hanging="644"/>
        <w:spacing w:after="0" w:line="256" w:lineRule="auto"/>
        <w:tabs>
          <w:tab w:leader="none" w:pos="1321"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Evaluated the effectiveness of AbbVie’s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1300" w:right="240" w:hanging="644"/>
        <w:spacing w:after="0" w:line="256" w:lineRule="auto"/>
        <w:tabs>
          <w:tab w:leader="none" w:pos="1304"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AbbVie’s internal control over financial reporting that occurred during AbbVie’s most recent fiscal quarter that has materially affected, or is reasonably likely to materially affect, AbbVie’s internal control over financial reporting; and</w:t>
      </w:r>
    </w:p>
    <w:p>
      <w:pPr>
        <w:spacing w:after="0" w:line="228" w:lineRule="exact"/>
        <w:rPr>
          <w:rFonts w:ascii="Arial" w:cs="Arial" w:eastAsia="Arial" w:hAnsi="Arial"/>
          <w:sz w:val="18"/>
          <w:szCs w:val="18"/>
          <w:color w:val="auto"/>
        </w:rPr>
      </w:pPr>
    </w:p>
    <w:p>
      <w:pPr>
        <w:ind w:left="660" w:right="60" w:hanging="652"/>
        <w:spacing w:after="0" w:line="261" w:lineRule="auto"/>
        <w:tabs>
          <w:tab w:leader="none" w:pos="661" w:val="left"/>
        </w:tabs>
        <w:numPr>
          <w:ilvl w:val="0"/>
          <w:numId w:val="85"/>
        </w:numPr>
        <w:rPr>
          <w:rFonts w:ascii="Arial" w:cs="Arial" w:eastAsia="Arial" w:hAnsi="Arial"/>
          <w:sz w:val="18"/>
          <w:szCs w:val="18"/>
          <w:color w:val="auto"/>
        </w:rPr>
      </w:pPr>
      <w:r>
        <w:rPr>
          <w:rFonts w:ascii="Arial" w:cs="Arial" w:eastAsia="Arial" w:hAnsi="Arial"/>
          <w:sz w:val="18"/>
          <w:szCs w:val="18"/>
          <w:color w:val="auto"/>
        </w:rPr>
        <w:t>AbbVie’s other certifying officer and I have disclosed, based on our most recent evaluation of internal control over financial reporting, to AbbVie’s auditors and the audit committee of AbbVie’s board of directors:</w:t>
      </w:r>
    </w:p>
    <w:p>
      <w:pPr>
        <w:spacing w:after="0" w:line="224" w:lineRule="exact"/>
        <w:rPr>
          <w:rFonts w:ascii="Arial" w:cs="Arial" w:eastAsia="Arial" w:hAnsi="Arial"/>
          <w:sz w:val="18"/>
          <w:szCs w:val="18"/>
          <w:color w:val="auto"/>
        </w:rPr>
      </w:pPr>
    </w:p>
    <w:p>
      <w:pPr>
        <w:ind w:left="1300" w:right="420" w:hanging="644"/>
        <w:spacing w:after="0" w:line="256" w:lineRule="auto"/>
        <w:tabs>
          <w:tab w:leader="none" w:pos="1317"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AbbVie’s ability to record, process, summarize and report financial information; and</w:t>
      </w:r>
    </w:p>
    <w:p>
      <w:pPr>
        <w:spacing w:after="0" w:line="228" w:lineRule="exact"/>
        <w:rPr>
          <w:rFonts w:ascii="Arial" w:cs="Arial" w:eastAsia="Arial" w:hAnsi="Arial"/>
          <w:sz w:val="18"/>
          <w:szCs w:val="18"/>
          <w:color w:val="auto"/>
        </w:rPr>
      </w:pPr>
    </w:p>
    <w:p>
      <w:pPr>
        <w:ind w:left="1300" w:right="320" w:hanging="644"/>
        <w:spacing w:after="0" w:line="261" w:lineRule="auto"/>
        <w:tabs>
          <w:tab w:leader="none" w:pos="1304"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AbbVie’s internal control over financial reporting.</w:t>
      </w:r>
    </w:p>
    <w:p>
      <w:pPr>
        <w:spacing w:after="0" w:line="200" w:lineRule="exact"/>
        <w:rPr>
          <w:sz w:val="20"/>
          <w:szCs w:val="20"/>
          <w:color w:val="auto"/>
        </w:rPr>
      </w:pPr>
    </w:p>
    <w:p>
      <w:pPr>
        <w:spacing w:after="0" w:line="308" w:lineRule="exact"/>
        <w:rPr>
          <w:sz w:val="20"/>
          <w:szCs w:val="20"/>
          <w:color w:val="auto"/>
        </w:rPr>
      </w:pPr>
    </w:p>
    <w:p>
      <w:pPr>
        <w:ind w:left="500"/>
        <w:spacing w:after="0"/>
        <w:tabs>
          <w:tab w:leader="none" w:pos="5640" w:val="left"/>
        </w:tabs>
        <w:rPr>
          <w:sz w:val="20"/>
          <w:szCs w:val="20"/>
          <w:color w:val="auto"/>
        </w:rPr>
      </w:pPr>
      <w:r>
        <w:rPr>
          <w:rFonts w:ascii="Arial" w:cs="Arial" w:eastAsia="Arial" w:hAnsi="Arial"/>
          <w:sz w:val="18"/>
          <w:szCs w:val="18"/>
          <w:color w:val="auto"/>
        </w:rPr>
        <w:t>Date: February 19, 2021</w:t>
      </w:r>
      <w:r>
        <w:rPr>
          <w:sz w:val="20"/>
          <w:szCs w:val="20"/>
          <w:color w:val="auto"/>
        </w:rPr>
        <w:tab/>
      </w:r>
      <w:r>
        <w:rPr>
          <w:rFonts w:ascii="Arial" w:cs="Arial" w:eastAsia="Arial" w:hAnsi="Arial"/>
          <w:sz w:val="18"/>
          <w:szCs w:val="18"/>
          <w:color w:val="auto"/>
        </w:rPr>
        <w:t>/s/ Robert A.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25755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2">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Robert A. Michael, Executive Vice President,</w:t>
      </w:r>
    </w:p>
    <w:p>
      <w:pPr>
        <w:ind w:left="56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8"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2"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In connection with the Annual Report of AbbVie Inc. (the “Company”) on Form 10-K for the period ended December 31, 2020 as filed with the Securities and Exchange Commission (the “Report”), I, Richard A. Gonzalez, Chairman of the Board and Chief Executive Officer of the Company, certify, pursuant to 18 U.S.C. § 1350, as adopted pursuant to § 906 of the Sarbanes-Oxley Act of 2002, that:</w:t>
      </w:r>
    </w:p>
    <w:p>
      <w:pPr>
        <w:spacing w:after="0" w:line="229" w:lineRule="exact"/>
        <w:rPr>
          <w:sz w:val="20"/>
          <w:szCs w:val="20"/>
          <w:color w:val="auto"/>
        </w:rPr>
      </w:pPr>
    </w:p>
    <w:p>
      <w:pPr>
        <w:ind w:left="1320" w:hanging="664"/>
        <w:spacing w:after="0"/>
        <w:tabs>
          <w:tab w:leader="none" w:pos="1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300" w:right="740" w:hanging="644"/>
        <w:spacing w:after="0" w:line="261" w:lineRule="auto"/>
        <w:tabs>
          <w:tab w:leader="none" w:pos="131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9184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A. Gonzalez</w:t>
      </w:r>
    </w:p>
    <w:p>
      <w:pPr>
        <w:ind w:left="20"/>
        <w:spacing w:after="0" w:line="234" w:lineRule="auto"/>
        <w:rPr>
          <w:sz w:val="20"/>
          <w:szCs w:val="20"/>
          <w:color w:val="auto"/>
        </w:rPr>
      </w:pPr>
      <w:r>
        <w:rPr>
          <w:rFonts w:ascii="Arial" w:cs="Arial" w:eastAsia="Arial" w:hAnsi="Arial"/>
          <w:sz w:val="18"/>
          <w:szCs w:val="18"/>
          <w:color w:val="auto"/>
        </w:rPr>
        <w:t>Chairman of the Board and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pacing w:after="0" w:line="200" w:lineRule="exact"/>
        <w:rPr>
          <w:sz w:val="20"/>
          <w:szCs w:val="20"/>
          <w:color w:val="auto"/>
        </w:rPr>
      </w:pP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signed original of this written statement required by Section 906 has been provided to AbbVie Inc. and will be retained by AbbVie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2"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In connection with the Annual Report of AbbVie Inc. (the “Company”) on Form 10-K for the period ended December 31, 2020 as filed with the Securities and Exchange Commission (the “Report”), I, Robert A. Michael, Executive Vice President, Chief Financial Officer of the Company, certify, pursuant to 18 U.S.C. § 1350, as adopted pursuant to § 906 of the Sarbanes-Oxley Act of 2002, that:</w:t>
      </w:r>
    </w:p>
    <w:p>
      <w:pPr>
        <w:spacing w:after="0" w:line="229" w:lineRule="exact"/>
        <w:rPr>
          <w:sz w:val="20"/>
          <w:szCs w:val="20"/>
          <w:color w:val="auto"/>
        </w:rPr>
      </w:pPr>
    </w:p>
    <w:p>
      <w:pPr>
        <w:ind w:left="1320" w:hanging="664"/>
        <w:spacing w:after="0"/>
        <w:tabs>
          <w:tab w:leader="none" w:pos="1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300" w:right="740" w:hanging="644"/>
        <w:spacing w:after="0" w:line="261" w:lineRule="auto"/>
        <w:tabs>
          <w:tab w:leader="none" w:pos="131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A.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86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A. Michael</w:t>
      </w:r>
    </w:p>
    <w:p>
      <w:pPr>
        <w:ind w:left="20"/>
        <w:spacing w:after="0"/>
        <w:rPr>
          <w:sz w:val="20"/>
          <w:szCs w:val="20"/>
          <w:color w:val="auto"/>
        </w:rPr>
      </w:pPr>
      <w:r>
        <w:rPr>
          <w:rFonts w:ascii="Arial" w:cs="Arial" w:eastAsia="Arial" w:hAnsi="Arial"/>
          <w:sz w:val="18"/>
          <w:szCs w:val="18"/>
          <w:color w:val="auto"/>
        </w:rPr>
        <w:t>Executive Vice President, Chief Financial Officer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signed original of this written statement required by Section 906 has been provided to AbbVie Inc. and will be retained by AbbVie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furnished to the Securities and Exchange Commission or its staff upon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1)"/>
      <w:numFmt w:val="decimal"/>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1."/>
      <w:numFmt w:val="decimal"/>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1)"/>
      <w:numFmt w:val="lowerLetter"/>
      <w:start w:val="1"/>
    </w:lvl>
  </w:abstractNum>
  <w:abstractNum w:abstractNumId="26">
    <w:nsid w:val="1CF10FD8"/>
    <w:multiLevelType w:val="hybridMultilevel"/>
    <w:lvl w:ilvl="0">
      <w:lvlJc w:val="left"/>
      <w:lvlText w:val="(%1)"/>
      <w:numFmt w:val="lowerLetter"/>
      <w:start w:val="1"/>
    </w:lvl>
  </w:abstractNum>
  <w:abstractNum w:abstractNumId="27">
    <w:nsid w:val="180115BE"/>
    <w:multiLevelType w:val="hybridMultilevel"/>
    <w:lvl w:ilvl="0">
      <w:lvlJc w:val="left"/>
      <w:lvlText w:val="(%1)"/>
      <w:numFmt w:val="lowerLetter"/>
      <w:start w:val="4"/>
    </w:lvl>
  </w:abstractNum>
  <w:abstractNum w:abstractNumId="28">
    <w:nsid w:val="235BA861"/>
    <w:multiLevelType w:val="hybridMultilevel"/>
    <w:lvl w:ilvl="0">
      <w:lvlJc w:val="left"/>
      <w:lvlText w:val="(%1)"/>
      <w:numFmt w:val="lowerLetter"/>
      <w:start w:val="1"/>
    </w:lvl>
  </w:abstractNum>
  <w:abstractNum w:abstractNumId="29">
    <w:nsid w:val="47398C89"/>
    <w:multiLevelType w:val="hybridMultilevel"/>
    <w:lvl w:ilvl="0">
      <w:lvlJc w:val="left"/>
      <w:lvlText w:val="(%1)"/>
      <w:numFmt w:val="lowerLetter"/>
      <w:start w:val="1"/>
    </w:lvl>
  </w:abstractNum>
  <w:abstractNum w:abstractNumId="30">
    <w:nsid w:val="354FE9F9"/>
    <w:multiLevelType w:val="hybridMultilevel"/>
    <w:lvl w:ilvl="0">
      <w:lvlJc w:val="left"/>
      <w:lvlText w:val="(%1)"/>
      <w:numFmt w:val="lowerLetter"/>
      <w:start w:val="1"/>
    </w:lvl>
  </w:abstractNum>
  <w:abstractNum w:abstractNumId="31">
    <w:nsid w:val="15B5AF5C"/>
    <w:multiLevelType w:val="hybridMultilevel"/>
    <w:lvl w:ilvl="0">
      <w:lvlJc w:val="left"/>
      <w:lvlText w:val="(%1)"/>
      <w:numFmt w:val="lowerLetter"/>
      <w:start w:val="1"/>
    </w:lvl>
  </w:abstractNum>
  <w:abstractNum w:abstractNumId="32">
    <w:nsid w:val="741226BB"/>
    <w:multiLevelType w:val="hybridMultilevel"/>
    <w:lvl w:ilvl="0">
      <w:lvlJc w:val="left"/>
      <w:lvlText w:val="(%1)"/>
      <w:numFmt w:val="lowerLetter"/>
      <w:start w:val="2"/>
    </w:lvl>
  </w:abstractNum>
  <w:abstractNum w:abstractNumId="33">
    <w:nsid w:val="D34B6A8"/>
    <w:multiLevelType w:val="hybridMultilevel"/>
    <w:lvl w:ilvl="0">
      <w:lvlJc w:val="left"/>
      <w:lvlText w:val="(%1)"/>
      <w:numFmt w:val="lowerLetter"/>
      <w:start w:val="1"/>
    </w:lvl>
  </w:abstractNum>
  <w:abstractNum w:abstractNumId="34">
    <w:nsid w:val="10233C99"/>
    <w:multiLevelType w:val="hybridMultilevel"/>
    <w:lvl w:ilvl="0">
      <w:lvlJc w:val="left"/>
      <w:lvlText w:val="(%1)"/>
      <w:numFmt w:val="lowerLetter"/>
      <w:start w:val="1"/>
    </w:lvl>
  </w:abstractNum>
  <w:abstractNum w:abstractNumId="35">
    <w:nsid w:val="3F6AB60F"/>
    <w:multiLevelType w:val="hybridMultilevel"/>
    <w:lvl w:ilvl="0">
      <w:lvlJc w:val="left"/>
      <w:lvlText w:val="(%1)"/>
      <w:numFmt w:val="lowerLetter"/>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1)"/>
      <w:numFmt w:val="lowerLetter"/>
      <w:start w:val="1"/>
    </w:lvl>
  </w:abstractNum>
  <w:abstractNum w:abstractNumId="38">
    <w:nsid w:val="77AE35EB"/>
    <w:multiLevelType w:val="hybridMultilevel"/>
    <w:lvl w:ilvl="0">
      <w:lvlJc w:val="left"/>
      <w:lvlText w:val="(%1)"/>
      <w:numFmt w:val="lowerLetter"/>
      <w:start w:val="1"/>
    </w:lvl>
  </w:abstractNum>
  <w:abstractNum w:abstractNumId="39">
    <w:nsid w:val="579BE4F1"/>
    <w:multiLevelType w:val="hybridMultilevel"/>
    <w:lvl w:ilvl="0">
      <w:lvlJc w:val="left"/>
      <w:lvlText w:val="%1)"/>
      <w:numFmt w:val="decimal"/>
      <w:start w:val="65"/>
    </w:lvl>
  </w:abstractNum>
  <w:abstractNum w:abstractNumId="40">
    <w:nsid w:val="310C50B3"/>
    <w:multiLevelType w:val="hybridMultilevel"/>
    <w:lvl w:ilvl="0">
      <w:lvlJc w:val="left"/>
      <w:lvlText w:val="(%1)"/>
      <w:numFmt w:val="lowerLetter"/>
      <w:start w:val="1"/>
    </w:lvl>
  </w:abstractNum>
  <w:abstractNum w:abstractNumId="41">
    <w:nsid w:val="5FF87E05"/>
    <w:multiLevelType w:val="hybridMultilevel"/>
    <w:lvl w:ilvl="0">
      <w:lvlJc w:val="left"/>
      <w:lvlText w:val="(%1)"/>
      <w:numFmt w:val="lowerLetter"/>
      <w:start w:val="5"/>
    </w:lvl>
  </w:abstractNum>
  <w:abstractNum w:abstractNumId="42">
    <w:nsid w:val="2F305DEF"/>
    <w:multiLevelType w:val="hybridMultilevel"/>
    <w:lvl w:ilvl="0">
      <w:lvlJc w:val="left"/>
      <w:lvlText w:val="(%1)"/>
      <w:numFmt w:val="lowerLetter"/>
      <w:start w:val="1"/>
    </w:lvl>
  </w:abstractNum>
  <w:abstractNum w:abstractNumId="43">
    <w:nsid w:val="25A70BF7"/>
    <w:multiLevelType w:val="hybridMultilevel"/>
    <w:lvl w:ilvl="0">
      <w:lvlJc w:val="left"/>
      <w:lvlText w:val="(%1)"/>
      <w:numFmt w:val="lowerLetter"/>
      <w:start w:val="1"/>
    </w:lvl>
  </w:abstractNum>
  <w:abstractNum w:abstractNumId="44">
    <w:nsid w:val="1DBABF00"/>
    <w:multiLevelType w:val="hybridMultilevel"/>
    <w:lvl w:ilvl="0">
      <w:lvlJc w:val="left"/>
      <w:lvlText w:val="(%1)"/>
      <w:numFmt w:val="lowerLetter"/>
      <w:start w:val="1"/>
    </w:lvl>
  </w:abstractNum>
  <w:abstractNum w:abstractNumId="45">
    <w:nsid w:val="4AD084E9"/>
    <w:multiLevelType w:val="hybridMultilevel"/>
    <w:lvl w:ilvl="0">
      <w:lvlJc w:val="left"/>
      <w:lvlText w:val="(%1)"/>
      <w:numFmt w:val="lowerLetter"/>
      <w:start w:val="1"/>
    </w:lvl>
  </w:abstractNum>
  <w:abstractNum w:abstractNumId="46">
    <w:nsid w:val="1F48EAA1"/>
    <w:multiLevelType w:val="hybridMultilevel"/>
    <w:lvl w:ilvl="0">
      <w:lvlJc w:val="left"/>
      <w:lvlText w:val="%1"/>
      <w:numFmt w:val="lowerLetter"/>
      <w:start w:val="1"/>
    </w:lvl>
    <w:lvl w:ilvl="1">
      <w:lvlJc w:val="left"/>
      <w:lvlText w:val="(%2)"/>
      <w:numFmt w:val="decimal"/>
      <w:start w:val="1"/>
    </w:lvl>
  </w:abstractNum>
  <w:abstractNum w:abstractNumId="47">
    <w:nsid w:val="1381823A"/>
    <w:multiLevelType w:val="hybridMultilevel"/>
    <w:lvl w:ilvl="0">
      <w:lvlJc w:val="left"/>
      <w:lvlText w:val="(%1)"/>
      <w:numFmt w:val="lowerLetter"/>
      <w:start w:val="2"/>
    </w:lvl>
    <w:lvl w:ilvl="1">
      <w:lvlJc w:val="left"/>
      <w:lvlText w:val="%2"/>
      <w:numFmt w:val="decimal"/>
      <w:start w:val="1"/>
    </w:lvl>
  </w:abstractNum>
  <w:abstractNum w:abstractNumId="48">
    <w:nsid w:val="5DB70AE5"/>
    <w:multiLevelType w:val="hybridMultilevel"/>
    <w:lvl w:ilvl="0">
      <w:lvlJc w:val="left"/>
      <w:lvlText w:val="(%1)"/>
      <w:numFmt w:val="lowerLetter"/>
      <w:start w:val="1"/>
    </w:lvl>
    <w:lvl w:ilvl="1">
      <w:lvlJc w:val="left"/>
      <w:lvlText w:val="(%2)"/>
      <w:numFmt w:val="decimal"/>
      <w:start w:val="1"/>
    </w:lvl>
  </w:abstractNum>
  <w:abstractNum w:abstractNumId="49">
    <w:nsid w:val="100F8FCA"/>
    <w:multiLevelType w:val="hybridMultilevel"/>
    <w:lvl w:ilvl="0">
      <w:lvlJc w:val="left"/>
      <w:lvlText w:val="%1"/>
      <w:numFmt w:val="decimal"/>
      <w:start w:val="101"/>
    </w:lvl>
  </w:abstractNum>
  <w:abstractNum w:abstractNumId="50">
    <w:nsid w:val="6590700B"/>
    <w:multiLevelType w:val="hybridMultilevel"/>
    <w:lvl w:ilvl="0">
      <w:lvlJc w:val="left"/>
      <w:lvlText w:val="%1"/>
      <w:numFmt w:val="decimal"/>
      <w:start w:val="104"/>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
      <w:numFmt w:val="bullet"/>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1)"/>
      <w:numFmt w:val="decimal"/>
      <w:start w:val="1"/>
    </w:lvl>
  </w:abstractNum>
  <w:abstractNum w:abstractNumId="57">
    <w:nsid w:val="168E121F"/>
    <w:multiLevelType w:val="hybridMultilevel"/>
    <w:lvl w:ilvl="0">
      <w:lvlJc w:val="left"/>
      <w:lvlText w:val="%1"/>
      <w:numFmt w:val="decimal"/>
      <w:start w:val="1"/>
    </w:lvl>
    <w:lvl w:ilvl="1">
      <w:lvlJc w:val="left"/>
      <w:lvlText w:val="(%2)"/>
      <w:numFmt w:val="lowerLetter"/>
      <w:start w:val="1"/>
    </w:lvl>
  </w:abstractNum>
  <w:abstractNum w:abstractNumId="58">
    <w:nsid w:val="1EBA5D23"/>
    <w:multiLevelType w:val="hybridMultilevel"/>
    <w:lvl w:ilvl="0">
      <w:lvlJc w:val="left"/>
      <w:lvlText w:val="(%1)"/>
      <w:numFmt w:val="decimal"/>
      <w:start w:val="2"/>
    </w:lvl>
    <w:lvl w:ilvl="1">
      <w:lvlJc w:val="left"/>
      <w:lvlText w:val="%2"/>
      <w:numFmt w:val="lowerLetter"/>
      <w:start w:val="1"/>
    </w:lvl>
  </w:abstractNum>
  <w:abstractNum w:abstractNumId="59">
    <w:nsid w:val="661E3F1E"/>
    <w:multiLevelType w:val="hybridMultilevel"/>
    <w:lvl w:ilvl="0">
      <w:lvlJc w:val="left"/>
      <w:lvlText w:val="(%1)"/>
      <w:numFmt w:val="decimal"/>
      <w:start w:val="9"/>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
      <w:numFmt w:val="bullet"/>
      <w:start w:val="1"/>
    </w:lvl>
  </w:abstractNum>
  <w:abstractNum w:abstractNumId="62">
    <w:nsid w:val="7BD3EE7B"/>
    <w:multiLevelType w:val="hybridMultilevel"/>
    <w:lvl w:ilvl="0">
      <w:lvlJc w:val="left"/>
      <w:lvlText w:val="•"/>
      <w:numFmt w:val="bullet"/>
      <w:start w:val="1"/>
    </w:lvl>
  </w:abstractNum>
  <w:abstractNum w:abstractNumId="63">
    <w:nsid w:val="51D9C564"/>
    <w:multiLevelType w:val="hybridMultilevel"/>
    <w:lvl w:ilvl="0">
      <w:lvlJc w:val="left"/>
      <w:lvlText w:val="•"/>
      <w:numFmt w:val="bullet"/>
      <w:start w:val="1"/>
    </w:lvl>
  </w:abstractNum>
  <w:abstractNum w:abstractNumId="64">
    <w:nsid w:val="613EFDC5"/>
    <w:multiLevelType w:val="hybridMultilevel"/>
    <w:lvl w:ilvl="0">
      <w:lvlJc w:val="left"/>
      <w:lvlText w:val="•"/>
      <w:numFmt w:val="bullet"/>
      <w:start w:val="1"/>
    </w:lvl>
  </w:abstractNum>
  <w:abstractNum w:abstractNumId="65">
    <w:nsid w:val="BF72B14"/>
    <w:multiLevelType w:val="hybridMultilevel"/>
    <w:lvl w:ilvl="0">
      <w:lvlJc w:val="left"/>
      <w:lvlText w:val="•"/>
      <w:numFmt w:val="bullet"/>
      <w:start w:val="1"/>
    </w:lvl>
  </w:abstractNum>
  <w:abstractNum w:abstractNumId="66">
    <w:nsid w:val="11447B73"/>
    <w:multiLevelType w:val="hybridMultilevel"/>
    <w:lvl w:ilvl="0">
      <w:lvlJc w:val="left"/>
      <w:lvlText w:val="•"/>
      <w:numFmt w:val="bullet"/>
      <w:start w:val="1"/>
    </w:lvl>
  </w:abstractNum>
  <w:abstractNum w:abstractNumId="67">
    <w:nsid w:val="42963E5A"/>
    <w:multiLevelType w:val="hybridMultilevel"/>
    <w:lvl w:ilvl="0">
      <w:lvlJc w:val="left"/>
      <w:lvlText w:val="•"/>
      <w:numFmt w:val="bullet"/>
      <w:start w:val="1"/>
    </w:lvl>
  </w:abstractNum>
  <w:abstractNum w:abstractNumId="68">
    <w:nsid w:val="A0382C5"/>
    <w:multiLevelType w:val="hybridMultilevel"/>
    <w:lvl w:ilvl="0">
      <w:lvlJc w:val="left"/>
      <w:lvlText w:val="(%1)"/>
      <w:numFmt w:val="decimal"/>
      <w:start w:val="1"/>
    </w:lvl>
  </w:abstractNum>
  <w:abstractNum w:abstractNumId="69">
    <w:nsid w:val="8F2B15E"/>
    <w:multiLevelType w:val="hybridMultilevel"/>
    <w:lvl w:ilvl="0">
      <w:lvlJc w:val="left"/>
      <w:lvlText w:val="(%1)"/>
      <w:numFmt w:val="decimal"/>
      <w:start w:val="4"/>
    </w:lvl>
  </w:abstractNum>
  <w:abstractNum w:abstractNumId="70">
    <w:nsid w:val="1A32234B"/>
    <w:multiLevelType w:val="hybridMultilevel"/>
    <w:lvl w:ilvl="0">
      <w:lvlJc w:val="left"/>
      <w:lvlText w:val="•"/>
      <w:numFmt w:val="bullet"/>
      <w:start w:val="1"/>
    </w:lvl>
  </w:abstractNum>
  <w:abstractNum w:abstractNumId="71">
    <w:nsid w:val="3B0FD379"/>
    <w:multiLevelType w:val="hybridMultilevel"/>
    <w:lvl w:ilvl="0">
      <w:lvlJc w:val="left"/>
      <w:lvlText w:val="•"/>
      <w:numFmt w:val="bullet"/>
      <w:start w:val="1"/>
    </w:lvl>
  </w:abstractNum>
  <w:abstractNum w:abstractNumId="72">
    <w:nsid w:val="68EB2F63"/>
    <w:multiLevelType w:val="hybridMultilevel"/>
    <w:lvl w:ilvl="0">
      <w:lvlJc w:val="left"/>
      <w:lvlText w:val="•"/>
      <w:numFmt w:val="bullet"/>
      <w:start w:val="1"/>
    </w:lvl>
  </w:abstractNum>
  <w:abstractNum w:abstractNumId="73">
    <w:nsid w:val="4962813B"/>
    <w:multiLevelType w:val="hybridMultilevel"/>
    <w:lvl w:ilvl="0">
      <w:lvlJc w:val="left"/>
      <w:lvlText w:val="•"/>
      <w:numFmt w:val="bullet"/>
      <w:start w:val="1"/>
    </w:lvl>
  </w:abstractNum>
  <w:abstractNum w:abstractNumId="74">
    <w:nsid w:val="60B6DF70"/>
    <w:multiLevelType w:val="hybridMultilevel"/>
    <w:lvl w:ilvl="0">
      <w:lvlJc w:val="left"/>
      <w:lvlText w:val="•"/>
      <w:numFmt w:val="bullet"/>
      <w:start w:val="1"/>
    </w:lvl>
  </w:abstractNum>
  <w:abstractNum w:abstractNumId="75">
    <w:nsid w:val="6A5EE64"/>
    <w:multiLevelType w:val="hybridMultilevel"/>
    <w:lvl w:ilvl="0">
      <w:lvlJc w:val="left"/>
      <w:lvlText w:val="•"/>
      <w:numFmt w:val="bullet"/>
      <w:start w:val="1"/>
    </w:lvl>
  </w:abstractNum>
  <w:abstractNum w:abstractNumId="76">
    <w:nsid w:val="14330624"/>
    <w:multiLevelType w:val="hybridMultilevel"/>
    <w:lvl w:ilvl="0">
      <w:lvlJc w:val="left"/>
      <w:lvlText w:val="•"/>
      <w:numFmt w:val="bullet"/>
      <w:start w:val="1"/>
    </w:lvl>
  </w:abstractNum>
  <w:abstractNum w:abstractNumId="77">
    <w:nsid w:val="7FFFCA11"/>
    <w:multiLevelType w:val="hybridMultilevel"/>
    <w:lvl w:ilvl="0">
      <w:lvlJc w:val="left"/>
      <w:lvlText w:val="•"/>
      <w:numFmt w:val="bullet"/>
      <w:start w:val="1"/>
    </w:lvl>
  </w:abstractNum>
  <w:abstractNum w:abstractNumId="78">
    <w:nsid w:val="1A27709E"/>
    <w:multiLevelType w:val="hybridMultilevel"/>
    <w:lvl w:ilvl="0">
      <w:lvlJc w:val="left"/>
      <w:lvlText w:val="•"/>
      <w:numFmt w:val="bullet"/>
      <w:start w:val="1"/>
    </w:lvl>
  </w:abstractNum>
  <w:abstractNum w:abstractNumId="79">
    <w:nsid w:val="71EA1109"/>
    <w:multiLevelType w:val="hybridMultilevel"/>
    <w:lvl w:ilvl="0">
      <w:lvlJc w:val="left"/>
      <w:lvlText w:val="(%1)"/>
      <w:numFmt w:val="decimal"/>
      <w:start w:val="1"/>
    </w:lvl>
  </w:abstractNum>
  <w:abstractNum w:abstractNumId="80">
    <w:nsid w:val="100F59DC"/>
    <w:multiLevelType w:val="hybridMultilevel"/>
    <w:lvl w:ilvl="0">
      <w:lvlJc w:val="left"/>
      <w:lvlText w:val="(%1)"/>
      <w:numFmt w:val="decimal"/>
      <w:start w:val="2"/>
    </w:lvl>
  </w:abstractNum>
  <w:abstractNum w:abstractNumId="81">
    <w:nsid w:val="7FB7E0AA"/>
    <w:multiLevelType w:val="hybridMultilevel"/>
    <w:lvl w:ilvl="0">
      <w:lvlJc w:val="left"/>
      <w:lvlText w:val="•"/>
      <w:numFmt w:val="bullet"/>
      <w:start w:val="1"/>
    </w:lvl>
  </w:abstractNum>
  <w:abstractNum w:abstractNumId="82">
    <w:nsid w:val="6EB5BD4"/>
    <w:multiLevelType w:val="hybridMultilevel"/>
    <w:lvl w:ilvl="0">
      <w:lvlJc w:val="left"/>
      <w:lvlText w:val="(%1)"/>
      <w:numFmt w:val="decimal"/>
      <w:start w:val="1"/>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12" Type="http://schemas.openxmlformats.org/officeDocument/2006/relationships/image" Target="media/image293.jpeg"/><Relationship Id="rId313" Type="http://schemas.openxmlformats.org/officeDocument/2006/relationships/image" Target="media/image294.png"/><Relationship Id="rId334" Type="http://schemas.openxmlformats.org/officeDocument/2006/relationships/image" Target="media/image295.jpeg"/><Relationship Id="rId335" Type="http://schemas.openxmlformats.org/officeDocument/2006/relationships/image" Target="media/image296.png"/><Relationship Id="rId359" Type="http://schemas.openxmlformats.org/officeDocument/2006/relationships/image" Target="media/image297.jpeg"/><Relationship Id="rId360" Type="http://schemas.openxmlformats.org/officeDocument/2006/relationships/image" Target="media/image298.png"/><Relationship Id="rId361" Type="http://schemas.openxmlformats.org/officeDocument/2006/relationships/image" Target="media/image299.jpeg"/><Relationship Id="rId362" Type="http://schemas.openxmlformats.org/officeDocument/2006/relationships/image" Target="media/image300.png"/><Relationship Id="rId363" Type="http://schemas.openxmlformats.org/officeDocument/2006/relationships/image" Target="media/image301.png"/><Relationship Id="rId364" Type="http://schemas.openxmlformats.org/officeDocument/2006/relationships/image" Target="media/image302.jpeg"/><Relationship Id="rId365" Type="http://schemas.openxmlformats.org/officeDocument/2006/relationships/image" Target="media/image303.png"/><Relationship Id="rId366" Type="http://schemas.openxmlformats.org/officeDocument/2006/relationships/image" Target="media/image304.png"/><Relationship Id="rId367" Type="http://schemas.openxmlformats.org/officeDocument/2006/relationships/image" Target="media/image305.png"/><Relationship Id="rId368" Type="http://schemas.openxmlformats.org/officeDocument/2006/relationships/image" Target="media/image306.png"/><Relationship Id="rId369" Type="http://schemas.openxmlformats.org/officeDocument/2006/relationships/image" Target="media/image307.png"/><Relationship Id="rId370" Type="http://schemas.openxmlformats.org/officeDocument/2006/relationships/image" Target="media/image308.png"/><Relationship Id="rId371" Type="http://schemas.openxmlformats.org/officeDocument/2006/relationships/image" Target="media/image309.png"/><Relationship Id="rId372" Type="http://schemas.openxmlformats.org/officeDocument/2006/relationships/image" Target="media/image310.png"/><Relationship Id="rId373" Type="http://schemas.openxmlformats.org/officeDocument/2006/relationships/image" Target="media/image311.png"/><Relationship Id="rId374" Type="http://schemas.openxmlformats.org/officeDocument/2006/relationships/image" Target="media/image312.png"/><Relationship Id="rId375" Type="http://schemas.openxmlformats.org/officeDocument/2006/relationships/image" Target="media/image313.png"/><Relationship Id="rId376" Type="http://schemas.openxmlformats.org/officeDocument/2006/relationships/image" Target="media/image314.png"/><Relationship Id="rId377" Type="http://schemas.openxmlformats.org/officeDocument/2006/relationships/image" Target="media/image315.png"/><Relationship Id="rId378" Type="http://schemas.openxmlformats.org/officeDocument/2006/relationships/image" Target="media/image316.png"/><Relationship Id="rId379" Type="http://schemas.openxmlformats.org/officeDocument/2006/relationships/image" Target="media/image317.png"/><Relationship Id="rId380" Type="http://schemas.openxmlformats.org/officeDocument/2006/relationships/image" Target="media/image318.jpeg"/><Relationship Id="rId381" Type="http://schemas.openxmlformats.org/officeDocument/2006/relationships/image" Target="media/image319.png"/><Relationship Id="rId382" Type="http://schemas.openxmlformats.org/officeDocument/2006/relationships/image" Target="media/image320.png"/><Relationship Id="rId383" Type="http://schemas.openxmlformats.org/officeDocument/2006/relationships/image" Target="media/image321.png"/><Relationship Id="rId384" Type="http://schemas.openxmlformats.org/officeDocument/2006/relationships/image" Target="media/image322.png"/><Relationship Id="rId300" Type="http://schemas.openxmlformats.org/officeDocument/2006/relationships/hyperlink" Target="http://www.sec.gov/Archives/edgar/data/1551152/000110465919037446/a19-12093_1ex2d1.htm" TargetMode="External"/><Relationship Id="rId301" Type="http://schemas.openxmlformats.org/officeDocument/2006/relationships/hyperlink" Target="http://www.sec.gov/Archives/edgar/data/1551152/000110465919037446/a19-12093_1ex2d2.htm" TargetMode="External"/><Relationship Id="rId302" Type="http://schemas.openxmlformats.org/officeDocument/2006/relationships/hyperlink" Target="http://www.sec.gov/Archives/edgar/data/1551152/000110465919037446/a19-12093_1ex2d3.htm" TargetMode="External"/><Relationship Id="rId303" Type="http://schemas.openxmlformats.org/officeDocument/2006/relationships/hyperlink" Target="http://www.sec.gov/Archives/edgar/data/1551152/000155115220000015/abbv-20200331xex21.htm" TargetMode="External"/><Relationship Id="rId304" Type="http://schemas.openxmlformats.org/officeDocument/2006/relationships/hyperlink" Target="http://www.sec.gov/Archives/edgar/data/1551152/000104746913000017/a2212291zex-3_1.htm" TargetMode="External"/><Relationship Id="rId305" Type="http://schemas.openxmlformats.org/officeDocument/2006/relationships/hyperlink" Target="http://www.sec.gov/Archives/edgar/data/1551152/000110465919055567/tm19205582_ex3-1.htm" TargetMode="External"/><Relationship Id="rId306" Type="http://schemas.openxmlformats.org/officeDocument/2006/relationships/hyperlink" Target="http://www.sec.gov/Archives/edgar/data/1551152/000104746912010673/a2211869zex-4_1.htm" TargetMode="External"/><Relationship Id="rId307" Type="http://schemas.openxmlformats.org/officeDocument/2006/relationships/hyperlink" Target="http://www.sec.gov/Archives/edgar/data/1551152/000104746912010673/a2211869zex-4_2.htm" TargetMode="External"/><Relationship Id="rId308" Type="http://schemas.openxmlformats.org/officeDocument/2006/relationships/hyperlink" Target="http://www.sec.gov/Archives/edgar/data/1551152/000110465915037934/a15-10708_4ex4d1.htm" TargetMode="External"/><Relationship Id="rId309" Type="http://schemas.openxmlformats.org/officeDocument/2006/relationships/hyperlink" Target="http://www.sec.gov/Archives/edgar/data/1551152/000110465916120300/a16-10664_3ex4d1.htm" TargetMode="External"/><Relationship Id="rId310" Type="http://schemas.openxmlformats.org/officeDocument/2006/relationships/hyperlink" Target="http://www.sec.gov/Archives/edgar/data/1551152/000110465916157845/a16-21418_4ex4d1.htm" TargetMode="External"/><Relationship Id="rId311" Type="http://schemas.openxmlformats.org/officeDocument/2006/relationships/hyperlink" Target="http://www.sec.gov/Archives/edgar/data/1551152/000110465918057447/a18-27129_5ex4d2.htm" TargetMode="External"/><Relationship Id="rId314" Type="http://schemas.openxmlformats.org/officeDocument/2006/relationships/hyperlink" Target="http://www.sec.gov/Archives/edgar/data/1551152/000141057819001438/tv530006_ex4-2.htm" TargetMode="External"/><Relationship Id="rId315" Type="http://schemas.openxmlformats.org/officeDocument/2006/relationships/hyperlink" Target="http://www.sec.gov/Archives/edgar/data/1551152/000110465919067264/tm1923664d1_ex4-2.htm" TargetMode="External"/><Relationship Id="rId316" Type="http://schemas.openxmlformats.org/officeDocument/2006/relationships/hyperlink" Target="http://www.sec.gov/Archives/edgar/data/1551152/000110465920061621/tm2019527d2_ex4-2.htm" TargetMode="External"/><Relationship Id="rId317" Type="http://schemas.openxmlformats.org/officeDocument/2006/relationships/hyperlink" Target="http://www.sec.gov/Archives/edgar/data/1551152/000110465920061621/tm2019527d2_ex4-15.htm" TargetMode="External"/><Relationship Id="rId318" Type="http://schemas.openxmlformats.org/officeDocument/2006/relationships/hyperlink" Target="http://www.sec.gov/Archives/edgar/data/1551152/000110465916157845/a16-21418_4ex4d2.htm" TargetMode="External"/><Relationship Id="rId319" Type="http://schemas.openxmlformats.org/officeDocument/2006/relationships/hyperlink" Target="http://www.sec.gov/Archives/edgar/data/1551152/000141057819001438/tv530006_ex4-3.htm" TargetMode="External"/><Relationship Id="rId320" Type="http://schemas.openxmlformats.org/officeDocument/2006/relationships/hyperlink" Target="http://www.sec.gov/Archives/edgar/data/1551152/000110465919067264/tm1923664d1_ex4-13.htm" TargetMode="External"/><Relationship Id="rId321" Type="http://schemas.openxmlformats.org/officeDocument/2006/relationships/hyperlink" Target="http://www.sec.gov/Archives/edgar/data/1551152/000110465920061621/tm2019527d2_ex4-16.htm" TargetMode="External"/><Relationship Id="rId322" Type="http://schemas.openxmlformats.org/officeDocument/2006/relationships/hyperlink" Target="http://www.sec.gov/Archives/edgar/data/1551152/000110465920061621/tm2019527d2_ex4-23.htm" TargetMode="External"/><Relationship Id="rId323" Type="http://schemas.openxmlformats.org/officeDocument/2006/relationships/hyperlink" Target="https://www.sec.gov/Archives/edgar/data/1551152/000104746912010673/a2211869zex-10_13.htm" TargetMode="External"/><Relationship Id="rId324" Type="http://schemas.openxmlformats.org/officeDocument/2006/relationships/hyperlink" Target="http://www.sec.gov/Archives/edgar/data/1551152/000104746912010673/a2211869zex-10_13.htm" TargetMode="External"/><Relationship Id="rId325" Type="http://schemas.openxmlformats.org/officeDocument/2006/relationships/hyperlink" Target="http://www.sec.gov/Archives/edgar/data/1551152/000104746913002852/a2213188zdef14a.htm" TargetMode="External"/><Relationship Id="rId326" Type="http://schemas.openxmlformats.org/officeDocument/2006/relationships/hyperlink" Target="http://www.sec.gov/Archives/edgar/data/1551152/000155115219000023/abbv-20190630xex105.htm" TargetMode="External"/><Relationship Id="rId327" Type="http://schemas.openxmlformats.org/officeDocument/2006/relationships/hyperlink" Target="http://www.sec.gov/Archives/edgar/data/1551152/000104746916010239/a2227341zex-10_4.htm" TargetMode="External"/><Relationship Id="rId328" Type="http://schemas.openxmlformats.org/officeDocument/2006/relationships/hyperlink" Target="http://www.sec.gov/Archives/edgar/data/1551152/000155115217000004/abbv-20161231xex105.htm" TargetMode="External"/><Relationship Id="rId329" Type="http://schemas.openxmlformats.org/officeDocument/2006/relationships/hyperlink" Target="http://www.sec.gov/Archives/edgar/data/1551152/000155115219000023/abbv-20190630xex102.htm" TargetMode="External"/><Relationship Id="rId330" Type="http://schemas.openxmlformats.org/officeDocument/2006/relationships/hyperlink" Target="http://www.sec.gov/Archives/edgar/data/1551152/000104746916010239/a2227341zex-10_8.htm" TargetMode="External"/><Relationship Id="rId331" Type="http://schemas.openxmlformats.org/officeDocument/2006/relationships/hyperlink" Target="http://www.sec.gov/Archives/edgar/data/1551152/000110465913038917/a13-8735_1ex10d7.htm" TargetMode="External"/><Relationship Id="rId332" Type="http://schemas.openxmlformats.org/officeDocument/2006/relationships/hyperlink" Target="http://www.sec.gov/Archives/edgar/data/1551152/000110465916118639/a16-6520_1ex10d1.htm" TargetMode="External"/><Relationship Id="rId333" Type="http://schemas.openxmlformats.org/officeDocument/2006/relationships/hyperlink" Target="http://www.sec.gov/Archives/edgar/data/1551152/000110465916118639/a16-6520_1ex10d2.htm" TargetMode="External"/><Relationship Id="rId336" Type="http://schemas.openxmlformats.org/officeDocument/2006/relationships/hyperlink" Target="http://www.sec.gov/Archives/edgar/data/1551152/000155115217000016/abbv-20170331xex101.htm" TargetMode="External"/><Relationship Id="rId337" Type="http://schemas.openxmlformats.org/officeDocument/2006/relationships/hyperlink" Target="https://www.sec.gov/Archives/edgar/data/1551152/000155115217000016/abbv-20170331xex102.htm" TargetMode="External"/><Relationship Id="rId338" Type="http://schemas.openxmlformats.org/officeDocument/2006/relationships/hyperlink" Target="http://www.sec.gov/Archives/edgar/data/1551152/000155115217000016/abbv-20170331xex102.htm" TargetMode="External"/><Relationship Id="rId339" Type="http://schemas.openxmlformats.org/officeDocument/2006/relationships/hyperlink" Target="http://www.sec.gov/Archives/edgar/data/1551152/000155115218000025/abbv-20180331xex102.htm" TargetMode="External"/><Relationship Id="rId340" Type="http://schemas.openxmlformats.org/officeDocument/2006/relationships/hyperlink" Target="http://www.sec.gov/Archives/edgar/data/1551152/000155115218000025/abbv-20180331xex101.htm" TargetMode="External"/><Relationship Id="rId341" Type="http://schemas.openxmlformats.org/officeDocument/2006/relationships/hyperlink" Target="http://www.sec.gov/Archives/edgar/data/1551152/000155115218000025/abbv-20180331xex103.htm" TargetMode="External"/><Relationship Id="rId342" Type="http://schemas.openxmlformats.org/officeDocument/2006/relationships/hyperlink" Target="http://www.sec.gov/Archives/edgar/data/1551152/000155115218000025/abbv-20180331xex104.htm" TargetMode="External"/><Relationship Id="rId343" Type="http://schemas.openxmlformats.org/officeDocument/2006/relationships/hyperlink" Target="http://www.sec.gov/Archives/edgar/data/1551152/000155115219000016/abbv-20190331xex102.htm" TargetMode="External"/><Relationship Id="rId344" Type="http://schemas.openxmlformats.org/officeDocument/2006/relationships/hyperlink" Target="http://www.sec.gov/Archives/edgar/data/1551152/000155115219000016/abbv-20190331xex101.htm" TargetMode="External"/><Relationship Id="rId345" Type="http://schemas.openxmlformats.org/officeDocument/2006/relationships/hyperlink" Target="http://www.sec.gov/Archives/edgar/data/1551152/000155115220000015/abbv-20200331xex106.htm" TargetMode="External"/><Relationship Id="rId346" Type="http://schemas.openxmlformats.org/officeDocument/2006/relationships/hyperlink" Target="http://www.sec.gov/Archives/edgar/data/1551152/000155115219000016/abbv-20190331xex103.htm" TargetMode="External"/><Relationship Id="rId347" Type="http://schemas.openxmlformats.org/officeDocument/2006/relationships/hyperlink" Target="http://www.sec.gov/Archives/edgar/data/1551152/000155115219000016/abbv-20190331xex104.htm" TargetMode="External"/><Relationship Id="rId348" Type="http://schemas.openxmlformats.org/officeDocument/2006/relationships/hyperlink" Target="http://www.sec.gov/Archives/edgar/data/1551152/000155115220000015/abbv-20200331xex102.htm" TargetMode="External"/><Relationship Id="rId349" Type="http://schemas.openxmlformats.org/officeDocument/2006/relationships/hyperlink" Target="http://www.sec.gov/Archives/edgar/data/1551152/000155115220000015/abbv-20200331xex101.htm" TargetMode="External"/><Relationship Id="rId350" Type="http://schemas.openxmlformats.org/officeDocument/2006/relationships/hyperlink" Target="http://www.sec.gov/Archives/edgar/data/1551152/000155115220000015/abbv-20200331xex103.htm" TargetMode="External"/><Relationship Id="rId351" Type="http://schemas.openxmlformats.org/officeDocument/2006/relationships/hyperlink" Target="http://www.sec.gov/Archives/edgar/data/1551152/000155115220000015/abbv-20200331xex104.htm" TargetMode="External"/><Relationship Id="rId352" Type="http://schemas.openxmlformats.org/officeDocument/2006/relationships/hyperlink" Target="http://www.sec.gov/Archives/edgar/data/1551152/000110465915040847/a15-12663_1ex4d1.htm" TargetMode="External"/><Relationship Id="rId353" Type="http://schemas.openxmlformats.org/officeDocument/2006/relationships/hyperlink" Target="https://www.sec.gov/Archives/edgar/data/1551152/000141057819000980/tv528398_ex10-1.htm" TargetMode="External"/><Relationship Id="rId354" Type="http://schemas.openxmlformats.org/officeDocument/2006/relationships/hyperlink" Target="http://www.sec.gov/Archives/edgar/data/1551152/000141057819000980/tv528398_ex10-1.htm" TargetMode="External"/><Relationship Id="rId355" Type="http://schemas.openxmlformats.org/officeDocument/2006/relationships/hyperlink" Target="http://www.sec.gov/Archives/edgar/data/1551152/000110465919037446/a19-12093_1ex10d1.htm" TargetMode="External"/><Relationship Id="rId356" Type="http://schemas.openxmlformats.org/officeDocument/2006/relationships/hyperlink" Target="http://www.sec.gov/Archives/edgar/data/1551152/000110465919040574/a19-12093_2ex10d1.htm" TargetMode="External"/><Relationship Id="rId357" Type="http://schemas.openxmlformats.org/officeDocument/2006/relationships/hyperlink" Target="http://www.sec.gov/Archives/edgar/data/1551152/000141057819001379/tv529698_ex1-1.htm" TargetMode="External"/><Relationship Id="rId358" Type="http://schemas.openxmlformats.org/officeDocument/2006/relationships/hyperlink" Target="http://www.sec.gov/Archives/edgar/data/1551152/000110465919063366/tm1922692d1_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2021-02-19T13:10:19Z</dcterms:created>
  <dcterms:modified xsi:type="dcterms:W3CDTF">2021-02-19T13:10:19Z</dcterms:modified>
</cp:coreProperties>
</file>