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202024_050232.xml.htm"/>
      <w:bookmarkStart w:id="1" w:name="ksform402202024_0502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Siatis Perry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WAUKEGAN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AbbVie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ABBV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GC AND SECRETARY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18,399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20,537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22,381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28,173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23,324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23,324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AbbVie common stock issued under a performance share award granted to the reporting person on February 18, 2021. The award is subject to performance-vesting restrictions based on earnings per share and relative return on invested capital.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AbbVie common stock issued under a performance-vesting restricted stock unit award granted to the reporting person on February 18, 2021. The award is subject to performance-vesting restrictions based on a relative return on invested capital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of AbbVie common stock issued under a performance-vesting restricted stock unit award granted to the reporting person on February 17, 2022.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shares of AbbVie common stock issued under a performance-vesting restricted stock unit award granted to the reporting person on February 16, 2023.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Employee stock option granted pursuant to the AbbVie Amended and Restated 2013 Incentive Stock Program in a transaction exempt from Section 16 under Rule 16b-3. The option becomes exercisable in annual increments of 7,775 on February 15, 2025, 7,775 on February 15, 2026, and 7,774 on February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T.O. Odutayo, attorney-in-fact for Perry C. Siatis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51400" TargetMode="External"/><Relationship Id="rId4" Type="http://schemas.openxmlformats.org/officeDocument/2006/relationships/hyperlink" Target="http://www.sec.gov/cgi-bin/browse-edgar?action=getcompany&amp;CIK=000155115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1006</Words>
  <Characters>5490</Characters>
  <CharactersWithSpaces>6406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