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31, 2018</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ABBVIE INC.</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126365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5" w:lineRule="exact"/>
        <w:rPr>
          <w:sz w:val="24"/>
          <w:szCs w:val="24"/>
          <w:color w:val="auto"/>
        </w:rPr>
      </w:pPr>
    </w:p>
    <w:tbl>
      <w:tblPr>
        <w:tblLayout w:type="fixed"/>
        <w:tblInd w:w="720" w:type="dxa"/>
        <w:tblCellMar>
          <w:top w:w="0" w:type="dxa"/>
          <w:left w:w="0" w:type="dxa"/>
          <w:bottom w:w="0" w:type="dxa"/>
          <w:right w:w="0" w:type="dxa"/>
        </w:tblCellMar>
      </w:tblPr>
      <w:tr>
        <w:trPr>
          <w:trHeight w:val="225"/>
        </w:trPr>
        <w:tc>
          <w:tcPr>
            <w:tcW w:w="3560" w:type="dxa"/>
            <w:vAlign w:val="bottom"/>
          </w:tcPr>
          <w:p>
            <w:pPr>
              <w:jc w:val="center"/>
              <w:ind w:right="1230"/>
              <w:spacing w:after="0"/>
              <w:rPr>
                <w:sz w:val="20"/>
                <w:szCs w:val="20"/>
                <w:color w:val="auto"/>
              </w:rPr>
            </w:pPr>
            <w:r>
              <w:rPr>
                <w:rFonts w:ascii="Arial" w:cs="Arial" w:eastAsia="Arial" w:hAnsi="Arial"/>
                <w:sz w:val="18"/>
                <w:szCs w:val="18"/>
                <w:b w:val="1"/>
                <w:bCs w:val="1"/>
                <w:color w:val="auto"/>
              </w:rPr>
              <w:t>Delaware</w:t>
            </w:r>
          </w:p>
        </w:tc>
        <w:tc>
          <w:tcPr>
            <w:tcW w:w="288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001-35565</w:t>
            </w:r>
          </w:p>
        </w:tc>
        <w:tc>
          <w:tcPr>
            <w:tcW w:w="314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32-0375147</w:t>
            </w:r>
          </w:p>
        </w:tc>
      </w:tr>
      <w:tr>
        <w:trPr>
          <w:trHeight w:val="203"/>
        </w:trPr>
        <w:tc>
          <w:tcPr>
            <w:tcW w:w="3560" w:type="dxa"/>
            <w:vAlign w:val="bottom"/>
          </w:tcPr>
          <w:p>
            <w:pPr>
              <w:jc w:val="center"/>
              <w:ind w:right="1230"/>
              <w:spacing w:after="0" w:line="202" w:lineRule="exact"/>
              <w:rPr>
                <w:sz w:val="20"/>
                <w:szCs w:val="20"/>
                <w:color w:val="auto"/>
              </w:rPr>
            </w:pPr>
            <w:r>
              <w:rPr>
                <w:rFonts w:ascii="Arial" w:cs="Arial" w:eastAsia="Arial" w:hAnsi="Arial"/>
                <w:sz w:val="18"/>
                <w:szCs w:val="18"/>
                <w:color w:val="auto"/>
                <w:w w:val="99"/>
              </w:rPr>
              <w:t>(State or other jurisdiction of</w:t>
            </w:r>
          </w:p>
        </w:tc>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rPr>
              <w:t>(Commission file number)</w:t>
            </w:r>
          </w:p>
        </w:tc>
        <w:tc>
          <w:tcPr>
            <w:tcW w:w="3140" w:type="dxa"/>
            <w:vAlign w:val="bottom"/>
          </w:tcPr>
          <w:p>
            <w:pPr>
              <w:jc w:val="center"/>
              <w:ind w:left="1650"/>
              <w:spacing w:after="0" w:line="202" w:lineRule="exact"/>
              <w:rPr>
                <w:sz w:val="20"/>
                <w:szCs w:val="20"/>
                <w:color w:val="auto"/>
              </w:rPr>
            </w:pPr>
            <w:r>
              <w:rPr>
                <w:rFonts w:ascii="Arial" w:cs="Arial" w:eastAsia="Arial" w:hAnsi="Arial"/>
                <w:sz w:val="18"/>
                <w:szCs w:val="18"/>
                <w:color w:val="auto"/>
                <w:w w:val="99"/>
              </w:rPr>
              <w:t>(I.R.S. Employer</w:t>
            </w:r>
          </w:p>
        </w:tc>
      </w:tr>
      <w:tr>
        <w:trPr>
          <w:trHeight w:val="217"/>
        </w:trPr>
        <w:tc>
          <w:tcPr>
            <w:tcW w:w="3560" w:type="dxa"/>
            <w:vAlign w:val="bottom"/>
          </w:tcPr>
          <w:p>
            <w:pPr>
              <w:jc w:val="center"/>
              <w:ind w:right="1250"/>
              <w:spacing w:after="0"/>
              <w:rPr>
                <w:sz w:val="20"/>
                <w:szCs w:val="20"/>
                <w:color w:val="auto"/>
              </w:rPr>
            </w:pPr>
            <w:r>
              <w:rPr>
                <w:rFonts w:ascii="Arial" w:cs="Arial" w:eastAsia="Arial" w:hAnsi="Arial"/>
                <w:sz w:val="18"/>
                <w:szCs w:val="18"/>
                <w:color w:val="auto"/>
                <w:w w:val="99"/>
              </w:rPr>
              <w:t>incorporation)</w:t>
            </w:r>
          </w:p>
        </w:tc>
        <w:tc>
          <w:tcPr>
            <w:tcW w:w="2880" w:type="dxa"/>
            <w:vAlign w:val="bottom"/>
          </w:tcPr>
          <w:p>
            <w:pPr>
              <w:spacing w:after="0"/>
              <w:rPr>
                <w:sz w:val="18"/>
                <w:szCs w:val="18"/>
                <w:color w:val="auto"/>
              </w:rPr>
            </w:pPr>
          </w:p>
        </w:tc>
        <w:tc>
          <w:tcPr>
            <w:tcW w:w="3140" w:type="dxa"/>
            <w:vAlign w:val="bottom"/>
          </w:tcPr>
          <w:p>
            <w:pPr>
              <w:jc w:val="center"/>
              <w:ind w:left="1650"/>
              <w:spacing w:after="0"/>
              <w:rPr>
                <w:sz w:val="20"/>
                <w:szCs w:val="20"/>
                <w:color w:val="auto"/>
              </w:rPr>
            </w:pPr>
            <w:r>
              <w:rPr>
                <w:rFonts w:ascii="Arial" w:cs="Arial" w:eastAsia="Arial" w:hAnsi="Arial"/>
                <w:sz w:val="18"/>
                <w:szCs w:val="18"/>
                <w:color w:val="auto"/>
                <w:w w:val="99"/>
              </w:rPr>
              <w:t>Identification No.)</w:t>
            </w:r>
          </w:p>
        </w:tc>
      </w:tr>
      <w:tr>
        <w:trPr>
          <w:trHeight w:val="95"/>
        </w:trPr>
        <w:tc>
          <w:tcPr>
            <w:tcW w:w="356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3140" w:type="dxa"/>
            <w:vAlign w:val="bottom"/>
          </w:tcPr>
          <w:p>
            <w:pPr>
              <w:spacing w:after="0"/>
              <w:rPr>
                <w:sz w:val="8"/>
                <w:szCs w:val="8"/>
                <w:color w:val="auto"/>
              </w:rPr>
            </w:pPr>
          </w:p>
        </w:tc>
      </w:tr>
    </w:tbl>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33" w:lineRule="exact"/>
        <w:rPr>
          <w:sz w:val="24"/>
          <w:szCs w:val="24"/>
          <w:color w:val="auto"/>
        </w:rPr>
      </w:pPr>
    </w:p>
    <w:p>
      <w:pPr>
        <w:ind w:right="18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200" w:lineRule="exact"/>
        <w:rPr>
          <w:sz w:val="24"/>
          <w:szCs w:val="24"/>
          <w:color w:val="auto"/>
        </w:rPr>
      </w:pPr>
    </w:p>
    <w:p>
      <w:pPr>
        <w:spacing w:after="0" w:line="318"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21"/>
          <w:szCs w:val="21"/>
          <w:b w:val="1"/>
          <w:bCs w:val="1"/>
          <w:color w:val="auto"/>
        </w:rPr>
        <w:t>Entry into a Material Definitive Agreement</w:t>
      </w:r>
    </w:p>
    <w:p>
      <w:pPr>
        <w:spacing w:after="0" w:line="237" w:lineRule="exact"/>
        <w:rPr>
          <w:sz w:val="24"/>
          <w:szCs w:val="24"/>
          <w:color w:val="auto"/>
        </w:rPr>
      </w:pPr>
    </w:p>
    <w:p>
      <w:pPr>
        <w:spacing w:after="0"/>
        <w:rPr>
          <w:sz w:val="20"/>
          <w:szCs w:val="20"/>
          <w:color w:val="auto"/>
        </w:rPr>
      </w:pPr>
      <w:r>
        <w:rPr>
          <w:rFonts w:ascii="Arial" w:cs="Arial" w:eastAsia="Arial" w:hAnsi="Arial"/>
          <w:sz w:val="22"/>
          <w:szCs w:val="22"/>
          <w:i w:val="1"/>
          <w:iCs w:val="1"/>
          <w:color w:val="auto"/>
        </w:rPr>
        <w:t>Revolving Credit Agreement</w:t>
      </w:r>
    </w:p>
    <w:p>
      <w:pPr>
        <w:spacing w:after="0" w:line="255" w:lineRule="exact"/>
        <w:rPr>
          <w:sz w:val="24"/>
          <w:szCs w:val="24"/>
          <w:color w:val="auto"/>
        </w:rPr>
      </w:pPr>
    </w:p>
    <w:p>
      <w:pPr>
        <w:ind w:right="480"/>
        <w:spacing w:after="0" w:line="234" w:lineRule="auto"/>
        <w:rPr>
          <w:sz w:val="20"/>
          <w:szCs w:val="20"/>
          <w:color w:val="auto"/>
        </w:rPr>
      </w:pPr>
      <w:r>
        <w:rPr>
          <w:rFonts w:ascii="Arial" w:cs="Arial" w:eastAsia="Arial" w:hAnsi="Arial"/>
          <w:sz w:val="22"/>
          <w:szCs w:val="22"/>
          <w:color w:val="auto"/>
        </w:rPr>
        <w:t>On August 31, 2018 (the “Effective Date”), AbbVie Inc. (“AbbVie”), entered into a revolving credit agreement (the “Credit Agreement”) among AbbVie, as borrower, the lenders and other parties from time to time party thereto, and JPMorgan Chase Bank, N.A., as administrative agent. The Credit Agreement provides for a $3.0 billion unsecured revolving credit facility.</w:t>
      </w:r>
    </w:p>
    <w:p>
      <w:pPr>
        <w:spacing w:after="0" w:line="229" w:lineRule="exact"/>
        <w:rPr>
          <w:sz w:val="24"/>
          <w:szCs w:val="24"/>
          <w:color w:val="auto"/>
        </w:rPr>
      </w:pPr>
    </w:p>
    <w:p>
      <w:pPr>
        <w:ind w:right="200"/>
        <w:spacing w:after="0" w:line="234" w:lineRule="auto"/>
        <w:rPr>
          <w:sz w:val="20"/>
          <w:szCs w:val="20"/>
          <w:color w:val="auto"/>
        </w:rPr>
      </w:pPr>
      <w:r>
        <w:rPr>
          <w:rFonts w:ascii="Arial" w:cs="Arial" w:eastAsia="Arial" w:hAnsi="Arial"/>
          <w:sz w:val="22"/>
          <w:szCs w:val="22"/>
          <w:color w:val="auto"/>
        </w:rPr>
        <w:t>Advances will be available from the Effective Date through the fifth anniversary thereof, subject to the satisfaction (or waiver) of certain conditions set forth in the Credit Agreement. The commitments and advances under the Credit Agreement will terminate, mature and be payable, as applicable, in full on the date that is five years after the Effective Date.</w:t>
      </w:r>
    </w:p>
    <w:p>
      <w:pPr>
        <w:spacing w:after="0" w:line="229" w:lineRule="exact"/>
        <w:rPr>
          <w:sz w:val="24"/>
          <w:szCs w:val="24"/>
          <w:color w:val="auto"/>
        </w:rPr>
      </w:pPr>
    </w:p>
    <w:p>
      <w:pPr>
        <w:jc w:val="both"/>
        <w:ind w:right="380"/>
        <w:spacing w:after="0" w:line="246" w:lineRule="auto"/>
        <w:rPr>
          <w:sz w:val="20"/>
          <w:szCs w:val="20"/>
          <w:color w:val="auto"/>
        </w:rPr>
      </w:pPr>
      <w:r>
        <w:rPr>
          <w:rFonts w:ascii="Arial" w:cs="Arial" w:eastAsia="Arial" w:hAnsi="Arial"/>
          <w:sz w:val="21"/>
          <w:szCs w:val="21"/>
          <w:color w:val="auto"/>
        </w:rPr>
        <w:t>Borrowings under the Credit Agreement may, at AbbVie’s election, bear interest at either (a) the base rate plus an applicable margin (“Base Rate Loans”) or (b) the Eurocurrency rate plus an applicable margin (“Eurocurrency Rate Loans”). The applicable margin with respect to such borrowings varies from 0.000% to 0.325% per annum for Base Rate Loans under the Credit Agreement and 0.700% to 1.325% per annum for Eurocurrency Rate Loans under the Credit Agreement, in each case depending on the public debt ratings of AbbVie in effect from time to time.</w:t>
      </w:r>
    </w:p>
    <w:p>
      <w:pPr>
        <w:sectPr>
          <w:pgSz w:w="11900" w:h="16838" w:orient="portrait"/>
          <w:cols w:equalWidth="0" w:num="1">
            <w:col w:w="11420"/>
          </w:cols>
          <w:pgMar w:left="240" w:top="458" w:right="239" w:bottom="0" w:gutter="0" w:footer="0" w:header="0"/>
        </w:sectPr>
      </w:pPr>
    </w:p>
    <w:bookmarkStart w:id="1" w:name="page2"/>
    <w:bookmarkEnd w:id="1"/>
    <w:p>
      <w:pPr>
        <w:ind w:right="260"/>
        <w:spacing w:after="0" w:line="238" w:lineRule="auto"/>
        <w:rPr>
          <w:sz w:val="20"/>
          <w:szCs w:val="20"/>
          <w:color w:val="auto"/>
        </w:rPr>
      </w:pPr>
      <w:r>
        <w:rPr>
          <w:rFonts w:ascii="Arial" w:cs="Arial" w:eastAsia="Arial" w:hAnsi="Arial"/>
          <w:sz w:val="22"/>
          <w:szCs w:val="22"/>
          <w:color w:val="auto"/>
        </w:rPr>
        <w:t>The Credit Agreement contains affirmative covenants, negative covenants, including a financial covenant, and events of default customary for unsecured financings of this type.</w:t>
      </w:r>
    </w:p>
    <w:p>
      <w:pPr>
        <w:spacing w:after="0" w:line="228" w:lineRule="exact"/>
        <w:rPr>
          <w:sz w:val="20"/>
          <w:szCs w:val="20"/>
          <w:color w:val="auto"/>
        </w:rPr>
      </w:pPr>
    </w:p>
    <w:p>
      <w:pPr>
        <w:jc w:val="both"/>
        <w:ind w:right="240"/>
        <w:spacing w:after="0" w:line="235" w:lineRule="auto"/>
        <w:rPr>
          <w:sz w:val="20"/>
          <w:szCs w:val="20"/>
          <w:color w:val="auto"/>
        </w:rPr>
      </w:pPr>
      <w:r>
        <w:rPr>
          <w:rFonts w:ascii="Arial" w:cs="Arial" w:eastAsia="Arial" w:hAnsi="Arial"/>
          <w:sz w:val="22"/>
          <w:szCs w:val="22"/>
          <w:color w:val="auto"/>
        </w:rPr>
        <w:t>The foregoing summary of the Credit Agreement does not purport to be complete and is subject to, and qualified in its entirety by, the full text of the Credit Agreement, which is attached as Exhibit 10.1 to this Current Report on Form 8-K, and such exhibit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Amendment to 364-Day Term Loan Credit Agreement</w:t>
      </w:r>
    </w:p>
    <w:p>
      <w:pPr>
        <w:spacing w:after="0" w:line="25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On August 31, 2018, AbbVie entered into an amendment (the “Amendment”) to that certain 364-Day Term Loan Credit Agreement, dated as of May 17, 2018 (the “Term Loan Agreement”), among AbbVie, as borrower, the lenders and other parties from time to time party thereto, and Bank of America, N.A., as administrative agent, pursuant to which the Term Loan Agreement was amended to conform to certain terms and provisions of the Credit Agreement.</w:t>
      </w:r>
    </w:p>
    <w:p>
      <w:pPr>
        <w:spacing w:after="0" w:line="229" w:lineRule="exact"/>
        <w:rPr>
          <w:sz w:val="20"/>
          <w:szCs w:val="20"/>
          <w:color w:val="auto"/>
        </w:rPr>
      </w:pPr>
    </w:p>
    <w:p>
      <w:pPr>
        <w:ind w:right="360"/>
        <w:spacing w:after="0" w:line="235" w:lineRule="auto"/>
        <w:rPr>
          <w:sz w:val="20"/>
          <w:szCs w:val="20"/>
          <w:color w:val="auto"/>
        </w:rPr>
      </w:pPr>
      <w:r>
        <w:rPr>
          <w:rFonts w:ascii="Arial" w:cs="Arial" w:eastAsia="Arial" w:hAnsi="Arial"/>
          <w:sz w:val="22"/>
          <w:szCs w:val="22"/>
          <w:color w:val="auto"/>
        </w:rPr>
        <w:t>The foregoing summary of the Amendment does not purport to be complete and is subject to, and qualified in its entirety by, the full text of the Amendment, which is attached as Exhibit 10.2 to this Current Report on Form 8-K, and such exhibit is incorporated herein by reference.</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1.02.</w:t>
      </w:r>
      <w:r>
        <w:rPr>
          <w:sz w:val="20"/>
          <w:szCs w:val="20"/>
          <w:color w:val="auto"/>
        </w:rPr>
        <w:tab/>
      </w:r>
      <w:r>
        <w:rPr>
          <w:rFonts w:ascii="Arial" w:cs="Arial" w:eastAsia="Arial" w:hAnsi="Arial"/>
          <w:sz w:val="21"/>
          <w:szCs w:val="21"/>
          <w:b w:val="1"/>
          <w:bCs w:val="1"/>
          <w:color w:val="auto"/>
        </w:rPr>
        <w:t>Termination of a Material Definitive Agreement.</w:t>
      </w:r>
    </w:p>
    <w:p>
      <w:pPr>
        <w:spacing w:after="0" w:line="151" w:lineRule="exact"/>
        <w:rPr>
          <w:sz w:val="20"/>
          <w:szCs w:val="20"/>
          <w:color w:val="auto"/>
        </w:rPr>
      </w:pPr>
    </w:p>
    <w:p>
      <w:pPr>
        <w:ind w:right="480"/>
        <w:spacing w:after="0" w:line="247" w:lineRule="auto"/>
        <w:rPr>
          <w:sz w:val="20"/>
          <w:szCs w:val="20"/>
          <w:color w:val="auto"/>
        </w:rPr>
      </w:pPr>
      <w:r>
        <w:rPr>
          <w:rFonts w:ascii="Arial" w:cs="Arial" w:eastAsia="Arial" w:hAnsi="Arial"/>
          <w:sz w:val="21"/>
          <w:szCs w:val="21"/>
          <w:color w:val="auto"/>
        </w:rPr>
        <w:t>In connection with its entry into the Credit Agreement, on the Effective Date AbbVie repaid all of its outstanding obligations and terminated all commitments outstanding under the Revolving Credit Agreement, dated August 18, 2014, as amended (as in effect from time to time, the “Existing Credit Agreement”), among AbbVie, the lenders and other parties from time to time party thereto, and JPMorgan Chase Bank, N.A., as administrative agent.</w:t>
      </w:r>
    </w:p>
    <w:p>
      <w:pPr>
        <w:spacing w:after="0" w:line="221" w:lineRule="exact"/>
        <w:rPr>
          <w:sz w:val="20"/>
          <w:szCs w:val="20"/>
          <w:color w:val="auto"/>
        </w:rPr>
      </w:pPr>
    </w:p>
    <w:p>
      <w:pPr>
        <w:ind w:right="160"/>
        <w:spacing w:after="0" w:line="245" w:lineRule="auto"/>
        <w:rPr>
          <w:sz w:val="20"/>
          <w:szCs w:val="20"/>
          <w:color w:val="auto"/>
        </w:rPr>
      </w:pPr>
      <w:r>
        <w:rPr>
          <w:rFonts w:ascii="Arial" w:cs="Arial" w:eastAsia="Arial" w:hAnsi="Arial"/>
          <w:sz w:val="21"/>
          <w:szCs w:val="21"/>
          <w:color w:val="auto"/>
        </w:rPr>
        <w:t>The Existing Credit Agreement provided for a $3.0 billion unsecured revolving credit facility. Absent termination, it would have matured in October 2019. Borrowings under the Existing Credit Agreement, at AbbVie’s election, bore interest at either (a) the base rate plus an applicable margin or (b) the Eurocurrency rate plus an applicable margin. The applicable margin with respect to such borrowings varied from 0.000% to 0.500% per annum for Base Rate Loans under the Existing Credit Agreement and 0.625% to 1.500% per annum for Eurocurrency Rate Loans under the Existing Credit Agreement, in each case depending on the public debt ratings of AbbVie in effect from time to time.</w:t>
      </w:r>
    </w:p>
    <w:p>
      <w:pPr>
        <w:spacing w:after="0" w:line="264" w:lineRule="exact"/>
        <w:rPr>
          <w:sz w:val="20"/>
          <w:szCs w:val="20"/>
          <w:color w:val="auto"/>
        </w:rPr>
      </w:pPr>
    </w:p>
    <w:p>
      <w:pPr>
        <w:ind w:right="1360"/>
        <w:spacing w:after="0" w:line="261"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The description set forth in Item 1.01 above is hereby incorporated by reference in its entirety into this Item 2.03.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Item 9.01</w:t>
            </w:r>
          </w:p>
        </w:tc>
        <w:tc>
          <w:tcPr>
            <w:tcW w:w="10200" w:type="dxa"/>
            <w:vAlign w:val="bottom"/>
            <w:gridSpan w:val="9"/>
          </w:tcPr>
          <w:p>
            <w:pPr>
              <w:ind w:left="100"/>
              <w:spacing w:after="0"/>
              <w:rPr>
                <w:sz w:val="20"/>
                <w:szCs w:val="20"/>
                <w:color w:val="auto"/>
              </w:rPr>
            </w:pPr>
            <w:r>
              <w:rPr>
                <w:rFonts w:ascii="Arial" w:cs="Arial" w:eastAsia="Arial" w:hAnsi="Arial"/>
                <w:sz w:val="22"/>
                <w:szCs w:val="22"/>
                <w:b w:val="1"/>
                <w:bCs w:val="1"/>
                <w:color w:val="auto"/>
              </w:rPr>
              <w:t>Financial Statements and Exhibits.</w:t>
            </w:r>
          </w:p>
        </w:tc>
      </w:tr>
      <w:tr>
        <w:trPr>
          <w:trHeight w:val="311"/>
        </w:trPr>
        <w:tc>
          <w:tcPr>
            <w:tcW w:w="1260" w:type="dxa"/>
            <w:vAlign w:val="bottom"/>
            <w:gridSpan w:val="2"/>
          </w:tcPr>
          <w:p>
            <w:pPr>
              <w:spacing w:after="0"/>
              <w:rPr>
                <w:sz w:val="20"/>
                <w:szCs w:val="20"/>
                <w:color w:val="auto"/>
              </w:rPr>
            </w:pPr>
            <w:r>
              <w:rPr>
                <w:rFonts w:ascii="Arial" w:cs="Arial" w:eastAsia="Arial" w:hAnsi="Arial"/>
                <w:sz w:val="22"/>
                <w:szCs w:val="22"/>
                <w:color w:val="auto"/>
              </w:rPr>
              <w:t>(d) Exhibits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57"/>
        </w:trPr>
        <w:tc>
          <w:tcPr>
            <w:tcW w:w="1140" w:type="dxa"/>
            <w:vAlign w:val="bottom"/>
          </w:tcPr>
          <w:p>
            <w:pPr>
              <w:spacing w:after="0"/>
              <w:rPr>
                <w:sz w:val="20"/>
                <w:szCs w:val="20"/>
                <w:color w:val="auto"/>
              </w:rPr>
            </w:pPr>
            <w:r>
              <w:rPr>
                <w:rFonts w:ascii="Arial" w:cs="Arial" w:eastAsia="Arial" w:hAnsi="Arial"/>
                <w:sz w:val="22"/>
                <w:szCs w:val="22"/>
                <w:b w:val="1"/>
                <w:bCs w:val="1"/>
                <w:color w:val="auto"/>
                <w:w w:val="97"/>
              </w:rPr>
              <w:t>Exhibit No.</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60" w:type="dxa"/>
            <w:vAlign w:val="bottom"/>
            <w:gridSpan w:val="8"/>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22"/>
                <w:szCs w:val="22"/>
                <w:color w:val="auto"/>
              </w:rPr>
              <w:t>10.1</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20" w:type="dxa"/>
            <w:vAlign w:val="bottom"/>
            <w:tcBorders>
              <w:bottom w:val="single" w:sz="8" w:color="0000EE"/>
            </w:tcBorders>
            <w:gridSpan w:val="7"/>
          </w:tcPr>
          <w:p>
            <w:pPr>
              <w:spacing w:after="0"/>
              <w:rPr>
                <w:rFonts w:ascii="Arial" w:cs="Arial" w:eastAsia="Arial" w:hAnsi="Arial"/>
                <w:sz w:val="22"/>
                <w:szCs w:val="22"/>
                <w:color w:val="0000EE"/>
                <w:w w:val="97"/>
              </w:rPr>
            </w:pPr>
            <w:hyperlink w:anchor="page4">
              <w:r>
                <w:rPr>
                  <w:rFonts w:ascii="Arial" w:cs="Arial" w:eastAsia="Arial" w:hAnsi="Arial"/>
                  <w:sz w:val="22"/>
                  <w:szCs w:val="22"/>
                  <w:color w:val="0000EE"/>
                  <w:w w:val="97"/>
                </w:rPr>
                <w:t>Revolving Credit Agreement, dated as of August 31, 2018, among AbbVie, the lenders and other</w:t>
              </w:r>
            </w:hyperlink>
          </w:p>
        </w:tc>
        <w:tc>
          <w:tcPr>
            <w:tcW w:w="4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60" w:type="dxa"/>
            <w:vAlign w:val="bottom"/>
            <w:gridSpan w:val="8"/>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parties party thereto, and JPMorgan Chase Bank, N.A., as administrative agent.</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22"/>
                <w:szCs w:val="22"/>
                <w:color w:val="auto"/>
              </w:rPr>
              <w:t>10.2</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0" w:type="dxa"/>
            <w:vAlign w:val="bottom"/>
            <w:tcBorders>
              <w:bottom w:val="single" w:sz="8" w:color="0000EE"/>
            </w:tcBorders>
            <w:gridSpan w:val="6"/>
          </w:tcPr>
          <w:p>
            <w:pPr>
              <w:spacing w:after="0"/>
              <w:rPr>
                <w:rFonts w:ascii="Arial" w:cs="Arial" w:eastAsia="Arial" w:hAnsi="Arial"/>
                <w:sz w:val="22"/>
                <w:szCs w:val="22"/>
                <w:color w:val="0000EE"/>
                <w:w w:val="97"/>
              </w:rPr>
            </w:pPr>
            <w:hyperlink w:anchor="page59">
              <w:r>
                <w:rPr>
                  <w:rFonts w:ascii="Arial" w:cs="Arial" w:eastAsia="Arial" w:hAnsi="Arial"/>
                  <w:sz w:val="22"/>
                  <w:szCs w:val="22"/>
                  <w:color w:val="0000EE"/>
                  <w:w w:val="97"/>
                </w:rPr>
                <w:t>First Amendment to 364-Day Term Loan Credit Agreement, dated as of August 31, 2018, among</w:t>
              </w:r>
            </w:hyperlink>
          </w:p>
        </w:tc>
        <w:tc>
          <w:tcPr>
            <w:tcW w:w="60" w:type="dxa"/>
            <w:vAlign w:val="bottom"/>
            <w:gridSpan w:val="2"/>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60" w:type="dxa"/>
            <w:vAlign w:val="bottom"/>
            <w:gridSpan w:val="8"/>
          </w:tcPr>
          <w:p>
            <w:pPr>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AbbVie, the lenders and other parties party thereto, and Bank of America, N.A., as</w:t>
              </w:r>
            </w:hyperlink>
          </w:p>
        </w:tc>
      </w:tr>
      <w:tr>
        <w:trPr>
          <w:trHeight w:val="223"/>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40" w:type="dxa"/>
            <w:vAlign w:val="bottom"/>
            <w:tcBorders>
              <w:top w:val="single" w:sz="8" w:color="0000EE"/>
            </w:tcBorders>
            <w:gridSpan w:val="5"/>
          </w:tcPr>
          <w:p>
            <w:pPr>
              <w:spacing w:after="0" w:line="223" w:lineRule="exact"/>
              <w:rPr>
                <w:rFonts w:ascii="Arial" w:cs="Arial" w:eastAsia="Arial" w:hAnsi="Arial"/>
                <w:sz w:val="22"/>
                <w:szCs w:val="22"/>
                <w:color w:val="0000EE"/>
              </w:rPr>
            </w:pPr>
            <w:hyperlink w:anchor="page59">
              <w:r>
                <w:rPr>
                  <w:rFonts w:ascii="Arial" w:cs="Arial" w:eastAsia="Arial" w:hAnsi="Arial"/>
                  <w:sz w:val="22"/>
                  <w:szCs w:val="22"/>
                  <w:color w:val="0000EE"/>
                </w:rPr>
                <w:t>administrative agent.</w:t>
              </w:r>
            </w:hyperlink>
          </w:p>
        </w:tc>
        <w:tc>
          <w:tcPr>
            <w:tcW w:w="1420" w:type="dxa"/>
            <w:vAlign w:val="bottom"/>
            <w:gridSpan w:val="3"/>
          </w:tcPr>
          <w:p>
            <w:pPr>
              <w:spacing w:after="0"/>
              <w:rPr>
                <w:sz w:val="19"/>
                <w:szCs w:val="19"/>
                <w:color w:val="auto"/>
              </w:rPr>
            </w:pPr>
          </w:p>
        </w:tc>
      </w:tr>
      <w:tr>
        <w:trPr>
          <w:trHeight w:val="490"/>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1960" w:type="dxa"/>
            <w:vAlign w:val="bottom"/>
            <w:tcBorders>
              <w:top w:val="single" w:sz="8" w:color="0000EE"/>
            </w:tcBorders>
            <w:gridSpan w:val="2"/>
          </w:tcPr>
          <w:p>
            <w:pPr>
              <w:spacing w:after="0"/>
              <w:rPr>
                <w:sz w:val="24"/>
                <w:szCs w:val="24"/>
                <w:color w:val="auto"/>
              </w:rPr>
            </w:pPr>
          </w:p>
        </w:tc>
        <w:tc>
          <w:tcPr>
            <w:tcW w:w="5640" w:type="dxa"/>
            <w:vAlign w:val="bottom"/>
          </w:tcPr>
          <w:p>
            <w:pPr>
              <w:jc w:val="right"/>
              <w:ind w:right="3952"/>
              <w:spacing w:after="0"/>
              <w:rPr>
                <w:sz w:val="20"/>
                <w:szCs w:val="20"/>
                <w:color w:val="auto"/>
              </w:rPr>
            </w:pPr>
            <w:r>
              <w:rPr>
                <w:rFonts w:ascii="Arial" w:cs="Arial" w:eastAsia="Arial" w:hAnsi="Arial"/>
                <w:sz w:val="22"/>
                <w:szCs w:val="22"/>
                <w:color w:val="auto"/>
              </w:rPr>
              <w:t>3</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5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w:t>
      </w:r>
    </w:p>
    <w:p>
      <w:pPr>
        <w:spacing w:after="0" w:line="232" w:lineRule="exact"/>
        <w:rPr>
          <w:sz w:val="20"/>
          <w:szCs w:val="20"/>
          <w:color w:val="auto"/>
        </w:rPr>
      </w:pPr>
    </w:p>
    <w:p>
      <w:pPr>
        <w:ind w:right="200" w:firstLine="654"/>
        <w:spacing w:after="0" w:line="238"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91"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ABBVIE INC.</w:t>
      </w:r>
    </w:p>
    <w:p>
      <w:pPr>
        <w:spacing w:after="0" w:line="256" w:lineRule="exact"/>
        <w:rPr>
          <w:sz w:val="20"/>
          <w:szCs w:val="20"/>
          <w:color w:val="auto"/>
        </w:rPr>
      </w:pPr>
    </w:p>
    <w:tbl>
      <w:tblPr>
        <w:tblLayout w:type="fixed"/>
        <w:tblInd w:w="57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William J. Chase</w:t>
            </w:r>
          </w:p>
        </w:tc>
      </w:tr>
      <w:tr>
        <w:trPr>
          <w:trHeight w:val="253"/>
        </w:trPr>
        <w:tc>
          <w:tcPr>
            <w:tcW w:w="68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Name:   William J. Chase</w:t>
            </w:r>
          </w:p>
        </w:tc>
      </w:tr>
    </w:tbl>
    <w:p>
      <w:pPr>
        <w:sectPr>
          <w:pgSz w:w="11900" w:h="16838" w:orient="portrait"/>
          <w:cols w:equalWidth="0" w:num="1">
            <w:col w:w="11460"/>
          </w:cols>
          <w:pgMar w:left="240" w:top="376"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ind w:left="60"/>
              <w:spacing w:after="0"/>
              <w:rPr>
                <w:sz w:val="20"/>
                <w:szCs w:val="20"/>
                <w:color w:val="auto"/>
              </w:rPr>
            </w:pPr>
            <w:r>
              <w:rPr>
                <w:rFonts w:ascii="Arial" w:cs="Arial" w:eastAsia="Arial" w:hAnsi="Arial"/>
                <w:sz w:val="22"/>
                <w:szCs w:val="22"/>
                <w:color w:val="auto"/>
              </w:rPr>
              <w:t>Date: September 6, 2018</w:t>
            </w:r>
          </w:p>
        </w:tc>
        <w:tc>
          <w:tcPr>
            <w:tcW w:w="3040" w:type="dxa"/>
            <w:vAlign w:val="bottom"/>
          </w:tcPr>
          <w:p>
            <w:pPr>
              <w:jc w:val="right"/>
              <w:ind w:right="112"/>
              <w:spacing w:after="0"/>
              <w:rPr>
                <w:sz w:val="20"/>
                <w:szCs w:val="20"/>
                <w:color w:val="auto"/>
              </w:rPr>
            </w:pPr>
            <w:r>
              <w:rPr>
                <w:rFonts w:ascii="Arial" w:cs="Arial" w:eastAsia="Arial" w:hAnsi="Arial"/>
                <w:sz w:val="22"/>
                <w:szCs w:val="22"/>
                <w:color w:val="auto"/>
              </w:rPr>
              <w:t>Title:</w:t>
            </w:r>
          </w:p>
        </w:tc>
        <w:tc>
          <w:tcPr>
            <w:tcW w:w="4340" w:type="dxa"/>
            <w:vAlign w:val="bottom"/>
          </w:tcPr>
          <w:p>
            <w:pPr>
              <w:ind w:left="220"/>
              <w:spacing w:after="0"/>
              <w:rPr>
                <w:sz w:val="20"/>
                <w:szCs w:val="20"/>
                <w:color w:val="auto"/>
              </w:rPr>
            </w:pPr>
            <w:r>
              <w:rPr>
                <w:rFonts w:ascii="Arial" w:cs="Arial" w:eastAsia="Arial" w:hAnsi="Arial"/>
                <w:sz w:val="22"/>
                <w:szCs w:val="22"/>
                <w:color w:val="auto"/>
              </w:rPr>
              <w:t>Executive Vice President, Chief Financial</w:t>
            </w:r>
          </w:p>
        </w:tc>
      </w:tr>
      <w:tr>
        <w:trPr>
          <w:trHeight w:val="260"/>
        </w:trPr>
        <w:tc>
          <w:tcPr>
            <w:tcW w:w="40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340" w:type="dxa"/>
            <w:vAlign w:val="bottom"/>
          </w:tcPr>
          <w:p>
            <w:pPr>
              <w:ind w:left="220"/>
              <w:spacing w:after="0"/>
              <w:rPr>
                <w:sz w:val="20"/>
                <w:szCs w:val="20"/>
                <w:color w:val="auto"/>
              </w:rPr>
            </w:pPr>
            <w:r>
              <w:rPr>
                <w:rFonts w:ascii="Arial" w:cs="Arial" w:eastAsia="Arial" w:hAnsi="Arial"/>
                <w:sz w:val="22"/>
                <w:szCs w:val="22"/>
                <w:color w:val="auto"/>
              </w:rPr>
              <w:t>Officer</w:t>
            </w:r>
          </w:p>
        </w:tc>
      </w:tr>
      <w:tr>
        <w:trPr>
          <w:trHeight w:val="459"/>
        </w:trPr>
        <w:tc>
          <w:tcPr>
            <w:tcW w:w="4080" w:type="dxa"/>
            <w:vAlign w:val="bottom"/>
          </w:tcPr>
          <w:p>
            <w:pPr>
              <w:spacing w:after="0"/>
              <w:rPr>
                <w:sz w:val="24"/>
                <w:szCs w:val="24"/>
                <w:color w:val="auto"/>
              </w:rPr>
            </w:pPr>
          </w:p>
        </w:tc>
        <w:tc>
          <w:tcPr>
            <w:tcW w:w="3040" w:type="dxa"/>
            <w:vAlign w:val="bottom"/>
          </w:tcPr>
          <w:p>
            <w:pPr>
              <w:jc w:val="right"/>
              <w:ind w:right="1252"/>
              <w:spacing w:after="0"/>
              <w:rPr>
                <w:sz w:val="20"/>
                <w:szCs w:val="20"/>
                <w:color w:val="auto"/>
              </w:rPr>
            </w:pPr>
            <w:r>
              <w:rPr>
                <w:rFonts w:ascii="Arial" w:cs="Arial" w:eastAsia="Arial" w:hAnsi="Arial"/>
                <w:sz w:val="22"/>
                <w:szCs w:val="22"/>
                <w:color w:val="auto"/>
              </w:rPr>
              <w:t>4</w:t>
            </w:r>
          </w:p>
        </w:tc>
        <w:tc>
          <w:tcPr>
            <w:tcW w:w="4340" w:type="dxa"/>
            <w:vAlign w:val="bottom"/>
          </w:tcPr>
          <w:p>
            <w:pPr>
              <w:spacing w:after="0"/>
              <w:rPr>
                <w:sz w:val="24"/>
                <w:szCs w:val="24"/>
                <w:color w:val="auto"/>
              </w:rPr>
            </w:pPr>
          </w:p>
        </w:tc>
      </w:tr>
      <w:tr>
        <w:trPr>
          <w:trHeight w:val="122"/>
        </w:trPr>
        <w:tc>
          <w:tcPr>
            <w:tcW w:w="408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$3,000,000,000</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REVOLVING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August 31,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ABBVIE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VARIOUS FINANCIAL INSTITUTIONS,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Lenders,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BANK OF AMERICA, N.A.</w:t>
      </w:r>
    </w:p>
    <w:p>
      <w:pPr>
        <w:jc w:val="center"/>
        <w:spacing w:after="0" w:line="238" w:lineRule="auto"/>
        <w:rPr>
          <w:sz w:val="20"/>
          <w:szCs w:val="20"/>
          <w:color w:val="auto"/>
        </w:rPr>
      </w:pPr>
      <w:r>
        <w:rPr>
          <w:rFonts w:ascii="Arial" w:cs="Arial" w:eastAsia="Arial" w:hAnsi="Arial"/>
          <w:sz w:val="22"/>
          <w:szCs w:val="22"/>
          <w:color w:val="auto"/>
        </w:rPr>
        <w:t>and</w:t>
      </w:r>
    </w:p>
    <w:p>
      <w:pPr>
        <w:jc w:val="center"/>
        <w:spacing w:after="0" w:line="230" w:lineRule="auto"/>
        <w:rPr>
          <w:sz w:val="20"/>
          <w:szCs w:val="20"/>
          <w:color w:val="auto"/>
        </w:rPr>
      </w:pPr>
      <w:r>
        <w:rPr>
          <w:rFonts w:ascii="Arial" w:cs="Arial" w:eastAsia="Arial" w:hAnsi="Arial"/>
          <w:sz w:val="22"/>
          <w:szCs w:val="22"/>
          <w:color w:val="auto"/>
        </w:rPr>
        <w:t>MORGAN STANLEY SENIOR FUNDING,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JPMORGAN CHASE BANK, N.A.,</w:t>
      </w:r>
    </w:p>
    <w:p>
      <w:pPr>
        <w:jc w:val="center"/>
        <w:spacing w:after="0" w:line="238" w:lineRule="auto"/>
        <w:rPr>
          <w:sz w:val="20"/>
          <w:szCs w:val="20"/>
          <w:color w:val="auto"/>
        </w:rPr>
      </w:pPr>
      <w:r>
        <w:rPr>
          <w:rFonts w:ascii="Arial" w:cs="Arial" w:eastAsia="Arial" w:hAnsi="Arial"/>
          <w:sz w:val="22"/>
          <w:szCs w:val="22"/>
          <w:color w:val="auto"/>
        </w:rPr>
        <w:t>MERRILL LYNCH, PIERCE, FENNER &amp; SMITH INCORPORATED</w:t>
      </w:r>
    </w:p>
    <w:p>
      <w:pPr>
        <w:jc w:val="center"/>
        <w:spacing w:after="0" w:line="230" w:lineRule="auto"/>
        <w:rPr>
          <w:sz w:val="20"/>
          <w:szCs w:val="20"/>
          <w:color w:val="auto"/>
        </w:rPr>
      </w:pPr>
      <w:r>
        <w:rPr>
          <w:rFonts w:ascii="Arial" w:cs="Arial" w:eastAsia="Arial" w:hAnsi="Arial"/>
          <w:sz w:val="22"/>
          <w:szCs w:val="22"/>
          <w:color w:val="auto"/>
        </w:rPr>
        <w:t>and</w:t>
      </w:r>
    </w:p>
    <w:p>
      <w:pPr>
        <w:jc w:val="center"/>
        <w:spacing w:after="0" w:line="231" w:lineRule="auto"/>
        <w:rPr>
          <w:sz w:val="20"/>
          <w:szCs w:val="20"/>
          <w:color w:val="auto"/>
        </w:rPr>
      </w:pPr>
      <w:r>
        <w:rPr>
          <w:rFonts w:ascii="Arial" w:cs="Arial" w:eastAsia="Arial" w:hAnsi="Arial"/>
          <w:sz w:val="22"/>
          <w:szCs w:val="22"/>
          <w:color w:val="auto"/>
        </w:rPr>
        <w:t>MORGAN STANLEY SENIOR FUNDING,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80" w:type="dxa"/>
            <w:vAlign w:val="bottom"/>
          </w:tcPr>
          <w:p>
            <w:pPr>
              <w:spacing w:after="0"/>
              <w:rPr>
                <w:sz w:val="24"/>
                <w:szCs w:val="24"/>
                <w:color w:val="auto"/>
              </w:rPr>
            </w:pPr>
          </w:p>
        </w:tc>
        <w:tc>
          <w:tcPr>
            <w:tcW w:w="7700" w:type="dxa"/>
            <w:vAlign w:val="bottom"/>
          </w:tcPr>
          <w:p>
            <w:pPr>
              <w:ind w:left="2180"/>
              <w:spacing w:after="0"/>
              <w:rPr>
                <w:sz w:val="20"/>
                <w:szCs w:val="20"/>
                <w:color w:val="auto"/>
              </w:rPr>
            </w:pPr>
            <w:r>
              <w:rPr>
                <w:rFonts w:ascii="Arial" w:cs="Arial" w:eastAsia="Arial" w:hAnsi="Arial"/>
                <w:sz w:val="22"/>
                <w:szCs w:val="22"/>
                <w:b w:val="1"/>
                <w:bCs w:val="1"/>
                <w:color w:val="auto"/>
              </w:rPr>
              <w:t>TABLE OF CONTENTS</w:t>
            </w:r>
          </w:p>
        </w:tc>
        <w:tc>
          <w:tcPr>
            <w:tcW w:w="1340" w:type="dxa"/>
            <w:vAlign w:val="bottom"/>
          </w:tcPr>
          <w:p>
            <w:pPr>
              <w:spacing w:after="0"/>
              <w:rPr>
                <w:sz w:val="24"/>
                <w:szCs w:val="24"/>
                <w:color w:val="auto"/>
              </w:rPr>
            </w:pPr>
          </w:p>
        </w:tc>
      </w:tr>
      <w:tr>
        <w:trPr>
          <w:trHeight w:val="486"/>
        </w:trPr>
        <w:tc>
          <w:tcPr>
            <w:tcW w:w="23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86"/>
        </w:trPr>
        <w:tc>
          <w:tcPr>
            <w:tcW w:w="10080" w:type="dxa"/>
            <w:vAlign w:val="bottom"/>
            <w:gridSpan w:val="2"/>
          </w:tcPr>
          <w:p>
            <w:pPr>
              <w:spacing w:after="0"/>
              <w:rPr>
                <w:sz w:val="20"/>
                <w:szCs w:val="20"/>
                <w:color w:val="auto"/>
              </w:rPr>
            </w:pPr>
            <w:r>
              <w:rPr>
                <w:rFonts w:ascii="Arial" w:cs="Arial" w:eastAsia="Arial" w:hAnsi="Arial"/>
                <w:sz w:val="22"/>
                <w:szCs w:val="22"/>
                <w:color w:val="010000"/>
              </w:rPr>
              <w:t xml:space="preserve">ARTICLE I </w:t>
            </w:r>
            <w:r>
              <w:rPr>
                <w:rFonts w:ascii="Arial" w:cs="Arial" w:eastAsia="Arial" w:hAnsi="Arial"/>
                <w:sz w:val="22"/>
                <w:szCs w:val="22"/>
                <w:color w:val="000000"/>
              </w:rPr>
              <w:t>DEFINITIONS AND ACCOUNTING TERMS</w:t>
            </w:r>
          </w:p>
        </w:tc>
        <w:tc>
          <w:tcPr>
            <w:tcW w:w="13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1.01</w:t>
            </w:r>
          </w:p>
        </w:tc>
        <w:tc>
          <w:tcPr>
            <w:tcW w:w="7700" w:type="dxa"/>
            <w:vAlign w:val="bottom"/>
          </w:tcPr>
          <w:p>
            <w:pPr>
              <w:ind w:left="380"/>
              <w:spacing w:after="0"/>
              <w:rPr>
                <w:sz w:val="20"/>
                <w:szCs w:val="20"/>
                <w:color w:val="auto"/>
              </w:rPr>
            </w:pPr>
            <w:r>
              <w:rPr>
                <w:rFonts w:ascii="Arial" w:cs="Arial" w:eastAsia="Arial" w:hAnsi="Arial"/>
                <w:sz w:val="22"/>
                <w:szCs w:val="22"/>
                <w:color w:val="auto"/>
              </w:rPr>
              <w:t>Certain Defined Terms</w:t>
            </w:r>
          </w:p>
        </w:tc>
        <w:tc>
          <w:tcPr>
            <w:tcW w:w="13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1.02</w:t>
            </w:r>
          </w:p>
        </w:tc>
        <w:tc>
          <w:tcPr>
            <w:tcW w:w="7700" w:type="dxa"/>
            <w:vAlign w:val="bottom"/>
          </w:tcPr>
          <w:p>
            <w:pPr>
              <w:ind w:left="380"/>
              <w:spacing w:after="0"/>
              <w:rPr>
                <w:sz w:val="20"/>
                <w:szCs w:val="20"/>
                <w:color w:val="auto"/>
              </w:rPr>
            </w:pPr>
            <w:r>
              <w:rPr>
                <w:rFonts w:ascii="Arial" w:cs="Arial" w:eastAsia="Arial" w:hAnsi="Arial"/>
                <w:sz w:val="22"/>
                <w:szCs w:val="22"/>
                <w:color w:val="auto"/>
              </w:rPr>
              <w:t>Computation of Time Periods</w:t>
            </w:r>
          </w:p>
        </w:tc>
        <w:tc>
          <w:tcPr>
            <w:tcW w:w="1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1.03</w:t>
            </w:r>
          </w:p>
        </w:tc>
        <w:tc>
          <w:tcPr>
            <w:tcW w:w="7700" w:type="dxa"/>
            <w:vAlign w:val="bottom"/>
          </w:tcPr>
          <w:p>
            <w:pPr>
              <w:ind w:left="380"/>
              <w:spacing w:after="0"/>
              <w:rPr>
                <w:sz w:val="20"/>
                <w:szCs w:val="20"/>
                <w:color w:val="auto"/>
              </w:rPr>
            </w:pPr>
            <w:r>
              <w:rPr>
                <w:rFonts w:ascii="Arial" w:cs="Arial" w:eastAsia="Arial" w:hAnsi="Arial"/>
                <w:sz w:val="22"/>
                <w:szCs w:val="22"/>
                <w:color w:val="auto"/>
              </w:rPr>
              <w:t>Accounting Terms</w:t>
            </w:r>
          </w:p>
        </w:tc>
        <w:tc>
          <w:tcPr>
            <w:tcW w:w="1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1.04</w:t>
            </w:r>
          </w:p>
        </w:tc>
        <w:tc>
          <w:tcPr>
            <w:tcW w:w="7700" w:type="dxa"/>
            <w:vAlign w:val="bottom"/>
          </w:tcPr>
          <w:p>
            <w:pPr>
              <w:ind w:left="380"/>
              <w:spacing w:after="0"/>
              <w:rPr>
                <w:sz w:val="20"/>
                <w:szCs w:val="20"/>
                <w:color w:val="auto"/>
              </w:rPr>
            </w:pPr>
            <w:r>
              <w:rPr>
                <w:rFonts w:ascii="Arial" w:cs="Arial" w:eastAsia="Arial" w:hAnsi="Arial"/>
                <w:sz w:val="22"/>
                <w:szCs w:val="22"/>
                <w:color w:val="auto"/>
              </w:rPr>
              <w:t>Terms Generally</w:t>
            </w:r>
          </w:p>
        </w:tc>
        <w:tc>
          <w:tcPr>
            <w:tcW w:w="1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1.05</w:t>
            </w:r>
          </w:p>
        </w:tc>
        <w:tc>
          <w:tcPr>
            <w:tcW w:w="7700" w:type="dxa"/>
            <w:vAlign w:val="bottom"/>
          </w:tcPr>
          <w:p>
            <w:pPr>
              <w:ind w:left="380"/>
              <w:spacing w:after="0"/>
              <w:rPr>
                <w:sz w:val="20"/>
                <w:szCs w:val="20"/>
                <w:color w:val="auto"/>
              </w:rPr>
            </w:pPr>
            <w:r>
              <w:rPr>
                <w:rFonts w:ascii="Arial" w:cs="Arial" w:eastAsia="Arial" w:hAnsi="Arial"/>
                <w:sz w:val="22"/>
                <w:szCs w:val="22"/>
                <w:color w:val="auto"/>
              </w:rPr>
              <w:t>Currency Translations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10080" w:type="dxa"/>
            <w:vAlign w:val="bottom"/>
            <w:gridSpan w:val="2"/>
          </w:tcPr>
          <w:p>
            <w:pPr>
              <w:spacing w:after="0"/>
              <w:rPr>
                <w:sz w:val="20"/>
                <w:szCs w:val="20"/>
                <w:color w:val="auto"/>
              </w:rPr>
            </w:pPr>
            <w:r>
              <w:rPr>
                <w:rFonts w:ascii="Arial" w:cs="Arial" w:eastAsia="Arial" w:hAnsi="Arial"/>
                <w:sz w:val="22"/>
                <w:szCs w:val="22"/>
                <w:color w:val="010000"/>
              </w:rPr>
              <w:t xml:space="preserve">ARTICLE II </w:t>
            </w:r>
            <w:r>
              <w:rPr>
                <w:rFonts w:ascii="Arial" w:cs="Arial" w:eastAsia="Arial" w:hAnsi="Arial"/>
                <w:sz w:val="22"/>
                <w:szCs w:val="22"/>
                <w:color w:val="000000"/>
              </w:rPr>
              <w:t>AMOUNTS AND TERMS OF THE ADVANCES</w:t>
            </w:r>
          </w:p>
        </w:tc>
        <w:tc>
          <w:tcPr>
            <w:tcW w:w="1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2.01</w:t>
            </w:r>
          </w:p>
        </w:tc>
        <w:tc>
          <w:tcPr>
            <w:tcW w:w="7700" w:type="dxa"/>
            <w:vAlign w:val="bottom"/>
          </w:tcPr>
          <w:p>
            <w:pPr>
              <w:ind w:left="380"/>
              <w:spacing w:after="0"/>
              <w:rPr>
                <w:sz w:val="20"/>
                <w:szCs w:val="20"/>
                <w:color w:val="auto"/>
              </w:rPr>
            </w:pPr>
            <w:r>
              <w:rPr>
                <w:rFonts w:ascii="Arial" w:cs="Arial" w:eastAsia="Arial" w:hAnsi="Arial"/>
                <w:sz w:val="22"/>
                <w:szCs w:val="22"/>
                <w:color w:val="auto"/>
              </w:rPr>
              <w:t>The Advances</w:t>
            </w:r>
          </w:p>
        </w:tc>
        <w:tc>
          <w:tcPr>
            <w:tcW w:w="1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2.02</w:t>
            </w:r>
          </w:p>
        </w:tc>
        <w:tc>
          <w:tcPr>
            <w:tcW w:w="7700" w:type="dxa"/>
            <w:vAlign w:val="bottom"/>
          </w:tcPr>
          <w:p>
            <w:pPr>
              <w:ind w:left="380"/>
              <w:spacing w:after="0"/>
              <w:rPr>
                <w:sz w:val="20"/>
                <w:szCs w:val="20"/>
                <w:color w:val="auto"/>
              </w:rPr>
            </w:pPr>
            <w:r>
              <w:rPr>
                <w:rFonts w:ascii="Arial" w:cs="Arial" w:eastAsia="Arial" w:hAnsi="Arial"/>
                <w:sz w:val="22"/>
                <w:szCs w:val="22"/>
                <w:color w:val="auto"/>
              </w:rPr>
              <w:t>Making the Advances</w:t>
            </w:r>
          </w:p>
        </w:tc>
        <w:tc>
          <w:tcPr>
            <w:tcW w:w="1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2.03</w:t>
            </w:r>
          </w:p>
        </w:tc>
        <w:tc>
          <w:tcPr>
            <w:tcW w:w="7700" w:type="dxa"/>
            <w:vAlign w:val="bottom"/>
          </w:tcPr>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2380" w:type="dxa"/>
            <w:vAlign w:val="bottom"/>
          </w:tcPr>
          <w:p>
            <w:pPr>
              <w:ind w:left="660"/>
              <w:spacing w:after="0"/>
              <w:rPr>
                <w:sz w:val="20"/>
                <w:szCs w:val="20"/>
                <w:color w:val="auto"/>
              </w:rPr>
            </w:pPr>
            <w:r>
              <w:rPr>
                <w:rFonts w:ascii="Arial" w:cs="Arial" w:eastAsia="Arial" w:hAnsi="Arial"/>
                <w:sz w:val="22"/>
                <w:szCs w:val="22"/>
                <w:color w:val="010000"/>
              </w:rPr>
              <w:t>SECTION 2.04</w:t>
            </w:r>
          </w:p>
        </w:tc>
        <w:tc>
          <w:tcPr>
            <w:tcW w:w="7700" w:type="dxa"/>
            <w:vAlign w:val="bottom"/>
          </w:tcPr>
          <w:p>
            <w:pPr>
              <w:ind w:left="380"/>
              <w:spacing w:after="0"/>
              <w:rPr>
                <w:sz w:val="20"/>
                <w:szCs w:val="20"/>
                <w:color w:val="auto"/>
              </w:rPr>
            </w:pPr>
            <w:r>
              <w:rPr>
                <w:rFonts w:ascii="Arial" w:cs="Arial" w:eastAsia="Arial" w:hAnsi="Arial"/>
                <w:sz w:val="22"/>
                <w:szCs w:val="22"/>
                <w:color w:val="auto"/>
              </w:rPr>
              <w:t>Fees</w:t>
            </w:r>
          </w:p>
        </w:tc>
        <w:tc>
          <w:tcPr>
            <w:tcW w:w="13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55"/>
        </w:trPr>
        <w:tc>
          <w:tcPr>
            <w:tcW w:w="2380" w:type="dxa"/>
            <w:vAlign w:val="bottom"/>
          </w:tcPr>
          <w:p>
            <w:pPr>
              <w:ind w:left="660"/>
              <w:spacing w:after="0"/>
              <w:rPr>
                <w:sz w:val="20"/>
                <w:szCs w:val="20"/>
                <w:color w:val="auto"/>
              </w:rPr>
            </w:pPr>
            <w:r>
              <w:rPr>
                <w:rFonts w:ascii="Arial" w:cs="Arial" w:eastAsia="Arial" w:hAnsi="Arial"/>
                <w:sz w:val="22"/>
                <w:szCs w:val="22"/>
                <w:color w:val="010000"/>
              </w:rPr>
              <w:t>SECTION 2.05</w:t>
            </w:r>
          </w:p>
        </w:tc>
        <w:tc>
          <w:tcPr>
            <w:tcW w:w="7700" w:type="dxa"/>
            <w:vAlign w:val="bottom"/>
          </w:tcPr>
          <w:p>
            <w:pPr>
              <w:ind w:left="380"/>
              <w:spacing w:after="0"/>
              <w:rPr>
                <w:sz w:val="20"/>
                <w:szCs w:val="20"/>
                <w:color w:val="auto"/>
              </w:rPr>
            </w:pPr>
            <w:r>
              <w:rPr>
                <w:rFonts w:ascii="Arial" w:cs="Arial" w:eastAsia="Arial" w:hAnsi="Arial"/>
                <w:sz w:val="22"/>
                <w:szCs w:val="22"/>
                <w:color w:val="auto"/>
              </w:rPr>
              <w:t>Termination, Reduction or Increase of the Commitments; Extension of the</w:t>
            </w:r>
          </w:p>
        </w:tc>
        <w:tc>
          <w:tcPr>
            <w:tcW w:w="1340" w:type="dxa"/>
            <w:vAlign w:val="bottom"/>
          </w:tcPr>
          <w:p>
            <w:pPr>
              <w:spacing w:after="0"/>
              <w:rPr>
                <w:sz w:val="24"/>
                <w:szCs w:val="24"/>
                <w:color w:val="auto"/>
              </w:rPr>
            </w:pPr>
          </w:p>
        </w:tc>
      </w:tr>
      <w:tr>
        <w:trPr>
          <w:trHeight w:val="275"/>
        </w:trPr>
        <w:tc>
          <w:tcPr>
            <w:tcW w:w="2380" w:type="dxa"/>
            <w:vAlign w:val="bottom"/>
          </w:tcPr>
          <w:p>
            <w:pPr>
              <w:spacing w:after="0"/>
              <w:rPr>
                <w:sz w:val="23"/>
                <w:szCs w:val="23"/>
                <w:color w:val="auto"/>
              </w:rPr>
            </w:pPr>
          </w:p>
        </w:tc>
        <w:tc>
          <w:tcPr>
            <w:tcW w:w="7700" w:type="dxa"/>
            <w:vAlign w:val="bottom"/>
          </w:tcPr>
          <w:p>
            <w:pPr>
              <w:ind w:left="380"/>
              <w:spacing w:after="0"/>
              <w:rPr>
                <w:sz w:val="20"/>
                <w:szCs w:val="20"/>
                <w:color w:val="auto"/>
              </w:rPr>
            </w:pPr>
            <w:r>
              <w:rPr>
                <w:rFonts w:ascii="Arial" w:cs="Arial" w:eastAsia="Arial" w:hAnsi="Arial"/>
                <w:sz w:val="22"/>
                <w:szCs w:val="22"/>
                <w:color w:val="auto"/>
              </w:rPr>
              <w:t>Commitment Termination Date</w:t>
            </w:r>
          </w:p>
        </w:tc>
        <w:tc>
          <w:tcPr>
            <w:tcW w:w="1340" w:type="dxa"/>
            <w:vAlign w:val="bottom"/>
          </w:tcPr>
          <w:p>
            <w:pPr>
              <w:jc w:val="right"/>
              <w:spacing w:after="0"/>
              <w:rPr>
                <w:sz w:val="20"/>
                <w:szCs w:val="20"/>
                <w:color w:val="auto"/>
              </w:rPr>
            </w:pPr>
            <w:r>
              <w:rPr>
                <w:rFonts w:ascii="Arial" w:cs="Arial" w:eastAsia="Arial" w:hAnsi="Arial"/>
                <w:sz w:val="22"/>
                <w:szCs w:val="22"/>
                <w:color w:val="auto"/>
              </w:rPr>
              <w:t>26</w:t>
            </w:r>
          </w:p>
        </w:tc>
      </w:tr>
    </w:tbl>
    <w:p>
      <w:pPr>
        <w:sectPr>
          <w:pgSz w:w="11900" w:h="16838" w:orient="portrait"/>
          <w:cols w:equalWidth="0" w:num="1">
            <w:col w:w="11420"/>
          </w:cols>
          <w:pgMar w:left="240" w:top="112" w:right="239" w:bottom="0" w:gutter="0" w:footer="0" w:header="0"/>
        </w:sectPr>
      </w:pPr>
    </w:p>
    <w:bookmarkStart w:id="4" w:name="page5"/>
    <w:bookmarkEnd w:id="4"/>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2.06</w:t>
            </w:r>
          </w:p>
        </w:tc>
        <w:tc>
          <w:tcPr>
            <w:tcW w:w="6720" w:type="dxa"/>
            <w:vAlign w:val="bottom"/>
          </w:tcPr>
          <w:p>
            <w:pPr>
              <w:ind w:left="60"/>
              <w:spacing w:after="0"/>
              <w:rPr>
                <w:sz w:val="20"/>
                <w:szCs w:val="20"/>
                <w:color w:val="auto"/>
              </w:rPr>
            </w:pPr>
            <w:r>
              <w:rPr>
                <w:rFonts w:ascii="Arial" w:cs="Arial" w:eastAsia="Arial" w:hAnsi="Arial"/>
                <w:sz w:val="22"/>
                <w:szCs w:val="22"/>
                <w:color w:val="auto"/>
              </w:rPr>
              <w:t>Repayment of Advances</w:t>
            </w:r>
          </w:p>
        </w:tc>
        <w:tc>
          <w:tcPr>
            <w:tcW w:w="20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2.07</w:t>
            </w:r>
          </w:p>
        </w:tc>
        <w:tc>
          <w:tcPr>
            <w:tcW w:w="6720" w:type="dxa"/>
            <w:vAlign w:val="bottom"/>
          </w:tcPr>
          <w:p>
            <w:pPr>
              <w:ind w:left="60"/>
              <w:spacing w:after="0"/>
              <w:rPr>
                <w:sz w:val="20"/>
                <w:szCs w:val="20"/>
                <w:color w:val="auto"/>
              </w:rPr>
            </w:pPr>
            <w:r>
              <w:rPr>
                <w:rFonts w:ascii="Arial" w:cs="Arial" w:eastAsia="Arial" w:hAnsi="Arial"/>
                <w:sz w:val="22"/>
                <w:szCs w:val="22"/>
                <w:color w:val="auto"/>
              </w:rPr>
              <w:t>Interest on Advances</w:t>
            </w:r>
          </w:p>
        </w:tc>
        <w:tc>
          <w:tcPr>
            <w:tcW w:w="20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2.08</w:t>
            </w:r>
          </w:p>
        </w:tc>
        <w:tc>
          <w:tcPr>
            <w:tcW w:w="6720" w:type="dxa"/>
            <w:vAlign w:val="bottom"/>
          </w:tcPr>
          <w:p>
            <w:pPr>
              <w:ind w:left="60"/>
              <w:spacing w:after="0"/>
              <w:rPr>
                <w:sz w:val="20"/>
                <w:szCs w:val="20"/>
                <w:color w:val="auto"/>
              </w:rPr>
            </w:pPr>
            <w:r>
              <w:rPr>
                <w:rFonts w:ascii="Arial" w:cs="Arial" w:eastAsia="Arial" w:hAnsi="Arial"/>
                <w:sz w:val="22"/>
                <w:szCs w:val="22"/>
                <w:color w:val="auto"/>
              </w:rPr>
              <w:t>Interest Rate Determination</w:t>
            </w:r>
          </w:p>
        </w:tc>
        <w:tc>
          <w:tcPr>
            <w:tcW w:w="20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2.09</w:t>
            </w:r>
          </w:p>
        </w:tc>
        <w:tc>
          <w:tcPr>
            <w:tcW w:w="6720" w:type="dxa"/>
            <w:vAlign w:val="bottom"/>
          </w:tcPr>
          <w:p>
            <w:pPr>
              <w:ind w:left="60"/>
              <w:spacing w:after="0"/>
              <w:rPr>
                <w:sz w:val="20"/>
                <w:szCs w:val="20"/>
                <w:color w:val="auto"/>
              </w:rPr>
            </w:pPr>
            <w:r>
              <w:rPr>
                <w:rFonts w:ascii="Arial" w:cs="Arial" w:eastAsia="Arial" w:hAnsi="Arial"/>
                <w:sz w:val="22"/>
                <w:szCs w:val="22"/>
                <w:color w:val="auto"/>
              </w:rPr>
              <w:t>Optional Conversion of Advances</w:t>
            </w:r>
          </w:p>
        </w:tc>
        <w:tc>
          <w:tcPr>
            <w:tcW w:w="20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2.10</w:t>
            </w:r>
          </w:p>
        </w:tc>
        <w:tc>
          <w:tcPr>
            <w:tcW w:w="6720" w:type="dxa"/>
            <w:vAlign w:val="bottom"/>
          </w:tcPr>
          <w:p>
            <w:pPr>
              <w:ind w:left="60"/>
              <w:spacing w:after="0"/>
              <w:rPr>
                <w:sz w:val="20"/>
                <w:szCs w:val="20"/>
                <w:color w:val="auto"/>
              </w:rPr>
            </w:pPr>
            <w:r>
              <w:rPr>
                <w:rFonts w:ascii="Arial" w:cs="Arial" w:eastAsia="Arial" w:hAnsi="Arial"/>
                <w:sz w:val="22"/>
                <w:szCs w:val="22"/>
                <w:color w:val="auto"/>
              </w:rPr>
              <w:t>Optional and Mandatory Prepayments of Advances</w:t>
            </w:r>
          </w:p>
        </w:tc>
        <w:tc>
          <w:tcPr>
            <w:tcW w:w="20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2.11</w:t>
            </w:r>
          </w:p>
        </w:tc>
        <w:tc>
          <w:tcPr>
            <w:tcW w:w="6720" w:type="dxa"/>
            <w:vAlign w:val="bottom"/>
          </w:tcPr>
          <w:p>
            <w:pPr>
              <w:ind w:left="60"/>
              <w:spacing w:after="0"/>
              <w:rPr>
                <w:sz w:val="20"/>
                <w:szCs w:val="20"/>
                <w:color w:val="auto"/>
              </w:rPr>
            </w:pPr>
            <w:r>
              <w:rPr>
                <w:rFonts w:ascii="Arial" w:cs="Arial" w:eastAsia="Arial" w:hAnsi="Arial"/>
                <w:sz w:val="22"/>
                <w:szCs w:val="22"/>
                <w:color w:val="auto"/>
              </w:rPr>
              <w:t>Increased Costs</w:t>
            </w:r>
          </w:p>
        </w:tc>
        <w:tc>
          <w:tcPr>
            <w:tcW w:w="20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2.12</w:t>
            </w:r>
          </w:p>
        </w:tc>
        <w:tc>
          <w:tcPr>
            <w:tcW w:w="6720" w:type="dxa"/>
            <w:vAlign w:val="bottom"/>
          </w:tcPr>
          <w:p>
            <w:pPr>
              <w:ind w:left="60"/>
              <w:spacing w:after="0"/>
              <w:rPr>
                <w:sz w:val="20"/>
                <w:szCs w:val="20"/>
                <w:color w:val="auto"/>
              </w:rPr>
            </w:pPr>
            <w:r>
              <w:rPr>
                <w:rFonts w:ascii="Arial" w:cs="Arial" w:eastAsia="Arial" w:hAnsi="Arial"/>
                <w:sz w:val="22"/>
                <w:szCs w:val="22"/>
                <w:color w:val="auto"/>
              </w:rPr>
              <w:t>Illegality</w:t>
            </w:r>
          </w:p>
        </w:tc>
        <w:tc>
          <w:tcPr>
            <w:tcW w:w="20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2.13</w:t>
            </w:r>
          </w:p>
        </w:tc>
        <w:tc>
          <w:tcPr>
            <w:tcW w:w="6720" w:type="dxa"/>
            <w:vAlign w:val="bottom"/>
          </w:tcPr>
          <w:p>
            <w:pPr>
              <w:ind w:left="60"/>
              <w:spacing w:after="0"/>
              <w:rPr>
                <w:sz w:val="20"/>
                <w:szCs w:val="20"/>
                <w:color w:val="auto"/>
              </w:rPr>
            </w:pPr>
            <w:r>
              <w:rPr>
                <w:rFonts w:ascii="Arial" w:cs="Arial" w:eastAsia="Arial" w:hAnsi="Arial"/>
                <w:sz w:val="22"/>
                <w:szCs w:val="22"/>
                <w:color w:val="auto"/>
              </w:rPr>
              <w:t>Payments and Computations</w:t>
            </w:r>
          </w:p>
        </w:tc>
        <w:tc>
          <w:tcPr>
            <w:tcW w:w="20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2.14</w:t>
            </w:r>
          </w:p>
        </w:tc>
        <w:tc>
          <w:tcPr>
            <w:tcW w:w="6720" w:type="dxa"/>
            <w:vAlign w:val="bottom"/>
          </w:tcPr>
          <w:p>
            <w:pPr>
              <w:ind w:left="60"/>
              <w:spacing w:after="0"/>
              <w:rPr>
                <w:sz w:val="20"/>
                <w:szCs w:val="20"/>
                <w:color w:val="auto"/>
              </w:rPr>
            </w:pPr>
            <w:r>
              <w:rPr>
                <w:rFonts w:ascii="Arial" w:cs="Arial" w:eastAsia="Arial" w:hAnsi="Arial"/>
                <w:sz w:val="22"/>
                <w:szCs w:val="22"/>
                <w:color w:val="auto"/>
              </w:rPr>
              <w:t>Taxes</w:t>
            </w:r>
          </w:p>
        </w:tc>
        <w:tc>
          <w:tcPr>
            <w:tcW w:w="20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2.15</w:t>
            </w:r>
          </w:p>
        </w:tc>
        <w:tc>
          <w:tcPr>
            <w:tcW w:w="6720" w:type="dxa"/>
            <w:vAlign w:val="bottom"/>
          </w:tcPr>
          <w:p>
            <w:pPr>
              <w:ind w:left="60"/>
              <w:spacing w:after="0"/>
              <w:rPr>
                <w:sz w:val="20"/>
                <w:szCs w:val="20"/>
                <w:color w:val="auto"/>
              </w:rPr>
            </w:pPr>
            <w:r>
              <w:rPr>
                <w:rFonts w:ascii="Arial" w:cs="Arial" w:eastAsia="Arial" w:hAnsi="Arial"/>
                <w:sz w:val="22"/>
                <w:szCs w:val="22"/>
                <w:color w:val="auto"/>
              </w:rPr>
              <w:t>Sharing of Payments, Etc.</w:t>
            </w:r>
          </w:p>
        </w:tc>
        <w:tc>
          <w:tcPr>
            <w:tcW w:w="20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2.16</w:t>
            </w:r>
          </w:p>
        </w:tc>
        <w:tc>
          <w:tcPr>
            <w:tcW w:w="6720" w:type="dxa"/>
            <w:vAlign w:val="bottom"/>
          </w:tcPr>
          <w:p>
            <w:pPr>
              <w:ind w:left="60"/>
              <w:spacing w:after="0"/>
              <w:rPr>
                <w:sz w:val="20"/>
                <w:szCs w:val="20"/>
                <w:color w:val="auto"/>
              </w:rPr>
            </w:pPr>
            <w:r>
              <w:rPr>
                <w:rFonts w:ascii="Arial" w:cs="Arial" w:eastAsia="Arial" w:hAnsi="Arial"/>
                <w:sz w:val="22"/>
                <w:szCs w:val="22"/>
                <w:color w:val="auto"/>
              </w:rPr>
              <w:t>Use of Proceeds</w:t>
            </w:r>
          </w:p>
        </w:tc>
        <w:tc>
          <w:tcPr>
            <w:tcW w:w="20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86"/>
        </w:trPr>
        <w:tc>
          <w:tcPr>
            <w:tcW w:w="2700" w:type="dxa"/>
            <w:vAlign w:val="bottom"/>
          </w:tcPr>
          <w:p>
            <w:pPr>
              <w:spacing w:after="0"/>
              <w:rPr>
                <w:sz w:val="24"/>
                <w:szCs w:val="24"/>
                <w:color w:val="auto"/>
              </w:rPr>
            </w:pPr>
          </w:p>
        </w:tc>
        <w:tc>
          <w:tcPr>
            <w:tcW w:w="6720" w:type="dxa"/>
            <w:vAlign w:val="bottom"/>
          </w:tcPr>
          <w:p>
            <w:pPr>
              <w:ind w:left="2980"/>
              <w:spacing w:after="0"/>
              <w:rPr>
                <w:sz w:val="20"/>
                <w:szCs w:val="20"/>
                <w:color w:val="auto"/>
              </w:rPr>
            </w:pPr>
            <w:r>
              <w:rPr>
                <w:rFonts w:ascii="Arial" w:cs="Arial" w:eastAsia="Arial" w:hAnsi="Arial"/>
                <w:sz w:val="22"/>
                <w:szCs w:val="22"/>
                <w:color w:val="auto"/>
              </w:rPr>
              <w:t>i</w:t>
            </w:r>
          </w:p>
        </w:tc>
        <w:tc>
          <w:tcPr>
            <w:tcW w:w="2040" w:type="dxa"/>
            <w:vAlign w:val="bottom"/>
          </w:tcPr>
          <w:p>
            <w:pPr>
              <w:spacing w:after="0"/>
              <w:rPr>
                <w:sz w:val="24"/>
                <w:szCs w:val="24"/>
                <w:color w:val="auto"/>
              </w:rPr>
            </w:pPr>
          </w:p>
        </w:tc>
      </w:tr>
      <w:tr>
        <w:trPr>
          <w:trHeight w:val="122"/>
        </w:trPr>
        <w:tc>
          <w:tcPr>
            <w:tcW w:w="2700" w:type="dxa"/>
            <w:vAlign w:val="bottom"/>
            <w:tcBorders>
              <w:bottom w:val="single" w:sz="8" w:color="808080"/>
            </w:tcBorders>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r>
      <w:tr>
        <w:trPr>
          <w:trHeight w:val="844"/>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2.17</w:t>
            </w:r>
          </w:p>
        </w:tc>
        <w:tc>
          <w:tcPr>
            <w:tcW w:w="6720" w:type="dxa"/>
            <w:vAlign w:val="bottom"/>
          </w:tcPr>
          <w:p>
            <w:pPr>
              <w:ind w:left="60"/>
              <w:spacing w:after="0"/>
              <w:rPr>
                <w:sz w:val="20"/>
                <w:szCs w:val="20"/>
                <w:color w:val="auto"/>
              </w:rPr>
            </w:pPr>
            <w:r>
              <w:rPr>
                <w:rFonts w:ascii="Arial" w:cs="Arial" w:eastAsia="Arial" w:hAnsi="Arial"/>
                <w:sz w:val="22"/>
                <w:szCs w:val="22"/>
                <w:color w:val="auto"/>
              </w:rPr>
              <w:t>Evidence of Debt</w:t>
            </w:r>
          </w:p>
        </w:tc>
        <w:tc>
          <w:tcPr>
            <w:tcW w:w="20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2.18</w:t>
            </w:r>
          </w:p>
        </w:tc>
        <w:tc>
          <w:tcPr>
            <w:tcW w:w="6720" w:type="dxa"/>
            <w:vAlign w:val="bottom"/>
          </w:tcPr>
          <w:p>
            <w:pPr>
              <w:ind w:left="60"/>
              <w:spacing w:after="0"/>
              <w:rPr>
                <w:sz w:val="20"/>
                <w:szCs w:val="20"/>
                <w:color w:val="auto"/>
              </w:rPr>
            </w:pPr>
            <w:r>
              <w:rPr>
                <w:rFonts w:ascii="Arial" w:cs="Arial" w:eastAsia="Arial" w:hAnsi="Arial"/>
                <w:sz w:val="22"/>
                <w:szCs w:val="22"/>
                <w:color w:val="auto"/>
              </w:rPr>
              <w:t>Defaulting Lenders</w:t>
            </w:r>
          </w:p>
        </w:tc>
        <w:tc>
          <w:tcPr>
            <w:tcW w:w="20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auto"/>
                <w:w w:val="91"/>
              </w:rPr>
              <w:t>SECTION 2.19</w:t>
            </w:r>
          </w:p>
        </w:tc>
        <w:tc>
          <w:tcPr>
            <w:tcW w:w="6720" w:type="dxa"/>
            <w:vAlign w:val="bottom"/>
          </w:tcPr>
          <w:p>
            <w:pPr>
              <w:ind w:left="60"/>
              <w:spacing w:after="0"/>
              <w:rPr>
                <w:sz w:val="20"/>
                <w:szCs w:val="20"/>
                <w:color w:val="auto"/>
              </w:rPr>
            </w:pPr>
            <w:r>
              <w:rPr>
                <w:rFonts w:ascii="Arial" w:cs="Arial" w:eastAsia="Arial" w:hAnsi="Arial"/>
                <w:sz w:val="22"/>
                <w:szCs w:val="22"/>
                <w:color w:val="auto"/>
              </w:rPr>
              <w:t>Mitigation</w:t>
            </w:r>
          </w:p>
        </w:tc>
        <w:tc>
          <w:tcPr>
            <w:tcW w:w="20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86"/>
        </w:trPr>
        <w:tc>
          <w:tcPr>
            <w:tcW w:w="9420" w:type="dxa"/>
            <w:vAlign w:val="bottom"/>
            <w:gridSpan w:val="2"/>
          </w:tcPr>
          <w:p>
            <w:pPr>
              <w:spacing w:after="0"/>
              <w:rPr>
                <w:sz w:val="20"/>
                <w:szCs w:val="20"/>
                <w:color w:val="auto"/>
              </w:rPr>
            </w:pPr>
            <w:r>
              <w:rPr>
                <w:rFonts w:ascii="Arial" w:cs="Arial" w:eastAsia="Arial" w:hAnsi="Arial"/>
                <w:sz w:val="22"/>
                <w:szCs w:val="22"/>
                <w:color w:val="010000"/>
              </w:rPr>
              <w:t xml:space="preserve">ARTICLE III </w:t>
            </w:r>
            <w:r>
              <w:rPr>
                <w:rFonts w:ascii="Arial" w:cs="Arial" w:eastAsia="Arial" w:hAnsi="Arial"/>
                <w:sz w:val="22"/>
                <w:szCs w:val="22"/>
                <w:color w:val="000000"/>
              </w:rPr>
              <w:t>CONDITIONS TO EFFECTIVENESS AND LENDING</w:t>
            </w:r>
          </w:p>
        </w:tc>
        <w:tc>
          <w:tcPr>
            <w:tcW w:w="20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3.01</w:t>
            </w:r>
          </w:p>
        </w:tc>
        <w:tc>
          <w:tcPr>
            <w:tcW w:w="6720" w:type="dxa"/>
            <w:vAlign w:val="bottom"/>
          </w:tcPr>
          <w:p>
            <w:pPr>
              <w:ind w:left="60"/>
              <w:spacing w:after="0"/>
              <w:rPr>
                <w:sz w:val="20"/>
                <w:szCs w:val="20"/>
                <w:color w:val="auto"/>
              </w:rPr>
            </w:pPr>
            <w:r>
              <w:rPr>
                <w:rFonts w:ascii="Arial" w:cs="Arial" w:eastAsia="Arial" w:hAnsi="Arial"/>
                <w:sz w:val="22"/>
                <w:szCs w:val="22"/>
                <w:color w:val="auto"/>
              </w:rPr>
              <w:t>Conditions Precedent to Effective Date</w:t>
            </w:r>
          </w:p>
        </w:tc>
        <w:tc>
          <w:tcPr>
            <w:tcW w:w="20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3.02</w:t>
            </w:r>
          </w:p>
        </w:tc>
        <w:tc>
          <w:tcPr>
            <w:tcW w:w="6720" w:type="dxa"/>
            <w:vAlign w:val="bottom"/>
          </w:tcPr>
          <w:p>
            <w:pPr>
              <w:ind w:left="60"/>
              <w:spacing w:after="0"/>
              <w:rPr>
                <w:sz w:val="20"/>
                <w:szCs w:val="20"/>
                <w:color w:val="auto"/>
              </w:rPr>
            </w:pPr>
            <w:r>
              <w:rPr>
                <w:rFonts w:ascii="Arial" w:cs="Arial" w:eastAsia="Arial" w:hAnsi="Arial"/>
                <w:sz w:val="22"/>
                <w:szCs w:val="22"/>
                <w:color w:val="auto"/>
              </w:rPr>
              <w:t>[Reserved]</w:t>
            </w:r>
          </w:p>
        </w:tc>
        <w:tc>
          <w:tcPr>
            <w:tcW w:w="20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3.03</w:t>
            </w:r>
          </w:p>
        </w:tc>
        <w:tc>
          <w:tcPr>
            <w:tcW w:w="6720" w:type="dxa"/>
            <w:vAlign w:val="bottom"/>
          </w:tcPr>
          <w:p>
            <w:pPr>
              <w:ind w:left="60"/>
              <w:spacing w:after="0"/>
              <w:rPr>
                <w:sz w:val="20"/>
                <w:szCs w:val="20"/>
                <w:color w:val="auto"/>
              </w:rPr>
            </w:pPr>
            <w:r>
              <w:rPr>
                <w:rFonts w:ascii="Arial" w:cs="Arial" w:eastAsia="Arial" w:hAnsi="Arial"/>
                <w:sz w:val="22"/>
                <w:szCs w:val="22"/>
                <w:color w:val="auto"/>
              </w:rPr>
              <w:t>Conditions to Advances on and after the Effective Date</w:t>
            </w:r>
          </w:p>
        </w:tc>
        <w:tc>
          <w:tcPr>
            <w:tcW w:w="20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486"/>
        </w:trPr>
        <w:tc>
          <w:tcPr>
            <w:tcW w:w="9420" w:type="dxa"/>
            <w:vAlign w:val="bottom"/>
            <w:gridSpan w:val="2"/>
          </w:tcPr>
          <w:p>
            <w:pPr>
              <w:spacing w:after="0"/>
              <w:rPr>
                <w:sz w:val="20"/>
                <w:szCs w:val="20"/>
                <w:color w:val="auto"/>
              </w:rPr>
            </w:pPr>
            <w:r>
              <w:rPr>
                <w:rFonts w:ascii="Arial" w:cs="Arial" w:eastAsia="Arial" w:hAnsi="Arial"/>
                <w:sz w:val="22"/>
                <w:szCs w:val="22"/>
                <w:color w:val="010000"/>
              </w:rPr>
              <w:t xml:space="preserve">ARTICLE IV </w:t>
            </w:r>
            <w:r>
              <w:rPr>
                <w:rFonts w:ascii="Arial" w:cs="Arial" w:eastAsia="Arial" w:hAnsi="Arial"/>
                <w:sz w:val="22"/>
                <w:szCs w:val="22"/>
                <w:color w:val="000000"/>
              </w:rPr>
              <w:t>REPRESENTATIONS AND WARRANTIES</w:t>
            </w:r>
          </w:p>
        </w:tc>
        <w:tc>
          <w:tcPr>
            <w:tcW w:w="20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4.01</w:t>
            </w:r>
          </w:p>
        </w:tc>
        <w:tc>
          <w:tcPr>
            <w:tcW w:w="6720" w:type="dxa"/>
            <w:vAlign w:val="bottom"/>
          </w:tcPr>
          <w:p>
            <w:pPr>
              <w:ind w:left="60"/>
              <w:spacing w:after="0"/>
              <w:rPr>
                <w:sz w:val="20"/>
                <w:szCs w:val="20"/>
                <w:color w:val="auto"/>
              </w:rPr>
            </w:pPr>
            <w:r>
              <w:rPr>
                <w:rFonts w:ascii="Arial" w:cs="Arial" w:eastAsia="Arial" w:hAnsi="Arial"/>
                <w:sz w:val="22"/>
                <w:szCs w:val="22"/>
                <w:color w:val="auto"/>
              </w:rPr>
              <w:t>Representations and Warranties</w:t>
            </w:r>
          </w:p>
        </w:tc>
        <w:tc>
          <w:tcPr>
            <w:tcW w:w="20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486"/>
        </w:trPr>
        <w:tc>
          <w:tcPr>
            <w:tcW w:w="2700" w:type="dxa"/>
            <w:vAlign w:val="bottom"/>
          </w:tcPr>
          <w:p>
            <w:pPr>
              <w:spacing w:after="0"/>
              <w:rPr>
                <w:sz w:val="20"/>
                <w:szCs w:val="20"/>
                <w:color w:val="auto"/>
              </w:rPr>
            </w:pPr>
            <w:r>
              <w:rPr>
                <w:rFonts w:ascii="Arial" w:cs="Arial" w:eastAsia="Arial" w:hAnsi="Arial"/>
                <w:sz w:val="22"/>
                <w:szCs w:val="22"/>
                <w:color w:val="010000"/>
              </w:rPr>
              <w:t xml:space="preserve">ARTICLE V </w:t>
            </w:r>
            <w:r>
              <w:rPr>
                <w:rFonts w:ascii="Arial" w:cs="Arial" w:eastAsia="Arial" w:hAnsi="Arial"/>
                <w:sz w:val="22"/>
                <w:szCs w:val="22"/>
                <w:color w:val="000000"/>
              </w:rPr>
              <w:t>COVENANTS</w:t>
            </w:r>
          </w:p>
        </w:tc>
        <w:tc>
          <w:tcPr>
            <w:tcW w:w="67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5.01</w:t>
            </w:r>
          </w:p>
        </w:tc>
        <w:tc>
          <w:tcPr>
            <w:tcW w:w="6720" w:type="dxa"/>
            <w:vAlign w:val="bottom"/>
          </w:tcPr>
          <w:p>
            <w:pPr>
              <w:ind w:left="60"/>
              <w:spacing w:after="0"/>
              <w:rPr>
                <w:sz w:val="20"/>
                <w:szCs w:val="20"/>
                <w:color w:val="auto"/>
              </w:rPr>
            </w:pPr>
            <w:r>
              <w:rPr>
                <w:rFonts w:ascii="Arial" w:cs="Arial" w:eastAsia="Arial" w:hAnsi="Arial"/>
                <w:sz w:val="22"/>
                <w:szCs w:val="22"/>
                <w:color w:val="auto"/>
              </w:rPr>
              <w:t>Affirmative Covenants</w:t>
            </w:r>
          </w:p>
        </w:tc>
        <w:tc>
          <w:tcPr>
            <w:tcW w:w="20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5.02</w:t>
            </w:r>
          </w:p>
        </w:tc>
        <w:tc>
          <w:tcPr>
            <w:tcW w:w="6720" w:type="dxa"/>
            <w:vAlign w:val="bottom"/>
          </w:tcPr>
          <w:p>
            <w:pPr>
              <w:ind w:left="60"/>
              <w:spacing w:after="0"/>
              <w:rPr>
                <w:sz w:val="20"/>
                <w:szCs w:val="20"/>
                <w:color w:val="auto"/>
              </w:rPr>
            </w:pPr>
            <w:r>
              <w:rPr>
                <w:rFonts w:ascii="Arial" w:cs="Arial" w:eastAsia="Arial" w:hAnsi="Arial"/>
                <w:sz w:val="22"/>
                <w:szCs w:val="22"/>
                <w:color w:val="auto"/>
              </w:rPr>
              <w:t>Negative Covenants</w:t>
            </w:r>
          </w:p>
        </w:tc>
        <w:tc>
          <w:tcPr>
            <w:tcW w:w="20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5.03</w:t>
            </w:r>
          </w:p>
        </w:tc>
        <w:tc>
          <w:tcPr>
            <w:tcW w:w="6720" w:type="dxa"/>
            <w:vAlign w:val="bottom"/>
          </w:tcPr>
          <w:p>
            <w:pPr>
              <w:ind w:left="60"/>
              <w:spacing w:after="0"/>
              <w:rPr>
                <w:sz w:val="20"/>
                <w:szCs w:val="20"/>
                <w:color w:val="auto"/>
              </w:rPr>
            </w:pPr>
            <w:r>
              <w:rPr>
                <w:rFonts w:ascii="Arial" w:cs="Arial" w:eastAsia="Arial" w:hAnsi="Arial"/>
                <w:sz w:val="22"/>
                <w:szCs w:val="22"/>
                <w:color w:val="auto"/>
              </w:rPr>
              <w:t>Financial Covenant</w:t>
            </w:r>
          </w:p>
        </w:tc>
        <w:tc>
          <w:tcPr>
            <w:tcW w:w="20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86"/>
        </w:trPr>
        <w:tc>
          <w:tcPr>
            <w:tcW w:w="9420" w:type="dxa"/>
            <w:vAlign w:val="bottom"/>
            <w:gridSpan w:val="2"/>
          </w:tcPr>
          <w:p>
            <w:pPr>
              <w:spacing w:after="0"/>
              <w:rPr>
                <w:sz w:val="20"/>
                <w:szCs w:val="20"/>
                <w:color w:val="auto"/>
              </w:rPr>
            </w:pPr>
            <w:r>
              <w:rPr>
                <w:rFonts w:ascii="Arial" w:cs="Arial" w:eastAsia="Arial" w:hAnsi="Arial"/>
                <w:sz w:val="22"/>
                <w:szCs w:val="22"/>
                <w:color w:val="010000"/>
              </w:rPr>
              <w:t xml:space="preserve">ARTICLE VI </w:t>
            </w:r>
            <w:r>
              <w:rPr>
                <w:rFonts w:ascii="Arial" w:cs="Arial" w:eastAsia="Arial" w:hAnsi="Arial"/>
                <w:sz w:val="22"/>
                <w:szCs w:val="22"/>
                <w:color w:val="000000"/>
              </w:rPr>
              <w:t>EVENTS OF DEFAULT</w:t>
            </w:r>
          </w:p>
        </w:tc>
        <w:tc>
          <w:tcPr>
            <w:tcW w:w="20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6.01</w:t>
            </w:r>
          </w:p>
        </w:tc>
        <w:tc>
          <w:tcPr>
            <w:tcW w:w="6720" w:type="dxa"/>
            <w:vAlign w:val="bottom"/>
          </w:tcPr>
          <w:p>
            <w:pPr>
              <w:ind w:left="60"/>
              <w:spacing w:after="0"/>
              <w:rPr>
                <w:sz w:val="20"/>
                <w:szCs w:val="20"/>
                <w:color w:val="auto"/>
              </w:rPr>
            </w:pPr>
            <w:r>
              <w:rPr>
                <w:rFonts w:ascii="Arial" w:cs="Arial" w:eastAsia="Arial" w:hAnsi="Arial"/>
                <w:sz w:val="22"/>
                <w:szCs w:val="22"/>
                <w:color w:val="auto"/>
              </w:rPr>
              <w:t>Events of Default</w:t>
            </w:r>
          </w:p>
        </w:tc>
        <w:tc>
          <w:tcPr>
            <w:tcW w:w="20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6"/>
              </w:rPr>
              <w:t xml:space="preserve">ARTICLE VII </w:t>
            </w:r>
            <w:r>
              <w:rPr>
                <w:rFonts w:ascii="Arial" w:cs="Arial" w:eastAsia="Arial" w:hAnsi="Arial"/>
                <w:sz w:val="22"/>
                <w:szCs w:val="22"/>
                <w:color w:val="000000"/>
                <w:w w:val="96"/>
              </w:rPr>
              <w:t>THE AGENTS</w:t>
            </w:r>
          </w:p>
        </w:tc>
        <w:tc>
          <w:tcPr>
            <w:tcW w:w="672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7.01</w:t>
            </w:r>
          </w:p>
        </w:tc>
        <w:tc>
          <w:tcPr>
            <w:tcW w:w="6720" w:type="dxa"/>
            <w:vAlign w:val="bottom"/>
          </w:tcPr>
          <w:p>
            <w:pPr>
              <w:ind w:left="60"/>
              <w:spacing w:after="0"/>
              <w:rPr>
                <w:sz w:val="20"/>
                <w:szCs w:val="20"/>
                <w:color w:val="auto"/>
              </w:rPr>
            </w:pPr>
            <w:r>
              <w:rPr>
                <w:rFonts w:ascii="Arial" w:cs="Arial" w:eastAsia="Arial" w:hAnsi="Arial"/>
                <w:sz w:val="22"/>
                <w:szCs w:val="22"/>
                <w:color w:val="auto"/>
              </w:rPr>
              <w:t>Authorization and Action</w:t>
            </w:r>
          </w:p>
        </w:tc>
        <w:tc>
          <w:tcPr>
            <w:tcW w:w="20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7.02</w:t>
            </w:r>
          </w:p>
        </w:tc>
        <w:tc>
          <w:tcPr>
            <w:tcW w:w="6720" w:type="dxa"/>
            <w:vAlign w:val="bottom"/>
          </w:tcPr>
          <w:p>
            <w:pPr>
              <w:ind w:left="60"/>
              <w:spacing w:after="0"/>
              <w:rPr>
                <w:sz w:val="20"/>
                <w:szCs w:val="20"/>
                <w:color w:val="auto"/>
              </w:rPr>
            </w:pPr>
            <w:r>
              <w:rPr>
                <w:rFonts w:ascii="Arial" w:cs="Arial" w:eastAsia="Arial" w:hAnsi="Arial"/>
                <w:sz w:val="22"/>
                <w:szCs w:val="22"/>
                <w:color w:val="auto"/>
              </w:rPr>
              <w:t>Administrative Agent Individually</w:t>
            </w:r>
          </w:p>
        </w:tc>
        <w:tc>
          <w:tcPr>
            <w:tcW w:w="20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7.03</w:t>
            </w:r>
          </w:p>
        </w:tc>
        <w:tc>
          <w:tcPr>
            <w:tcW w:w="6720" w:type="dxa"/>
            <w:vAlign w:val="bottom"/>
          </w:tcPr>
          <w:p>
            <w:pPr>
              <w:ind w:left="60"/>
              <w:spacing w:after="0"/>
              <w:rPr>
                <w:sz w:val="20"/>
                <w:szCs w:val="20"/>
                <w:color w:val="auto"/>
              </w:rPr>
            </w:pPr>
            <w:r>
              <w:rPr>
                <w:rFonts w:ascii="Arial" w:cs="Arial" w:eastAsia="Arial" w:hAnsi="Arial"/>
                <w:sz w:val="22"/>
                <w:szCs w:val="22"/>
                <w:color w:val="auto"/>
              </w:rPr>
              <w:t>Duties of Administrative Agent; Exculpatory Provisions</w:t>
            </w:r>
          </w:p>
        </w:tc>
        <w:tc>
          <w:tcPr>
            <w:tcW w:w="20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7.04</w:t>
            </w:r>
          </w:p>
        </w:tc>
        <w:tc>
          <w:tcPr>
            <w:tcW w:w="6720" w:type="dxa"/>
            <w:vAlign w:val="bottom"/>
          </w:tcPr>
          <w:p>
            <w:pPr>
              <w:ind w:left="60"/>
              <w:spacing w:after="0"/>
              <w:rPr>
                <w:sz w:val="20"/>
                <w:szCs w:val="20"/>
                <w:color w:val="auto"/>
              </w:rPr>
            </w:pPr>
            <w:r>
              <w:rPr>
                <w:rFonts w:ascii="Arial" w:cs="Arial" w:eastAsia="Arial" w:hAnsi="Arial"/>
                <w:sz w:val="22"/>
                <w:szCs w:val="22"/>
                <w:color w:val="auto"/>
              </w:rPr>
              <w:t>Reliance by Administrative Agent</w:t>
            </w:r>
          </w:p>
        </w:tc>
        <w:tc>
          <w:tcPr>
            <w:tcW w:w="20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2700" w:type="dxa"/>
            <w:vAlign w:val="bottom"/>
          </w:tcPr>
          <w:p>
            <w:pPr>
              <w:jc w:val="center"/>
              <w:spacing w:after="0"/>
              <w:rPr>
                <w:sz w:val="20"/>
                <w:szCs w:val="20"/>
                <w:color w:val="auto"/>
              </w:rPr>
            </w:pPr>
            <w:r>
              <w:rPr>
                <w:rFonts w:ascii="Arial" w:cs="Arial" w:eastAsia="Arial" w:hAnsi="Arial"/>
                <w:sz w:val="22"/>
                <w:szCs w:val="22"/>
                <w:color w:val="010000"/>
                <w:w w:val="91"/>
              </w:rPr>
              <w:t>SECTION 7.05</w:t>
            </w:r>
          </w:p>
        </w:tc>
        <w:tc>
          <w:tcPr>
            <w:tcW w:w="6720" w:type="dxa"/>
            <w:vAlign w:val="bottom"/>
          </w:tcPr>
          <w:p>
            <w:pPr>
              <w:ind w:left="60"/>
              <w:spacing w:after="0"/>
              <w:rPr>
                <w:sz w:val="20"/>
                <w:szCs w:val="20"/>
                <w:color w:val="auto"/>
              </w:rPr>
            </w:pPr>
            <w:r>
              <w:rPr>
                <w:rFonts w:ascii="Arial" w:cs="Arial" w:eastAsia="Arial" w:hAnsi="Arial"/>
                <w:sz w:val="22"/>
                <w:szCs w:val="22"/>
                <w:color w:val="auto"/>
              </w:rPr>
              <w:t>Delegation of Duties</w:t>
            </w:r>
          </w:p>
        </w:tc>
        <w:tc>
          <w:tcPr>
            <w:tcW w:w="2040" w:type="dxa"/>
            <w:vAlign w:val="bottom"/>
          </w:tcPr>
          <w:p>
            <w:pPr>
              <w:jc w:val="right"/>
              <w:spacing w:after="0"/>
              <w:rPr>
                <w:sz w:val="20"/>
                <w:szCs w:val="20"/>
                <w:color w:val="auto"/>
              </w:rPr>
            </w:pPr>
            <w:r>
              <w:rPr>
                <w:rFonts w:ascii="Arial" w:cs="Arial" w:eastAsia="Arial" w:hAnsi="Arial"/>
                <w:sz w:val="22"/>
                <w:szCs w:val="22"/>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-6739890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-6739890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4" w:orient="portrait"/>
          <w:cols w:equalWidth="0" w:num="1">
            <w:col w:w="11460"/>
          </w:cols>
          <w:pgMar w:left="240" w:top="36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7.06</w:t>
            </w:r>
          </w:p>
        </w:tc>
        <w:tc>
          <w:tcPr>
            <w:tcW w:w="7580" w:type="dxa"/>
            <w:vAlign w:val="bottom"/>
          </w:tcPr>
          <w:p>
            <w:pPr>
              <w:ind w:left="300"/>
              <w:spacing w:after="0"/>
              <w:rPr>
                <w:sz w:val="20"/>
                <w:szCs w:val="20"/>
                <w:color w:val="auto"/>
              </w:rPr>
            </w:pPr>
            <w:r>
              <w:rPr>
                <w:rFonts w:ascii="Arial" w:cs="Arial" w:eastAsia="Arial" w:hAnsi="Arial"/>
                <w:sz w:val="22"/>
                <w:szCs w:val="22"/>
                <w:color w:val="auto"/>
              </w:rPr>
              <w:t>Resignation of Administrative Agent</w:t>
            </w:r>
          </w:p>
        </w:tc>
        <w:tc>
          <w:tcPr>
            <w:tcW w:w="14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7.07</w:t>
            </w:r>
          </w:p>
        </w:tc>
        <w:tc>
          <w:tcPr>
            <w:tcW w:w="7580" w:type="dxa"/>
            <w:vAlign w:val="bottom"/>
          </w:tcPr>
          <w:p>
            <w:pPr>
              <w:ind w:left="300"/>
              <w:spacing w:after="0"/>
              <w:rPr>
                <w:sz w:val="20"/>
                <w:szCs w:val="20"/>
                <w:color w:val="auto"/>
              </w:rPr>
            </w:pPr>
            <w:r>
              <w:rPr>
                <w:rFonts w:ascii="Arial" w:cs="Arial" w:eastAsia="Arial" w:hAnsi="Arial"/>
                <w:sz w:val="22"/>
                <w:szCs w:val="22"/>
                <w:color w:val="auto"/>
              </w:rPr>
              <w:t>Non-Reliance on Administrative Agent and Other Lenders</w:t>
            </w:r>
          </w:p>
        </w:tc>
        <w:tc>
          <w:tcPr>
            <w:tcW w:w="14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7.08</w:t>
            </w:r>
          </w:p>
        </w:tc>
        <w:tc>
          <w:tcPr>
            <w:tcW w:w="7580" w:type="dxa"/>
            <w:vAlign w:val="bottom"/>
          </w:tcPr>
          <w:p>
            <w:pPr>
              <w:ind w:left="300"/>
              <w:spacing w:after="0"/>
              <w:rPr>
                <w:sz w:val="20"/>
                <w:szCs w:val="20"/>
                <w:color w:val="auto"/>
              </w:rPr>
            </w:pPr>
            <w:r>
              <w:rPr>
                <w:rFonts w:ascii="Arial" w:cs="Arial" w:eastAsia="Arial" w:hAnsi="Arial"/>
                <w:sz w:val="22"/>
                <w:szCs w:val="22"/>
                <w:color w:val="auto"/>
              </w:rPr>
              <w:t>Indemnification</w:t>
            </w:r>
          </w:p>
        </w:tc>
        <w:tc>
          <w:tcPr>
            <w:tcW w:w="14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7.09</w:t>
            </w:r>
          </w:p>
        </w:tc>
        <w:tc>
          <w:tcPr>
            <w:tcW w:w="7580" w:type="dxa"/>
            <w:vAlign w:val="bottom"/>
          </w:tcPr>
          <w:p>
            <w:pPr>
              <w:ind w:left="300"/>
              <w:spacing w:after="0"/>
              <w:rPr>
                <w:sz w:val="20"/>
                <w:szCs w:val="20"/>
                <w:color w:val="auto"/>
              </w:rPr>
            </w:pPr>
            <w:r>
              <w:rPr>
                <w:rFonts w:ascii="Arial" w:cs="Arial" w:eastAsia="Arial" w:hAnsi="Arial"/>
                <w:sz w:val="22"/>
                <w:szCs w:val="22"/>
                <w:color w:val="auto"/>
              </w:rPr>
              <w:t>Other Agents</w:t>
            </w:r>
          </w:p>
        </w:tc>
        <w:tc>
          <w:tcPr>
            <w:tcW w:w="14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80" w:type="dxa"/>
            <w:vAlign w:val="bottom"/>
          </w:tcPr>
          <w:p>
            <w:pPr>
              <w:ind w:left="3200"/>
              <w:spacing w:after="0"/>
              <w:rPr>
                <w:sz w:val="20"/>
                <w:szCs w:val="20"/>
                <w:color w:val="auto"/>
              </w:rPr>
            </w:pPr>
            <w:r>
              <w:rPr>
                <w:rFonts w:ascii="Arial" w:cs="Arial" w:eastAsia="Arial" w:hAnsi="Arial"/>
                <w:sz w:val="22"/>
                <w:szCs w:val="22"/>
                <w:color w:val="auto"/>
              </w:rPr>
              <w:t>ii</w:t>
            </w:r>
          </w:p>
        </w:tc>
        <w:tc>
          <w:tcPr>
            <w:tcW w:w="1420" w:type="dxa"/>
            <w:vAlign w:val="bottom"/>
          </w:tcPr>
          <w:p>
            <w:pPr>
              <w:spacing w:after="0"/>
              <w:rPr>
                <w:sz w:val="24"/>
                <w:szCs w:val="24"/>
                <w:color w:val="auto"/>
              </w:rPr>
            </w:pPr>
          </w:p>
        </w:tc>
      </w:tr>
      <w:tr>
        <w:trPr>
          <w:trHeight w:val="122"/>
        </w:trPr>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gridSpan w:val="2"/>
          </w:tcPr>
          <w:p>
            <w:pPr>
              <w:spacing w:after="0"/>
              <w:rPr>
                <w:sz w:val="10"/>
                <w:szCs w:val="10"/>
                <w:color w:val="auto"/>
              </w:rPr>
            </w:pPr>
          </w:p>
        </w:tc>
        <w:tc>
          <w:tcPr>
            <w:tcW w:w="75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r>
      <w:tr>
        <w:trPr>
          <w:trHeight w:val="844"/>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7.10</w:t>
            </w:r>
          </w:p>
        </w:tc>
        <w:tc>
          <w:tcPr>
            <w:tcW w:w="7580" w:type="dxa"/>
            <w:vAlign w:val="bottom"/>
          </w:tcPr>
          <w:p>
            <w:pPr>
              <w:ind w:left="300"/>
              <w:spacing w:after="0"/>
              <w:rPr>
                <w:sz w:val="20"/>
                <w:szCs w:val="20"/>
                <w:color w:val="auto"/>
              </w:rPr>
            </w:pPr>
            <w:r>
              <w:rPr>
                <w:rFonts w:ascii="Arial" w:cs="Arial" w:eastAsia="Arial" w:hAnsi="Arial"/>
                <w:sz w:val="22"/>
                <w:szCs w:val="22"/>
                <w:color w:val="auto"/>
              </w:rPr>
              <w:t>ERISA</w:t>
            </w:r>
          </w:p>
        </w:tc>
        <w:tc>
          <w:tcPr>
            <w:tcW w:w="14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10040" w:type="dxa"/>
            <w:vAlign w:val="bottom"/>
            <w:gridSpan w:val="5"/>
          </w:tcPr>
          <w:p>
            <w:pPr>
              <w:spacing w:after="0"/>
              <w:rPr>
                <w:sz w:val="20"/>
                <w:szCs w:val="20"/>
                <w:color w:val="auto"/>
              </w:rPr>
            </w:pPr>
            <w:r>
              <w:rPr>
                <w:rFonts w:ascii="Arial" w:cs="Arial" w:eastAsia="Arial" w:hAnsi="Arial"/>
                <w:sz w:val="22"/>
                <w:szCs w:val="22"/>
                <w:color w:val="010000"/>
              </w:rPr>
              <w:t xml:space="preserve">ARTICLE VIII </w:t>
            </w:r>
            <w:r>
              <w:rPr>
                <w:rFonts w:ascii="Arial" w:cs="Arial" w:eastAsia="Arial" w:hAnsi="Arial"/>
                <w:sz w:val="22"/>
                <w:szCs w:val="22"/>
                <w:color w:val="000000"/>
              </w:rPr>
              <w:t>MISCELLANEOUS</w:t>
            </w:r>
          </w:p>
        </w:tc>
        <w:tc>
          <w:tcPr>
            <w:tcW w:w="14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8.01</w:t>
            </w:r>
          </w:p>
        </w:tc>
        <w:tc>
          <w:tcPr>
            <w:tcW w:w="7580" w:type="dxa"/>
            <w:vAlign w:val="bottom"/>
          </w:tcPr>
          <w:p>
            <w:pPr>
              <w:ind w:left="300"/>
              <w:spacing w:after="0"/>
              <w:rPr>
                <w:sz w:val="20"/>
                <w:szCs w:val="20"/>
                <w:color w:val="auto"/>
              </w:rPr>
            </w:pPr>
            <w:r>
              <w:rPr>
                <w:rFonts w:ascii="Arial" w:cs="Arial" w:eastAsia="Arial" w:hAnsi="Arial"/>
                <w:sz w:val="22"/>
                <w:szCs w:val="22"/>
                <w:color w:val="auto"/>
              </w:rPr>
              <w:t>Amendments, Etc.</w:t>
            </w:r>
          </w:p>
        </w:tc>
        <w:tc>
          <w:tcPr>
            <w:tcW w:w="14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8.02</w:t>
            </w:r>
          </w:p>
        </w:tc>
        <w:tc>
          <w:tcPr>
            <w:tcW w:w="7580" w:type="dxa"/>
            <w:vAlign w:val="bottom"/>
          </w:tcPr>
          <w:p>
            <w:pPr>
              <w:ind w:left="300"/>
              <w:spacing w:after="0"/>
              <w:rPr>
                <w:sz w:val="20"/>
                <w:szCs w:val="20"/>
                <w:color w:val="auto"/>
              </w:rPr>
            </w:pPr>
            <w:r>
              <w:rPr>
                <w:rFonts w:ascii="Arial" w:cs="Arial" w:eastAsia="Arial" w:hAnsi="Arial"/>
                <w:sz w:val="22"/>
                <w:szCs w:val="22"/>
                <w:color w:val="auto"/>
              </w:rPr>
              <w:t>Notices, Etc.</w:t>
            </w:r>
          </w:p>
        </w:tc>
        <w:tc>
          <w:tcPr>
            <w:tcW w:w="14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8.03</w:t>
            </w:r>
          </w:p>
        </w:tc>
        <w:tc>
          <w:tcPr>
            <w:tcW w:w="7580" w:type="dxa"/>
            <w:vAlign w:val="bottom"/>
          </w:tcPr>
          <w:p>
            <w:pPr>
              <w:ind w:left="300"/>
              <w:spacing w:after="0"/>
              <w:rPr>
                <w:sz w:val="20"/>
                <w:szCs w:val="20"/>
                <w:color w:val="auto"/>
              </w:rPr>
            </w:pPr>
            <w:r>
              <w:rPr>
                <w:rFonts w:ascii="Arial" w:cs="Arial" w:eastAsia="Arial" w:hAnsi="Arial"/>
                <w:sz w:val="22"/>
                <w:szCs w:val="22"/>
                <w:color w:val="auto"/>
              </w:rPr>
              <w:t>No Waiver; Remedies</w:t>
            </w:r>
          </w:p>
        </w:tc>
        <w:tc>
          <w:tcPr>
            <w:tcW w:w="14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8.04</w:t>
            </w:r>
          </w:p>
        </w:tc>
        <w:tc>
          <w:tcPr>
            <w:tcW w:w="7580" w:type="dxa"/>
            <w:vAlign w:val="bottom"/>
          </w:tcPr>
          <w:p>
            <w:pPr>
              <w:ind w:left="300"/>
              <w:spacing w:after="0"/>
              <w:rPr>
                <w:sz w:val="20"/>
                <w:szCs w:val="20"/>
                <w:color w:val="auto"/>
              </w:rPr>
            </w:pPr>
            <w:r>
              <w:rPr>
                <w:rFonts w:ascii="Arial" w:cs="Arial" w:eastAsia="Arial" w:hAnsi="Arial"/>
                <w:sz w:val="22"/>
                <w:szCs w:val="22"/>
                <w:color w:val="auto"/>
              </w:rPr>
              <w:t>Costs and Expenses</w:t>
            </w:r>
          </w:p>
        </w:tc>
        <w:tc>
          <w:tcPr>
            <w:tcW w:w="14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8.05</w:t>
            </w:r>
          </w:p>
        </w:tc>
        <w:tc>
          <w:tcPr>
            <w:tcW w:w="7580" w:type="dxa"/>
            <w:vAlign w:val="bottom"/>
          </w:tcPr>
          <w:p>
            <w:pPr>
              <w:ind w:left="300"/>
              <w:spacing w:after="0"/>
              <w:rPr>
                <w:sz w:val="20"/>
                <w:szCs w:val="20"/>
                <w:color w:val="auto"/>
              </w:rPr>
            </w:pPr>
            <w:r>
              <w:rPr>
                <w:rFonts w:ascii="Arial" w:cs="Arial" w:eastAsia="Arial" w:hAnsi="Arial"/>
                <w:sz w:val="22"/>
                <w:szCs w:val="22"/>
                <w:color w:val="auto"/>
              </w:rPr>
              <w:t>Right of Setoff</w:t>
            </w:r>
          </w:p>
        </w:tc>
        <w:tc>
          <w:tcPr>
            <w:tcW w:w="14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8.06</w:t>
            </w:r>
          </w:p>
        </w:tc>
        <w:tc>
          <w:tcPr>
            <w:tcW w:w="7580" w:type="dxa"/>
            <w:vAlign w:val="bottom"/>
          </w:tcPr>
          <w:p>
            <w:pPr>
              <w:ind w:left="300"/>
              <w:spacing w:after="0"/>
              <w:rPr>
                <w:sz w:val="20"/>
                <w:szCs w:val="20"/>
                <w:color w:val="auto"/>
              </w:rPr>
            </w:pPr>
            <w:r>
              <w:rPr>
                <w:rFonts w:ascii="Arial" w:cs="Arial" w:eastAsia="Arial" w:hAnsi="Arial"/>
                <w:sz w:val="22"/>
                <w:szCs w:val="22"/>
                <w:color w:val="auto"/>
              </w:rPr>
              <w:t>Binding Effect</w:t>
            </w:r>
          </w:p>
        </w:tc>
        <w:tc>
          <w:tcPr>
            <w:tcW w:w="14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8.07</w:t>
            </w:r>
          </w:p>
        </w:tc>
        <w:tc>
          <w:tcPr>
            <w:tcW w:w="7580" w:type="dxa"/>
            <w:vAlign w:val="bottom"/>
          </w:tcPr>
          <w:p>
            <w:pPr>
              <w:ind w:left="300"/>
              <w:spacing w:after="0"/>
              <w:rPr>
                <w:sz w:val="20"/>
                <w:szCs w:val="20"/>
                <w:color w:val="auto"/>
              </w:rPr>
            </w:pPr>
            <w:r>
              <w:rPr>
                <w:rFonts w:ascii="Arial" w:cs="Arial" w:eastAsia="Arial" w:hAnsi="Arial"/>
                <w:sz w:val="22"/>
                <w:szCs w:val="22"/>
                <w:color w:val="auto"/>
              </w:rPr>
              <w:t>Assignments and Participations</w:t>
            </w:r>
          </w:p>
        </w:tc>
        <w:tc>
          <w:tcPr>
            <w:tcW w:w="14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8.08</w:t>
            </w:r>
          </w:p>
        </w:tc>
        <w:tc>
          <w:tcPr>
            <w:tcW w:w="7580" w:type="dxa"/>
            <w:vAlign w:val="bottom"/>
          </w:tcPr>
          <w:p>
            <w:pPr>
              <w:ind w:left="300"/>
              <w:spacing w:after="0"/>
              <w:rPr>
                <w:sz w:val="20"/>
                <w:szCs w:val="20"/>
                <w:color w:val="auto"/>
              </w:rPr>
            </w:pPr>
            <w:r>
              <w:rPr>
                <w:rFonts w:ascii="Arial" w:cs="Arial" w:eastAsia="Arial" w:hAnsi="Arial"/>
                <w:sz w:val="22"/>
                <w:szCs w:val="22"/>
                <w:color w:val="auto"/>
              </w:rPr>
              <w:t>Confidentiality</w:t>
            </w:r>
          </w:p>
        </w:tc>
        <w:tc>
          <w:tcPr>
            <w:tcW w:w="14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8.09</w:t>
            </w:r>
          </w:p>
        </w:tc>
        <w:tc>
          <w:tcPr>
            <w:tcW w:w="7580" w:type="dxa"/>
            <w:vAlign w:val="bottom"/>
          </w:tcPr>
          <w:p>
            <w:pPr>
              <w:ind w:left="300"/>
              <w:spacing w:after="0"/>
              <w:rPr>
                <w:sz w:val="20"/>
                <w:szCs w:val="20"/>
                <w:color w:val="auto"/>
              </w:rPr>
            </w:pPr>
            <w:r>
              <w:rPr>
                <w:rFonts w:ascii="Arial" w:cs="Arial" w:eastAsia="Arial" w:hAnsi="Arial"/>
                <w:sz w:val="22"/>
                <w:szCs w:val="22"/>
                <w:color w:val="auto"/>
              </w:rPr>
              <w:t>Governing Law</w:t>
            </w:r>
          </w:p>
        </w:tc>
        <w:tc>
          <w:tcPr>
            <w:tcW w:w="14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8.10</w:t>
            </w:r>
          </w:p>
        </w:tc>
        <w:tc>
          <w:tcPr>
            <w:tcW w:w="7580" w:type="dxa"/>
            <w:vAlign w:val="bottom"/>
          </w:tcPr>
          <w:p>
            <w:pPr>
              <w:ind w:left="300"/>
              <w:spacing w:after="0"/>
              <w:rPr>
                <w:sz w:val="20"/>
                <w:szCs w:val="20"/>
                <w:color w:val="auto"/>
              </w:rPr>
            </w:pPr>
            <w:r>
              <w:rPr>
                <w:rFonts w:ascii="Arial" w:cs="Arial" w:eastAsia="Arial" w:hAnsi="Arial"/>
                <w:sz w:val="22"/>
                <w:szCs w:val="22"/>
                <w:color w:val="auto"/>
              </w:rPr>
              <w:t>Execution in Counterparts</w:t>
            </w:r>
          </w:p>
        </w:tc>
        <w:tc>
          <w:tcPr>
            <w:tcW w:w="14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8.11</w:t>
            </w:r>
          </w:p>
        </w:tc>
        <w:tc>
          <w:tcPr>
            <w:tcW w:w="7580" w:type="dxa"/>
            <w:vAlign w:val="bottom"/>
          </w:tcPr>
          <w:p>
            <w:pPr>
              <w:ind w:left="300"/>
              <w:spacing w:after="0"/>
              <w:rPr>
                <w:sz w:val="20"/>
                <w:szCs w:val="20"/>
                <w:color w:val="auto"/>
              </w:rPr>
            </w:pPr>
            <w:r>
              <w:rPr>
                <w:rFonts w:ascii="Arial" w:cs="Arial" w:eastAsia="Arial" w:hAnsi="Arial"/>
                <w:sz w:val="22"/>
                <w:szCs w:val="22"/>
                <w:color w:val="auto"/>
              </w:rPr>
              <w:t>Jurisdiction, Etc.</w:t>
            </w:r>
          </w:p>
        </w:tc>
        <w:tc>
          <w:tcPr>
            <w:tcW w:w="14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8.12</w:t>
            </w:r>
          </w:p>
        </w:tc>
        <w:tc>
          <w:tcPr>
            <w:tcW w:w="7580" w:type="dxa"/>
            <w:vAlign w:val="bottom"/>
          </w:tcPr>
          <w:p>
            <w:pPr>
              <w:ind w:left="300"/>
              <w:spacing w:after="0"/>
              <w:rPr>
                <w:sz w:val="20"/>
                <w:szCs w:val="20"/>
                <w:color w:val="auto"/>
              </w:rPr>
            </w:pPr>
            <w:r>
              <w:rPr>
                <w:rFonts w:ascii="Arial" w:cs="Arial" w:eastAsia="Arial" w:hAnsi="Arial"/>
                <w:sz w:val="22"/>
                <w:szCs w:val="22"/>
                <w:color w:val="auto"/>
              </w:rPr>
              <w:t>Patriot Act Notice</w:t>
            </w:r>
          </w:p>
        </w:tc>
        <w:tc>
          <w:tcPr>
            <w:tcW w:w="14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8.13</w:t>
            </w:r>
          </w:p>
        </w:tc>
        <w:tc>
          <w:tcPr>
            <w:tcW w:w="7580" w:type="dxa"/>
            <w:vAlign w:val="bottom"/>
          </w:tcPr>
          <w:p>
            <w:pPr>
              <w:ind w:left="300"/>
              <w:spacing w:after="0"/>
              <w:rPr>
                <w:sz w:val="20"/>
                <w:szCs w:val="20"/>
                <w:color w:val="auto"/>
              </w:rPr>
            </w:pPr>
            <w:r>
              <w:rPr>
                <w:rFonts w:ascii="Arial" w:cs="Arial" w:eastAsia="Arial" w:hAnsi="Arial"/>
                <w:sz w:val="22"/>
                <w:szCs w:val="22"/>
                <w:color w:val="auto"/>
              </w:rPr>
              <w:t>No Advisory or Fiduciary Responsibility</w:t>
            </w:r>
          </w:p>
        </w:tc>
        <w:tc>
          <w:tcPr>
            <w:tcW w:w="14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8.14</w:t>
            </w:r>
          </w:p>
        </w:tc>
        <w:tc>
          <w:tcPr>
            <w:tcW w:w="7580" w:type="dxa"/>
            <w:vAlign w:val="bottom"/>
          </w:tcPr>
          <w:p>
            <w:pPr>
              <w:ind w:left="300"/>
              <w:spacing w:after="0"/>
              <w:rPr>
                <w:sz w:val="20"/>
                <w:szCs w:val="20"/>
                <w:color w:val="auto"/>
              </w:rPr>
            </w:pPr>
            <w:r>
              <w:rPr>
                <w:rFonts w:ascii="Arial" w:cs="Arial" w:eastAsia="Arial" w:hAnsi="Arial"/>
                <w:sz w:val="22"/>
                <w:szCs w:val="22"/>
                <w:color w:val="auto"/>
              </w:rPr>
              <w:t>Waiver of Jury Trial</w:t>
            </w:r>
          </w:p>
        </w:tc>
        <w:tc>
          <w:tcPr>
            <w:tcW w:w="14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8.15</w:t>
            </w:r>
          </w:p>
        </w:tc>
        <w:tc>
          <w:tcPr>
            <w:tcW w:w="7580" w:type="dxa"/>
            <w:vAlign w:val="bottom"/>
          </w:tcPr>
          <w:p>
            <w:pPr>
              <w:ind w:left="300"/>
              <w:spacing w:after="0"/>
              <w:rPr>
                <w:sz w:val="20"/>
                <w:szCs w:val="20"/>
                <w:color w:val="auto"/>
              </w:rPr>
            </w:pPr>
            <w:r>
              <w:rPr>
                <w:rFonts w:ascii="Arial" w:cs="Arial" w:eastAsia="Arial" w:hAnsi="Arial"/>
                <w:sz w:val="22"/>
                <w:szCs w:val="22"/>
                <w:color w:val="auto"/>
              </w:rPr>
              <w:t>Conversion of Currencies</w:t>
            </w:r>
          </w:p>
        </w:tc>
        <w:tc>
          <w:tcPr>
            <w:tcW w:w="14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8.16</w:t>
            </w:r>
          </w:p>
        </w:tc>
        <w:tc>
          <w:tcPr>
            <w:tcW w:w="7580" w:type="dxa"/>
            <w:vAlign w:val="bottom"/>
          </w:tcPr>
          <w:p>
            <w:pPr>
              <w:ind w:left="300"/>
              <w:spacing w:after="0"/>
              <w:rPr>
                <w:sz w:val="20"/>
                <w:szCs w:val="20"/>
                <w:color w:val="auto"/>
              </w:rPr>
            </w:pPr>
            <w:r>
              <w:rPr>
                <w:rFonts w:ascii="Arial" w:cs="Arial" w:eastAsia="Arial" w:hAnsi="Arial"/>
                <w:sz w:val="22"/>
                <w:szCs w:val="22"/>
                <w:color w:val="auto"/>
              </w:rPr>
              <w:t>Acknowledgment and Consent to Bail In of EEA Financial Institutions</w:t>
            </w:r>
          </w:p>
        </w:tc>
        <w:tc>
          <w:tcPr>
            <w:tcW w:w="14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486"/>
        </w:trPr>
        <w:tc>
          <w:tcPr>
            <w:tcW w:w="2460" w:type="dxa"/>
            <w:vAlign w:val="bottom"/>
            <w:gridSpan w:val="4"/>
          </w:tcPr>
          <w:p>
            <w:pPr>
              <w:ind w:left="660"/>
              <w:spacing w:after="0"/>
              <w:rPr>
                <w:sz w:val="20"/>
                <w:szCs w:val="20"/>
                <w:color w:val="auto"/>
              </w:rPr>
            </w:pPr>
            <w:r>
              <w:rPr>
                <w:rFonts w:ascii="Arial" w:cs="Arial" w:eastAsia="Arial" w:hAnsi="Arial"/>
                <w:sz w:val="22"/>
                <w:szCs w:val="22"/>
                <w:color w:val="010000"/>
              </w:rPr>
              <w:t>SECTION 8.17</w:t>
            </w:r>
          </w:p>
        </w:tc>
        <w:tc>
          <w:tcPr>
            <w:tcW w:w="7580" w:type="dxa"/>
            <w:vAlign w:val="bottom"/>
          </w:tcPr>
          <w:p>
            <w:pPr>
              <w:ind w:left="300"/>
              <w:spacing w:after="0"/>
              <w:rPr>
                <w:sz w:val="20"/>
                <w:szCs w:val="20"/>
                <w:color w:val="auto"/>
              </w:rPr>
            </w:pPr>
            <w:r>
              <w:rPr>
                <w:rFonts w:ascii="Arial" w:cs="Arial" w:eastAsia="Arial" w:hAnsi="Arial"/>
                <w:sz w:val="22"/>
                <w:szCs w:val="22"/>
                <w:color w:val="auto"/>
              </w:rPr>
              <w:t>Nonreliance</w:t>
            </w:r>
          </w:p>
        </w:tc>
        <w:tc>
          <w:tcPr>
            <w:tcW w:w="14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436"/>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SCHEDULES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5"/>
        </w:trPr>
        <w:tc>
          <w:tcPr>
            <w:tcW w:w="1560" w:type="dxa"/>
            <w:vAlign w:val="bottom"/>
            <w:gridSpan w:val="3"/>
          </w:tcPr>
          <w:p>
            <w:pPr>
              <w:spacing w:after="0"/>
              <w:rPr>
                <w:sz w:val="20"/>
                <w:szCs w:val="20"/>
                <w:color w:val="auto"/>
              </w:rPr>
            </w:pPr>
            <w:r>
              <w:rPr>
                <w:rFonts w:ascii="Arial" w:cs="Arial" w:eastAsia="Arial" w:hAnsi="Arial"/>
                <w:sz w:val="22"/>
                <w:szCs w:val="22"/>
                <w:color w:val="auto"/>
              </w:rPr>
              <w:t>Schedule I</w:t>
            </w:r>
          </w:p>
        </w:tc>
        <w:tc>
          <w:tcPr>
            <w:tcW w:w="9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7580" w:type="dxa"/>
            <w:vAlign w:val="bottom"/>
          </w:tcPr>
          <w:p>
            <w:pPr>
              <w:ind w:left="300"/>
              <w:spacing w:after="0"/>
              <w:rPr>
                <w:sz w:val="20"/>
                <w:szCs w:val="20"/>
                <w:color w:val="auto"/>
              </w:rPr>
            </w:pPr>
            <w:r>
              <w:rPr>
                <w:rFonts w:ascii="Arial" w:cs="Arial" w:eastAsia="Arial" w:hAnsi="Arial"/>
                <w:sz w:val="22"/>
                <w:szCs w:val="22"/>
                <w:color w:val="auto"/>
              </w:rPr>
              <w:t>Commitments</w:t>
            </w:r>
          </w:p>
        </w:tc>
        <w:tc>
          <w:tcPr>
            <w:tcW w:w="1420" w:type="dxa"/>
            <w:vAlign w:val="bottom"/>
          </w:tcPr>
          <w:p>
            <w:pPr>
              <w:spacing w:after="0"/>
              <w:rPr>
                <w:sz w:val="24"/>
                <w:szCs w:val="24"/>
                <w:color w:val="auto"/>
              </w:rPr>
            </w:pPr>
          </w:p>
        </w:tc>
      </w:tr>
      <w:tr>
        <w:trPr>
          <w:trHeight w:val="243"/>
        </w:trPr>
        <w:tc>
          <w:tcPr>
            <w:tcW w:w="1560" w:type="dxa"/>
            <w:vAlign w:val="bottom"/>
            <w:gridSpan w:val="3"/>
          </w:tcPr>
          <w:p>
            <w:pPr>
              <w:spacing w:after="0" w:line="243" w:lineRule="exact"/>
              <w:rPr>
                <w:sz w:val="20"/>
                <w:szCs w:val="20"/>
                <w:color w:val="auto"/>
              </w:rPr>
            </w:pPr>
            <w:r>
              <w:rPr>
                <w:rFonts w:ascii="Arial" w:cs="Arial" w:eastAsia="Arial" w:hAnsi="Arial"/>
                <w:sz w:val="22"/>
                <w:szCs w:val="22"/>
                <w:color w:val="auto"/>
              </w:rPr>
              <w:t>Schedule II</w:t>
            </w:r>
          </w:p>
        </w:tc>
        <w:tc>
          <w:tcPr>
            <w:tcW w:w="9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7580" w:type="dxa"/>
            <w:vAlign w:val="bottom"/>
          </w:tcPr>
          <w:p>
            <w:pPr>
              <w:ind w:left="300"/>
              <w:spacing w:after="0" w:line="243" w:lineRule="exact"/>
              <w:rPr>
                <w:sz w:val="20"/>
                <w:szCs w:val="20"/>
                <w:color w:val="auto"/>
              </w:rPr>
            </w:pPr>
            <w:r>
              <w:rPr>
                <w:rFonts w:ascii="Arial" w:cs="Arial" w:eastAsia="Arial" w:hAnsi="Arial"/>
                <w:sz w:val="22"/>
                <w:szCs w:val="22"/>
                <w:color w:val="auto"/>
              </w:rPr>
              <w:t>Administrative Agent’s Office; Certain Addresses for Notices</w:t>
            </w:r>
          </w:p>
        </w:tc>
        <w:tc>
          <w:tcPr>
            <w:tcW w:w="1420" w:type="dxa"/>
            <w:vAlign w:val="bottom"/>
          </w:tcPr>
          <w:p>
            <w:pPr>
              <w:spacing w:after="0"/>
              <w:rPr>
                <w:sz w:val="21"/>
                <w:szCs w:val="21"/>
                <w:color w:val="auto"/>
              </w:rPr>
            </w:pPr>
          </w:p>
        </w:tc>
      </w:tr>
      <w:tr>
        <w:trPr>
          <w:trHeight w:val="243"/>
        </w:trPr>
        <w:tc>
          <w:tcPr>
            <w:tcW w:w="1560" w:type="dxa"/>
            <w:vAlign w:val="bottom"/>
            <w:gridSpan w:val="3"/>
          </w:tcPr>
          <w:p>
            <w:pPr>
              <w:spacing w:after="0" w:line="243" w:lineRule="exact"/>
              <w:rPr>
                <w:sz w:val="20"/>
                <w:szCs w:val="20"/>
                <w:color w:val="auto"/>
              </w:rPr>
            </w:pPr>
            <w:r>
              <w:rPr>
                <w:rFonts w:ascii="Arial" w:cs="Arial" w:eastAsia="Arial" w:hAnsi="Arial"/>
                <w:sz w:val="22"/>
                <w:szCs w:val="22"/>
                <w:color w:val="auto"/>
                <w:w w:val="95"/>
              </w:rPr>
              <w:t>Schedule 4.01(f)</w:t>
            </w:r>
          </w:p>
        </w:tc>
        <w:tc>
          <w:tcPr>
            <w:tcW w:w="9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7580" w:type="dxa"/>
            <w:vAlign w:val="bottom"/>
          </w:tcPr>
          <w:p>
            <w:pPr>
              <w:ind w:left="300"/>
              <w:spacing w:after="0" w:line="243" w:lineRule="exact"/>
              <w:rPr>
                <w:sz w:val="20"/>
                <w:szCs w:val="20"/>
                <w:color w:val="auto"/>
              </w:rPr>
            </w:pPr>
            <w:r>
              <w:rPr>
                <w:rFonts w:ascii="Arial" w:cs="Arial" w:eastAsia="Arial" w:hAnsi="Arial"/>
                <w:sz w:val="22"/>
                <w:szCs w:val="22"/>
                <w:color w:val="auto"/>
              </w:rPr>
              <w:t>Legal Proceedings</w:t>
            </w:r>
          </w:p>
        </w:tc>
        <w:tc>
          <w:tcPr>
            <w:tcW w:w="1420" w:type="dxa"/>
            <w:vAlign w:val="bottom"/>
          </w:tcPr>
          <w:p>
            <w:pPr>
              <w:spacing w:after="0"/>
              <w:rPr>
                <w:sz w:val="21"/>
                <w:szCs w:val="21"/>
                <w:color w:val="auto"/>
              </w:rPr>
            </w:pPr>
          </w:p>
        </w:tc>
      </w:tr>
      <w:tr>
        <w:trPr>
          <w:trHeight w:val="275"/>
        </w:trPr>
        <w:tc>
          <w:tcPr>
            <w:tcW w:w="1560" w:type="dxa"/>
            <w:vAlign w:val="bottom"/>
            <w:gridSpan w:val="3"/>
          </w:tcPr>
          <w:p>
            <w:pPr>
              <w:spacing w:after="0"/>
              <w:rPr>
                <w:sz w:val="20"/>
                <w:szCs w:val="20"/>
                <w:color w:val="auto"/>
              </w:rPr>
            </w:pPr>
            <w:r>
              <w:rPr>
                <w:rFonts w:ascii="Arial" w:cs="Arial" w:eastAsia="Arial" w:hAnsi="Arial"/>
                <w:sz w:val="22"/>
                <w:szCs w:val="22"/>
                <w:color w:val="auto"/>
                <w:w w:val="91"/>
              </w:rPr>
              <w:t>Schedule 5.01(h)</w:t>
            </w:r>
          </w:p>
        </w:tc>
        <w:tc>
          <w:tcPr>
            <w:tcW w:w="9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7580" w:type="dxa"/>
            <w:vAlign w:val="bottom"/>
          </w:tcPr>
          <w:p>
            <w:pPr>
              <w:ind w:left="300"/>
              <w:spacing w:after="0"/>
              <w:rPr>
                <w:sz w:val="20"/>
                <w:szCs w:val="20"/>
                <w:color w:val="auto"/>
              </w:rPr>
            </w:pPr>
            <w:r>
              <w:rPr>
                <w:rFonts w:ascii="Arial" w:cs="Arial" w:eastAsia="Arial" w:hAnsi="Arial"/>
                <w:sz w:val="22"/>
                <w:szCs w:val="22"/>
                <w:color w:val="auto"/>
              </w:rPr>
              <w:t>Affiliate Transactions</w:t>
            </w:r>
          </w:p>
        </w:tc>
        <w:tc>
          <w:tcPr>
            <w:tcW w:w="1420" w:type="dxa"/>
            <w:vAlign w:val="bottom"/>
          </w:tcPr>
          <w:p>
            <w:pPr>
              <w:spacing w:after="0"/>
              <w:rPr>
                <w:sz w:val="23"/>
                <w:szCs w:val="23"/>
                <w:color w:val="auto"/>
              </w:rPr>
            </w:pPr>
          </w:p>
        </w:tc>
      </w:tr>
      <w:tr>
        <w:trPr>
          <w:trHeight w:val="449"/>
        </w:trPr>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EXHIBITS</w:t>
            </w:r>
          </w:p>
        </w:tc>
        <w:tc>
          <w:tcPr>
            <w:tcW w:w="5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03"/>
        </w:trPr>
        <w:tc>
          <w:tcPr>
            <w:tcW w:w="1560" w:type="dxa"/>
            <w:vAlign w:val="bottom"/>
            <w:gridSpan w:val="3"/>
          </w:tcPr>
          <w:p>
            <w:pPr>
              <w:spacing w:after="0"/>
              <w:rPr>
                <w:sz w:val="20"/>
                <w:szCs w:val="20"/>
                <w:color w:val="auto"/>
              </w:rPr>
            </w:pPr>
            <w:r>
              <w:rPr>
                <w:rFonts w:ascii="Arial" w:cs="Arial" w:eastAsia="Arial" w:hAnsi="Arial"/>
                <w:sz w:val="22"/>
                <w:szCs w:val="22"/>
                <w:color w:val="auto"/>
              </w:rPr>
              <w:t>Exhibit A</w:t>
            </w:r>
          </w:p>
        </w:tc>
        <w:tc>
          <w:tcPr>
            <w:tcW w:w="9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7580" w:type="dxa"/>
            <w:vAlign w:val="bottom"/>
          </w:tcPr>
          <w:p>
            <w:pPr>
              <w:ind w:left="320"/>
              <w:spacing w:after="0"/>
              <w:rPr>
                <w:sz w:val="20"/>
                <w:szCs w:val="20"/>
                <w:color w:val="auto"/>
              </w:rPr>
            </w:pPr>
            <w:r>
              <w:rPr>
                <w:rFonts w:ascii="Arial" w:cs="Arial" w:eastAsia="Arial" w:hAnsi="Arial"/>
                <w:sz w:val="22"/>
                <w:szCs w:val="22"/>
                <w:color w:val="auto"/>
              </w:rPr>
              <w:t>Form of Notice of Borrowing</w:t>
            </w:r>
          </w:p>
        </w:tc>
        <w:tc>
          <w:tcPr>
            <w:tcW w:w="1420" w:type="dxa"/>
            <w:vAlign w:val="bottom"/>
          </w:tcPr>
          <w:p>
            <w:pPr>
              <w:spacing w:after="0"/>
              <w:rPr>
                <w:sz w:val="24"/>
                <w:szCs w:val="24"/>
                <w:color w:val="auto"/>
              </w:rPr>
            </w:pPr>
          </w:p>
        </w:tc>
      </w:tr>
      <w:tr>
        <w:trPr>
          <w:trHeight w:val="486"/>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80" w:type="dxa"/>
            <w:vAlign w:val="bottom"/>
          </w:tcPr>
          <w:p>
            <w:pPr>
              <w:ind w:left="3160"/>
              <w:spacing w:after="0"/>
              <w:rPr>
                <w:sz w:val="20"/>
                <w:szCs w:val="20"/>
                <w:color w:val="auto"/>
              </w:rPr>
            </w:pPr>
            <w:r>
              <w:rPr>
                <w:rFonts w:ascii="Arial" w:cs="Arial" w:eastAsia="Arial" w:hAnsi="Arial"/>
                <w:sz w:val="22"/>
                <w:szCs w:val="22"/>
                <w:color w:val="auto"/>
              </w:rPr>
              <w:t>iii</w:t>
            </w:r>
          </w:p>
        </w:tc>
        <w:tc>
          <w:tcPr>
            <w:tcW w:w="1420" w:type="dxa"/>
            <w:vAlign w:val="bottom"/>
          </w:tcPr>
          <w:p>
            <w:pPr>
              <w:spacing w:after="0"/>
              <w:rPr>
                <w:sz w:val="24"/>
                <w:szCs w:val="24"/>
                <w:color w:val="auto"/>
              </w:rPr>
            </w:pPr>
          </w:p>
        </w:tc>
      </w:tr>
      <w:tr>
        <w:trPr>
          <w:trHeight w:val="122"/>
        </w:trPr>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75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r>
      <w:tr>
        <w:trPr>
          <w:trHeight w:val="844"/>
        </w:trPr>
        <w:tc>
          <w:tcPr>
            <w:tcW w:w="1560" w:type="dxa"/>
            <w:vAlign w:val="bottom"/>
            <w:gridSpan w:val="3"/>
          </w:tcPr>
          <w:p>
            <w:pPr>
              <w:spacing w:after="0"/>
              <w:rPr>
                <w:sz w:val="20"/>
                <w:szCs w:val="20"/>
                <w:color w:val="auto"/>
              </w:rPr>
            </w:pPr>
            <w:r>
              <w:rPr>
                <w:rFonts w:ascii="Arial" w:cs="Arial" w:eastAsia="Arial" w:hAnsi="Arial"/>
                <w:sz w:val="22"/>
                <w:szCs w:val="22"/>
                <w:color w:val="auto"/>
              </w:rPr>
              <w:t>Exhibit B</w:t>
            </w:r>
          </w:p>
        </w:tc>
        <w:tc>
          <w:tcPr>
            <w:tcW w:w="900" w:type="dxa"/>
            <w:vAlign w:val="bottom"/>
          </w:tcPr>
          <w:p>
            <w:pPr>
              <w:jc w:val="right"/>
              <w:ind w:right="652"/>
              <w:spacing w:after="0"/>
              <w:rPr>
                <w:sz w:val="20"/>
                <w:szCs w:val="20"/>
                <w:color w:val="auto"/>
              </w:rPr>
            </w:pPr>
            <w:r>
              <w:rPr>
                <w:rFonts w:ascii="Arial" w:cs="Arial" w:eastAsia="Arial" w:hAnsi="Arial"/>
                <w:sz w:val="22"/>
                <w:szCs w:val="22"/>
                <w:color w:val="auto"/>
              </w:rPr>
              <w:t>-</w:t>
            </w:r>
          </w:p>
        </w:tc>
        <w:tc>
          <w:tcPr>
            <w:tcW w:w="7580" w:type="dxa"/>
            <w:vAlign w:val="bottom"/>
          </w:tcPr>
          <w:p>
            <w:pPr>
              <w:ind w:left="320"/>
              <w:spacing w:after="0"/>
              <w:rPr>
                <w:sz w:val="20"/>
                <w:szCs w:val="20"/>
                <w:color w:val="auto"/>
              </w:rPr>
            </w:pPr>
            <w:r>
              <w:rPr>
                <w:rFonts w:ascii="Arial" w:cs="Arial" w:eastAsia="Arial" w:hAnsi="Arial"/>
                <w:sz w:val="22"/>
                <w:szCs w:val="22"/>
                <w:color w:val="auto"/>
              </w:rPr>
              <w:t>Form of Assignment and Acceptance</w:t>
            </w:r>
          </w:p>
        </w:tc>
        <w:tc>
          <w:tcPr>
            <w:tcW w:w="1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-8755380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-8755380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-565150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-565150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1" w:right="199" w:bottom="0" w:gutter="0" w:footer="0" w:header="0"/>
        </w:sectPr>
      </w:pPr>
    </w:p>
    <w:bookmarkStart w:id="6" w:name="page7"/>
    <w:bookmarkEnd w:id="6"/>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REVOLVING CREDIT AGREEMENT</w:t>
      </w:r>
    </w:p>
    <w:p>
      <w:pPr>
        <w:spacing w:after="0" w:line="23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This Revolving Credit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August 31, 2018 is among AbbVie Inc., a corporation organized and existing under the laws of the State of Delaware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(as defined below) that are parties hereto, and JPMorgan Chase Bank, N.A., as administrative agent (together with any successor thereto appointed pursuant to Article VII, and including any applicable designated Affiliate,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Lenders.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w:t>
      </w:r>
    </w:p>
    <w:p>
      <w:pPr>
        <w:spacing w:after="0" w:line="227"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DEFINITIONS AND ACCOUNTING TERMS</w:t>
      </w:r>
    </w:p>
    <w:p>
      <w:pPr>
        <w:spacing w:after="0" w:line="239"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1.01</w:t>
      </w:r>
      <w:r>
        <w:rPr>
          <w:sz w:val="20"/>
          <w:szCs w:val="20"/>
          <w:color w:val="auto"/>
        </w:rPr>
        <w:tab/>
      </w:r>
      <w:r>
        <w:rPr>
          <w:rFonts w:ascii="Arial" w:cs="Arial" w:eastAsia="Arial" w:hAnsi="Arial"/>
          <w:sz w:val="19"/>
          <w:szCs w:val="19"/>
          <w:u w:val="single" w:color="auto"/>
          <w:color w:val="auto"/>
        </w:rPr>
        <w:t>Certain Defined Terms</w:t>
      </w:r>
      <w:r>
        <w:rPr>
          <w:rFonts w:ascii="Arial" w:cs="Arial" w:eastAsia="Arial" w:hAnsi="Arial"/>
          <w:sz w:val="19"/>
          <w:szCs w:val="19"/>
          <w:color w:val="auto"/>
        </w:rPr>
        <w:t>.</w:t>
      </w:r>
    </w:p>
    <w:p>
      <w:pPr>
        <w:spacing w:after="0" w:line="233"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As used in this Agreement, the following terms shall have the following meanings (such meanings to be equally applicable to both the singular and plural forms of the terms defined):</w:t>
      </w:r>
    </w:p>
    <w:p>
      <w:pPr>
        <w:spacing w:after="0" w:line="200" w:lineRule="exact"/>
        <w:rPr>
          <w:sz w:val="20"/>
          <w:szCs w:val="20"/>
          <w:color w:val="auto"/>
        </w:rPr>
      </w:pPr>
    </w:p>
    <w:p>
      <w:pPr>
        <w:jc w:val="both"/>
        <w:ind w:left="660" w:firstLine="702"/>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transaction or series of related transactions for the purpose of or resulting, directly or indirectly, in (a) the acquisition by the Borrower or any of its Subsidiaries of all or substantially all of the assets of a Person, or of any business or division of a Person, (b) the acquisition by the Borrower or any of its Subsidiaries of in excess of 50% of the capital stock, partnership interests, membership interests or equity of any Person (other than a Person that is a Subsidiary), or otherwise causing any Person to become a Subsidiary of the Borrower or (c) a merger or consolidation or any other combination by the Borrower or any of its Subsidiaries with another Person (other than a Person that is a Subsidiary) provided that the Borrower (or a Person that succeeds to the Borrower pursuant to Section 5.02(b) in connection with such transaction or series of related transactions) or a Subsidiary of the Borrower (or a Person that becomes a Subsidiary of the Borrower as a result of such transaction) is the surviving entity; provided that any Person that is a Subsidiary at the time of execution of the definitive agreement related to any such transaction or series of related transactions (or, in the case of a tender offer or similar transaction, at the time of filing of the definitive offer document) shall constitute a Subsidiary for purposes of this definition even if in connection with such transaction or series of related transactions, such Person becomes a direct or indirect holding company of the Borrower.</w:t>
      </w:r>
    </w:p>
    <w:p>
      <w:pPr>
        <w:spacing w:after="0" w:line="184" w:lineRule="exact"/>
        <w:rPr>
          <w:sz w:val="20"/>
          <w:szCs w:val="20"/>
          <w:color w:val="auto"/>
        </w:rPr>
      </w:pPr>
    </w:p>
    <w:p>
      <w:pPr>
        <w:ind w:left="66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 Debt</w:t>
      </w:r>
      <w:r>
        <w:rPr>
          <w:rFonts w:ascii="Arial" w:cs="Arial" w:eastAsia="Arial" w:hAnsi="Arial"/>
          <w:sz w:val="21"/>
          <w:szCs w:val="21"/>
          <w:color w:val="auto"/>
        </w:rPr>
        <w:t>” means any Borrowed Debt of the Borrower or any of its Subsidiaries that has been issued or incurred for the purpose of financing, in whole or in part, a Material Acquisition and any related transactions or series of related transactions (including for the purpose of refinancing or replacing all or a portion of any pre-existing Borrowed Debt of the Borrower, any of its Subsidiaries or the Person(s) or assets to be acquired).</w:t>
      </w:r>
    </w:p>
    <w:p>
      <w:pPr>
        <w:spacing w:after="0" w:line="201" w:lineRule="exact"/>
        <w:rPr>
          <w:sz w:val="20"/>
          <w:szCs w:val="20"/>
          <w:color w:val="auto"/>
        </w:rPr>
      </w:pPr>
    </w:p>
    <w:p>
      <w:pPr>
        <w:ind w:left="660" w:right="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means an Eligible Assignee not previously a Lender that becomes a Lender hereunder pursuant to Section 2.05(d).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has the meaning specified in the recital of parties to this Agreement.</w:t>
      </w:r>
    </w:p>
    <w:p>
      <w:pPr>
        <w:spacing w:after="0" w:line="233"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Office</w:t>
      </w:r>
      <w:r>
        <w:rPr>
          <w:rFonts w:ascii="Arial" w:cs="Arial" w:eastAsia="Arial" w:hAnsi="Arial"/>
          <w:sz w:val="22"/>
          <w:szCs w:val="22"/>
          <w:color w:val="auto"/>
        </w:rPr>
        <w:t>” means the Administrative Agent’s address and, as appropriate, account as set forth on Schedule II, or such other address or account as the Administrative Agent may from time to time notify to the Borrower and the Lenders.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the form supplied by the Administrative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Agent.</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Advance</w:t>
      </w:r>
      <w:r>
        <w:rPr>
          <w:rFonts w:ascii="Arial" w:cs="Arial" w:eastAsia="Arial" w:hAnsi="Arial"/>
          <w:sz w:val="19"/>
          <w:szCs w:val="19"/>
          <w:color w:val="auto"/>
        </w:rPr>
        <w:t>” means an advance by a Lender pursuant to its Commitment to the Borrower as part of a Borrowing.</w:t>
      </w:r>
    </w:p>
    <w:p>
      <w:pPr>
        <w:spacing w:after="0" w:line="268" w:lineRule="exact"/>
        <w:rPr>
          <w:sz w:val="20"/>
          <w:szCs w:val="20"/>
          <w:color w:val="auto"/>
        </w:rPr>
      </w:pPr>
    </w:p>
    <w:p>
      <w:pPr>
        <w:jc w:val="both"/>
        <w:ind w:left="66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has the meaning set forth in Section 8.02(d).</w:t>
      </w:r>
    </w:p>
    <w:p>
      <w:pPr>
        <w:spacing w:after="0" w:line="233" w:lineRule="exact"/>
        <w:rPr>
          <w:sz w:val="20"/>
          <w:szCs w:val="20"/>
          <w:color w:val="auto"/>
        </w:rPr>
      </w:pPr>
    </w:p>
    <w:p>
      <w:pPr>
        <w:jc w:val="both"/>
        <w:ind w:left="660"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means, collectively, the Administrative Agent, the Arranger, the other Lead Arrangers and each Syndication Agent.</w:t>
      </w:r>
    </w:p>
    <w:p>
      <w:pPr>
        <w:sectPr>
          <w:pgSz w:w="11900" w:h="16838" w:orient="portrait"/>
          <w:cols w:equalWidth="0" w:num="1">
            <w:col w:w="11420"/>
          </w:cols>
          <w:pgMar w:left="240" w:top="118" w:right="239" w:bottom="0" w:gutter="0" w:footer="0" w:header="0"/>
        </w:sectPr>
      </w:pPr>
    </w:p>
    <w:bookmarkStart w:id="7" w:name="page8"/>
    <w:bookmarkEnd w:id="7"/>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introduction hereto.</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has the meaning set forth in Section 8.15.</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 Value</w:t>
      </w:r>
      <w:r>
        <w:rPr>
          <w:rFonts w:ascii="Arial" w:cs="Arial" w:eastAsia="Arial" w:hAnsi="Arial"/>
          <w:sz w:val="21"/>
          <w:szCs w:val="21"/>
          <w:color w:val="auto"/>
        </w:rPr>
        <w:t>” means, with respect to any Hedge Agreement at any date of determination, the amount, if any, that would be payable to any counterparty thereunder in respect of the “agreement value” under such Hedge Agreement if such Hedge Agreement were terminated on such date, calculated as provided in the International Swap Dealers Association, Inc. Code of Standard Wording, Assumptions and Provisions for Swaps, 1986 Edition.</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Alternative Currency</w:t>
      </w:r>
      <w:r>
        <w:rPr>
          <w:rFonts w:ascii="Arial" w:cs="Arial" w:eastAsia="Arial" w:hAnsi="Arial"/>
          <w:sz w:val="19"/>
          <w:szCs w:val="19"/>
          <w:color w:val="auto"/>
        </w:rPr>
        <w:t>” means Sterling, Euro and any other currency (a) for which Eurocurrency Rates can be determined by reference to the applicable Reuters screen as provided in the definition of “Eurocurrency Rate” and (b) that has been designated by the Administrative Agent as an Alternative Currency at the request of the Borrower and with the consent of (i) the Administrative Agent and (ii) each Lender. In order to implement any Alternative Currency approved by the Lenders (other than Sterling or Euro), the Administrative Agent and the Borrower may make any technical or operational changes to this agreement as necessary without any further consent from any Lenders.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has the meaning set forth in Section 4.01(s).</w:t>
      </w: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Creditor</w:t>
      </w:r>
      <w:r>
        <w:rPr>
          <w:rFonts w:ascii="Arial" w:cs="Arial" w:eastAsia="Arial" w:hAnsi="Arial"/>
          <w:sz w:val="22"/>
          <w:szCs w:val="22"/>
          <w:color w:val="auto"/>
        </w:rPr>
        <w:t>” has the meaning set forth in Section 8.15.</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Lending Office</w:t>
      </w:r>
      <w:r>
        <w:rPr>
          <w:rFonts w:ascii="Arial" w:cs="Arial" w:eastAsia="Arial" w:hAnsi="Arial"/>
          <w:sz w:val="22"/>
          <w:szCs w:val="22"/>
          <w:color w:val="auto"/>
        </w:rPr>
        <w:t>” means, with respect to any Lender, the office of such Lender specified as its “Applicable Lending Office” or similar concept in its Administrative Questionnaire or in the Assignment and Acceptance pursuant to which it became a Lender, or such other office, branch, Subsidiary or affiliate of such Lender as such Lender may from time to time specify to the Borrower and the Administrative Agent.</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as of any date, a percentage per annum determined by reference to the Public Debt Rating in effect on such date as set forth below:</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20" w:type="dxa"/>
            <w:vAlign w:val="bottom"/>
            <w:tcBorders>
              <w:top w:val="single" w:sz="8" w:color="auto"/>
              <w:left w:val="single" w:sz="8" w:color="auto"/>
              <w:right w:val="single" w:sz="8" w:color="auto"/>
            </w:tcBorders>
          </w:tcPr>
          <w:p>
            <w:pPr>
              <w:spacing w:after="0"/>
              <w:rPr>
                <w:sz w:val="19"/>
                <w:szCs w:val="19"/>
                <w:color w:val="auto"/>
              </w:rPr>
            </w:pPr>
          </w:p>
        </w:tc>
        <w:tc>
          <w:tcPr>
            <w:tcW w:w="2960" w:type="dxa"/>
            <w:vAlign w:val="bottom"/>
            <w:tcBorders>
              <w:top w:val="single" w:sz="8" w:color="auto"/>
              <w:right w:val="single" w:sz="8" w:color="auto"/>
            </w:tcBorders>
          </w:tcPr>
          <w:p>
            <w:pPr>
              <w:spacing w:after="0"/>
              <w:rPr>
                <w:sz w:val="19"/>
                <w:szCs w:val="19"/>
                <w:color w:val="auto"/>
              </w:rPr>
            </w:pPr>
          </w:p>
        </w:tc>
        <w:tc>
          <w:tcPr>
            <w:tcW w:w="296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2"/>
              </w:rPr>
              <w:t>Applicable Margin for</w:t>
            </w:r>
          </w:p>
        </w:tc>
        <w:tc>
          <w:tcPr>
            <w:tcW w:w="296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9"/>
              </w:rPr>
              <w:t>Applicable</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2960" w:type="dxa"/>
            <w:vAlign w:val="bottom"/>
            <w:tcBorders>
              <w:right w:val="single" w:sz="8" w:color="auto"/>
            </w:tcBorders>
          </w:tcPr>
          <w:p>
            <w:pPr>
              <w:ind w:left="580"/>
              <w:spacing w:after="0" w:line="243" w:lineRule="exact"/>
              <w:rPr>
                <w:sz w:val="20"/>
                <w:szCs w:val="20"/>
                <w:color w:val="auto"/>
              </w:rPr>
            </w:pPr>
            <w:r>
              <w:rPr>
                <w:rFonts w:ascii="Arial" w:cs="Arial" w:eastAsia="Arial" w:hAnsi="Arial"/>
                <w:sz w:val="22"/>
                <w:szCs w:val="22"/>
                <w:b w:val="1"/>
                <w:bCs w:val="1"/>
                <w:color w:val="auto"/>
              </w:rPr>
              <w:t>Public Debt Rating</w:t>
            </w:r>
          </w:p>
        </w:tc>
        <w:tc>
          <w:tcPr>
            <w:tcW w:w="2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0"/>
              </w:rPr>
              <w:t>Eurocurrency Rate</w:t>
            </w:r>
          </w:p>
        </w:tc>
        <w:tc>
          <w:tcPr>
            <w:tcW w:w="2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0"/>
              </w:rPr>
              <w:t>Margin for Base</w:t>
            </w:r>
          </w:p>
        </w:tc>
      </w:tr>
      <w:tr>
        <w:trPr>
          <w:trHeight w:val="271"/>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22"/>
                <w:szCs w:val="22"/>
                <w:b w:val="1"/>
                <w:bCs w:val="1"/>
                <w:color w:val="auto"/>
              </w:rPr>
              <w:t>S&amp;P/Moody’s</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Advances</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Rate Advances</w:t>
            </w:r>
          </w:p>
        </w:tc>
      </w:tr>
      <w:tr>
        <w:trPr>
          <w:trHeight w:val="237"/>
        </w:trPr>
        <w:tc>
          <w:tcPr>
            <w:tcW w:w="17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1:</w:t>
            </w:r>
          </w:p>
        </w:tc>
        <w:tc>
          <w:tcPr>
            <w:tcW w:w="29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A+/A1 or above</w:t>
            </w:r>
          </w:p>
        </w:tc>
        <w:tc>
          <w:tcPr>
            <w:tcW w:w="29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0.700%</w:t>
            </w:r>
          </w:p>
        </w:tc>
        <w:tc>
          <w:tcPr>
            <w:tcW w:w="29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0.000%</w:t>
            </w:r>
          </w:p>
        </w:tc>
      </w:tr>
      <w:tr>
        <w:trPr>
          <w:trHeight w:val="215"/>
        </w:trPr>
        <w:tc>
          <w:tcPr>
            <w:tcW w:w="17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Level 2:</w:t>
            </w:r>
          </w:p>
        </w:tc>
        <w:tc>
          <w:tcPr>
            <w:tcW w:w="29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Less than Level 1 but at least</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0.8050%</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0.000%</w:t>
            </w:r>
          </w:p>
        </w:tc>
      </w:tr>
      <w:tr>
        <w:trPr>
          <w:trHeight w:val="265"/>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A/A2</w:t>
            </w:r>
          </w:p>
        </w:tc>
        <w:tc>
          <w:tcPr>
            <w:tcW w:w="2960" w:type="dxa"/>
            <w:vAlign w:val="bottom"/>
            <w:tcBorders>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spacing w:after="0"/>
              <w:rPr>
                <w:sz w:val="23"/>
                <w:szCs w:val="23"/>
                <w:color w:val="auto"/>
              </w:rPr>
            </w:pPr>
          </w:p>
        </w:tc>
      </w:tr>
      <w:tr>
        <w:trPr>
          <w:trHeight w:val="215"/>
        </w:trPr>
        <w:tc>
          <w:tcPr>
            <w:tcW w:w="17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Level 3:</w:t>
            </w:r>
          </w:p>
        </w:tc>
        <w:tc>
          <w:tcPr>
            <w:tcW w:w="29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Less than Level 2 but at least</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0.910%</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0.000%</w:t>
            </w:r>
          </w:p>
        </w:tc>
      </w:tr>
      <w:tr>
        <w:trPr>
          <w:trHeight w:val="265"/>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A-/A3</w:t>
            </w:r>
          </w:p>
        </w:tc>
        <w:tc>
          <w:tcPr>
            <w:tcW w:w="2960" w:type="dxa"/>
            <w:vAlign w:val="bottom"/>
            <w:tcBorders>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spacing w:after="0"/>
              <w:rPr>
                <w:sz w:val="23"/>
                <w:szCs w:val="23"/>
                <w:color w:val="auto"/>
              </w:rPr>
            </w:pPr>
          </w:p>
        </w:tc>
      </w:tr>
      <w:tr>
        <w:trPr>
          <w:trHeight w:val="215"/>
        </w:trPr>
        <w:tc>
          <w:tcPr>
            <w:tcW w:w="17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Level 4:</w:t>
            </w:r>
          </w:p>
        </w:tc>
        <w:tc>
          <w:tcPr>
            <w:tcW w:w="29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Less than Level 3 but at least</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1.0250%</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0.0250%</w:t>
            </w:r>
          </w:p>
        </w:tc>
      </w:tr>
      <w:tr>
        <w:trPr>
          <w:trHeight w:val="265"/>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BBB+/Baa1</w:t>
            </w:r>
          </w:p>
        </w:tc>
        <w:tc>
          <w:tcPr>
            <w:tcW w:w="2960" w:type="dxa"/>
            <w:vAlign w:val="bottom"/>
            <w:tcBorders>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spacing w:after="0"/>
              <w:rPr>
                <w:sz w:val="23"/>
                <w:szCs w:val="23"/>
                <w:color w:val="auto"/>
              </w:rPr>
            </w:pPr>
          </w:p>
        </w:tc>
      </w:tr>
      <w:tr>
        <w:trPr>
          <w:trHeight w:val="215"/>
        </w:trPr>
        <w:tc>
          <w:tcPr>
            <w:tcW w:w="17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Level 5:</w:t>
            </w:r>
          </w:p>
        </w:tc>
        <w:tc>
          <w:tcPr>
            <w:tcW w:w="29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Less than Level 4 but at least</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1.1250%</w:t>
            </w:r>
          </w:p>
        </w:tc>
        <w:tc>
          <w:tcPr>
            <w:tcW w:w="296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rPr>
              <w:t>0.1250%</w:t>
            </w:r>
          </w:p>
        </w:tc>
      </w:tr>
      <w:tr>
        <w:trPr>
          <w:trHeight w:val="265"/>
        </w:trPr>
        <w:tc>
          <w:tcPr>
            <w:tcW w:w="1720" w:type="dxa"/>
            <w:vAlign w:val="bottom"/>
            <w:tcBorders>
              <w:left w:val="single" w:sz="8" w:color="auto"/>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BBB/Baa2</w:t>
            </w:r>
          </w:p>
        </w:tc>
        <w:tc>
          <w:tcPr>
            <w:tcW w:w="2960" w:type="dxa"/>
            <w:vAlign w:val="bottom"/>
            <w:tcBorders>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spacing w:after="0"/>
              <w:rPr>
                <w:sz w:val="23"/>
                <w:szCs w:val="23"/>
                <w:color w:val="auto"/>
              </w:rPr>
            </w:pPr>
          </w:p>
        </w:tc>
      </w:tr>
      <w:tr>
        <w:trPr>
          <w:trHeight w:val="237"/>
        </w:trPr>
        <w:tc>
          <w:tcPr>
            <w:tcW w:w="17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6:</w:t>
            </w:r>
          </w:p>
        </w:tc>
        <w:tc>
          <w:tcPr>
            <w:tcW w:w="29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Less than Level 5</w:t>
            </w:r>
          </w:p>
        </w:tc>
        <w:tc>
          <w:tcPr>
            <w:tcW w:w="29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1.3250%</w:t>
            </w:r>
          </w:p>
        </w:tc>
        <w:tc>
          <w:tcPr>
            <w:tcW w:w="29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0.3250%</w:t>
            </w:r>
          </w:p>
        </w:tc>
      </w:tr>
    </w:tbl>
    <w:p>
      <w:pPr>
        <w:spacing w:after="0" w:line="222"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in the case of the facility fee paid pursuant to Section 2.04(a), as of any date, a percentage per annum determined by reference to the Public Debt Rating in effect on such date as set forth below:</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00" w:type="dxa"/>
            <w:vAlign w:val="bottom"/>
            <w:tcBorders>
              <w:top w:val="single" w:sz="8" w:color="auto"/>
              <w:left w:val="single" w:sz="8" w:color="auto"/>
              <w:right w:val="single" w:sz="8" w:color="auto"/>
            </w:tcBorders>
          </w:tcPr>
          <w:p>
            <w:pPr>
              <w:spacing w:after="0"/>
              <w:rPr>
                <w:sz w:val="19"/>
                <w:szCs w:val="19"/>
                <w:color w:val="auto"/>
              </w:rPr>
            </w:pPr>
          </w:p>
        </w:tc>
        <w:tc>
          <w:tcPr>
            <w:tcW w:w="4160" w:type="dxa"/>
            <w:vAlign w:val="bottom"/>
            <w:tcBorders>
              <w:top w:val="single" w:sz="8" w:color="auto"/>
              <w:right w:val="single" w:sz="8" w:color="auto"/>
            </w:tcBorders>
          </w:tcPr>
          <w:p>
            <w:pPr>
              <w:ind w:left="1180"/>
              <w:spacing w:after="0" w:line="229" w:lineRule="exact"/>
              <w:rPr>
                <w:sz w:val="20"/>
                <w:szCs w:val="20"/>
                <w:color w:val="auto"/>
              </w:rPr>
            </w:pPr>
            <w:r>
              <w:rPr>
                <w:rFonts w:ascii="Arial" w:cs="Arial" w:eastAsia="Arial" w:hAnsi="Arial"/>
                <w:sz w:val="22"/>
                <w:szCs w:val="22"/>
                <w:b w:val="1"/>
                <w:bCs w:val="1"/>
                <w:color w:val="auto"/>
              </w:rPr>
              <w:t>Public Debt Rating</w:t>
            </w:r>
          </w:p>
        </w:tc>
        <w:tc>
          <w:tcPr>
            <w:tcW w:w="3740" w:type="dxa"/>
            <w:vAlign w:val="bottom"/>
            <w:tcBorders>
              <w:top w:val="single" w:sz="8" w:color="auto"/>
              <w:right w:val="single" w:sz="8" w:color="auto"/>
            </w:tcBorders>
          </w:tcPr>
          <w:p>
            <w:pPr>
              <w:spacing w:after="0"/>
              <w:rPr>
                <w:sz w:val="19"/>
                <w:szCs w:val="19"/>
                <w:color w:val="auto"/>
              </w:rPr>
            </w:pPr>
          </w:p>
        </w:tc>
      </w:tr>
      <w:tr>
        <w:trPr>
          <w:trHeight w:val="271"/>
        </w:trPr>
        <w:tc>
          <w:tcPr>
            <w:tcW w:w="1900" w:type="dxa"/>
            <w:vAlign w:val="bottom"/>
            <w:tcBorders>
              <w:left w:val="single" w:sz="8" w:color="auto"/>
              <w:bottom w:val="single" w:sz="8" w:color="auto"/>
              <w:right w:val="single" w:sz="8" w:color="auto"/>
            </w:tcBorders>
          </w:tcPr>
          <w:p>
            <w:pPr>
              <w:spacing w:after="0"/>
              <w:rPr>
                <w:sz w:val="23"/>
                <w:szCs w:val="23"/>
                <w:color w:val="auto"/>
              </w:rPr>
            </w:pPr>
          </w:p>
        </w:tc>
        <w:tc>
          <w:tcPr>
            <w:tcW w:w="416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22"/>
                <w:szCs w:val="22"/>
                <w:b w:val="1"/>
                <w:bCs w:val="1"/>
                <w:color w:val="auto"/>
              </w:rPr>
              <w:t>S&amp;P/Moody’s</w:t>
            </w:r>
          </w:p>
        </w:tc>
        <w:tc>
          <w:tcPr>
            <w:tcW w:w="3740" w:type="dxa"/>
            <w:vAlign w:val="bottom"/>
            <w:tcBorders>
              <w:bottom w:val="single" w:sz="8" w:color="auto"/>
              <w:right w:val="single" w:sz="8" w:color="auto"/>
            </w:tcBorders>
          </w:tcPr>
          <w:p>
            <w:pPr>
              <w:jc w:val="right"/>
              <w:ind w:right="732"/>
              <w:spacing w:after="0"/>
              <w:rPr>
                <w:sz w:val="20"/>
                <w:szCs w:val="20"/>
                <w:color w:val="auto"/>
              </w:rPr>
            </w:pPr>
            <w:r>
              <w:rPr>
                <w:rFonts w:ascii="Arial" w:cs="Arial" w:eastAsia="Arial" w:hAnsi="Arial"/>
                <w:sz w:val="22"/>
                <w:szCs w:val="22"/>
                <w:b w:val="1"/>
                <w:bCs w:val="1"/>
                <w:color w:val="auto"/>
              </w:rPr>
              <w:t>Applicable Percentage</w:t>
            </w:r>
          </w:p>
        </w:tc>
      </w:tr>
      <w:tr>
        <w:trPr>
          <w:trHeight w:val="237"/>
        </w:trPr>
        <w:tc>
          <w:tcPr>
            <w:tcW w:w="1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1:</w:t>
            </w:r>
          </w:p>
        </w:tc>
        <w:tc>
          <w:tcPr>
            <w:tcW w:w="41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A+/A1 or above</w:t>
            </w:r>
          </w:p>
        </w:tc>
        <w:tc>
          <w:tcPr>
            <w:tcW w:w="37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0.050%</w:t>
            </w:r>
          </w:p>
        </w:tc>
      </w:tr>
      <w:tr>
        <w:trPr>
          <w:trHeight w:val="237"/>
        </w:trPr>
        <w:tc>
          <w:tcPr>
            <w:tcW w:w="1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2:</w:t>
            </w:r>
          </w:p>
        </w:tc>
        <w:tc>
          <w:tcPr>
            <w:tcW w:w="41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Less than Level 1 but at least A/A2</w:t>
            </w:r>
          </w:p>
        </w:tc>
        <w:tc>
          <w:tcPr>
            <w:tcW w:w="37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0.070%</w:t>
            </w:r>
          </w:p>
        </w:tc>
      </w:tr>
      <w:tr>
        <w:trPr>
          <w:trHeight w:val="237"/>
        </w:trPr>
        <w:tc>
          <w:tcPr>
            <w:tcW w:w="1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3:</w:t>
            </w:r>
          </w:p>
        </w:tc>
        <w:tc>
          <w:tcPr>
            <w:tcW w:w="41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Less than Level 2 but at least A-/A3</w:t>
            </w:r>
          </w:p>
        </w:tc>
        <w:tc>
          <w:tcPr>
            <w:tcW w:w="37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0.090%</w:t>
            </w:r>
          </w:p>
        </w:tc>
      </w:tr>
      <w:tr>
        <w:trPr>
          <w:trHeight w:val="237"/>
        </w:trPr>
        <w:tc>
          <w:tcPr>
            <w:tcW w:w="1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4:</w:t>
            </w:r>
          </w:p>
        </w:tc>
        <w:tc>
          <w:tcPr>
            <w:tcW w:w="41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w w:val="98"/>
              </w:rPr>
              <w:t>Less than Level 3 but at least BBB+/Baa1</w:t>
            </w:r>
          </w:p>
        </w:tc>
        <w:tc>
          <w:tcPr>
            <w:tcW w:w="37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0.10%</w:t>
            </w:r>
          </w:p>
        </w:tc>
      </w:tr>
      <w:tr>
        <w:trPr>
          <w:trHeight w:val="237"/>
        </w:trPr>
        <w:tc>
          <w:tcPr>
            <w:tcW w:w="1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5:</w:t>
            </w:r>
          </w:p>
        </w:tc>
        <w:tc>
          <w:tcPr>
            <w:tcW w:w="41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Less than Level 4 but at least BBB/Baa2</w:t>
            </w:r>
          </w:p>
        </w:tc>
        <w:tc>
          <w:tcPr>
            <w:tcW w:w="37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0.1250%</w:t>
            </w:r>
          </w:p>
        </w:tc>
      </w:tr>
      <w:tr>
        <w:trPr>
          <w:trHeight w:val="237"/>
        </w:trPr>
        <w:tc>
          <w:tcPr>
            <w:tcW w:w="19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Level 6:</w:t>
            </w:r>
          </w:p>
        </w:tc>
        <w:tc>
          <w:tcPr>
            <w:tcW w:w="416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Less than Level 5</w:t>
            </w:r>
          </w:p>
        </w:tc>
        <w:tc>
          <w:tcPr>
            <w:tcW w:w="37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0.1750%</w:t>
            </w:r>
          </w:p>
        </w:tc>
      </w:tr>
    </w:tbl>
    <w:p>
      <w:pPr>
        <w:spacing w:after="0" w:line="2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 has the meaning set forth in Section 8.02(c).</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sectPr>
          <w:pgSz w:w="11900" w:h="16838" w:orient="portrait"/>
          <w:cols w:equalWidth="0" w:num="1">
            <w:col w:w="10760"/>
          </w:cols>
          <w:pgMar w:left="900" w:top="118" w:right="239" w:bottom="172" w:gutter="0" w:footer="0" w:header="0"/>
        </w:sect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110490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18" w:right="239" w:bottom="172" w:gutter="0" w:footer="0" w:header="0"/>
          <w:type w:val="continuous"/>
        </w:sectPr>
      </w:pPr>
    </w:p>
    <w:bookmarkStart w:id="8" w:name="page9"/>
    <w:bookmarkEnd w:id="8"/>
    <w:p>
      <w:pPr>
        <w:spacing w:after="0" w:line="67" w:lineRule="exact"/>
        <w:rPr>
          <w:sz w:val="20"/>
          <w:szCs w:val="20"/>
          <w:color w:val="auto"/>
        </w:rPr>
      </w:pPr>
    </w:p>
    <w:p>
      <w:pPr>
        <w:ind w:left="644" w:right="1440" w:hanging="644"/>
        <w:spacing w:after="0" w:line="461" w:lineRule="auto"/>
        <w:tabs>
          <w:tab w:leader="none" w:pos="301" w:val="left"/>
        </w:tabs>
        <w:numPr>
          <w:ilvl w:val="0"/>
          <w:numId w:val="1"/>
        </w:numPr>
        <w:rPr>
          <w:rFonts w:ascii="Arial" w:cs="Arial" w:eastAsia="Arial" w:hAnsi="Arial"/>
          <w:sz w:val="22"/>
          <w:szCs w:val="22"/>
          <w:color w:val="auto"/>
        </w:rPr>
      </w:pPr>
      <w:r>
        <w:rPr>
          <w:rFonts w:ascii="Arial" w:cs="Arial" w:eastAsia="Arial" w:hAnsi="Arial"/>
          <w:sz w:val="22"/>
          <w:szCs w:val="22"/>
          <w:color w:val="auto"/>
        </w:rPr>
        <w:t>an Affiliate of a Lender or (c) an entity or an Affiliate of an entity that administers or manages a Lender. “</w:t>
      </w:r>
      <w:r>
        <w:rPr>
          <w:rFonts w:ascii="Arial" w:cs="Arial" w:eastAsia="Arial" w:hAnsi="Arial"/>
          <w:sz w:val="22"/>
          <w:szCs w:val="22"/>
          <w:u w:val="single" w:color="auto"/>
          <w:color w:val="auto"/>
        </w:rPr>
        <w:t>Arranger</w:t>
      </w:r>
      <w:r>
        <w:rPr>
          <w:rFonts w:ascii="Arial" w:cs="Arial" w:eastAsia="Arial" w:hAnsi="Arial"/>
          <w:sz w:val="22"/>
          <w:szCs w:val="22"/>
          <w:color w:val="auto"/>
        </w:rPr>
        <w:t>” means JPMorgan Chase Bank, N.A.</w:t>
      </w:r>
    </w:p>
    <w:p>
      <w:pPr>
        <w:spacing w:after="0" w:line="1"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means an assignment and acceptance entered into by a Lender and an Eligible Assignee, and accepted by the Administrative Agent, in substantially the form of Exhibit B hereto.</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the period starting on the Effective Date and ending on the Commitment Termination</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2"/>
          <w:szCs w:val="22"/>
          <w:color w:val="auto"/>
        </w:rPr>
        <w:t>Date.</w:t>
      </w:r>
    </w:p>
    <w:p>
      <w:pPr>
        <w:spacing w:after="0" w:line="215" w:lineRule="exact"/>
        <w:rPr>
          <w:sz w:val="20"/>
          <w:szCs w:val="20"/>
          <w:color w:val="auto"/>
        </w:rPr>
      </w:pPr>
    </w:p>
    <w:p>
      <w:pPr>
        <w:jc w:val="both"/>
        <w:ind w:left="4"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200"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13"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greatest of (a) the Prime Rate in effect on such day,</w:t>
      </w:r>
    </w:p>
    <w:p>
      <w:pPr>
        <w:spacing w:after="0" w:line="43" w:lineRule="exact"/>
        <w:rPr>
          <w:sz w:val="20"/>
          <w:szCs w:val="20"/>
          <w:color w:val="auto"/>
        </w:rPr>
      </w:pPr>
    </w:p>
    <w:p>
      <w:pPr>
        <w:jc w:val="both"/>
        <w:ind w:left="4" w:hanging="4"/>
        <w:spacing w:after="0" w:line="272" w:lineRule="auto"/>
        <w:tabs>
          <w:tab w:leader="none" w:pos="319"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the NYFRB Rate in effect on such day plus ½ of 1% and (c) the Eurocurrency Rate for a one month Interest Period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 of this definition, the Eurocurrency Rate for any day shall be based on the Screen Rate (or if the Screen Rate is not available for such one month Interest Period, the Interpolated Rate) at approximately 11:00 a.m. London time on such day. Any change in the Base Rate due to a change in the Prime Rate, the NYFRB Rate or the Eurocurrency Rate shall be effective from and including the effective date of such change in the Prime Rate, the NYFRB Rate or the Eurocurrency Rate, respectively. If the Base Rate is being used as an alternate rate of interest pursuant to Section 2.08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200" w:lineRule="exact"/>
        <w:rPr>
          <w:sz w:val="20"/>
          <w:szCs w:val="20"/>
          <w:color w:val="auto"/>
        </w:rPr>
      </w:pPr>
    </w:p>
    <w:p>
      <w:pPr>
        <w:spacing w:after="0" w:line="227"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Advance</w:t>
      </w:r>
      <w:r>
        <w:rPr>
          <w:rFonts w:ascii="Arial" w:cs="Arial" w:eastAsia="Arial" w:hAnsi="Arial"/>
          <w:sz w:val="19"/>
          <w:szCs w:val="19"/>
          <w:color w:val="auto"/>
        </w:rPr>
        <w:t>” means an Advance denominated in Dollars that bears interest as provided in Section 2.07(a)</w:t>
      </w:r>
    </w:p>
    <w:p>
      <w:pPr>
        <w:spacing w:after="0" w:line="43" w:lineRule="exact"/>
        <w:rPr>
          <w:sz w:val="20"/>
          <w:szCs w:val="20"/>
          <w:color w:val="auto"/>
        </w:rPr>
      </w:pPr>
    </w:p>
    <w:p>
      <w:pPr>
        <w:ind w:left="4"/>
        <w:spacing w:after="0"/>
        <w:rPr>
          <w:sz w:val="20"/>
          <w:szCs w:val="20"/>
          <w:color w:val="auto"/>
        </w:rPr>
      </w:pPr>
      <w:r>
        <w:rPr>
          <w:rFonts w:ascii="Arial" w:cs="Arial" w:eastAsia="Arial" w:hAnsi="Arial"/>
          <w:sz w:val="22"/>
          <w:szCs w:val="22"/>
          <w:color w:val="auto"/>
        </w:rPr>
        <w:t>(i).</w:t>
      </w:r>
    </w:p>
    <w:p>
      <w:pPr>
        <w:spacing w:after="0" w:line="215" w:lineRule="exact"/>
        <w:rPr>
          <w:sz w:val="20"/>
          <w:szCs w:val="20"/>
          <w:color w:val="auto"/>
        </w:rPr>
      </w:pPr>
    </w:p>
    <w:p>
      <w:pPr>
        <w:jc w:val="both"/>
        <w:ind w:left="4"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Persons whose assets include (for purposes of ERISA Section 3(42) or otherwise for purposes of Title I of ERISA or Section 4975 of the Code) the assets of any such “employee benefit plan” or “plan”.</w:t>
      </w:r>
    </w:p>
    <w:p>
      <w:pPr>
        <w:spacing w:after="0" w:line="212"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Borrowed Debt</w:t>
      </w:r>
      <w:r>
        <w:rPr>
          <w:rFonts w:ascii="Arial" w:cs="Arial" w:eastAsia="Arial" w:hAnsi="Arial"/>
          <w:sz w:val="22"/>
          <w:szCs w:val="22"/>
          <w:color w:val="auto"/>
        </w:rPr>
        <w:t>” means any Debt for money borrowed, including loans, hybrid securities, debt convertible into Equity Interests and any Debt for money borrowed</w:t>
      </w:r>
    </w:p>
    <w:p>
      <w:pPr>
        <w:spacing w:after="0" w:line="200"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
        <w:spacing w:after="0"/>
        <w:rPr>
          <w:sz w:val="20"/>
          <w:szCs w:val="20"/>
          <w:color w:val="auto"/>
        </w:rPr>
      </w:pPr>
      <w:r>
        <w:rPr>
          <w:rFonts w:ascii="Arial" w:cs="Arial" w:eastAsia="Arial" w:hAnsi="Arial"/>
          <w:sz w:val="22"/>
          <w:szCs w:val="22"/>
          <w:color w:val="auto"/>
        </w:rPr>
        <w:t>represented by notes, bonds, debentures or other similar evidences of Debt for money borrowed.</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set forth in the preamble to this Agreement.</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has the meaning specified in Section 5.01(i).</w:t>
      </w:r>
    </w:p>
    <w:p>
      <w:pPr>
        <w:spacing w:after="0" w:line="233" w:lineRule="exact"/>
        <w:rPr>
          <w:sz w:val="20"/>
          <w:szCs w:val="20"/>
          <w:color w:val="auto"/>
        </w:rPr>
      </w:pPr>
    </w:p>
    <w:p>
      <w:pPr>
        <w:jc w:val="both"/>
        <w:ind w:left="4"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a borrowing consisting of simultaneous Advances of the same Type made by each of the Lenders to the Borrower pursuant to Section 2.01.</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Minimum</w:t>
      </w:r>
      <w:r>
        <w:rPr>
          <w:rFonts w:ascii="Arial" w:cs="Arial" w:eastAsia="Arial" w:hAnsi="Arial"/>
          <w:sz w:val="22"/>
          <w:szCs w:val="22"/>
          <w:color w:val="auto"/>
        </w:rPr>
        <w:t>” means $10,000,000.</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Multiple</w:t>
      </w:r>
      <w:r>
        <w:rPr>
          <w:rFonts w:ascii="Arial" w:cs="Arial" w:eastAsia="Arial" w:hAnsi="Arial"/>
          <w:sz w:val="22"/>
          <w:szCs w:val="22"/>
          <w:color w:val="auto"/>
        </w:rPr>
        <w:t>” means $1,000,000.</w:t>
      </w:r>
    </w:p>
    <w:p>
      <w:pPr>
        <w:spacing w:after="0" w:line="233" w:lineRule="exact"/>
        <w:rPr>
          <w:sz w:val="20"/>
          <w:szCs w:val="20"/>
          <w:color w:val="auto"/>
        </w:rPr>
      </w:pPr>
    </w:p>
    <w:p>
      <w:pPr>
        <w:jc w:val="both"/>
        <w:ind w:left="4"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New York City, Chicago or London and any day on which dealings in Dollar or Sterling deposits are conducted by and between banks in the London interbank eurocurrency market; provided that when used in connection with a Eurocurrency Rate Advance denominated in Euro, the term “Business Day” shall also exclude any day on which TARGET is not open for the settlement of payments in Euro.</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Date</w:t>
      </w:r>
      <w:r>
        <w:rPr>
          <w:rFonts w:ascii="Arial" w:cs="Arial" w:eastAsia="Arial" w:hAnsi="Arial"/>
          <w:sz w:val="22"/>
          <w:szCs w:val="22"/>
          <w:color w:val="auto"/>
        </w:rPr>
        <w:t>” has the meaning specified in Section 1.05.</w:t>
      </w:r>
    </w:p>
    <w:p>
      <w:pPr>
        <w:spacing w:after="0" w:line="23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CERCLIS</w:t>
      </w:r>
      <w:r>
        <w:rPr>
          <w:rFonts w:ascii="Arial" w:cs="Arial" w:eastAsia="Arial" w:hAnsi="Arial"/>
          <w:sz w:val="22"/>
          <w:szCs w:val="22"/>
          <w:color w:val="auto"/>
        </w:rPr>
        <w:t>” means the Comprehensive Environmental Response, Compensation and Liability Information System maintained by the U.S. Environmental Protection Agency.</w:t>
      </w:r>
    </w:p>
    <w:p>
      <w:pPr>
        <w:sectPr>
          <w:pgSz w:w="11900" w:h="16905" w:orient="portrait"/>
          <w:cols w:equalWidth="0" w:num="1">
            <w:col w:w="10764"/>
          </w:cols>
          <w:pgMar w:left="896" w:top="361" w:right="239" w:bottom="0" w:gutter="0" w:footer="0" w:header="0"/>
        </w:sectPr>
      </w:pPr>
    </w:p>
    <w:bookmarkStart w:id="9" w:name="page10"/>
    <w:bookmarkEnd w:id="9"/>
    <w:p>
      <w:pPr>
        <w:spacing w:after="0" w:line="47" w:lineRule="exact"/>
        <w:rPr>
          <w:sz w:val="20"/>
          <w:szCs w:val="20"/>
          <w:color w:val="auto"/>
        </w:rPr>
      </w:pPr>
    </w:p>
    <w:p>
      <w:pPr>
        <w:jc w:val="both"/>
        <w:ind w:left="4" w:firstLine="702"/>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as to any Lender, the commitment of such Lender to make an Advance pursuant to Section 2.01, as such commitment may be increased or reduced from time to time pursuant to the terms hereof. The initial amount of each Lender’s Commitment is (a) the amount set forth in the column labeled “Commitment” opposite such Lender’s name on Schedule I hereto, or (b) if such Lender has entered into any Assignment and Acceptance or Lender Joinder Agreement, the amount set forth for such Lender in the Register maintained by the Administrative Agent pursuant to Section 8.07(d), as such amount may be increased or reduced pursuant to Section 2.05. As of the Effective Date, the aggregate amount of the Commitments is $3,000,000,000, as such amount may be reduced in accordance with Section 2.05(b), 2.05(c) or 6.01 or increased in accordance with Section 2.05(d).</w:t>
      </w:r>
    </w:p>
    <w:p>
      <w:pPr>
        <w:spacing w:after="0" w:line="185"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the date that is the fifth anniversary of the Effective Date, as such date may be extended with respect to any Consenting Lender pursuant to Section 2.05(e) (or if such date is not a Business Day, the immediately preceding Business Day).</w:t>
      </w:r>
    </w:p>
    <w:p>
      <w:pPr>
        <w:spacing w:after="0" w:line="21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Consenting Lender</w:t>
      </w:r>
      <w:r>
        <w:rPr>
          <w:rFonts w:ascii="Arial" w:cs="Arial" w:eastAsia="Arial" w:hAnsi="Arial"/>
          <w:sz w:val="22"/>
          <w:szCs w:val="22"/>
          <w:color w:val="auto"/>
        </w:rPr>
        <w:t>” has the meaning specified in Section 2.05(e).</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w:t>
      </w:r>
      <w:r>
        <w:rPr>
          <w:rFonts w:ascii="Arial" w:cs="Arial" w:eastAsia="Arial" w:hAnsi="Arial"/>
          <w:sz w:val="22"/>
          <w:szCs w:val="22"/>
          <w:color w:val="auto"/>
        </w:rPr>
        <w:t>” refers to the consolidation of accounts in accordance with GAAP.</w:t>
      </w:r>
    </w:p>
    <w:p>
      <w:pPr>
        <w:spacing w:after="0" w:line="23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means, for any fiscal period, the Consolidated net income of the Borrower and its Subsidiaries for such period determined in accordance with GAAP plus the following, to the extent deducted in calculating such Consolidated net income: (a) Consolidated Interest Expense, (b) the provision for Federal, state, local and foreign taxes based on income, profits, revenue, business activities, capital (other than capital gain or loss) or similar measures payable by the Borrower and its Subsidiaries in each case, as set forth on the financial statements of the Consolidated Group, (c) depreciation and amortization expense, (d) any extraordinary or unusual charges, expenses or losses, (e) net after-tax losses (including all fees and expenses or charges relating thereto) on sales of assets outside of the ordinary course of business and net after-tax losses from discontinued operations, (f) any net after-tax losses (including all fees and expenses or charges relating thereto) on the retirement of debt, (g) any other nonrecurring or non-cash charges, expenses or losses (including charges, fees and expenses incurred in connection with the Transactions or any issuance of Debt or equity, acquisitions, investments, restructuring activities, asset sales or divestitures permitted hereunder, whether or not successful),</w:t>
      </w:r>
    </w:p>
    <w:p>
      <w:pPr>
        <w:spacing w:after="0" w:line="8" w:lineRule="exact"/>
        <w:rPr>
          <w:sz w:val="20"/>
          <w:szCs w:val="20"/>
          <w:color w:val="auto"/>
        </w:rPr>
      </w:pPr>
    </w:p>
    <w:p>
      <w:pPr>
        <w:jc w:val="both"/>
        <w:ind w:left="4" w:hanging="4"/>
        <w:spacing w:after="0" w:line="269" w:lineRule="auto"/>
        <w:tabs>
          <w:tab w:leader="none" w:pos="315" w:val="left"/>
        </w:tabs>
        <w:numPr>
          <w:ilvl w:val="0"/>
          <w:numId w:val="3"/>
        </w:numPr>
        <w:rPr>
          <w:rFonts w:ascii="Arial" w:cs="Arial" w:eastAsia="Arial" w:hAnsi="Arial"/>
          <w:sz w:val="19"/>
          <w:szCs w:val="19"/>
          <w:color w:val="auto"/>
        </w:rPr>
      </w:pPr>
      <w:r>
        <w:rPr>
          <w:rFonts w:ascii="Arial" w:cs="Arial" w:eastAsia="Arial" w:hAnsi="Arial"/>
          <w:sz w:val="19"/>
          <w:szCs w:val="19"/>
          <w:color w:val="auto"/>
        </w:rPr>
        <w:t>minority interest expense, and (i) non-cash stock option expenses, non-cash equity-based compensation and/or non-cash expenses related to stock-based compensation, and minus, to the extent included in calculating such Consolidated net income for such period, the sum of (i) any extraordinary or unusual income or gains, (ii) net after-tax gains (less all fees and expenses or charges relating thereto) on the sales of assets outside of the ordinary course of business and net after-tax gains from discontinued operations (without duplication of any amounts added back in clause (b) of this definition), (iii) any net after-tax gains (less all fees and expenses or charges relating thereto) on the retirement of debt, (iv) any other nonrecurring or non-cash income and (v) minority interest income, all as determined on a Consolidated basis. In addition, in the event that the Borrower or any of its Subsidiaries acquired or disposed of any Person, business unit or line of business or made any investment during the relevant period, in each case involving the payment or receipt of consideration (including non-cash, contingent and deferred consideration) by the Borrower or any of its Subsidiaries with a fair market value in excess of $5,000,000,000 (as determined by the Borrower in good faith upon the consummation of such acquisition, disposition or investment), Consolidated EBITDA will be determined giving pro forma effect to such acquisition, disposition or investment as if such acquisition, disposition or investment and any related incurrence or repayment of Debt had occurred on the first day of the relevant period, but shall not take into account any cost savings projected to be realized as a result of such acquisition, disposition or investment other than cost savings permitted to be included under Regulation S-X of the Securities and Exchange Commission.</w:t>
      </w:r>
    </w:p>
    <w:p>
      <w:pPr>
        <w:spacing w:after="0" w:line="200" w:lineRule="exact"/>
        <w:rPr>
          <w:sz w:val="20"/>
          <w:szCs w:val="20"/>
          <w:color w:val="auto"/>
        </w:rPr>
      </w:pPr>
    </w:p>
    <w:p>
      <w:pPr>
        <w:spacing w:after="0" w:line="24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Group</w:t>
      </w:r>
      <w:r>
        <w:rPr>
          <w:rFonts w:ascii="Arial" w:cs="Arial" w:eastAsia="Arial" w:hAnsi="Arial"/>
          <w:sz w:val="22"/>
          <w:szCs w:val="22"/>
          <w:color w:val="auto"/>
        </w:rPr>
        <w:t>” means the Borrower and its Subsidiaries.</w:t>
      </w:r>
    </w:p>
    <w:p>
      <w:pPr>
        <w:spacing w:after="0" w:line="233" w:lineRule="exact"/>
        <w:rPr>
          <w:sz w:val="20"/>
          <w:szCs w:val="20"/>
          <w:color w:val="auto"/>
        </w:rPr>
      </w:pPr>
    </w:p>
    <w:p>
      <w:pPr>
        <w:jc w:val="both"/>
        <w:ind w:left="4"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xml:space="preserve">” means, for any fiscal period, the total interest expense of the Borrower and its Subsidiaries on a Consolidated basis determined in accordance with GAAP, including the imputed interest component of capitalized lease obligations during such period, and all commissions, discounts and other fees and charges owed with respect to letters of credit, if any, and net costs under Hedge Agreements;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Borrower or any of its Subsidiaries acquired or disposed of any Person or line of business or made any investment during the relevant period, Consolidated</w:t>
      </w:r>
    </w:p>
    <w:p>
      <w:pPr>
        <w:spacing w:after="0" w:line="21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spacing w:after="0"/>
        <w:rPr>
          <w:sz w:val="20"/>
          <w:szCs w:val="20"/>
          <w:color w:val="auto"/>
        </w:rPr>
      </w:pPr>
      <w:r>
        <w:rPr>
          <w:rFonts w:ascii="Arial" w:cs="Arial" w:eastAsia="Arial" w:hAnsi="Arial"/>
          <w:sz w:val="22"/>
          <w:szCs w:val="22"/>
          <w:color w:val="auto"/>
        </w:rPr>
        <w:t>Interest Expense will be determined giving pro forma effect to any incurrence or repayment of Debt related to such acquisition, disposition or investment as if such incurrence or repayment of Debt had occurred on the first day of the relevant period.</w:t>
      </w:r>
    </w:p>
    <w:p>
      <w:pPr>
        <w:spacing w:after="0" w:line="21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Leverage Ratio</w:t>
      </w:r>
      <w:r>
        <w:rPr>
          <w:rFonts w:ascii="Arial" w:cs="Arial" w:eastAsia="Arial" w:hAnsi="Arial"/>
          <w:sz w:val="22"/>
          <w:szCs w:val="22"/>
          <w:color w:val="auto"/>
        </w:rPr>
        <w:t>” has the meaning specified in Section 5.03(a).</w:t>
      </w:r>
    </w:p>
    <w:p>
      <w:pPr>
        <w:sectPr>
          <w:pgSz w:w="11900" w:h="16886" w:orient="portrait"/>
          <w:cols w:equalWidth="0" w:num="1">
            <w:col w:w="10764"/>
          </w:cols>
          <w:pgMar w:left="896" w:top="361" w:right="239" w:bottom="0" w:gutter="0" w:footer="0" w:header="0"/>
        </w:sectPr>
      </w:pPr>
    </w:p>
    <w:bookmarkStart w:id="10" w:name="page11"/>
    <w:bookmarkEnd w:id="10"/>
    <w:p>
      <w:pPr>
        <w:spacing w:after="0" w:line="78" w:lineRule="exact"/>
        <w:rPr>
          <w:sz w:val="20"/>
          <w:szCs w:val="20"/>
          <w:color w:val="auto"/>
        </w:rPr>
      </w:pPr>
    </w:p>
    <w:p>
      <w:pPr>
        <w:jc w:val="both"/>
        <w:ind w:left="4"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Assets</w:t>
      </w:r>
      <w:r>
        <w:rPr>
          <w:rFonts w:ascii="Arial" w:cs="Arial" w:eastAsia="Arial" w:hAnsi="Arial"/>
          <w:sz w:val="21"/>
          <w:szCs w:val="21"/>
          <w:color w:val="auto"/>
        </w:rPr>
        <w:t>” means the aggregate amount of assets (less applicable reserves and other properly deductible items) after deducting therefrom all current liabilities, as set forth on the Consolidated balance sheet of the Consolidated Group most recently furnished to the Lenders pursuant to Section 5.01(i)(ii) prior to the time as of which Consolidated Net Assets shall be determined (giving pro forma effect to any acquisition, disposition or investment by the Borrower or any of its Subsidiaries involving the payment or receipt of consideration (including non-cash, contingent and deferred consideration) by the Borrower or any of its Subsidiaries with a fair market value in excess of $5,000,000,000 (as determined by the Borrower in good faith upon the consummation of such acquisition, disposition or investment), and any related incurrence or repayment of Debt, that has occurred since the end of the most recent fiscal quarter included in such balance sheet as if such acquisition, disposition or investment, and any such incurrence or repayment of Debt, had occurred on the last day of such fiscal quarter).</w:t>
      </w:r>
    </w:p>
    <w:p>
      <w:pPr>
        <w:spacing w:after="0" w:line="209"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Debt</w:t>
      </w:r>
      <w:r>
        <w:rPr>
          <w:rFonts w:ascii="Arial" w:cs="Arial" w:eastAsia="Arial" w:hAnsi="Arial"/>
          <w:sz w:val="22"/>
          <w:szCs w:val="22"/>
          <w:color w:val="auto"/>
        </w:rPr>
        <w:t>” means, as of any date of determination, the aggregate amount of Borrowed Debt of the Borrower and its Subsidiaries determined on a Consolidated basis as of such date.</w:t>
      </w:r>
    </w:p>
    <w:p>
      <w:pPr>
        <w:spacing w:after="0" w:line="200"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w:t>
      </w:r>
      <w:r>
        <w:rPr>
          <w:rFonts w:ascii="Arial" w:cs="Arial" w:eastAsia="Arial" w:hAnsi="Arial"/>
          <w:sz w:val="22"/>
          <w:szCs w:val="22"/>
          <w:color w:val="auto"/>
        </w:rPr>
        <w:t>” means, for any period, an individual who is a member of the board of directors of the Borrower on the first day of such period or whose election to the board of directors of the Borrower is approved by a majority of the other Continuing Directors.</w:t>
      </w:r>
    </w:p>
    <w:p>
      <w:pPr>
        <w:spacing w:after="0" w:line="21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w:t>
      </w:r>
      <w:r>
        <w:rPr>
          <w:rFonts w:ascii="Arial" w:cs="Arial" w:eastAsia="Arial" w:hAnsi="Arial"/>
          <w:sz w:val="22"/>
          <w:szCs w:val="22"/>
          <w:color w:val="auto"/>
        </w:rPr>
        <w:t>”, “</w:t>
      </w:r>
      <w:r>
        <w:rPr>
          <w:rFonts w:ascii="Arial" w:cs="Arial" w:eastAsia="Arial" w:hAnsi="Arial"/>
          <w:sz w:val="22"/>
          <w:szCs w:val="22"/>
          <w:u w:val="single" w:color="auto"/>
          <w:color w:val="auto"/>
        </w:rPr>
        <w:t>Convert</w:t>
      </w:r>
      <w:r>
        <w:rPr>
          <w:rFonts w:ascii="Arial" w:cs="Arial" w:eastAsia="Arial" w:hAnsi="Arial"/>
          <w:sz w:val="22"/>
          <w:szCs w:val="22"/>
          <w:color w:val="auto"/>
        </w:rPr>
        <w:t>”, or “</w:t>
      </w:r>
      <w:r>
        <w:rPr>
          <w:rFonts w:ascii="Arial" w:cs="Arial" w:eastAsia="Arial" w:hAnsi="Arial"/>
          <w:sz w:val="22"/>
          <w:szCs w:val="22"/>
          <w:u w:val="single" w:color="auto"/>
          <w:color w:val="auto"/>
        </w:rPr>
        <w:t>Converted</w:t>
      </w:r>
      <w:r>
        <w:rPr>
          <w:rFonts w:ascii="Arial" w:cs="Arial" w:eastAsia="Arial" w:hAnsi="Arial"/>
          <w:sz w:val="22"/>
          <w:szCs w:val="22"/>
          <w:color w:val="auto"/>
        </w:rPr>
        <w:t>” each refers to a conversion of Advances of one Type into Advances of the other Type pursuant to Section 2.08 or 2.09.</w:t>
      </w:r>
    </w:p>
    <w:p>
      <w:pPr>
        <w:spacing w:after="0" w:line="200"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provided that all obligations of any Person that are or would be characterized as operating lease obligations in accordance with GAAP on the Effective Date (whether or not such operating lease obligations were in effect on such date) shall, if so elected by the Borrower, continue to be accounted for as operating lease obligations (and not as capital leases) for purposes of this Agreement regardless of any change in GAAP following the Effective Date that would</w:t>
      </w:r>
    </w:p>
    <w:p>
      <w:pPr>
        <w:spacing w:after="0" w:line="18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
        <w:spacing w:after="0"/>
        <w:rPr>
          <w:sz w:val="20"/>
          <w:szCs w:val="20"/>
          <w:color w:val="auto"/>
        </w:rPr>
      </w:pPr>
      <w:r>
        <w:rPr>
          <w:rFonts w:ascii="Arial" w:cs="Arial" w:eastAsia="Arial" w:hAnsi="Arial"/>
          <w:sz w:val="19"/>
          <w:szCs w:val="19"/>
          <w:color w:val="auto"/>
        </w:rPr>
        <w:t>otherwise require such obligations to be recharacterized (on a prospective or retroactive basis or otherwise) as capital leases,</w:t>
      </w:r>
    </w:p>
    <w:p>
      <w:pPr>
        <w:spacing w:after="0" w:line="43" w:lineRule="exact"/>
        <w:rPr>
          <w:sz w:val="20"/>
          <w:szCs w:val="20"/>
          <w:color w:val="auto"/>
        </w:rPr>
      </w:pPr>
    </w:p>
    <w:p>
      <w:pPr>
        <w:jc w:val="both"/>
        <w:ind w:left="4" w:hanging="4"/>
        <w:spacing w:after="0" w:line="267" w:lineRule="auto"/>
        <w:tabs>
          <w:tab w:leader="none" w:pos="284" w:val="left"/>
        </w:tabs>
        <w:numPr>
          <w:ilvl w:val="0"/>
          <w:numId w:val="4"/>
        </w:numPr>
        <w:rPr>
          <w:rFonts w:ascii="Arial" w:cs="Arial" w:eastAsia="Arial" w:hAnsi="Arial"/>
          <w:sz w:val="19"/>
          <w:szCs w:val="19"/>
          <w:color w:val="auto"/>
        </w:rPr>
      </w:pPr>
      <w:r>
        <w:rPr>
          <w:rFonts w:ascii="Arial" w:cs="Arial" w:eastAsia="Arial" w:hAnsi="Arial"/>
          <w:sz w:val="19"/>
          <w:szCs w:val="19"/>
          <w:color w:val="auto"/>
        </w:rPr>
        <w:t>all obligations, contingent or otherwise, of such Person in respect of acceptances, letters of credit or similar extensions of credit, (g) all obligations of such Person in respect of Hedge Agreements, (h) all Debt of others referred to in clauses</w:t>
      </w:r>
    </w:p>
    <w:p>
      <w:pPr>
        <w:jc w:val="both"/>
        <w:ind w:left="4" w:hanging="4"/>
        <w:spacing w:after="0" w:line="233"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through (g) above or clause (i) below directly guaranteed in any manner by such Person, or the payment of which is otherwise provided for by such Person,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213"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Declining Lender</w:t>
      </w:r>
      <w:r>
        <w:rPr>
          <w:rFonts w:ascii="Arial" w:cs="Arial" w:eastAsia="Arial" w:hAnsi="Arial"/>
          <w:sz w:val="22"/>
          <w:szCs w:val="22"/>
          <w:color w:val="auto"/>
        </w:rPr>
        <w:t>” has the meaning specified in Section 2.05(e).</w:t>
      </w:r>
    </w:p>
    <w:p>
      <w:pPr>
        <w:spacing w:after="0" w:line="23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of Default or any event that would constitute an Event of Default but for the requirement specified in Article VI that notice be given or time elapse or both.</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Interest</w:t>
      </w:r>
      <w:r>
        <w:rPr>
          <w:rFonts w:ascii="Arial" w:cs="Arial" w:eastAsia="Arial" w:hAnsi="Arial"/>
          <w:sz w:val="22"/>
          <w:szCs w:val="22"/>
          <w:color w:val="auto"/>
        </w:rPr>
        <w:t>” has the meaning specified in Section 2.07(b).</w:t>
      </w:r>
    </w:p>
    <w:p>
      <w:pPr>
        <w:spacing w:after="0" w:line="233"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subject to Section 2.18(b), any Lender that (a) has failed to (i) fund all or any portion of its Advances within two Business Days of the date such Advances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w:t>
      </w:r>
    </w:p>
    <w:p>
      <w:pPr>
        <w:sectPr>
          <w:pgSz w:w="11900" w:h="16917" w:orient="portrait"/>
          <w:cols w:equalWidth="0" w:num="1">
            <w:col w:w="10764"/>
          </w:cols>
          <w:pgMar w:left="896" w:top="361" w:right="239" w:bottom="0" w:gutter="0" w:footer="0" w:header="0"/>
        </w:sectPr>
      </w:pPr>
    </w:p>
    <w:bookmarkStart w:id="11" w:name="page12"/>
    <w:bookmarkEnd w:id="11"/>
    <w:p>
      <w:pPr>
        <w:spacing w:after="0" w:line="110"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w:t>
      </w:r>
    </w:p>
    <w:p>
      <w:pPr>
        <w:spacing w:after="0" w:line="21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hanging="4"/>
        <w:spacing w:after="0" w:line="271" w:lineRule="auto"/>
        <w:tabs>
          <w:tab w:leader="none" w:pos="345"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 Lender shall not be a Defaulting Lender solely by virtue of (A) the ownership or acquisition of any Equity Interest in that Lender or any direct or indirect parent company thereof by a governmental authority or (B) in the case of a solvent Person, the precautionary appointment of an administrator, guardian or custodian or similar official by a governmental authority under or based on the law of the country where such Person is organized if the applicable law of such jurisdiction requires that such appointment not be publicly disclosed, in any such case, where such ownership or action, as applicable,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as to such Lender absent manifest error, and such Lender shall be deemed to be a Defaulting Lender (subject to Section 2.18(b)) upon delivery of written notice of such determination to the Borrower and each Lender.</w:t>
      </w:r>
    </w:p>
    <w:p>
      <w:pPr>
        <w:spacing w:after="0" w:line="200" w:lineRule="exact"/>
        <w:rPr>
          <w:sz w:val="20"/>
          <w:szCs w:val="20"/>
          <w:color w:val="auto"/>
        </w:rPr>
      </w:pPr>
    </w:p>
    <w:p>
      <w:pPr>
        <w:spacing w:after="0" w:line="236" w:lineRule="exact"/>
        <w:rPr>
          <w:sz w:val="20"/>
          <w:szCs w:val="20"/>
          <w:color w:val="auto"/>
        </w:rPr>
      </w:pPr>
    </w:p>
    <w:p>
      <w:pPr>
        <w:jc w:val="both"/>
        <w:ind w:left="4"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Disinterested Director</w:t>
      </w:r>
      <w:r>
        <w:rPr>
          <w:rFonts w:ascii="Arial" w:cs="Arial" w:eastAsia="Arial" w:hAnsi="Arial"/>
          <w:sz w:val="19"/>
          <w:szCs w:val="19"/>
          <w:color w:val="auto"/>
        </w:rPr>
        <w:t>” means, with respect to any Person and transaction, a member of the board of directors of such Person who does not have any material direct or indirect financial interest in or with respect to such transaction.</w:t>
      </w:r>
    </w:p>
    <w:p>
      <w:pPr>
        <w:spacing w:after="0" w:line="132" w:lineRule="exact"/>
        <w:rPr>
          <w:sz w:val="20"/>
          <w:szCs w:val="20"/>
          <w:color w:val="auto"/>
        </w:rPr>
      </w:pPr>
    </w:p>
    <w:p>
      <w:pPr>
        <w:jc w:val="both"/>
        <w:ind w:left="4"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xml:space="preserve">” means, on any date, (a) with respect to any amount in Dollars, such amount, and (b) with respect to any amount in any currency other than Dollars, the equivalent in Dollars of such amount, determined by the Administrative Agent pursuant to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using the Exchange Rate with respect to such currency at the time in effect pursuant to the provisions of such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21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the “</w:t>
      </w:r>
      <w:r>
        <w:rPr>
          <w:rFonts w:ascii="Arial" w:cs="Arial" w:eastAsia="Arial" w:hAnsi="Arial"/>
          <w:sz w:val="22"/>
          <w:szCs w:val="22"/>
          <w:u w:val="single" w:color="auto"/>
          <w:color w:val="auto"/>
        </w:rPr>
        <w:t>$</w:t>
      </w:r>
      <w:r>
        <w:rPr>
          <w:rFonts w:ascii="Arial" w:cs="Arial" w:eastAsia="Arial" w:hAnsi="Arial"/>
          <w:sz w:val="22"/>
          <w:szCs w:val="22"/>
          <w:color w:val="auto"/>
        </w:rPr>
        <w:t>” sign each means lawful currency of the United States.</w:t>
      </w:r>
    </w:p>
    <w:p>
      <w:pPr>
        <w:spacing w:after="0" w:line="233" w:lineRule="exact"/>
        <w:rPr>
          <w:sz w:val="20"/>
          <w:szCs w:val="20"/>
          <w:color w:val="auto"/>
        </w:rPr>
      </w:pPr>
    </w:p>
    <w:p>
      <w:pPr>
        <w:jc w:val="both"/>
        <w:ind w:left="4"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of the Borrower substantially all the property of which is located, or substantially all of the business of which is carried on, within the United States (excluding its territories and possessions and Puerto Rico), provided, however, that the term shall not include any Subsidiary of the Borrower which (i) is engaged principally in the financing of operations outside of the United States or in leasing personal property or financing inventory, receivables or other property or (ii) does not own a Principal Domestic Property.</w:t>
      </w:r>
    </w:p>
    <w:p>
      <w:pPr>
        <w:spacing w:after="0" w:line="175" w:lineRule="exact"/>
        <w:rPr>
          <w:sz w:val="20"/>
          <w:szCs w:val="20"/>
          <w:color w:val="auto"/>
        </w:rPr>
      </w:pPr>
    </w:p>
    <w:p>
      <w:pPr>
        <w:jc w:val="both"/>
        <w:ind w:left="4"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w:t>
      </w:r>
    </w:p>
    <w:p>
      <w:pPr>
        <w:spacing w:after="0" w:line="212"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
        <w:spacing w:after="0"/>
        <w:rPr>
          <w:sz w:val="20"/>
          <w:szCs w:val="20"/>
          <w:color w:val="auto"/>
        </w:rPr>
      </w:pPr>
      <w:r>
        <w:rPr>
          <w:rFonts w:ascii="Arial" w:cs="Arial" w:eastAsia="Arial" w:hAnsi="Arial"/>
          <w:sz w:val="22"/>
          <w:szCs w:val="22"/>
          <w:color w:val="auto"/>
        </w:rPr>
        <w:t>described in clause (a) or (b) of this definition and is subject to consolidated supervision with its parent.</w:t>
      </w:r>
    </w:p>
    <w:p>
      <w:pPr>
        <w:spacing w:after="0" w:line="23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200"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1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the date the conditions set forth in Section 3.01 are satisfied (or waived in accordance with Section 8.01).</w:t>
      </w:r>
    </w:p>
    <w:p>
      <w:pPr>
        <w:spacing w:after="0" w:line="200"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means (a) a Lender; (b) an Affiliate of a Lender; (c) a commercial bank organized under the laws of the United States, or any State thereof, and having total assets in excess of $10,000,000,000; (d) a commercial bank organized under the laws of any other country that is a member of the Organization for Economic Cooperation and Development or has concluded special lending arrangements with the International Monetary Fund associated with its</w:t>
      </w:r>
    </w:p>
    <w:p>
      <w:pPr>
        <w:sectPr>
          <w:pgSz w:w="11900" w:h="16949" w:orient="portrait"/>
          <w:cols w:equalWidth="0" w:num="1">
            <w:col w:w="10764"/>
          </w:cols>
          <w:pgMar w:left="896" w:top="118" w:right="239" w:bottom="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9"/>
          <w:szCs w:val="19"/>
          <w:color w:val="auto"/>
        </w:rPr>
        <w:t xml:space="preserve">General Arrangements to Borrow, or a political subdivision of any such country, and having total assets in excess of $10,000,000,000, so long as such bank is acting through a branch or agency located in the country in which it is organized or another country that is described in this clause (d); and (e) any other Person approved by the Administrative Agent and, so long as no Event of Default has occurred and is continuing, by the Borrower, such approval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Defaulting Lender (or Person who would be a Defaulting Lender upon becoming a Lender) nor the Borrower nor any Affiliate of the Borrower shall qualify as an Eligible Assignee.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Embargoed Person</w:t>
      </w:r>
      <w:r>
        <w:rPr>
          <w:rFonts w:ascii="Arial" w:cs="Arial" w:eastAsia="Arial" w:hAnsi="Arial"/>
          <w:sz w:val="19"/>
          <w:szCs w:val="19"/>
          <w:color w:val="auto"/>
        </w:rPr>
        <w:t>” means (a) any country or territory that is the target of a sanctions program administered by OFAC or (b) any Person that (i) is or is owned or controlled by one or more Persons publicly identified on the most current list of “Specially Designated Nationals and Blocked Persons” published by OFAC, (ii) is the target of a sanctions program or sanctions list (A) administered by OFAC, the European Union or Her Majesty’s Treasury, or (B) under the International Emergency Economic Powers Act, the Trading with the Enemy Act, the Iran Sanctions Act, the Comprehensive Iran Sanctions, Accountability and Divestment Act, and the Iran Threat Reduction and Syria Human Rights Act, each as amended, section 1245 of the National Defense Authorization Act for Fiscal Year 2012 or any Executive Order promulgated pursuant to any of the foregoing ((ii) (A) and (B)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(iii) resides, is organized or chartered, or has a place of business in a country or territory that is the subject of a Sanctions program administered by OFAC that prohibits dealing with the government of such country or territory (unless such Person has an appropriate license to transact business in such country or territory or otherwise is permitted to reside, be organized or chartered or maintain a place of business in such country or territory without violating any Sanctions).</w:t>
      </w:r>
    </w:p>
    <w:p>
      <w:pPr>
        <w:spacing w:after="0" w:line="18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Action</w:t>
      </w:r>
      <w:r>
        <w:rPr>
          <w:rFonts w:ascii="Arial" w:cs="Arial" w:eastAsia="Arial" w:hAnsi="Arial"/>
          <w:sz w:val="19"/>
          <w:szCs w:val="19"/>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w:t>
      </w:r>
      <w:r>
        <w:rPr>
          <w:rFonts w:ascii="Arial" w:cs="Arial" w:eastAsia="Arial" w:hAnsi="Arial"/>
          <w:sz w:val="22"/>
          <w:szCs w:val="22"/>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regulations promulgated and rulings issued thereunder.</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is a member of the Borrower’s controlled group, or under common control with the Borrower, within the meaning of Section 414 of the Internal Revenue Code.</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Event</w:t>
      </w:r>
      <w:r>
        <w:rPr>
          <w:rFonts w:ascii="Arial" w:cs="Arial" w:eastAsia="Arial" w:hAnsi="Arial"/>
          <w:sz w:val="22"/>
          <w:szCs w:val="22"/>
          <w:color w:val="auto"/>
        </w:rPr>
        <w:t>” means:</w:t>
      </w:r>
    </w:p>
    <w:p>
      <w:pPr>
        <w:spacing w:after="0" w:line="233" w:lineRule="exact"/>
        <w:rPr>
          <w:sz w:val="20"/>
          <w:szCs w:val="20"/>
          <w:color w:val="auto"/>
        </w:rPr>
      </w:pPr>
    </w:p>
    <w:p>
      <w:pPr>
        <w:jc w:val="both"/>
        <w:ind w:left="640" w:firstLine="653"/>
        <w:spacing w:after="0" w:line="276" w:lineRule="auto"/>
        <w:tabs>
          <w:tab w:leader="none" w:pos="2055" w:val="left"/>
        </w:tabs>
        <w:numPr>
          <w:ilvl w:val="1"/>
          <w:numId w:val="7"/>
        </w:numPr>
        <w:rPr>
          <w:rFonts w:ascii="Arial" w:cs="Arial" w:eastAsia="Arial" w:hAnsi="Arial"/>
          <w:sz w:val="19"/>
          <w:szCs w:val="19"/>
          <w:color w:val="010000"/>
        </w:rPr>
      </w:pPr>
      <w:r>
        <w:rPr>
          <w:rFonts w:ascii="Arial" w:cs="Arial" w:eastAsia="Arial" w:hAnsi="Arial"/>
          <w:sz w:val="19"/>
          <w:szCs w:val="19"/>
          <w:color w:val="auto"/>
        </w:rPr>
        <w:t>(i) the occurrence of a reportable event, within the meaning of Section 4043 of ERISA, with respect to any Plan unless the 30-day notice requirement with respect to such event has been waived by the PBGC, or</w:t>
      </w:r>
    </w:p>
    <w:p>
      <w:pPr>
        <w:spacing w:after="0" w:line="1" w:lineRule="exact"/>
        <w:rPr>
          <w:rFonts w:ascii="Arial" w:cs="Arial" w:eastAsia="Arial" w:hAnsi="Arial"/>
          <w:sz w:val="19"/>
          <w:szCs w:val="19"/>
          <w:color w:val="010000"/>
        </w:rPr>
      </w:pPr>
    </w:p>
    <w:p>
      <w:pPr>
        <w:jc w:val="both"/>
        <w:ind w:left="640" w:firstLine="5"/>
        <w:spacing w:after="0" w:line="287" w:lineRule="auto"/>
        <w:tabs>
          <w:tab w:leader="none" w:pos="97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requirements of subsection (1) of Section 4043(b) of ERISA are being met with a contributing sponsor, as defined in Section 4001(a)(13) of ERISA, of a Plan, and an event described in paragraph (9), (10), (11), (12) or (13) of Section 4043(c) of ERISA is reasonably expected to occur with respect to such Plan within the following 30 days;</w:t>
      </w:r>
    </w:p>
    <w:p>
      <w:pPr>
        <w:spacing w:after="0" w:line="170" w:lineRule="exact"/>
        <w:rPr>
          <w:rFonts w:ascii="Arial" w:cs="Arial" w:eastAsia="Arial" w:hAnsi="Arial"/>
          <w:sz w:val="19"/>
          <w:szCs w:val="19"/>
          <w:color w:val="auto"/>
        </w:rPr>
      </w:pPr>
    </w:p>
    <w:p>
      <w:pPr>
        <w:ind w:left="1960" w:hanging="667"/>
        <w:spacing w:after="0"/>
        <w:tabs>
          <w:tab w:leader="none" w:pos="1960" w:val="left"/>
        </w:tabs>
        <w:numPr>
          <w:ilvl w:val="1"/>
          <w:numId w:val="8"/>
        </w:numPr>
        <w:rPr>
          <w:rFonts w:ascii="Arial" w:cs="Arial" w:eastAsia="Arial" w:hAnsi="Arial"/>
          <w:sz w:val="22"/>
          <w:szCs w:val="22"/>
          <w:color w:val="010000"/>
        </w:rPr>
      </w:pPr>
      <w:r>
        <w:rPr>
          <w:rFonts w:ascii="Arial" w:cs="Arial" w:eastAsia="Arial" w:hAnsi="Arial"/>
          <w:sz w:val="22"/>
          <w:szCs w:val="22"/>
          <w:color w:val="auto"/>
        </w:rPr>
        <w:t>the application for a minimum funding waiver with respect to a Plan;</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40" w:firstLine="653"/>
        <w:spacing w:after="0"/>
        <w:tabs>
          <w:tab w:leader="none" w:pos="2001" w:val="left"/>
        </w:tabs>
        <w:numPr>
          <w:ilvl w:val="0"/>
          <w:numId w:val="9"/>
        </w:numPr>
        <w:rPr>
          <w:rFonts w:ascii="Arial" w:cs="Arial" w:eastAsia="Arial" w:hAnsi="Arial"/>
          <w:sz w:val="22"/>
          <w:szCs w:val="22"/>
          <w:color w:val="010000"/>
        </w:rPr>
      </w:pPr>
      <w:r>
        <w:rPr>
          <w:rFonts w:ascii="Arial" w:cs="Arial" w:eastAsia="Arial" w:hAnsi="Arial"/>
          <w:sz w:val="22"/>
          <w:szCs w:val="22"/>
          <w:color w:val="auto"/>
        </w:rPr>
        <w:t>the provision by the administrator of any Plan of a notice of intent to terminate such Plan pursuant to Section 4041(a)(2) of ERISA (including any such notice with respect to a plan amendment referred to in Section 4041(e) of ERISA);</w:t>
      </w:r>
    </w:p>
    <w:p>
      <w:pPr>
        <w:sectPr>
          <w:pgSz w:w="11900" w:h="16838" w:orient="portrait"/>
          <w:cols w:equalWidth="0" w:num="1">
            <w:col w:w="10760"/>
          </w:cols>
          <w:pgMar w:left="900" w:top="118" w:right="239" w:bottom="0" w:gutter="0" w:footer="0" w:header="0"/>
        </w:sectPr>
      </w:pPr>
    </w:p>
    <w:bookmarkStart w:id="13" w:name="page14"/>
    <w:bookmarkEnd w:id="13"/>
    <w:p>
      <w:pPr>
        <w:spacing w:after="0" w:line="82" w:lineRule="exact"/>
        <w:rPr>
          <w:sz w:val="20"/>
          <w:szCs w:val="20"/>
          <w:color w:val="auto"/>
        </w:rPr>
      </w:pPr>
    </w:p>
    <w:p>
      <w:pPr>
        <w:ind w:left="640" w:right="20" w:firstLine="653"/>
        <w:spacing w:after="0" w:line="251" w:lineRule="auto"/>
        <w:tabs>
          <w:tab w:leader="none" w:pos="2040" w:val="left"/>
        </w:tabs>
        <w:numPr>
          <w:ilvl w:val="0"/>
          <w:numId w:val="10"/>
        </w:numPr>
        <w:rPr>
          <w:rFonts w:ascii="Arial" w:cs="Arial" w:eastAsia="Arial" w:hAnsi="Arial"/>
          <w:sz w:val="22"/>
          <w:szCs w:val="22"/>
          <w:color w:val="010000"/>
        </w:rPr>
      </w:pPr>
      <w:r>
        <w:rPr>
          <w:rFonts w:ascii="Arial" w:cs="Arial" w:eastAsia="Arial" w:hAnsi="Arial"/>
          <w:sz w:val="22"/>
          <w:szCs w:val="22"/>
          <w:color w:val="auto"/>
        </w:rPr>
        <w:t>the cessation of operations at a facility of the Borrower or any ERISA Affiliate in the circumstances described in Section 4062(e) of ERISA;</w:t>
      </w:r>
    </w:p>
    <w:p>
      <w:pPr>
        <w:spacing w:after="0" w:line="200" w:lineRule="exact"/>
        <w:rPr>
          <w:rFonts w:ascii="Arial" w:cs="Arial" w:eastAsia="Arial" w:hAnsi="Arial"/>
          <w:sz w:val="22"/>
          <w:szCs w:val="22"/>
          <w:color w:val="010000"/>
        </w:rPr>
      </w:pPr>
    </w:p>
    <w:p>
      <w:pPr>
        <w:ind w:left="640" w:firstLine="653"/>
        <w:spacing w:after="0" w:line="251" w:lineRule="auto"/>
        <w:tabs>
          <w:tab w:leader="none" w:pos="1960" w:val="left"/>
        </w:tabs>
        <w:numPr>
          <w:ilvl w:val="0"/>
          <w:numId w:val="10"/>
        </w:numPr>
        <w:rPr>
          <w:rFonts w:ascii="Arial" w:cs="Arial" w:eastAsia="Arial" w:hAnsi="Arial"/>
          <w:sz w:val="22"/>
          <w:szCs w:val="22"/>
          <w:color w:val="010000"/>
        </w:rPr>
      </w:pPr>
      <w:r>
        <w:rPr>
          <w:rFonts w:ascii="Arial" w:cs="Arial" w:eastAsia="Arial" w:hAnsi="Arial"/>
          <w:sz w:val="22"/>
          <w:szCs w:val="22"/>
          <w:color w:val="auto"/>
        </w:rPr>
        <w:t>the withdrawal by the Borrower or any ERISA Affiliate from a Multiple Employer Plan during a plan year for which it was a substantial employer, as defined in Section 4001(a)(2) of ERISA;</w:t>
      </w:r>
    </w:p>
    <w:p>
      <w:pPr>
        <w:spacing w:after="0" w:line="200" w:lineRule="exact"/>
        <w:rPr>
          <w:rFonts w:ascii="Arial" w:cs="Arial" w:eastAsia="Arial" w:hAnsi="Arial"/>
          <w:sz w:val="22"/>
          <w:szCs w:val="22"/>
          <w:color w:val="010000"/>
        </w:rPr>
      </w:pPr>
    </w:p>
    <w:p>
      <w:pPr>
        <w:ind w:left="640" w:firstLine="653"/>
        <w:spacing w:after="0" w:line="251" w:lineRule="auto"/>
        <w:tabs>
          <w:tab w:leader="none" w:pos="2085" w:val="left"/>
        </w:tabs>
        <w:numPr>
          <w:ilvl w:val="0"/>
          <w:numId w:val="10"/>
        </w:numPr>
        <w:rPr>
          <w:rFonts w:ascii="Arial" w:cs="Arial" w:eastAsia="Arial" w:hAnsi="Arial"/>
          <w:sz w:val="22"/>
          <w:szCs w:val="22"/>
          <w:color w:val="010000"/>
        </w:rPr>
      </w:pPr>
      <w:r>
        <w:rPr>
          <w:rFonts w:ascii="Arial" w:cs="Arial" w:eastAsia="Arial" w:hAnsi="Arial"/>
          <w:sz w:val="22"/>
          <w:szCs w:val="22"/>
          <w:color w:val="auto"/>
        </w:rPr>
        <w:t>the conditions for the imposition of a lien under Section 303(k) of ERISA shall have been met with respect to any Plan; or</w:t>
      </w:r>
    </w:p>
    <w:p>
      <w:pPr>
        <w:spacing w:after="0" w:line="200" w:lineRule="exact"/>
        <w:rPr>
          <w:rFonts w:ascii="Arial" w:cs="Arial" w:eastAsia="Arial" w:hAnsi="Arial"/>
          <w:sz w:val="22"/>
          <w:szCs w:val="22"/>
          <w:color w:val="010000"/>
        </w:rPr>
      </w:pPr>
    </w:p>
    <w:p>
      <w:pPr>
        <w:jc w:val="both"/>
        <w:ind w:left="640" w:firstLine="653"/>
        <w:spacing w:after="0" w:line="258" w:lineRule="auto"/>
        <w:tabs>
          <w:tab w:leader="none" w:pos="2080" w:val="left"/>
        </w:tabs>
        <w:numPr>
          <w:ilvl w:val="0"/>
          <w:numId w:val="10"/>
        </w:numPr>
        <w:rPr>
          <w:rFonts w:ascii="Arial" w:cs="Arial" w:eastAsia="Arial" w:hAnsi="Arial"/>
          <w:sz w:val="21"/>
          <w:szCs w:val="21"/>
          <w:color w:val="010000"/>
        </w:rPr>
      </w:pPr>
      <w:r>
        <w:rPr>
          <w:rFonts w:ascii="Arial" w:cs="Arial" w:eastAsia="Arial" w:hAnsi="Arial"/>
          <w:sz w:val="21"/>
          <w:szCs w:val="21"/>
          <w:color w:val="auto"/>
        </w:rPr>
        <w:t>the institution by the PBGC of proceedings to terminate a Plan pursuant to Section 4042 of ERISA, or the occurrence of any event or condition described in Section 4042 of ERISA that could reasonably constitute grounds for the termination of, or the appointment of a trustee to administer, a Plan.</w:t>
      </w:r>
    </w:p>
    <w:p>
      <w:pPr>
        <w:spacing w:after="0" w:line="19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w:t>
      </w:r>
      <w:r>
        <w:rPr>
          <w:rFonts w:ascii="Arial" w:cs="Arial" w:eastAsia="Arial" w:hAnsi="Arial"/>
          <w:sz w:val="21"/>
          <w:szCs w:val="21"/>
          <w:color w:val="auto"/>
        </w:rPr>
        <w:t>” or “</w:t>
      </w:r>
      <w:r>
        <w:rPr>
          <w:rFonts w:ascii="Arial" w:cs="Arial" w:eastAsia="Arial" w:hAnsi="Arial"/>
          <w:sz w:val="21"/>
          <w:szCs w:val="21"/>
          <w:u w:val="single" w:color="auto"/>
          <w:color w:val="auto"/>
        </w:rPr>
        <w:t>€</w:t>
      </w:r>
      <w:r>
        <w:rPr>
          <w:rFonts w:ascii="Arial" w:cs="Arial" w:eastAsia="Arial" w:hAnsi="Arial"/>
          <w:sz w:val="21"/>
          <w:szCs w:val="21"/>
          <w:color w:val="auto"/>
        </w:rPr>
        <w:t>” means the single currency adopted by participating member states of the European Community in accordance with legislation of the European Community relating to the Economic and Monetary Union.</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Liabilities</w:t>
      </w:r>
      <w:r>
        <w:rPr>
          <w:rFonts w:ascii="Arial" w:cs="Arial" w:eastAsia="Arial" w:hAnsi="Arial"/>
          <w:sz w:val="22"/>
          <w:szCs w:val="22"/>
          <w:color w:val="auto"/>
        </w:rPr>
        <w:t>” has the meaning specified in Regulation D of the Board of Governors of the Federal Reserve System, as in effect from time to time.</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 Rate</w:t>
      </w:r>
      <w:r>
        <w:rPr>
          <w:rFonts w:ascii="Arial" w:cs="Arial" w:eastAsia="Arial" w:hAnsi="Arial"/>
          <w:sz w:val="19"/>
          <w:szCs w:val="19"/>
          <w:color w:val="auto"/>
        </w:rPr>
        <w:t>” means, with respect to any Eurocurrency Rate Advance for any Interest Period, an interest rate per annum (rounded upwards, if necessary, to the next 1/16 of 1%) equal to (a) the London interbank offered rate (“</w:t>
      </w:r>
      <w:r>
        <w:rPr>
          <w:rFonts w:ascii="Arial" w:cs="Arial" w:eastAsia="Arial" w:hAnsi="Arial"/>
          <w:sz w:val="19"/>
          <w:szCs w:val="19"/>
          <w:u w:val="single" w:color="auto"/>
          <w:color w:val="auto"/>
        </w:rPr>
        <w:t>LIBOR</w:t>
      </w:r>
      <w:r>
        <w:rPr>
          <w:rFonts w:ascii="Arial" w:cs="Arial" w:eastAsia="Arial" w:hAnsi="Arial"/>
          <w:sz w:val="19"/>
          <w:szCs w:val="19"/>
          <w:color w:val="auto"/>
        </w:rPr>
        <w:t>”) as administered by the ICE Benchmark Administration (or any other Person that takes over the administration of such rate) for the applicable currency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at approximately 11:00 A.M., London time, two Business Days prior to (or in the case of Advances in Sterling, on the date of) the commencement of such Interest Period multiplied by (b) the Statutory Reserve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Screen Rate shall be less than zero, such rate shall be deemed to be zero for the purposes of this Agreement; </w:t>
      </w:r>
      <w:r>
        <w:rPr>
          <w:rFonts w:ascii="Arial" w:cs="Arial" w:eastAsia="Arial" w:hAnsi="Arial"/>
          <w:sz w:val="19"/>
          <w:szCs w:val="19"/>
          <w:u w:val="single" w:color="auto"/>
          <w:color w:val="auto"/>
        </w:rPr>
        <w:t>provided further that</w:t>
      </w:r>
      <w:r>
        <w:rPr>
          <w:rFonts w:ascii="Arial" w:cs="Arial" w:eastAsia="Arial" w:hAnsi="Arial"/>
          <w:sz w:val="19"/>
          <w:szCs w:val="19"/>
          <w:color w:val="auto"/>
        </w:rPr>
        <w:t>, if the Screen Rate shall not be available at such time for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xml:space="preserve">”) with respect to the applicable currency, then the Eurocurrency Rate shall be the Interpolated Rate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Interpolated Rate</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shall be less than zero, such rate shall be deemed to be zero for purposes of this Agreement. “</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Impacted Interest Period,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in the applicable currency) that is shorter than the Impacted Interest Period and (b) the Screen Rate for the shortest period (for which that Screen Rate is available for the applicable currency) that exceeds the Impacted Interest Period, in each case, at such time.</w:t>
      </w:r>
    </w:p>
    <w:p>
      <w:pPr>
        <w:spacing w:after="0" w:line="17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Eurocurrency Rate Advance</w:t>
      </w:r>
      <w:r>
        <w:rPr>
          <w:rFonts w:ascii="Arial" w:cs="Arial" w:eastAsia="Arial" w:hAnsi="Arial"/>
          <w:sz w:val="22"/>
          <w:szCs w:val="22"/>
          <w:color w:val="auto"/>
        </w:rPr>
        <w:t>” means an Advance denominated in Dollars or an Alternative Currency that bears interest as provided in Section 2.07(a)(ii).</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Eurocurrency Rate Reserve Percentage</w:t>
      </w:r>
      <w:r>
        <w:rPr>
          <w:rFonts w:ascii="Arial" w:cs="Arial" w:eastAsia="Arial" w:hAnsi="Arial"/>
          <w:sz w:val="21"/>
          <w:szCs w:val="21"/>
          <w:color w:val="auto"/>
        </w:rPr>
        <w:t>” means, with respect to any Lender for any Interest Period for any Eurocurrency Rate Advance, the reserve percentage applicable at any time during such Interest Period under regulations issued from time to time by the Board of Governors of the Federal Reserve System (or any successor thereto) for determining the actual reserve requirement (including, without limitation, any emergency, supplemental or other marginal reserve requirement) for such Lender with respect to liabilities or assets consisting of or including Eurocurrency Liabilities (or with respect to any other category of liabilities that includes deposits by reference to which the interest rate on Eurocurrency Rate Advances is determined) having a term equal to such Interest Period.</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Events of Default</w:t>
      </w:r>
      <w:r>
        <w:rPr>
          <w:rFonts w:ascii="Arial" w:cs="Arial" w:eastAsia="Arial" w:hAnsi="Arial"/>
          <w:sz w:val="22"/>
          <w:szCs w:val="22"/>
          <w:color w:val="auto"/>
        </w:rPr>
        <w:t>” has the meaning specified in Section 6.01.</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means on any day, for purposes of determining the Dollar Equivalent of any other currency, the rate at which such other currency may be exchanged into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after determining that such rates shall be the basis for determining the Exchange Rate, on</w:t>
      </w:r>
    </w:p>
    <w:p>
      <w:pPr>
        <w:sectPr>
          <w:pgSz w:w="11900" w:h="16920" w:orient="portrait"/>
          <w:cols w:equalWidth="0" w:num="1">
            <w:col w:w="10760"/>
          </w:cols>
          <w:pgMar w:left="900" w:top="118" w:right="239" w:bottom="0" w:gutter="0" w:footer="0" w:header="0"/>
        </w:sectPr>
      </w:pPr>
    </w:p>
    <w:bookmarkStart w:id="14" w:name="page15"/>
    <w:bookmarkEnd w:id="14"/>
    <w:p>
      <w:pPr>
        <w:spacing w:after="0" w:line="110"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 xml:space="preserve">such date for the purchase of Dollars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has the meaning specified in Section 2.14(a).</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the $4,000,000,000 Revolving Credit Agreement, dated as of August 18, 2014, among, AbbVie Inc., the lenders and other</w:t>
      </w:r>
    </w:p>
    <w:p>
      <w:pPr>
        <w:spacing w:after="0" w:line="2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parties from time to time party thereto and JPMorgan Chase Bank, N.A., as administrative agent.</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Commitment Termination Date</w:t>
      </w:r>
      <w:r>
        <w:rPr>
          <w:rFonts w:ascii="Arial" w:cs="Arial" w:eastAsia="Arial" w:hAnsi="Arial"/>
          <w:sz w:val="22"/>
          <w:szCs w:val="22"/>
          <w:color w:val="auto"/>
        </w:rPr>
        <w:t>” has the meaning specified in Section 2.05(e).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Date</w:t>
      </w:r>
      <w:r>
        <w:rPr>
          <w:rFonts w:ascii="Arial" w:cs="Arial" w:eastAsia="Arial" w:hAnsi="Arial"/>
          <w:sz w:val="22"/>
          <w:szCs w:val="22"/>
          <w:color w:val="auto"/>
        </w:rPr>
        <w:t>” has the meaning specified in Section 2.05(e).</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Internal Revenue Code, as of the date of this Agreement (or any amended or successor version of such Sections that is substantively comparable and not materially more onerous to comply with), any current or future regulations or official interpretations thereof, any agreements entered into pursuant to Section 1471(b)(1) of the Internal Revenue Code and any intergovernmental agreements between the United States and any other jurisdiction entered into in connection with the foregoing (including any treaty, law, regulation or other official guidance enacted in any other jurisdiction pursuant to any such intergovernmental agreement).</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Rate</w:t>
      </w:r>
      <w:r>
        <w:rPr>
          <w:rFonts w:ascii="Arial" w:cs="Arial" w:eastAsia="Arial" w:hAnsi="Arial"/>
          <w:sz w:val="22"/>
          <w:szCs w:val="22"/>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Rate as so determined would be less than zero, such rate shall be deemed to zero for the purposes of this Agreement.</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Board</w:t>
      </w:r>
      <w:r>
        <w:rPr>
          <w:rFonts w:ascii="Arial" w:cs="Arial" w:eastAsia="Arial" w:hAnsi="Arial"/>
          <w:sz w:val="22"/>
          <w:szCs w:val="22"/>
          <w:color w:val="auto"/>
        </w:rPr>
        <w:t>” means the Board of Governors of the Federal Reserve System of the United States of America.</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the Fee Letter, dated as of August 14, 2018, by and between the Borrower and JPMorgan Chase Bank, N.A.</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not a U.S. Person.</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has the meaning specified in Section 1.03.</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21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Agreements</w:t>
      </w:r>
      <w:r>
        <w:rPr>
          <w:rFonts w:ascii="Arial" w:cs="Arial" w:eastAsia="Arial" w:hAnsi="Arial"/>
          <w:sz w:val="22"/>
          <w:szCs w:val="22"/>
          <w:color w:val="auto"/>
        </w:rPr>
        <w:t>” means interest rate swap, cap or collar agreements, interest rate future or option contracts, currency swap agreements, currency future or option contracts and other similar agreements.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provided in the definition of “Eurocurrency Rate”.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Effective Date</w:t>
      </w:r>
      <w:r>
        <w:rPr>
          <w:rFonts w:ascii="Arial" w:cs="Arial" w:eastAsia="Arial" w:hAnsi="Arial"/>
          <w:sz w:val="22"/>
          <w:szCs w:val="22"/>
          <w:color w:val="auto"/>
        </w:rPr>
        <w:t>” has the meaning specified in Section 2.05(d).</w:t>
      </w: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has the meaning specified in Section 2.05(d).</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has the meaning specified in Section 8.04(b).</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specified in Section 8.08.</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means, for each Eurocurrency Rate Advance comprising part of the same Borrowing, the period commencing on the date of such Eurocurrency Rate Advance or the date of the Conversion of any Base Rate Advance into such Eurocurrency Rate Advance and ending on the last day of the period selected by the Borrower pursuant to the provisions below and, thereafter, with respect to Eurocurrency Rate Advances, each subsequent period commencing on the</w:t>
      </w:r>
    </w:p>
    <w:p>
      <w:pPr>
        <w:sectPr>
          <w:pgSz w:w="11900" w:h="16949" w:orient="portrait"/>
          <w:cols w:equalWidth="0" w:num="1">
            <w:col w:w="10760"/>
          </w:cols>
          <w:pgMar w:left="900" w:top="118" w:right="239" w:bottom="0" w:gutter="0" w:footer="0" w:header="0"/>
        </w:sectPr>
      </w:pPr>
    </w:p>
    <w:bookmarkStart w:id="15" w:name="page16"/>
    <w:bookmarkEnd w:id="15"/>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last day of the immediately preceding Interest Period and ending on the last day of the period selected by the Borrower pursuant to the provisions below. The duration of each such Interest Period shall be one, two, three or six months, as the Borrower may, upon written notice received by the Administrative Agent not later than 11:00 A.M. (Local Time) on the third Business Day prior to the first day of such Interest Period (or on the Business Day prior to the first day of such Interest Period in the case of Advances denominated in Sterling) (or in any case at such later time as the Administrative Agent, in its reasonable discretion, may agree to), select;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w:t>
      </w:r>
    </w:p>
    <w:p>
      <w:pPr>
        <w:spacing w:after="0" w:line="205" w:lineRule="exact"/>
        <w:rPr>
          <w:sz w:val="20"/>
          <w:szCs w:val="20"/>
          <w:color w:val="auto"/>
        </w:rPr>
      </w:pPr>
    </w:p>
    <w:p>
      <w:pPr>
        <w:ind w:left="640" w:firstLine="653"/>
        <w:spacing w:after="0" w:line="251" w:lineRule="auto"/>
        <w:tabs>
          <w:tab w:leader="none" w:pos="2028"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the Borrower may not select any Interest Period that ends after the latest then-effective Commitment Termination Date;</w:t>
      </w:r>
    </w:p>
    <w:p>
      <w:pPr>
        <w:spacing w:after="0" w:line="200" w:lineRule="exact"/>
        <w:rPr>
          <w:rFonts w:ascii="Arial" w:cs="Arial" w:eastAsia="Arial" w:hAnsi="Arial"/>
          <w:sz w:val="22"/>
          <w:szCs w:val="22"/>
          <w:color w:val="010000"/>
        </w:rPr>
      </w:pPr>
    </w:p>
    <w:p>
      <w:pPr>
        <w:jc w:val="both"/>
        <w:ind w:left="640" w:firstLine="653"/>
        <w:spacing w:after="0" w:line="238" w:lineRule="auto"/>
        <w:tabs>
          <w:tab w:leader="none" w:pos="2107"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Interest Periods commencing on the same date for Eurocurrency Rate Advances comprising part of the same Borrowing shall be of the same duration (it being understood that the Borrower shall be permitted to make multiple Borrowings consisting of Eurocurrency Rate Advances on the same date, each of which may be of different durations);</w:t>
      </w:r>
    </w:p>
    <w:p>
      <w:pPr>
        <w:spacing w:after="0" w:line="212" w:lineRule="exact"/>
        <w:rPr>
          <w:rFonts w:ascii="Arial" w:cs="Arial" w:eastAsia="Arial" w:hAnsi="Arial"/>
          <w:sz w:val="22"/>
          <w:szCs w:val="22"/>
          <w:color w:val="010000"/>
        </w:rPr>
      </w:pPr>
    </w:p>
    <w:p>
      <w:pPr>
        <w:jc w:val="both"/>
        <w:ind w:left="640" w:firstLine="653"/>
        <w:spacing w:after="0" w:line="287" w:lineRule="auto"/>
        <w:tabs>
          <w:tab w:leader="none" w:pos="2136" w:val="left"/>
        </w:tabs>
        <w:numPr>
          <w:ilvl w:val="0"/>
          <w:numId w:val="11"/>
        </w:numPr>
        <w:rPr>
          <w:rFonts w:ascii="Arial" w:cs="Arial" w:eastAsia="Arial" w:hAnsi="Arial"/>
          <w:sz w:val="19"/>
          <w:szCs w:val="19"/>
          <w:color w:val="010000"/>
        </w:rPr>
      </w:pPr>
      <w:r>
        <w:rPr>
          <w:rFonts w:ascii="Arial" w:cs="Arial" w:eastAsia="Arial" w:hAnsi="Arial"/>
          <w:sz w:val="19"/>
          <w:szCs w:val="19"/>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succeeding calendar month, the last day of such Interest Period shall occur on the immediately preceding Business Day; and</w:t>
      </w:r>
    </w:p>
    <w:p>
      <w:pPr>
        <w:spacing w:after="0" w:line="170" w:lineRule="exact"/>
        <w:rPr>
          <w:rFonts w:ascii="Arial" w:cs="Arial" w:eastAsia="Arial" w:hAnsi="Arial"/>
          <w:sz w:val="19"/>
          <w:szCs w:val="19"/>
          <w:color w:val="010000"/>
        </w:rPr>
      </w:pPr>
    </w:p>
    <w:p>
      <w:pPr>
        <w:jc w:val="both"/>
        <w:ind w:left="640" w:firstLine="653"/>
        <w:spacing w:after="0" w:line="238" w:lineRule="auto"/>
        <w:tabs>
          <w:tab w:leader="none" w:pos="2080"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212" w:lineRule="exact"/>
        <w:rPr>
          <w:sz w:val="20"/>
          <w:szCs w:val="20"/>
          <w:color w:val="auto"/>
        </w:rPr>
      </w:pPr>
    </w:p>
    <w:p>
      <w:pPr>
        <w:jc w:val="both"/>
        <w:ind w:firstLine="70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means the U.S. Internal Revenue Code of 1986, as amended from time to time, and the regulations promulgated and the rulings issued thereunder.</w:t>
      </w:r>
    </w:p>
    <w:p>
      <w:pPr>
        <w:spacing w:after="0" w:line="2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Interpolated Rate</w:t>
      </w:r>
      <w:r>
        <w:rPr>
          <w:rFonts w:ascii="Arial" w:cs="Arial" w:eastAsia="Arial" w:hAnsi="Arial"/>
          <w:sz w:val="22"/>
          <w:szCs w:val="22"/>
          <w:color w:val="auto"/>
        </w:rPr>
        <w:t>” has the meaning specified in the definition of “Eurocurrency Rate”.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has the meaning set forth in Section 8.15.</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Arrangers</w:t>
      </w:r>
      <w:r>
        <w:rPr>
          <w:rFonts w:ascii="Arial" w:cs="Arial" w:eastAsia="Arial" w:hAnsi="Arial"/>
          <w:sz w:val="22"/>
          <w:szCs w:val="22"/>
          <w:color w:val="auto"/>
        </w:rPr>
        <w:t>” means JPMorgan Chase Bank, N.A.,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and is designated as a Lead Arranger by written notice to the Borrower) and Morgan Stanley Senior Funding, Inc.</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“Lender Joinder Agreement</w:t>
      </w:r>
      <w:r>
        <w:rPr>
          <w:rFonts w:ascii="Arial" w:cs="Arial" w:eastAsia="Arial" w:hAnsi="Arial"/>
          <w:sz w:val="22"/>
          <w:szCs w:val="22"/>
          <w:color w:val="auto"/>
        </w:rPr>
        <w:t>” means a joinder agreement in a form reasonably satisfactory to the Administrative Agent delivered in connection with Section 2.05(d).</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means, collectively, (a) each bank, financial institution and other institutional lender listed on the signature pages hereof and (b) each Eligible Assignee that shall become a party hereto pursuant to Section 2.05(d) or 8.07.</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w:t>
      </w:r>
      <w:r>
        <w:rPr>
          <w:rFonts w:ascii="Arial" w:cs="Arial" w:eastAsia="Arial" w:hAnsi="Arial"/>
          <w:sz w:val="22"/>
          <w:szCs w:val="22"/>
          <w:color w:val="auto"/>
        </w:rPr>
        <w:t>” has the meaning specified in the definition of Eurocurrency Rate.</w:t>
      </w:r>
    </w:p>
    <w:p>
      <w:pPr>
        <w:spacing w:after="0" w:line="233" w:lineRule="exact"/>
        <w:rPr>
          <w:sz w:val="20"/>
          <w:szCs w:val="20"/>
          <w:color w:val="auto"/>
        </w:rPr>
      </w:pPr>
    </w:p>
    <w:p>
      <w:pPr>
        <w:jc w:val="both"/>
        <w:ind w:firstLine="70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and any Lender Joinder Agreements, amendments or notes entered into in connection herewith.</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Local Time</w:t>
      </w:r>
      <w:r>
        <w:rPr>
          <w:rFonts w:ascii="Arial" w:cs="Arial" w:eastAsia="Arial" w:hAnsi="Arial"/>
          <w:sz w:val="22"/>
          <w:szCs w:val="22"/>
          <w:color w:val="auto"/>
        </w:rPr>
        <w:t>” means, with respect to any extensions of credit hereunder denominated in Dollars, Chicago time, with respect to any extensions of credit hereunder denominated in Sterling or Euro, London time and with respect to any extensions of credit in any other Alternative Currency, such time as is separately agreed by the Administrative Agent and the Borrower pursuant to the definition of “Alternative Currency”.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has the meaning specified in Section 8.04(b).</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has the meaning provided in Regulation U.</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Acquisition</w:t>
      </w:r>
      <w:r>
        <w:rPr>
          <w:rFonts w:ascii="Arial" w:cs="Arial" w:eastAsia="Arial" w:hAnsi="Arial"/>
          <w:sz w:val="19"/>
          <w:szCs w:val="19"/>
          <w:color w:val="auto"/>
        </w:rPr>
        <w:t>” shall mean any Acquisition involving the payment of consideration (including non-cash, contingent and deferred consideration (including obligations under any purchase price adjustment but excluding earnout or</w:t>
      </w:r>
    </w:p>
    <w:p>
      <w:pPr>
        <w:sectPr>
          <w:pgSz w:w="11900" w:h="16973" w:orient="portrait"/>
          <w:cols w:equalWidth="0" w:num="1">
            <w:col w:w="10760"/>
          </w:cols>
          <w:pgMar w:left="900" w:top="118" w:right="239" w:bottom="0" w:gutter="0" w:footer="0" w:header="0"/>
        </w:sectPr>
      </w:pPr>
    </w:p>
    <w:bookmarkStart w:id="16" w:name="page17"/>
    <w:bookmarkEnd w:id="16"/>
    <w:p>
      <w:pPr>
        <w:spacing w:after="0" w:line="80" w:lineRule="exact"/>
        <w:rPr>
          <w:sz w:val="20"/>
          <w:szCs w:val="20"/>
          <w:color w:val="auto"/>
        </w:rPr>
      </w:pPr>
    </w:p>
    <w:p>
      <w:pPr>
        <w:jc w:val="both"/>
        <w:ind w:left="4"/>
        <w:spacing w:after="0" w:line="251" w:lineRule="auto"/>
        <w:rPr>
          <w:sz w:val="20"/>
          <w:szCs w:val="20"/>
          <w:color w:val="auto"/>
        </w:rPr>
      </w:pPr>
      <w:r>
        <w:rPr>
          <w:rFonts w:ascii="Arial" w:cs="Arial" w:eastAsia="Arial" w:hAnsi="Arial"/>
          <w:sz w:val="22"/>
          <w:szCs w:val="22"/>
          <w:color w:val="auto"/>
        </w:rPr>
        <w:t>similar payments)) by the Borrower or any of its Subsidiaries with a fair market value in excess of $5,000,000,000 (as determined by the Borrower in good faith upon consummation thereof).</w:t>
      </w:r>
    </w:p>
    <w:p>
      <w:pPr>
        <w:spacing w:after="0" w:line="201"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financial condition or results of operations of the Consolidated Group taken as a whole, (b) the rights and remedies of the Administrative Agent or any Lender under this Agreement, taken as a whole, or (c) the ability of the Borrower to perform its payment obligations under this Agreement.</w:t>
      </w:r>
    </w:p>
    <w:p>
      <w:pPr>
        <w:spacing w:after="0" w:line="16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thereof).</w:t>
      </w:r>
    </w:p>
    <w:p>
      <w:pPr>
        <w:spacing w:after="0" w:line="233"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213" w:lineRule="exact"/>
        <w:rPr>
          <w:sz w:val="20"/>
          <w:szCs w:val="20"/>
          <w:color w:val="auto"/>
        </w:rPr>
      </w:pPr>
    </w:p>
    <w:p>
      <w:pPr>
        <w:jc w:val="both"/>
        <w:ind w:left="4"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Multiple Employer Plan</w:t>
      </w:r>
      <w:r>
        <w:rPr>
          <w:rFonts w:ascii="Arial" w:cs="Arial" w:eastAsia="Arial" w:hAnsi="Arial"/>
          <w:sz w:val="22"/>
          <w:szCs w:val="22"/>
          <w:color w:val="auto"/>
        </w:rPr>
        <w:t>” means a single employer plan, as defined in Section 4001(a)(15) of ERISA, that (a) is maintained for employees of the Borrower or any ERISA Affiliate and employees of at least one Person other than the Borrower and the ERISA Affiliates or (b) was so maintained and in respect of which the Borrower or any ERISA Affiliate could reasonably have liability under Section 4064 or 4069 of ERISA in the event such plan has been or were to be terminated.</w:t>
      </w:r>
    </w:p>
    <w:p>
      <w:pPr>
        <w:spacing w:after="0" w:line="21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a Lender that is not a Defaulting Lender.</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Lender</w:t>
      </w:r>
      <w:r>
        <w:rPr>
          <w:rFonts w:ascii="Arial" w:cs="Arial" w:eastAsia="Arial" w:hAnsi="Arial"/>
          <w:sz w:val="22"/>
          <w:szCs w:val="22"/>
          <w:color w:val="auto"/>
        </w:rPr>
        <w:t>” has the meaning specified in Section 2.14(f)(ii).</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w:t>
      </w:r>
      <w:r>
        <w:rPr>
          <w:rFonts w:ascii="Arial" w:cs="Arial" w:eastAsia="Arial" w:hAnsi="Arial"/>
          <w:sz w:val="22"/>
          <w:szCs w:val="22"/>
          <w:color w:val="auto"/>
        </w:rPr>
        <w:t>” has the meaning specified in Section 8.02(e).</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has the meaning specified in Section 2.02(a).</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Conversion</w:t>
      </w:r>
      <w:r>
        <w:rPr>
          <w:rFonts w:ascii="Arial" w:cs="Arial" w:eastAsia="Arial" w:hAnsi="Arial"/>
          <w:sz w:val="22"/>
          <w:szCs w:val="22"/>
          <w:color w:val="auto"/>
        </w:rPr>
        <w:t>” has the meaning specified in Section 2.09.</w:t>
      </w:r>
    </w:p>
    <w:p>
      <w:pPr>
        <w:spacing w:after="0" w:line="23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NPL</w:t>
      </w:r>
      <w:r>
        <w:rPr>
          <w:rFonts w:ascii="Arial" w:cs="Arial" w:eastAsia="Arial" w:hAnsi="Arial"/>
          <w:sz w:val="22"/>
          <w:szCs w:val="22"/>
          <w:color w:val="auto"/>
        </w:rPr>
        <w:t>” means the National Priorities List under the Comprehensive Environmental Response, Compensation and Liability Act of 1980, as amended from time to time.</w:t>
      </w:r>
    </w:p>
    <w:p>
      <w:pPr>
        <w:spacing w:after="0" w:line="20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means, for any day, the greater of (a) the Federal Funds Effective Rate in effect on such day and</w:t>
      </w:r>
    </w:p>
    <w:p>
      <w:pPr>
        <w:spacing w:after="0" w:line="43" w:lineRule="exact"/>
        <w:rPr>
          <w:sz w:val="20"/>
          <w:szCs w:val="20"/>
          <w:color w:val="auto"/>
        </w:rPr>
      </w:pPr>
    </w:p>
    <w:p>
      <w:pPr>
        <w:jc w:val="both"/>
        <w:ind w:left="4" w:hanging="4"/>
        <w:spacing w:after="0" w:line="277" w:lineRule="auto"/>
        <w:tabs>
          <w:tab w:leader="none" w:pos="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any of the aforesaid rates as so determined be less than zero, such rate shall be deemed to be zero for purposes of this Agreement.</w:t>
      </w:r>
    </w:p>
    <w:p>
      <w:pPr>
        <w:spacing w:after="0" w:line="18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U.S. Treasury Department’s Office of Foreign Assets Control.</w:t>
      </w:r>
    </w:p>
    <w:p>
      <w:pPr>
        <w:spacing w:after="0" w:line="23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Lender, Taxes imposed as a result of a present or former connection between such Lender and the jurisdiction imposing such Tax (other than connections arising from such Lender’s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21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has the meaning specified in Section 2.14(b).</w:t>
      </w:r>
    </w:p>
    <w:p>
      <w:pPr>
        <w:spacing w:after="0" w:line="233" w:lineRule="exact"/>
        <w:rPr>
          <w:sz w:val="20"/>
          <w:szCs w:val="20"/>
          <w:color w:val="auto"/>
        </w:rPr>
      </w:pPr>
    </w:p>
    <w:p>
      <w:pPr>
        <w:jc w:val="both"/>
        <w:ind w:left="4"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21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specified in Section 8.07(e).</w:t>
      </w:r>
    </w:p>
    <w:p>
      <w:pPr>
        <w:spacing w:after="0" w:line="23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means the Uniting and Strengthening America by Providing Appropriate Tools Required to Intercept and Obstruct Terrorism Act of 2001, Pub. L. 107-56, signed into law October 26, 2001.</w:t>
      </w:r>
    </w:p>
    <w:p>
      <w:pPr>
        <w:sectPr>
          <w:pgSz w:w="11900" w:h="16919" w:orient="portrait"/>
          <w:cols w:equalWidth="0" w:num="1">
            <w:col w:w="10764"/>
          </w:cols>
          <w:pgMar w:left="896" w:top="118" w:right="239" w:bottom="0" w:gutter="0" w:footer="0" w:header="0"/>
        </w:sectPr>
      </w:pPr>
    </w:p>
    <w:bookmarkStart w:id="17" w:name="page18"/>
    <w:bookmarkEnd w:id="17"/>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 thereto).</w:t>
      </w:r>
    </w:p>
    <w:p>
      <w:pPr>
        <w:spacing w:after="0" w:line="233"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21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 Single Employer Plan or a Multiple Employer Plan.</w:t>
      </w:r>
    </w:p>
    <w:p>
      <w:pPr>
        <w:spacing w:after="0" w:line="233" w:lineRule="exact"/>
        <w:rPr>
          <w:sz w:val="20"/>
          <w:szCs w:val="20"/>
          <w:color w:val="auto"/>
        </w:rPr>
      </w:pPr>
    </w:p>
    <w:p>
      <w:pPr>
        <w:ind w:left="4" w:right="1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means 29 CFR § 2510.3-101 et seq., as modified by Section 3(42) of ERISA, as amended from time to time.</w:t>
      </w:r>
    </w:p>
    <w:p>
      <w:pPr>
        <w:spacing w:after="0" w:line="200" w:lineRule="exact"/>
        <w:rPr>
          <w:sz w:val="20"/>
          <w:szCs w:val="20"/>
          <w:color w:val="auto"/>
        </w:rPr>
      </w:pPr>
    </w:p>
    <w:p>
      <w:pPr>
        <w:jc w:val="both"/>
        <w:ind w:left="4"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Previously Delivered Financial Statements</w:t>
      </w:r>
      <w:r>
        <w:rPr>
          <w:rFonts w:ascii="Arial" w:cs="Arial" w:eastAsia="Arial" w:hAnsi="Arial"/>
          <w:sz w:val="22"/>
          <w:szCs w:val="22"/>
          <w:color w:val="auto"/>
        </w:rPr>
        <w:t>” means (a) audited consolidated balance sheets and related statements of earnings, equity and cash flows of the Borrower and its Subsidiaries for the fiscal years ended on December 31, 2015, December 31, 2016 and December 31, 2017 and (b) unaudited consolidated balance sheets and related statements of earnings, equity and cash flows of the Borrower and its Subsidiaries for the fiscal quarters ended March 31, 2018 and June 30, 2018.</w:t>
      </w:r>
    </w:p>
    <w:p>
      <w:pPr>
        <w:spacing w:after="0" w:line="215" w:lineRule="exact"/>
        <w:rPr>
          <w:sz w:val="20"/>
          <w:szCs w:val="20"/>
          <w:color w:val="auto"/>
        </w:rPr>
      </w:pPr>
    </w:p>
    <w:p>
      <w:pPr>
        <w:jc w:val="both"/>
        <w:ind w:left="4"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w:t>
      </w:r>
    </w:p>
    <w:p>
      <w:pPr>
        <w:spacing w:after="0" w:line="206"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spacing w:after="0" w:line="251" w:lineRule="auto"/>
        <w:rPr>
          <w:sz w:val="20"/>
          <w:szCs w:val="20"/>
          <w:color w:val="auto"/>
        </w:rPr>
      </w:pPr>
      <w:r>
        <w:rPr>
          <w:rFonts w:ascii="Arial" w:cs="Arial" w:eastAsia="Arial" w:hAnsi="Arial"/>
          <w:sz w:val="22"/>
          <w:szCs w:val="22"/>
          <w:color w:val="auto"/>
        </w:rPr>
        <w:t>by the Administrative Agent). Each change in the Prime Rate shall be effective from and including the date such change is publicly announced or quoted as being effective.</w:t>
      </w:r>
    </w:p>
    <w:p>
      <w:pPr>
        <w:spacing w:after="0" w:line="200"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Domestic Property</w:t>
      </w:r>
      <w:r>
        <w:rPr>
          <w:rFonts w:ascii="Arial" w:cs="Arial" w:eastAsia="Arial" w:hAnsi="Arial"/>
          <w:sz w:val="19"/>
          <w:szCs w:val="19"/>
          <w:color w:val="auto"/>
        </w:rPr>
        <w:t>” means any building, structure or other facility, together with the land upon which it is erected and fixtures comprising a part thereof, used primarily for manufacturing, processing, research, warehousing or distribution located in the United States (excluding its territories and possessions and Puerto Rico) owned or leased by any member of the Consolidated Group the net book value of which on the date as of which the determination is being made exceeds 2% of Consolidated Net Assets, other than any such building structure or other facility or portion of any thereof</w:t>
      </w:r>
    </w:p>
    <w:p>
      <w:pPr>
        <w:spacing w:after="0" w:line="4" w:lineRule="exact"/>
        <w:rPr>
          <w:sz w:val="20"/>
          <w:szCs w:val="20"/>
          <w:color w:val="auto"/>
        </w:rPr>
      </w:pPr>
    </w:p>
    <w:p>
      <w:pPr>
        <w:ind w:left="304" w:hanging="304"/>
        <w:spacing w:after="0"/>
        <w:tabs>
          <w:tab w:leader="none" w:pos="304" w:val="left"/>
        </w:tabs>
        <w:numPr>
          <w:ilvl w:val="0"/>
          <w:numId w:val="13"/>
        </w:numPr>
        <w:rPr>
          <w:rFonts w:ascii="Arial" w:cs="Arial" w:eastAsia="Arial" w:hAnsi="Arial"/>
          <w:sz w:val="19"/>
          <w:szCs w:val="19"/>
          <w:color w:val="auto"/>
        </w:rPr>
      </w:pPr>
      <w:r>
        <w:rPr>
          <w:rFonts w:ascii="Arial" w:cs="Arial" w:eastAsia="Arial" w:hAnsi="Arial"/>
          <w:sz w:val="19"/>
          <w:szCs w:val="19"/>
          <w:color w:val="auto"/>
        </w:rPr>
        <w:t>which is an air or water pollution control facility financed by obligations issued by a State or local governmental unit or</w:t>
      </w:r>
    </w:p>
    <w:p>
      <w:pPr>
        <w:spacing w:after="0" w:line="24" w:lineRule="exact"/>
        <w:rPr>
          <w:rFonts w:ascii="Arial" w:cs="Arial" w:eastAsia="Arial" w:hAnsi="Arial"/>
          <w:sz w:val="19"/>
          <w:szCs w:val="19"/>
          <w:color w:val="auto"/>
        </w:rPr>
      </w:pPr>
    </w:p>
    <w:p>
      <w:pPr>
        <w:jc w:val="both"/>
        <w:ind w:left="4" w:hanging="4"/>
        <w:spacing w:after="0" w:line="234" w:lineRule="auto"/>
        <w:tabs>
          <w:tab w:leader="none" w:pos="337" w:val="left"/>
        </w:tabs>
        <w:numPr>
          <w:ilvl w:val="0"/>
          <w:numId w:val="13"/>
        </w:numPr>
        <w:rPr>
          <w:rFonts w:ascii="Arial" w:cs="Arial" w:eastAsia="Arial" w:hAnsi="Arial"/>
          <w:sz w:val="22"/>
          <w:szCs w:val="22"/>
          <w:color w:val="auto"/>
        </w:rPr>
      </w:pPr>
      <w:r>
        <w:rPr>
          <w:rFonts w:ascii="Arial" w:cs="Arial" w:eastAsia="Arial" w:hAnsi="Arial"/>
          <w:sz w:val="22"/>
          <w:szCs w:val="22"/>
          <w:color w:val="auto"/>
        </w:rPr>
        <w:t>which the Chief Executive Officer, any President, the Chief Financial Officer, the Controller or the Treasurer of the Borrower determines in good faith is not of material importance to the total business conducted, or assets owned, by the Consolidated Group taken as a whole.</w:t>
      </w:r>
    </w:p>
    <w:p>
      <w:pPr>
        <w:spacing w:after="0" w:line="214" w:lineRule="exact"/>
        <w:rPr>
          <w:sz w:val="20"/>
          <w:szCs w:val="20"/>
          <w:color w:val="auto"/>
        </w:rPr>
      </w:pPr>
    </w:p>
    <w:p>
      <w:pPr>
        <w:jc w:val="both"/>
        <w:ind w:left="4"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means any projections and any forward looking statements (including statements with respect to booked business) of the Consolidated Group furnished to the Lenders or the Administrative Agent by or on behalf of the Borrower prior to the Effective Date.</w:t>
      </w:r>
    </w:p>
    <w:p>
      <w:pPr>
        <w:spacing w:after="0" w:line="213" w:lineRule="exact"/>
        <w:rPr>
          <w:sz w:val="20"/>
          <w:szCs w:val="20"/>
          <w:color w:val="auto"/>
        </w:rPr>
      </w:pPr>
    </w:p>
    <w:p>
      <w:pPr>
        <w:jc w:val="both"/>
        <w:ind w:left="4"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Debt Rating</w:t>
      </w:r>
      <w:r>
        <w:rPr>
          <w:rFonts w:ascii="Arial" w:cs="Arial" w:eastAsia="Arial" w:hAnsi="Arial"/>
          <w:sz w:val="19"/>
          <w:szCs w:val="19"/>
          <w:color w:val="auto"/>
        </w:rPr>
        <w:t>” means, as of any date and subject to the provisions of the next succeeding sentence, the lowest rating that has been most recently announced by each of S&amp;P or Moody’s, as the case may be, for any class of non-credit enhanced long-term senior unsecured debt issued by the Borrower. For purposes of the foregoing: (a) if only one of S&amp;P and Moody’s shall have in effect a Public Debt Rating, the Applicable Percentage and the Applicable Margin shall be determined by reference to the available rating; (b) if neither S&amp;P nor Moody’s shall have in effect a Public Debt Rating, the Applicable Percentage and the Applicable Margin shall be set in accordance with Level 6 under the definition of Applicable Percentage or Applicable Margin, as the case may be; (c) if the ratings established by S&amp;P and Moody’s shall fall within different levels, the Applicable Percentage and the Applicable Margin shall be based upon the higher of such ratings, except that, in the event that the lower of such ratings is more than one level below the higher of such ratings, the Applicable Percentage and the Applicable Margin shall be based upon the level immediately below the higher of such ratings; (d) if any rating established by S&amp;P or Moody’s shall be changed, such change shall be effective as of the date on which such change is first announced publicly by the rating agency making such change; and (e)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specified in Section 8.07(d).</w:t>
      </w:r>
    </w:p>
    <w:p>
      <w:pPr>
        <w:spacing w:after="0" w:line="23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61" w:right="239" w:bottom="88" w:gutter="0" w:footer="0" w:header="0"/>
        </w:sectPr>
      </w:pPr>
    </w:p>
    <w:bookmarkStart w:id="18" w:name="page19"/>
    <w:bookmarkEnd w:id="18"/>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Parties</w:t>
      </w:r>
      <w:r>
        <w:rPr>
          <w:rFonts w:ascii="Arial" w:cs="Arial" w:eastAsia="Arial" w:hAnsi="Arial"/>
          <w:sz w:val="22"/>
          <w:szCs w:val="22"/>
          <w:color w:val="auto"/>
        </w:rPr>
        <w:t>” means, with respect to any Person, such Person’s Affiliates and the partners, directors, officers, employees, agents, trustees and advisors of such Person and of such Person’s Affiliates.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Removal Effective Date</w:t>
      </w:r>
      <w:r>
        <w:rPr>
          <w:rFonts w:ascii="Arial" w:cs="Arial" w:eastAsia="Arial" w:hAnsi="Arial"/>
          <w:sz w:val="22"/>
          <w:szCs w:val="22"/>
          <w:color w:val="auto"/>
        </w:rPr>
        <w:t>” has the meaning provided in Section 7.06(b).</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at any time, Lenders holding more than 50% of the Commitments at such time or, if the Commitments have been terminated at such time pursuant to Section 2.05 or 6.01, Lenders owed more than 50% of the aggregate unpaid principal amount of the Advances owing to Lenders at such time; provided that the Commitment of, and the Advances held or deemed held by, any Defaulting Lender shall be excluded for purposes of making a determination of Required Lenders.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Resignation Effective Date</w:t>
      </w:r>
      <w:r>
        <w:rPr>
          <w:rFonts w:ascii="Arial" w:cs="Arial" w:eastAsia="Arial" w:hAnsi="Arial"/>
          <w:sz w:val="22"/>
          <w:szCs w:val="22"/>
          <w:color w:val="auto"/>
        </w:rPr>
        <w:t>” has the meaning provided in Section 7.06(a).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with respect to the Borrower, the Chief Executive Officer, the Chief Financial Officer, the Treasurer, the Controller, any Assistant Treasurer and the General Counsel of the Borrower (or other executive officer of the Borrower performing similar functions) or any other officer of the Borrower responsible for overseeing or reviewing compliance with this Agreement.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Revised Percentage</w:t>
      </w:r>
      <w:r>
        <w:rPr>
          <w:rFonts w:ascii="Arial" w:cs="Arial" w:eastAsia="Arial" w:hAnsi="Arial"/>
          <w:sz w:val="22"/>
          <w:szCs w:val="22"/>
          <w:color w:val="auto"/>
        </w:rPr>
        <w:t>” has the meaning provided in Section 2.05(d).</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Financial Services LLC (or any successor thereof).</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has the meaning specified in the definition of “Embargoed Person”.</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Screen Rate</w:t>
      </w:r>
      <w:r>
        <w:rPr>
          <w:rFonts w:ascii="Arial" w:cs="Arial" w:eastAsia="Arial" w:hAnsi="Arial"/>
          <w:sz w:val="22"/>
          <w:szCs w:val="22"/>
          <w:color w:val="auto"/>
        </w:rPr>
        <w:t>” has the meaning set forth in the definition of “Eurocurrency Rate”.</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Significant Subsidiary</w:t>
      </w:r>
      <w:r>
        <w:rPr>
          <w:rFonts w:ascii="Arial" w:cs="Arial" w:eastAsia="Arial" w:hAnsi="Arial"/>
          <w:sz w:val="21"/>
          <w:szCs w:val="21"/>
          <w:color w:val="auto"/>
        </w:rPr>
        <w:t>” means any Subsidiary of the Borrower that constitutes a “significant subsidiary” under Regulation S-X promulgated by the Securities and Exchange Commission, as in effect from time to time.</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Eurocurrency Rate, for eurocurrency funding (currently referred to as “Eurocurrency liabilities” in Regulation D). Such reserve percentage shall include those imposed</w:t>
      </w:r>
    </w:p>
    <w:p>
      <w:pPr>
        <w:spacing w:after="0" w:line="17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pursuant to Regulation D. Eurocurrency Rate Advances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and the “</w:t>
      </w:r>
      <w:r>
        <w:rPr>
          <w:rFonts w:ascii="Arial" w:cs="Arial" w:eastAsia="Arial" w:hAnsi="Arial"/>
          <w:sz w:val="22"/>
          <w:szCs w:val="22"/>
          <w:u w:val="single" w:color="auto"/>
          <w:color w:val="auto"/>
        </w:rPr>
        <w:t>£</w:t>
      </w:r>
      <w:r>
        <w:rPr>
          <w:rFonts w:ascii="Arial" w:cs="Arial" w:eastAsia="Arial" w:hAnsi="Arial"/>
          <w:sz w:val="22"/>
          <w:szCs w:val="22"/>
          <w:color w:val="auto"/>
        </w:rPr>
        <w:t>” sign each means lawful currency of the United Kingdom.</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w:t>
      </w:r>
      <w:r>
        <w:rPr>
          <w:rFonts w:ascii="Arial" w:cs="Arial" w:eastAsia="Arial" w:hAnsi="Arial"/>
          <w:sz w:val="22"/>
          <w:szCs w:val="22"/>
          <w:color w:val="auto"/>
        </w:rPr>
        <w:t>” means each of Bank of America, N.A. and Morgan Stanley Senior Funding, Inc.</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w:t>
      </w:r>
      <w:r>
        <w:rPr>
          <w:rFonts w:ascii="Arial" w:cs="Arial" w:eastAsia="Arial" w:hAnsi="Arial"/>
          <w:sz w:val="19"/>
          <w:szCs w:val="19"/>
          <w:color w:val="auto"/>
        </w:rPr>
        <w:t>” means the Trans-European Automated Real-time Gross Settlement Express Transfer payment system.</w:t>
      </w:r>
    </w:p>
    <w:p>
      <w:pPr>
        <w:spacing w:after="0" w:line="2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withholdings (including back-up withholdings), assessments, fees or other like charges imposed by any governmental authority, including any interest, additions to tax or penalties applicable thereto.</w:t>
      </w:r>
    </w:p>
    <w:p>
      <w:pPr>
        <w:sectPr>
          <w:pgSz w:w="11900" w:h="16838" w:orient="portrait"/>
          <w:cols w:equalWidth="0" w:num="1">
            <w:col w:w="10760"/>
          </w:cols>
          <w:pgMar w:left="900" w:top="361" w:right="239" w:bottom="0" w:gutter="0" w:footer="0" w:header="0"/>
        </w:sectPr>
      </w:pPr>
    </w:p>
    <w:bookmarkStart w:id="19" w:name="page20"/>
    <w:bookmarkEnd w:id="19"/>
    <w:p>
      <w:pPr>
        <w:spacing w:after="0" w:line="96" w:lineRule="exact"/>
        <w:rPr>
          <w:sz w:val="20"/>
          <w:szCs w:val="20"/>
          <w:color w:val="auto"/>
        </w:rPr>
      </w:pPr>
    </w:p>
    <w:p>
      <w:pPr>
        <w:jc w:val="both"/>
        <w:ind w:left="660" w:firstLine="702"/>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execution, delivery and performance by the Borrower of this Agreement and the borrowing of the Advances.</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refers to a Base Rate Advance or a Eurocurrency Rate Advance.</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each means the United States of America.</w:t>
      </w:r>
    </w:p>
    <w:p>
      <w:pPr>
        <w:spacing w:after="0" w:line="233"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“United States person” as defined in Section 7701(a)(30) of the Internal Revenue Code.</w:t>
      </w:r>
    </w:p>
    <w:p>
      <w:pPr>
        <w:spacing w:after="0" w:line="200" w:lineRule="exact"/>
        <w:rPr>
          <w:sz w:val="20"/>
          <w:szCs w:val="20"/>
          <w:color w:val="auto"/>
        </w:rPr>
      </w:pPr>
    </w:p>
    <w:p>
      <w:pPr>
        <w:jc w:val="both"/>
        <w:ind w:left="660" w:firstLine="702"/>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means shares of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has the meaning specified in Part I of Subtitle E of Title IV of ERISA.</w:t>
      </w:r>
    </w:p>
    <w:p>
      <w:pPr>
        <w:spacing w:after="0" w:line="233"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010000"/>
        </w:rPr>
        <w:t xml:space="preserve">SECTION 1.02 </w:t>
      </w:r>
      <w:r>
        <w:rPr>
          <w:rFonts w:ascii="Arial" w:cs="Arial" w:eastAsia="Arial" w:hAnsi="Arial"/>
          <w:sz w:val="22"/>
          <w:szCs w:val="22"/>
          <w:u w:val="single" w:color="auto"/>
          <w:color w:val="000000"/>
        </w:rPr>
        <w:t>Computation of Time Periods</w:t>
      </w:r>
      <w:r>
        <w:rPr>
          <w:rFonts w:ascii="Arial" w:cs="Arial" w:eastAsia="Arial" w:hAnsi="Arial"/>
          <w:sz w:val="22"/>
          <w:szCs w:val="22"/>
          <w:color w:val="000000"/>
        </w:rPr>
        <w:t>. In this Agreement, in the computation of periods of time from a</w:t>
      </w:r>
      <w:r>
        <w:rPr>
          <w:rFonts w:ascii="Arial" w:cs="Arial" w:eastAsia="Arial" w:hAnsi="Arial"/>
          <w:sz w:val="22"/>
          <w:szCs w:val="22"/>
          <w:color w:val="010000"/>
        </w:rPr>
        <w:t xml:space="preserve"> </w:t>
      </w:r>
      <w:r>
        <w:rPr>
          <w:rFonts w:ascii="Arial" w:cs="Arial" w:eastAsia="Arial" w:hAnsi="Arial"/>
          <w:sz w:val="22"/>
          <w:szCs w:val="22"/>
          <w:color w:val="000000"/>
        </w:rPr>
        <w:t>specified date to a later specified date, the word “from” means “from and including”, the word “through” means “through and including” and each of the words “to” and “until” mean “to but excluding”.</w:t>
      </w:r>
    </w:p>
    <w:p>
      <w:pPr>
        <w:spacing w:after="0" w:line="21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010000"/>
        </w:rPr>
        <w:t xml:space="preserve">SECTION 1.03 </w:t>
      </w:r>
      <w:r>
        <w:rPr>
          <w:rFonts w:ascii="Arial" w:cs="Arial" w:eastAsia="Arial" w:hAnsi="Arial"/>
          <w:sz w:val="19"/>
          <w:szCs w:val="19"/>
          <w:u w:val="single" w:color="auto"/>
          <w:color w:val="000000"/>
        </w:rPr>
        <w:t>Accounting Terms</w:t>
      </w:r>
      <w:r>
        <w:rPr>
          <w:rFonts w:ascii="Arial" w:cs="Arial" w:eastAsia="Arial" w:hAnsi="Arial"/>
          <w:sz w:val="19"/>
          <w:szCs w:val="19"/>
          <w:color w:val="000000"/>
        </w:rPr>
        <w:t>. Except as otherwise expressly provided herein, all accounting terms not</w:t>
      </w:r>
      <w:r>
        <w:rPr>
          <w:rFonts w:ascii="Arial" w:cs="Arial" w:eastAsia="Arial" w:hAnsi="Arial"/>
          <w:sz w:val="19"/>
          <w:szCs w:val="19"/>
          <w:color w:val="010000"/>
        </w:rPr>
        <w:t xml:space="preserve"> </w:t>
      </w:r>
      <w:r>
        <w:rPr>
          <w:rFonts w:ascii="Arial" w:cs="Arial" w:eastAsia="Arial" w:hAnsi="Arial"/>
          <w:sz w:val="19"/>
          <w:szCs w:val="19"/>
          <w:color w:val="000000"/>
        </w:rPr>
        <w:t>specifically defined herein shall be construed in accordance with, and all financial data (including financial calculations) required to be submitted pursuant to this Agreement shall be prepared in conformity with, generally accepted accounting principles as in effect in the United States from time to time (“</w:t>
      </w:r>
      <w:r>
        <w:rPr>
          <w:rFonts w:ascii="Arial" w:cs="Arial" w:eastAsia="Arial" w:hAnsi="Arial"/>
          <w:sz w:val="19"/>
          <w:szCs w:val="19"/>
          <w:u w:val="single" w:color="auto"/>
          <w:color w:val="000000"/>
        </w:rPr>
        <w:t>GAAP</w:t>
      </w:r>
      <w:r>
        <w:rPr>
          <w:rFonts w:ascii="Arial" w:cs="Arial" w:eastAsia="Arial" w:hAnsi="Arial"/>
          <w:sz w:val="19"/>
          <w:szCs w:val="19"/>
          <w:color w:val="000000"/>
        </w:rPr>
        <w:t xml:space="preserve">”) (it being agreed that (A)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Debt or other liabilities of a member of the Consolidated Group at “fair value”, as defined therein and (ii) any treatment of Debt in respect of convertible debt instruments under Accounting Standards Codification 470-20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and (B) notwithstanding anything to the contrary in this Section 1.03 or in any classification under GAAP of any Person, 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 If at any time any change in GAAP would affect the calculation of any covenant set forth herein and either the Borrower or the Required Lenders shall so request, the Administrative Agent, the Lenders and the Borrower shall negotiate in good faith to amend such covenant to preserve the original intent thereof in light of such change in GAAP (subject to the approval of the Required Lenders);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until so amended, (i) such covenant shall continue to be calculated in accordance with GAAP prior to such change and (ii) the Borrower shall provide to the Administrative Agent and the Lenders, concurrently with the delivery of any financial statements or reports with respect to such covenant, statements setting forth a reconciliation between calculations of such covenant made before and after giving effect to such change in GAAP.</w:t>
      </w:r>
    </w:p>
    <w:p>
      <w:pPr>
        <w:spacing w:after="0" w:line="200" w:lineRule="exact"/>
        <w:rPr>
          <w:sz w:val="20"/>
          <w:szCs w:val="20"/>
          <w:color w:val="auto"/>
        </w:rPr>
      </w:pPr>
    </w:p>
    <w:p>
      <w:pPr>
        <w:spacing w:after="0" w:line="229"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010000"/>
        </w:rPr>
        <w:t xml:space="preserve">SECTION 1.04 </w:t>
      </w:r>
      <w:r>
        <w:rPr>
          <w:rFonts w:ascii="Arial" w:cs="Arial" w:eastAsia="Arial" w:hAnsi="Arial"/>
          <w:sz w:val="22"/>
          <w:szCs w:val="22"/>
          <w:u w:val="single" w:color="auto"/>
          <w:color w:val="000000"/>
        </w:rPr>
        <w:t>Terms Generally</w:t>
      </w:r>
      <w:r>
        <w:rPr>
          <w:rFonts w:ascii="Arial" w:cs="Arial" w:eastAsia="Arial" w:hAnsi="Arial"/>
          <w:sz w:val="22"/>
          <w:szCs w:val="22"/>
          <w:color w:val="000000"/>
        </w:rPr>
        <w:t>. The definitions of terms herein shall apply equally to the singular and plural</w:t>
      </w:r>
      <w:r>
        <w:rPr>
          <w:rFonts w:ascii="Arial" w:cs="Arial" w:eastAsia="Arial" w:hAnsi="Arial"/>
          <w:sz w:val="22"/>
          <w:szCs w:val="22"/>
          <w:color w:val="010000"/>
        </w:rPr>
        <w:t xml:space="preserve"> </w:t>
      </w:r>
      <w:r>
        <w:rPr>
          <w:rFonts w:ascii="Arial" w:cs="Arial" w:eastAsia="Arial" w:hAnsi="Arial"/>
          <w:sz w:val="22"/>
          <w:szCs w:val="22"/>
          <w:color w:val="000000"/>
        </w:rPr>
        <w:t>forms of the terms defined. Whenever the context may require, any pronoun shall include the corresponding masculine, feminine and neuter forms. The words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(d) the words “herein”, “hereof” and</w:t>
      </w:r>
    </w:p>
    <w:p>
      <w:pPr>
        <w:sectPr>
          <w:pgSz w:w="11900" w:h="16934" w:orient="portrait"/>
          <w:cols w:equalWidth="0" w:num="1">
            <w:col w:w="11420"/>
          </w:cols>
          <w:pgMar w:left="240" w:top="118" w:right="239" w:bottom="0" w:gutter="0" w:footer="0" w:header="0"/>
        </w:sectPr>
      </w:pPr>
    </w:p>
    <w:bookmarkStart w:id="20" w:name="page21"/>
    <w:bookmarkEnd w:id="20"/>
    <w:p>
      <w:pPr>
        <w:spacing w:after="0" w:line="251" w:lineRule="auto"/>
        <w:rPr>
          <w:sz w:val="20"/>
          <w:szCs w:val="20"/>
          <w:color w:val="auto"/>
        </w:rPr>
      </w:pPr>
      <w:r>
        <w:rPr>
          <w:rFonts w:ascii="Arial" w:cs="Arial" w:eastAsia="Arial" w:hAnsi="Arial"/>
          <w:sz w:val="22"/>
          <w:szCs w:val="22"/>
          <w:color w:val="auto"/>
        </w:rPr>
        <w:t>“hereunder”, and words of similar import, shall be construed to refer to this Agreement in its entirety and not to any particular provision hereto.</w:t>
      </w:r>
    </w:p>
    <w:p>
      <w:pPr>
        <w:spacing w:after="0" w:line="201"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1.05</w:t>
      </w:r>
      <w:r>
        <w:rPr>
          <w:sz w:val="20"/>
          <w:szCs w:val="20"/>
          <w:color w:val="auto"/>
        </w:rPr>
        <w:tab/>
      </w:r>
      <w:r>
        <w:rPr>
          <w:rFonts w:ascii="Arial" w:cs="Arial" w:eastAsia="Arial" w:hAnsi="Arial"/>
          <w:sz w:val="19"/>
          <w:szCs w:val="19"/>
          <w:u w:val="single" w:color="auto"/>
          <w:color w:val="auto"/>
        </w:rPr>
        <w:t>Currency Translations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46" w:lineRule="auto"/>
        <w:tabs>
          <w:tab w:leader="none" w:pos="2468" w:val="left"/>
        </w:tabs>
        <w:numPr>
          <w:ilvl w:val="0"/>
          <w:numId w:val="14"/>
        </w:numPr>
        <w:rPr>
          <w:rFonts w:ascii="Arial" w:cs="Arial" w:eastAsia="Arial" w:hAnsi="Arial"/>
          <w:sz w:val="21"/>
          <w:szCs w:val="21"/>
          <w:color w:val="010000"/>
        </w:rPr>
      </w:pPr>
      <w:r>
        <w:rPr>
          <w:rFonts w:ascii="Arial" w:cs="Arial" w:eastAsia="Arial" w:hAnsi="Arial"/>
          <w:sz w:val="21"/>
          <w:szCs w:val="21"/>
          <w:color w:val="auto"/>
        </w:rPr>
        <w:t>The Administrative Agent shall determine the Dollar Equivalent of each Advance denominated in an Alternative Currency as of (x) the last Business Day of each fiscal quarter and (y) the date of any borrowing or continuation of any Advance (each such date, a “</w:t>
      </w:r>
      <w:r>
        <w:rPr>
          <w:rFonts w:ascii="Arial" w:cs="Arial" w:eastAsia="Arial" w:hAnsi="Arial"/>
          <w:sz w:val="21"/>
          <w:szCs w:val="21"/>
          <w:u w:val="single" w:color="auto"/>
          <w:color w:val="auto"/>
        </w:rPr>
        <w:t>Calculation Date</w:t>
      </w:r>
      <w:r>
        <w:rPr>
          <w:rFonts w:ascii="Arial" w:cs="Arial" w:eastAsia="Arial" w:hAnsi="Arial"/>
          <w:sz w:val="21"/>
          <w:szCs w:val="21"/>
          <w:color w:val="auto"/>
        </w:rPr>
        <w:t>”), in each case using the Exchange Rate for such currency in relation to Dollars in effect on the date that is three Business Days prior to such Calculation Date, and each such amount shall be the Dollar Equivalent of such Advance until the next required calculation thereof pursuant to this sentence. The Administrative Agent shall notify the Borrower and the Lenders of each calculation of the Dollar Equivalent of each Advance promptly after the calculation thereof. The Administrative Agent shall notify the Borrower of the Exchange Rate for each Alternative Currency on, and the occurrence of, each Calculation Date.</w:t>
      </w:r>
    </w:p>
    <w:p>
      <w:pPr>
        <w:spacing w:after="0" w:line="207" w:lineRule="exact"/>
        <w:rPr>
          <w:rFonts w:ascii="Arial" w:cs="Arial" w:eastAsia="Arial" w:hAnsi="Arial"/>
          <w:sz w:val="21"/>
          <w:szCs w:val="21"/>
          <w:color w:val="010000"/>
        </w:rPr>
      </w:pPr>
    </w:p>
    <w:p>
      <w:pPr>
        <w:jc w:val="both"/>
        <w:ind w:firstLine="1305"/>
        <w:spacing w:after="0" w:line="236" w:lineRule="auto"/>
        <w:tabs>
          <w:tab w:leader="none" w:pos="2278" w:val="left"/>
        </w:tabs>
        <w:numPr>
          <w:ilvl w:val="0"/>
          <w:numId w:val="14"/>
        </w:numPr>
        <w:rPr>
          <w:rFonts w:ascii="Arial" w:cs="Arial" w:eastAsia="Arial" w:hAnsi="Arial"/>
          <w:sz w:val="22"/>
          <w:szCs w:val="22"/>
          <w:color w:val="010000"/>
        </w:rPr>
      </w:pPr>
      <w:r>
        <w:rPr>
          <w:rFonts w:ascii="Arial" w:cs="Arial" w:eastAsia="Arial" w:hAnsi="Arial"/>
          <w:sz w:val="22"/>
          <w:szCs w:val="22"/>
          <w:color w:val="auto"/>
        </w:rPr>
        <w:t>Wherever in this Agreement in connection with an Advance an amount, such as a required minimum or multiple amount, is expressed in Dollars, but such Advance is denominated in an Alternative Currency, such amount shall be the relevant Alternative Currency equivalent of such Dollar amount (rounded to the nearest unit of such Alternative Currency, with 0.5 of a unit being rounded upward), as determined by the Administrative Agent on the basis of the Exchange Rate (determined in respect of the most recent Calculation Date).</w:t>
      </w:r>
    </w:p>
    <w:p>
      <w:pPr>
        <w:spacing w:after="0" w:line="214" w:lineRule="exact"/>
        <w:rPr>
          <w:rFonts w:ascii="Arial" w:cs="Arial" w:eastAsia="Arial" w:hAnsi="Arial"/>
          <w:sz w:val="22"/>
          <w:szCs w:val="22"/>
          <w:color w:val="010000"/>
        </w:rPr>
      </w:pPr>
    </w:p>
    <w:p>
      <w:pPr>
        <w:ind w:firstLine="1305"/>
        <w:spacing w:after="0" w:line="328" w:lineRule="auto"/>
        <w:tabs>
          <w:tab w:leader="none" w:pos="2401"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 5.02(a)</w:t>
      </w:r>
      <w:r>
        <w:rPr>
          <w:rFonts w:ascii="Arial" w:cs="Arial" w:eastAsia="Arial" w:hAnsi="Arial"/>
          <w:sz w:val="19"/>
          <w:szCs w:val="19"/>
          <w:color w:val="auto"/>
        </w:rPr>
        <w:t>, no Default or Event of Default shall be deemed to have occurred solely as a result of changes in Exchange Rates occurring after the time any Lien is created or incurred.</w:t>
      </w:r>
    </w:p>
    <w:p>
      <w:pPr>
        <w:spacing w:after="0" w:line="132" w:lineRule="exact"/>
        <w:rPr>
          <w:rFonts w:ascii="Arial" w:cs="Arial" w:eastAsia="Arial" w:hAnsi="Arial"/>
          <w:sz w:val="19"/>
          <w:szCs w:val="19"/>
          <w:color w:val="010000"/>
        </w:rPr>
      </w:pPr>
    </w:p>
    <w:p>
      <w:pPr>
        <w:jc w:val="both"/>
        <w:ind w:firstLine="1305"/>
        <w:spacing w:after="0" w:line="297" w:lineRule="auto"/>
        <w:tabs>
          <w:tab w:leader="none" w:pos="2575" w:val="left"/>
        </w:tabs>
        <w:numPr>
          <w:ilvl w:val="0"/>
          <w:numId w:val="14"/>
        </w:numPr>
        <w:rPr>
          <w:rFonts w:ascii="Arial" w:cs="Arial" w:eastAsia="Arial" w:hAnsi="Arial"/>
          <w:sz w:val="19"/>
          <w:szCs w:val="19"/>
          <w:color w:val="010000"/>
        </w:rPr>
      </w:pPr>
      <w:r>
        <w:rPr>
          <w:rFonts w:ascii="Arial" w:cs="Arial" w:eastAsia="Arial" w:hAnsi="Arial"/>
          <w:sz w:val="19"/>
          <w:szCs w:val="19"/>
          <w:color w:val="auto"/>
        </w:rPr>
        <w:t xml:space="preserve">For purposes of determining compliance with </w:t>
      </w:r>
      <w:r>
        <w:rPr>
          <w:rFonts w:ascii="Arial" w:cs="Arial" w:eastAsia="Arial" w:hAnsi="Arial"/>
          <w:sz w:val="19"/>
          <w:szCs w:val="19"/>
          <w:u w:val="single" w:color="auto"/>
          <w:color w:val="auto"/>
        </w:rPr>
        <w:t>Section 5.03</w:t>
      </w:r>
      <w:r>
        <w:rPr>
          <w:rFonts w:ascii="Arial" w:cs="Arial" w:eastAsia="Arial" w:hAnsi="Arial"/>
          <w:sz w:val="19"/>
          <w:szCs w:val="19"/>
          <w:color w:val="auto"/>
        </w:rPr>
        <w:t>, the amount of Consolidated Total Debt denominated in any currency other than Dollars will be converted into Dollars based on the relevant Exchange Rate(s) in effect as of the last day of the fiscal quarter of the Borrower for which the Consolidated Leverage Ratio is calculated.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AMOUNTS AND TERMS OF THE ADVANCES</w:t>
      </w:r>
    </w:p>
    <w:p>
      <w:pPr>
        <w:spacing w:after="0" w:line="239"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010000"/>
        </w:rPr>
        <w:t xml:space="preserve">SECTION 2.01 </w:t>
      </w:r>
      <w:r>
        <w:rPr>
          <w:rFonts w:ascii="Arial" w:cs="Arial" w:eastAsia="Arial" w:hAnsi="Arial"/>
          <w:sz w:val="21"/>
          <w:szCs w:val="21"/>
          <w:u w:val="single" w:color="auto"/>
          <w:color w:val="000000"/>
        </w:rPr>
        <w:t>The Advances</w:t>
      </w:r>
      <w:r>
        <w:rPr>
          <w:rFonts w:ascii="Arial" w:cs="Arial" w:eastAsia="Arial" w:hAnsi="Arial"/>
          <w:sz w:val="21"/>
          <w:szCs w:val="21"/>
          <w:color w:val="000000"/>
        </w:rPr>
        <w:t>. Each Lender severally and not jointly agrees, on the terms and conditions</w:t>
      </w:r>
      <w:r>
        <w:rPr>
          <w:rFonts w:ascii="Arial" w:cs="Arial" w:eastAsia="Arial" w:hAnsi="Arial"/>
          <w:sz w:val="21"/>
          <w:szCs w:val="21"/>
          <w:color w:val="010000"/>
        </w:rPr>
        <w:t xml:space="preserve"> </w:t>
      </w:r>
      <w:r>
        <w:rPr>
          <w:rFonts w:ascii="Arial" w:cs="Arial" w:eastAsia="Arial" w:hAnsi="Arial"/>
          <w:sz w:val="21"/>
          <w:szCs w:val="21"/>
          <w:color w:val="000000"/>
        </w:rPr>
        <w:t>hereinafter set forth to make Advances denominated in Dollars and/or Alternative Currencies to the Borrower from time to time on any Business Day during the Availability Period in an aggregate amount not to exceed at any time outstanding such Lender’s Commitment. Each Borrowing shall be in an aggregate amount equal to the Borrowing Minimum or a Borrowing Multiple in excess thereof and shall consist of Advances of the same Type made on the same day by the Lenders ratably according to their respective Commitments. Within the limits of each Lender’s Commitment, the Borrower may borrow under this Section 2.01, prepay Advances pursuant to Section 2.10 and reborrow under this Section 2.01.</w:t>
      </w:r>
    </w:p>
    <w:p>
      <w:pPr>
        <w:spacing w:after="0" w:line="205"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1"/>
          <w:szCs w:val="21"/>
          <w:color w:val="010000"/>
        </w:rPr>
        <w:t xml:space="preserve">SECTION 2.02 </w:t>
      </w:r>
      <w:r>
        <w:rPr>
          <w:rFonts w:ascii="Arial" w:cs="Arial" w:eastAsia="Arial" w:hAnsi="Arial"/>
          <w:sz w:val="21"/>
          <w:szCs w:val="21"/>
          <w:u w:val="single" w:color="auto"/>
          <w:color w:val="000000"/>
        </w:rPr>
        <w:t>Making the Advances</w:t>
      </w:r>
      <w:r>
        <w:rPr>
          <w:rFonts w:ascii="Arial" w:cs="Arial" w:eastAsia="Arial" w:hAnsi="Arial"/>
          <w:sz w:val="21"/>
          <w:szCs w:val="21"/>
          <w:color w:val="000000"/>
        </w:rPr>
        <w:t>. (a) Each Borrowing shall be made on notice by the Borrower, given not</w:t>
      </w:r>
      <w:r>
        <w:rPr>
          <w:rFonts w:ascii="Arial" w:cs="Arial" w:eastAsia="Arial" w:hAnsi="Arial"/>
          <w:sz w:val="21"/>
          <w:szCs w:val="21"/>
          <w:color w:val="010000"/>
        </w:rPr>
        <w:t xml:space="preserve"> </w:t>
      </w:r>
      <w:r>
        <w:rPr>
          <w:rFonts w:ascii="Arial" w:cs="Arial" w:eastAsia="Arial" w:hAnsi="Arial"/>
          <w:sz w:val="21"/>
          <w:szCs w:val="21"/>
          <w:color w:val="000000"/>
        </w:rPr>
        <w:t>later than (x) 9:00 A.M. (Local Time) on the third Business Day prior to the date of the proposed Borrowing (or at such later time as the Administrative Agent, in its reasonable discretion, may agree to) in the case of a Borrowing consisting of Eurocurrency Rate Advances or (y) 9:00 A.M. (Chicago time) on the date of the proposed Borrowing in the case of a Borrowing consisting of Base Rate Advances, to the Administrative Agent, which shall give to each Lender prompt notice thereof by telecopier or other electronic communication. Each notice of a Borrowing (a “</w:t>
      </w:r>
      <w:r>
        <w:rPr>
          <w:rFonts w:ascii="Arial" w:cs="Arial" w:eastAsia="Arial" w:hAnsi="Arial"/>
          <w:sz w:val="21"/>
          <w:szCs w:val="21"/>
          <w:u w:val="single" w:color="auto"/>
          <w:color w:val="000000"/>
        </w:rPr>
        <w:t>Notice of Borrowing</w:t>
      </w:r>
      <w:r>
        <w:rPr>
          <w:rFonts w:ascii="Arial" w:cs="Arial" w:eastAsia="Arial" w:hAnsi="Arial"/>
          <w:sz w:val="21"/>
          <w:szCs w:val="21"/>
          <w:color w:val="000000"/>
        </w:rPr>
        <w:t>”) shall be by telephone, confirmed immediately in writing, including by telecopier (or other electronic communication) in substantially the form of Exhibit A hereto, specifying therein the requested (i) date of such Borrowing (which shall be a Business Day), (ii) Type of Advances comprising such Borrowing, (iii) aggregate amount and currency of such Borrowing, (iv) initial Interest Period for such Advance, if such Borrowing is to consist of Eurocurrency Rate Advances, and (v) account or accounts in which the proceeds of the Borrowing should be credited. Each Lender shall, before 12:00 P.M. (Local Time) in the case of Advances in Alternative Currencies and 11:00 A.M. (Chicago time) in the case of Advances in Dollars on the date of such Borrowing make available for the account of its Applicable Lending Office to the Administrative Agent at the applicable Administrative Agent’s Office, in same day funds, such Lender’s ratable portion of such Borrowing. After the Administrative Agent’s receipt of such funds and upon fulfillment of the applicable conditions set forth in Article III, the Administrative Agent will make such funds available to the Borrower in immediately available funds to the account or accounts specified by the Borrower to the Administrative Agent in the Notice of Borrowing relating to the applicable Borrowing.</w:t>
      </w:r>
    </w:p>
    <w:p>
      <w:pPr>
        <w:spacing w:after="0" w:line="219" w:lineRule="exact"/>
        <w:rPr>
          <w:sz w:val="20"/>
          <w:szCs w:val="20"/>
          <w:color w:val="auto"/>
        </w:rPr>
      </w:pPr>
    </w:p>
    <w:p>
      <w:pPr>
        <w:jc w:val="both"/>
        <w:ind w:firstLine="1305"/>
        <w:spacing w:after="0" w:line="236" w:lineRule="auto"/>
        <w:tabs>
          <w:tab w:leader="none" w:pos="2413" w:val="left"/>
        </w:tabs>
        <w:numPr>
          <w:ilvl w:val="0"/>
          <w:numId w:val="15"/>
        </w:numPr>
        <w:rPr>
          <w:rFonts w:ascii="Arial" w:cs="Arial" w:eastAsia="Arial" w:hAnsi="Arial"/>
          <w:sz w:val="22"/>
          <w:szCs w:val="22"/>
          <w:color w:val="010000"/>
        </w:rPr>
      </w:pPr>
      <w:r>
        <w:rPr>
          <w:rFonts w:ascii="Arial" w:cs="Arial" w:eastAsia="Arial" w:hAnsi="Arial"/>
          <w:sz w:val="22"/>
          <w:szCs w:val="22"/>
          <w:color w:val="auto"/>
        </w:rPr>
        <w:t>Anything in Section 2.02(a) to the contrary notwithstanding, (i) Advances denominated in Alternative Currencies may only be requested and maintained as Eurocurrency Rate Advances (subject to Section 2.12), (ii) the Borrower may not select Eurocurrency Rate Advances denominated in Dollars if the obligation of the Lenders to make Eurocurrency Rate Advances shall then be suspended pursuant to Section 2.08 or 2.12 and (iii) the Eurocurrency Rate Advances may not be outstanding as part of more than ten separate Borrowings.</w:t>
      </w:r>
    </w:p>
    <w:p>
      <w:pPr>
        <w:sectPr>
          <w:pgSz w:w="11900" w:h="16838" w:orient="portrait"/>
          <w:cols w:equalWidth="0" w:num="1">
            <w:col w:w="11420"/>
          </w:cols>
          <w:pgMar w:left="240" w:top="118" w:right="239" w:bottom="69" w:gutter="0" w:footer="0" w:header="0"/>
        </w:sectPr>
      </w:pPr>
    </w:p>
    <w:bookmarkStart w:id="21" w:name="page22"/>
    <w:bookmarkEnd w:id="21"/>
    <w:p>
      <w:pPr>
        <w:spacing w:after="0" w:line="106" w:lineRule="exact"/>
        <w:rPr>
          <w:sz w:val="20"/>
          <w:szCs w:val="20"/>
          <w:color w:val="auto"/>
        </w:rPr>
      </w:pPr>
    </w:p>
    <w:p>
      <w:pPr>
        <w:ind w:firstLine="1305"/>
        <w:spacing w:after="0" w:line="251" w:lineRule="auto"/>
        <w:tabs>
          <w:tab w:leader="none" w:pos="2076" w:val="left"/>
        </w:tabs>
        <w:numPr>
          <w:ilvl w:val="0"/>
          <w:numId w:val="16"/>
        </w:numPr>
        <w:rPr>
          <w:rFonts w:ascii="Arial" w:cs="Arial" w:eastAsia="Arial" w:hAnsi="Arial"/>
          <w:sz w:val="22"/>
          <w:szCs w:val="22"/>
          <w:color w:val="010000"/>
        </w:rPr>
      </w:pPr>
      <w:r>
        <w:rPr>
          <w:rFonts w:ascii="Arial" w:cs="Arial" w:eastAsia="Arial" w:hAnsi="Arial"/>
          <w:sz w:val="22"/>
          <w:szCs w:val="22"/>
          <w:color w:val="auto"/>
        </w:rPr>
        <w:t>Each Notice of Borrowing shall be irrevocable and binding on the Borrower. In the case of any Borrowing that the related Notice of Borrowing specifies is to be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comprised of Eurocurrency Rate Advances, the Borrower shall indemnify each Lender against any reasonable loss, cost or expense incurred by such Lender as a result of any failure to fulfill on or before the date specified in such Notice of Borrowing for such Borrowing the applicable conditions set forth in Article III, including, without limitation, any reasonable loss (excluding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215" w:lineRule="exact"/>
        <w:rPr>
          <w:sz w:val="20"/>
          <w:szCs w:val="20"/>
          <w:color w:val="auto"/>
        </w:rPr>
      </w:pPr>
    </w:p>
    <w:p>
      <w:pPr>
        <w:jc w:val="both"/>
        <w:ind w:firstLine="1305"/>
        <w:spacing w:after="0" w:line="270" w:lineRule="auto"/>
        <w:tabs>
          <w:tab w:leader="none" w:pos="194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Unless the Administrative Agent shall have received notice from a Lender prior to the time of any Borrowing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Section 2.02(a) and the Administrative Agent may, in reliance upon such assumption, make available to the Borrower on such date a corresponding amount. If and to the extent that any Lender shall not have so made such ratable portion available to the Administrative Agent, such Lender and the Borrower severally agree to pay or to repay to the Administrative Agent forthwith on demand such corresponding amount and to pay interest thereon, for each day from the date such amount is made available to the Borrower until the date such amount is paid or repaid to the Administrative Agent, at (i) in the case of the Borrower, the higher of (A) the interest rate applicable at the time to Advances comprising such Borrowing and (B) the cost of funds incurred by the Administrative Agent in respect of such amount and (ii) in the case of such Lender, the greater of the Federal Funds Rate and a rate determined by the Administrative Agent in accordance with banking industry rules on interbank compensation. If the Borrower and such Lender shall pay such interest to the Administrative Agent for the same or an overlapping period, the Administrative Agent shall promptly remit to the Borrower the amount of such interest paid by the Borrower for such period. If such Lender shall pay to the Administrative Agent such corresponding principal amount, such amount so paid shall constitute such Lender’s Advance as part of such Borrowing for all purposes of this Agreement. Any payment by the Borrower shall be without prejudice to any claim the Borrower may have against a Lender that shall have failed to make such payment to the Administrative Agent.</w:t>
      </w:r>
    </w:p>
    <w:p>
      <w:pPr>
        <w:spacing w:after="0" w:line="200" w:lineRule="exact"/>
        <w:rPr>
          <w:rFonts w:ascii="Arial" w:cs="Arial" w:eastAsia="Arial" w:hAnsi="Arial"/>
          <w:sz w:val="19"/>
          <w:szCs w:val="19"/>
          <w:color w:val="010000"/>
        </w:rPr>
      </w:pPr>
    </w:p>
    <w:p>
      <w:pPr>
        <w:spacing w:after="0" w:line="242" w:lineRule="exact"/>
        <w:rPr>
          <w:rFonts w:ascii="Arial" w:cs="Arial" w:eastAsia="Arial" w:hAnsi="Arial"/>
          <w:sz w:val="19"/>
          <w:szCs w:val="19"/>
          <w:color w:val="010000"/>
        </w:rPr>
      </w:pPr>
    </w:p>
    <w:p>
      <w:pPr>
        <w:jc w:val="both"/>
        <w:ind w:firstLine="1305"/>
        <w:spacing w:after="0" w:line="297" w:lineRule="auto"/>
        <w:tabs>
          <w:tab w:leader="none" w:pos="2103"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61" w:lineRule="exact"/>
        <w:rPr>
          <w:rFonts w:ascii="Arial" w:cs="Arial" w:eastAsia="Arial" w:hAnsi="Arial"/>
          <w:sz w:val="19"/>
          <w:szCs w:val="19"/>
          <w:color w:val="010000"/>
        </w:rPr>
      </w:pPr>
    </w:p>
    <w:p>
      <w:pPr>
        <w:jc w:val="both"/>
        <w:ind w:firstLine="1305"/>
        <w:spacing w:after="0" w:line="287" w:lineRule="auto"/>
        <w:tabs>
          <w:tab w:leader="none" w:pos="2350"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If any Lender makes available to the Administrative Agent funds for any Advance to be made by such Lender as provided herein, and such funds are not made available to the Borrower by the Administrative Agent because the conditions to such Borrowing are not satisfied or waived in accordance with the terms hereof, the Administrative Agent shall promptly return such funds (in like funds as received from such Lender) to such Lender, without interest.</w:t>
      </w:r>
    </w:p>
    <w:p>
      <w:pPr>
        <w:spacing w:after="0" w:line="170"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2.03</w:t>
      </w:r>
      <w:r>
        <w:rPr>
          <w:sz w:val="20"/>
          <w:szCs w:val="20"/>
          <w:color w:val="auto"/>
        </w:rPr>
        <w:tab/>
      </w:r>
      <w:r>
        <w:rPr>
          <w:rFonts w:ascii="Arial" w:cs="Arial" w:eastAsia="Arial" w:hAnsi="Arial"/>
          <w:sz w:val="19"/>
          <w:szCs w:val="19"/>
          <w:u w:val="single" w:color="auto"/>
          <w:color w:val="auto"/>
        </w:rPr>
        <w:t>[</w:t>
      </w:r>
      <w:r>
        <w:rPr>
          <w:rFonts w:ascii="Arial" w:cs="Arial" w:eastAsia="Arial" w:hAnsi="Arial"/>
          <w:sz w:val="19"/>
          <w:szCs w:val="19"/>
          <w:i w:val="1"/>
          <w:iCs w:val="1"/>
          <w:u w:val="single" w:color="auto"/>
          <w:color w:val="auto"/>
        </w:rPr>
        <w:t>Reserved</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010000"/>
        </w:rPr>
        <w:t xml:space="preserve">SECTION 2.04 </w:t>
      </w:r>
      <w:r>
        <w:rPr>
          <w:rFonts w:ascii="Arial" w:cs="Arial" w:eastAsia="Arial" w:hAnsi="Arial"/>
          <w:sz w:val="19"/>
          <w:szCs w:val="19"/>
          <w:u w:val="single" w:color="auto"/>
          <w:color w:val="000000"/>
        </w:rPr>
        <w:t>Fees</w:t>
      </w:r>
      <w:r>
        <w:rPr>
          <w:rFonts w:ascii="Arial" w:cs="Arial" w:eastAsia="Arial" w:hAnsi="Arial"/>
          <w:sz w:val="19"/>
          <w:szCs w:val="19"/>
          <w:color w:val="000000"/>
        </w:rPr>
        <w:t>. (a)</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Facility Fee</w:t>
      </w:r>
      <w:r>
        <w:rPr>
          <w:rFonts w:ascii="Arial" w:cs="Arial" w:eastAsia="Arial" w:hAnsi="Arial"/>
          <w:sz w:val="19"/>
          <w:szCs w:val="19"/>
          <w:color w:val="000000"/>
        </w:rPr>
        <w:t>. The Borrower agrees to pay to the Administrative Agent for the account</w:t>
      </w:r>
      <w:r>
        <w:rPr>
          <w:rFonts w:ascii="Arial" w:cs="Arial" w:eastAsia="Arial" w:hAnsi="Arial"/>
          <w:sz w:val="19"/>
          <w:szCs w:val="19"/>
          <w:color w:val="010000"/>
        </w:rPr>
        <w:t xml:space="preserve"> </w:t>
      </w:r>
      <w:r>
        <w:rPr>
          <w:rFonts w:ascii="Arial" w:cs="Arial" w:eastAsia="Arial" w:hAnsi="Arial"/>
          <w:sz w:val="19"/>
          <w:szCs w:val="19"/>
          <w:color w:val="000000"/>
        </w:rPr>
        <w:t>of each Lender (other than a Defaulting Lender for such time as such Lender is a Defaulting Lender), a non-refundable facility fee on the aggregate daily amount of each Lender’s Commitment (whether or not used) at a rate per annum equal to the Applicable Percentage, such fee to be earned and payable in arrears quarterly on the last Business Day of each March, June, September and December, and on the date the Commitments terminate in full or are otherwise reduced to zero.</w:t>
      </w:r>
    </w:p>
    <w:p>
      <w:pPr>
        <w:spacing w:after="0" w:line="175" w:lineRule="exact"/>
        <w:rPr>
          <w:sz w:val="20"/>
          <w:szCs w:val="20"/>
          <w:color w:val="auto"/>
        </w:rPr>
      </w:pPr>
    </w:p>
    <w:p>
      <w:pPr>
        <w:jc w:val="both"/>
        <w:ind w:firstLine="1305"/>
        <w:spacing w:after="0"/>
        <w:tabs>
          <w:tab w:leader="none" w:pos="2291"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Additional Fees</w:t>
      </w:r>
      <w:r>
        <w:rPr>
          <w:rFonts w:ascii="Arial" w:cs="Arial" w:eastAsia="Arial" w:hAnsi="Arial"/>
          <w:sz w:val="22"/>
          <w:szCs w:val="22"/>
          <w:color w:val="auto"/>
        </w:rPr>
        <w:t>. The Borrower shall pay to the Administrative Agent and Arranger for their respective accounts (or that of their applicable Affiliate) such fees as may from time to time be agreed between the Borrower and the Administrative Agent and/or Arranger, including pursuant to the Fee Letter.</w:t>
      </w:r>
    </w:p>
    <w:p>
      <w:pPr>
        <w:spacing w:after="0" w:line="213"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010000"/>
        </w:rPr>
        <w:t xml:space="preserve">SECTION 2.05 </w:t>
      </w:r>
      <w:r>
        <w:rPr>
          <w:rFonts w:ascii="Arial" w:cs="Arial" w:eastAsia="Arial" w:hAnsi="Arial"/>
          <w:sz w:val="22"/>
          <w:szCs w:val="22"/>
          <w:u w:val="single" w:color="auto"/>
          <w:color w:val="000000"/>
        </w:rPr>
        <w:t>Termination, Reduction or Increase of the Commitments; Extension of the Commitment</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Termination Date</w:t>
      </w:r>
      <w:r>
        <w:rPr>
          <w:rFonts w:ascii="Arial" w:cs="Arial" w:eastAsia="Arial" w:hAnsi="Arial"/>
          <w:sz w:val="22"/>
          <w:szCs w:val="22"/>
          <w:color w:val="000000"/>
        </w:rPr>
        <w:t>.</w:t>
      </w:r>
    </w:p>
    <w:p>
      <w:pPr>
        <w:spacing w:after="0" w:line="200" w:lineRule="exact"/>
        <w:rPr>
          <w:sz w:val="20"/>
          <w:szCs w:val="20"/>
          <w:color w:val="auto"/>
        </w:rPr>
      </w:pPr>
    </w:p>
    <w:p>
      <w:pPr>
        <w:ind w:right="20" w:firstLine="1305"/>
        <w:spacing w:after="0" w:line="251" w:lineRule="auto"/>
        <w:tabs>
          <w:tab w:leader="none" w:pos="1719" w:val="left"/>
        </w:tabs>
        <w:numPr>
          <w:ilvl w:val="0"/>
          <w:numId w:val="19"/>
        </w:numPr>
        <w:rPr>
          <w:rFonts w:ascii="Arial" w:cs="Arial" w:eastAsia="Arial" w:hAnsi="Arial"/>
          <w:sz w:val="22"/>
          <w:szCs w:val="22"/>
          <w:color w:val="auto"/>
        </w:rPr>
      </w:pPr>
      <w:r>
        <w:rPr>
          <w:rFonts w:ascii="Arial" w:cs="Arial" w:eastAsia="Arial" w:hAnsi="Arial"/>
          <w:sz w:val="22"/>
          <w:szCs w:val="22"/>
          <w:color w:val="auto"/>
        </w:rPr>
        <w:t>Unless previously terminated, the Commitments shall terminate in full at 5:00 p.m. (Chicago time) on the Commitment Termination Date applicable thereto.</w:t>
      </w:r>
    </w:p>
    <w:p>
      <w:pPr>
        <w:spacing w:after="0" w:line="200" w:lineRule="exact"/>
        <w:rPr>
          <w:rFonts w:ascii="Arial" w:cs="Arial" w:eastAsia="Arial" w:hAnsi="Arial"/>
          <w:sz w:val="22"/>
          <w:szCs w:val="22"/>
          <w:color w:val="auto"/>
        </w:rPr>
      </w:pPr>
    </w:p>
    <w:p>
      <w:pPr>
        <w:jc w:val="both"/>
        <w:ind w:firstLine="1305"/>
        <w:spacing w:after="0" w:line="282" w:lineRule="auto"/>
        <w:tabs>
          <w:tab w:leader="none" w:pos="2183" w:val="left"/>
        </w:tabs>
        <w:numPr>
          <w:ilvl w:val="0"/>
          <w:numId w:val="19"/>
        </w:numPr>
        <w:rPr>
          <w:rFonts w:ascii="Arial" w:cs="Arial" w:eastAsia="Arial" w:hAnsi="Arial"/>
          <w:sz w:val="19"/>
          <w:szCs w:val="19"/>
          <w:color w:val="010000"/>
        </w:rPr>
      </w:pPr>
      <w:r>
        <w:rPr>
          <w:rFonts w:ascii="Arial" w:cs="Arial" w:eastAsia="Arial" w:hAnsi="Arial"/>
          <w:sz w:val="19"/>
          <w:szCs w:val="19"/>
          <w:u w:val="single" w:color="auto"/>
          <w:color w:val="auto"/>
        </w:rPr>
        <w:t>Ratable Reduction or Termination</w:t>
      </w:r>
      <w:r>
        <w:rPr>
          <w:rFonts w:ascii="Arial" w:cs="Arial" w:eastAsia="Arial" w:hAnsi="Arial"/>
          <w:sz w:val="19"/>
          <w:szCs w:val="19"/>
          <w:color w:val="auto"/>
        </w:rPr>
        <w:t xml:space="preserve">. The Borrower shall have the right, upon at least three Business Days’ notice to the Administrative Agent, to terminate in whole or permanently reduce ratably in part the unused portions of the respective Commitments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partial reduction shall be in an aggregate amount of not less than $10,000,000 and an integral multiple of $1,000,000 in excess thereof;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the aggregate amount of the Commitments shall not be reduced to an amount that is less than the aggregate principal amount of Advances then outstanding; and</w:t>
      </w:r>
    </w:p>
    <w:p>
      <w:pPr>
        <w:sectPr>
          <w:pgSz w:w="11900" w:h="16944" w:orient="portrait"/>
          <w:cols w:equalWidth="0" w:num="1">
            <w:col w:w="11420"/>
          </w:cols>
          <w:pgMar w:left="240" w:top="118" w:right="239" w:bottom="0" w:gutter="0" w:footer="0" w:header="0"/>
        </w:sectPr>
      </w:pPr>
    </w:p>
    <w:bookmarkStart w:id="22" w:name="page23"/>
    <w:bookmarkEnd w:id="22"/>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any such notice may state that such notice is conditioned upon the effectiveness of other credit facilities or the consummation of a specific transaction, in which case such notice may be revoked by the Borrower if such condition is not satisfied.</w:t>
      </w:r>
    </w:p>
    <w:p>
      <w:pPr>
        <w:spacing w:after="0" w:line="211" w:lineRule="exact"/>
        <w:rPr>
          <w:sz w:val="20"/>
          <w:szCs w:val="20"/>
          <w:color w:val="auto"/>
        </w:rPr>
      </w:pPr>
    </w:p>
    <w:p>
      <w:pPr>
        <w:jc w:val="both"/>
        <w:ind w:firstLine="1305"/>
        <w:spacing w:after="0" w:line="247" w:lineRule="auto"/>
        <w:tabs>
          <w:tab w:leader="none" w:pos="2468" w:val="left"/>
        </w:tabs>
        <w:numPr>
          <w:ilvl w:val="1"/>
          <w:numId w:val="20"/>
        </w:numPr>
        <w:rPr>
          <w:rFonts w:ascii="Arial" w:cs="Arial" w:eastAsia="Arial" w:hAnsi="Arial"/>
          <w:sz w:val="21"/>
          <w:szCs w:val="21"/>
          <w:color w:val="010000"/>
        </w:rPr>
      </w:pPr>
      <w:r>
        <w:rPr>
          <w:rFonts w:ascii="Arial" w:cs="Arial" w:eastAsia="Arial" w:hAnsi="Arial"/>
          <w:sz w:val="21"/>
          <w:szCs w:val="21"/>
          <w:u w:val="single" w:color="auto"/>
          <w:color w:val="auto"/>
        </w:rPr>
        <w:t>Defaulting Lender Commitment Reductions</w:t>
      </w:r>
      <w:r>
        <w:rPr>
          <w:rFonts w:ascii="Arial" w:cs="Arial" w:eastAsia="Arial" w:hAnsi="Arial"/>
          <w:sz w:val="21"/>
          <w:szCs w:val="21"/>
          <w:color w:val="auto"/>
        </w:rPr>
        <w:t xml:space="preserve">. The Borrower may terminate the unused amount of the Commitments of any Lender that is a Defaulting Lender upon not less than three Business Days’ prior notice to the Administrative Agent (which shall promptly notify the Lenders thereof), it being understood that notwithstanding such Commitment termination, the provisions of Section 2.18(c) will continue to apply to all amounts thereafter paid by the Borrower for the account of such Defaulting Lender under this Agreement (whether on account of principal, interest, fees, indemnity or other amounts);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termination shall not be deemed to be a waiver or release of any claim the Borrower, the Administrative Agent or any Lender may have against such Defaulting Lender.</w:t>
      </w:r>
    </w:p>
    <w:p>
      <w:pPr>
        <w:spacing w:after="0" w:line="205" w:lineRule="exact"/>
        <w:rPr>
          <w:rFonts w:ascii="Arial" w:cs="Arial" w:eastAsia="Arial" w:hAnsi="Arial"/>
          <w:sz w:val="21"/>
          <w:szCs w:val="21"/>
          <w:color w:val="010000"/>
        </w:rPr>
      </w:pPr>
    </w:p>
    <w:p>
      <w:pPr>
        <w:jc w:val="both"/>
        <w:ind w:firstLine="1305"/>
        <w:spacing w:after="0" w:line="273" w:lineRule="auto"/>
        <w:tabs>
          <w:tab w:leader="none" w:pos="1967"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Increase</w:t>
      </w:r>
      <w:r>
        <w:rPr>
          <w:rFonts w:ascii="Arial" w:cs="Arial" w:eastAsia="Arial" w:hAnsi="Arial"/>
          <w:sz w:val="19"/>
          <w:szCs w:val="19"/>
          <w:color w:val="auto"/>
        </w:rPr>
        <w:t>. The Borrower may, from time to time, by means of a notice delivered to the Administrative Agent, request that the aggregate amount of the Commitments be increased by (a) increasing the amount of the Commitment of one or more Lenders that have agreed (in their sole and individual discretion) to such increase (each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and/or</w:t>
      </w:r>
    </w:p>
    <w:p>
      <w:pPr>
        <w:spacing w:after="0" w:line="1" w:lineRule="exact"/>
        <w:rPr>
          <w:rFonts w:ascii="Arial" w:cs="Arial" w:eastAsia="Arial" w:hAnsi="Arial"/>
          <w:sz w:val="19"/>
          <w:szCs w:val="19"/>
          <w:color w:val="auto"/>
        </w:rPr>
      </w:pPr>
    </w:p>
    <w:p>
      <w:pPr>
        <w:jc w:val="both"/>
        <w:ind w:firstLine="8"/>
        <w:spacing w:after="0" w:line="234" w:lineRule="auto"/>
        <w:tabs>
          <w:tab w:leader="none" w:pos="307" w:val="left"/>
        </w:tabs>
        <w:numPr>
          <w:ilvl w:val="0"/>
          <w:numId w:val="21"/>
        </w:numPr>
        <w:rPr>
          <w:rFonts w:ascii="Arial" w:cs="Arial" w:eastAsia="Arial" w:hAnsi="Arial"/>
          <w:sz w:val="22"/>
          <w:szCs w:val="22"/>
          <w:color w:val="auto"/>
        </w:rPr>
      </w:pPr>
      <w:r>
        <w:rPr>
          <w:rFonts w:ascii="Arial" w:cs="Arial" w:eastAsia="Arial" w:hAnsi="Arial"/>
          <w:sz w:val="22"/>
          <w:szCs w:val="22"/>
          <w:color w:val="auto"/>
        </w:rPr>
        <w:t>adding one or more Eligible Assignees as parties hereto (each an “</w:t>
      </w:r>
      <w:r>
        <w:rPr>
          <w:rFonts w:ascii="Arial" w:cs="Arial" w:eastAsia="Arial" w:hAnsi="Arial"/>
          <w:sz w:val="22"/>
          <w:szCs w:val="22"/>
          <w:u w:val="single" w:color="auto"/>
          <w:color w:val="auto"/>
        </w:rPr>
        <w:t>Additional Lender</w:t>
      </w:r>
      <w:r>
        <w:rPr>
          <w:rFonts w:ascii="Arial" w:cs="Arial" w:eastAsia="Arial" w:hAnsi="Arial"/>
          <w:sz w:val="22"/>
          <w:szCs w:val="22"/>
          <w:color w:val="auto"/>
        </w:rPr>
        <w:t>”) with Commitments in amounts agreed to by such Additional Lenders; provided that (i) any such increase shall be in an aggregate amount of $50,000,000 or a higher integral multiple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$5,000,000, (ii) the aggregate amount of any such increase shall not exceed $1,000,000,000, (iii) no Additional Lender shall be added as a party hereto without the written consent of the Administrative Agent to the extent such consent would be required for an assignment pursuant to Section 8.07 (which consent shall not be unreasonably withheld, conditioned or delayed), (iv) the aggregate Commitments after giving effect to any such increase shall not exceed $4,000,000,000, and (v) as a condition precedent to such increase, the Borrower shall deliver to the Administrative Agent a certificate dated as of the Increase Effective Date (as defined below) signed by a Responsible Officer of the Borrower certifying that before and after giving effect to such increase (x) no Default has occurred and is continuing as of the date of such increase or would result from such increase and (y) each of the representations and warranties set forth in Section 4.01 are true and correct in all material respects (except to the extent such representations and warranties are qualified with “materiality” or “Material Adverse Effect” or similar terms, in which case such representations and warranties shall be true and correct in all respects) as of the date of such increase,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 and warranties shall be true and correct in all respects) on and as of such earlier date; </w:t>
      </w:r>
      <w:r>
        <w:rPr>
          <w:rFonts w:ascii="Arial" w:cs="Arial" w:eastAsia="Arial" w:hAnsi="Arial"/>
          <w:sz w:val="19"/>
          <w:szCs w:val="19"/>
          <w:i w:val="1"/>
          <w:iCs w:val="1"/>
          <w:color w:val="auto"/>
        </w:rPr>
        <w:t>provided</w:t>
      </w:r>
      <w:r>
        <w:rPr>
          <w:rFonts w:ascii="Arial" w:cs="Arial" w:eastAsia="Arial" w:hAnsi="Arial"/>
          <w:sz w:val="19"/>
          <w:szCs w:val="19"/>
          <w:color w:val="auto"/>
        </w:rPr>
        <w:t>, that for purposes of this Section 2.05(d), the representations and warranties contained in Section 4.01(e) shall be deemed to refer to the most recent statements furnished pursuant to Section 5.01(i)(i) and 5.01(i)(ii). Any such increase in Commitments shall be effected pursuant to one or more Lender Joinder Agreements executed and delivered by the Borrower, the Administrative Agent and the Increasing Lenders and/or Additional Lenders, as applicable (the date on which such Lender Joinder Agreement(s) are delivered, the “</w:t>
      </w:r>
      <w:r>
        <w:rPr>
          <w:rFonts w:ascii="Arial" w:cs="Arial" w:eastAsia="Arial" w:hAnsi="Arial"/>
          <w:sz w:val="19"/>
          <w:szCs w:val="19"/>
          <w:u w:val="single" w:color="auto"/>
          <w:color w:val="auto"/>
        </w:rPr>
        <w:t>Increase Effective Date</w:t>
      </w:r>
      <w:r>
        <w:rPr>
          <w:rFonts w:ascii="Arial" w:cs="Arial" w:eastAsia="Arial" w:hAnsi="Arial"/>
          <w:sz w:val="19"/>
          <w:szCs w:val="19"/>
          <w:color w:val="auto"/>
        </w:rPr>
        <w:t>”). The Lender Joinder Agreement(s) may, without the consent of any other Lenders, effect such amendments to this Agreement and the other Loan Documents as may be necessary or appropriate in the opinion of the Administrative Agent, to effect the provisions of this Section 2.05(d). On the Increase Effective Date, (A) each applicable Lender shall advance the additional funds required (if any) to cause all outstanding Advances and unused Commitments to be held on a pro rata basis in accordance with the respective Commitments of each Lender after giving effect to such increase (for each Lender, its “</w:t>
      </w:r>
      <w:r>
        <w:rPr>
          <w:rFonts w:ascii="Arial" w:cs="Arial" w:eastAsia="Arial" w:hAnsi="Arial"/>
          <w:sz w:val="19"/>
          <w:szCs w:val="19"/>
          <w:u w:val="single" w:color="auto"/>
          <w:color w:val="auto"/>
        </w:rPr>
        <w:t>Revised Percentage</w:t>
      </w:r>
      <w:r>
        <w:rPr>
          <w:rFonts w:ascii="Arial" w:cs="Arial" w:eastAsia="Arial" w:hAnsi="Arial"/>
          <w:sz w:val="19"/>
          <w:szCs w:val="19"/>
          <w:color w:val="auto"/>
        </w:rPr>
        <w:t>”) and (B) the Administrative Agent shall use any funds so received to repay the Advances of each Lender to the extent required so that such Lender has its Revised Percentage of all outstanding Advances (it being understood that the Borrower shall be responsible for any break funding payments owing pursuant to Section 8.04(c) resulting from such repayments). The Administrative Agent shall promptly notify the Borrower and the Lenders of any increase in the amount of the Commitments pursuant to this Section 2.05(d) and of the amount of the Commitment of each Lender after giving effect thereto.</w:t>
      </w:r>
    </w:p>
    <w:p>
      <w:pPr>
        <w:spacing w:after="0" w:line="200" w:lineRule="exact"/>
        <w:rPr>
          <w:sz w:val="20"/>
          <w:szCs w:val="20"/>
          <w:color w:val="auto"/>
        </w:rPr>
      </w:pPr>
    </w:p>
    <w:p>
      <w:pPr>
        <w:spacing w:after="0" w:line="238" w:lineRule="exact"/>
        <w:rPr>
          <w:sz w:val="20"/>
          <w:szCs w:val="20"/>
          <w:color w:val="auto"/>
        </w:rPr>
      </w:pPr>
    </w:p>
    <w:p>
      <w:pPr>
        <w:jc w:val="both"/>
        <w:ind w:firstLine="656"/>
        <w:spacing w:after="0" w:line="234" w:lineRule="auto"/>
        <w:tabs>
          <w:tab w:leader="none" w:pos="133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Commitment Termination Date Extension</w:t>
      </w:r>
      <w:r>
        <w:rPr>
          <w:rFonts w:ascii="Arial" w:cs="Arial" w:eastAsia="Arial" w:hAnsi="Arial"/>
          <w:sz w:val="22"/>
          <w:szCs w:val="22"/>
          <w:color w:val="auto"/>
        </w:rPr>
        <w:t>. The Borrower may, by written notice to the Administrative Agent (which shall promptly deliver a copy to each Lender) not more than 60 days and not less than 30 days prior to the proposed date of effectiveness of an extension (an “</w:t>
      </w:r>
      <w:r>
        <w:rPr>
          <w:rFonts w:ascii="Arial" w:cs="Arial" w:eastAsia="Arial" w:hAnsi="Arial"/>
          <w:sz w:val="22"/>
          <w:szCs w:val="22"/>
          <w:u w:val="single" w:color="auto"/>
          <w:color w:val="auto"/>
        </w:rPr>
        <w:t>Extension Date</w:t>
      </w:r>
      <w:r>
        <w:rPr>
          <w:rFonts w:ascii="Arial" w:cs="Arial" w:eastAsia="Arial" w:hAnsi="Arial"/>
          <w:sz w:val="22"/>
          <w:szCs w:val="22"/>
          <w:color w:val="auto"/>
        </w:rPr>
        <w:t>”), request that the Lenders extend the Commitment Termination Date for an additional period of one year from the applicable Commitment Termination Date then in effect hereunder (the then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Commitment Termination Date be extended beyond the seventh anniversary of the Effective Date. Each Lender shall, by notice to the Borrower and the Administrative Agent given not more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than 15 days (or such other date specified by the Borrower in such written notice or any supplement thereto) after such written notice is delivered to the Administrative Agent, advise the Borrower whether or not it agrees to the requested extension (each Lender agreeing to a requested extension being called a “</w:t>
      </w:r>
      <w:r>
        <w:rPr>
          <w:rFonts w:ascii="Arial" w:cs="Arial" w:eastAsia="Arial" w:hAnsi="Arial"/>
          <w:sz w:val="19"/>
          <w:szCs w:val="19"/>
          <w:u w:val="single" w:color="auto"/>
          <w:color w:val="auto"/>
        </w:rPr>
        <w:t>Consenting Lender</w:t>
      </w:r>
      <w:r>
        <w:rPr>
          <w:rFonts w:ascii="Arial" w:cs="Arial" w:eastAsia="Arial" w:hAnsi="Arial"/>
          <w:sz w:val="19"/>
          <w:szCs w:val="19"/>
          <w:color w:val="auto"/>
        </w:rPr>
        <w:t>” and each Lender declining to agree to a requested extension being called a “</w:t>
      </w:r>
      <w:r>
        <w:rPr>
          <w:rFonts w:ascii="Arial" w:cs="Arial" w:eastAsia="Arial" w:hAnsi="Arial"/>
          <w:sz w:val="19"/>
          <w:szCs w:val="19"/>
          <w:u w:val="single" w:color="auto"/>
          <w:color w:val="auto"/>
        </w:rPr>
        <w:t>Declining Lender</w:t>
      </w:r>
      <w:r>
        <w:rPr>
          <w:rFonts w:ascii="Arial" w:cs="Arial" w:eastAsia="Arial" w:hAnsi="Arial"/>
          <w:sz w:val="19"/>
          <w:szCs w:val="19"/>
          <w:color w:val="auto"/>
        </w:rPr>
        <w:t>”). Any Lender that has not so advised the Borrower and the Administrative Agent by</w:t>
      </w:r>
    </w:p>
    <w:p>
      <w:pPr>
        <w:sectPr>
          <w:pgSz w:w="11900" w:h="16949" w:orient="portrait"/>
          <w:cols w:equalWidth="0" w:num="1">
            <w:col w:w="11420"/>
          </w:cols>
          <w:pgMar w:left="240" w:top="118" w:right="239" w:bottom="0" w:gutter="0" w:footer="0" w:header="0"/>
        </w:sectPr>
      </w:pPr>
    </w:p>
    <w:bookmarkStart w:id="23" w:name="page24"/>
    <w:bookmarkEnd w:id="23"/>
    <w:p>
      <w:pPr>
        <w:spacing w:after="0" w:line="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such day shall be deemed to have declined to agree to such extension and shall be a Declining Lender (unless such Lender subsequently agrees to such requested extension and the Borrower elects in its sole discretion to treat such Lender as a Consenting Lender). If Lenders constituting the Required Lenders shall have agreed to a Commitment Termination Date extension request, then the Commitment Termination Date shall, as to the Consenting Lenders and any Lender replacing a Declining Lender, be extended on the Extension Date to the date that is one year after the then Existing Commitment Termination Date. The decision to agree or withhold agreement to any Commitment Termination Date extension request shall be at the sole discretion of each Lender. The Commitment of any Declining Lender shall terminate on the Existing Commitment Termination Date applicable to such Declining Lender. The principal amount of any outstanding Advances made by Declining Lenders, together with any accrued interest thereon and any accrued fees and other amounts payable to or for the account of such Declining Lenders hereunder, shall be due and payable on the Existing Commitment Termination Date applicable to such Declining Lender, and on the Existing Commitment Termination Date applicable to such Declining Lender, the Borrower shall also make such other prepayments of its Advances as shall be required in order that, after giving effect to the termination of the Commitments of, and all payments to, Declining Lenders pursuant to this sentence, the sum of the total Advances of all Lenders other than any Declining Lenders shall not exceed the total Commitments of all Lenders other than any Declining Lenders. Notwithstanding the foregoing provisions of this subsection, the Borrower shall have the right, at any time prior to any Existing Commitment Termination Date, to require any Declining Lender to assign and delegate its interests, rights and obligations under this Agreement pursuant to Section 8.07 to a Lender or (solely to the extent such consent would be required for an assignment pursuant to Section 8.07, subject to the consent of the Administrative Agent (such consent not to be unreasonably withheld, conditioned or delayed)) other Eligible Assignee, that agrees to a Commitment Termination Date extension request with respect to such Existing Commitment Termination Date and executes and delivers to the Administrative Agent an appropriate Assignment and Acceptance. Any such assignee shall for all purposes hereunder constitute a Consenting Lender. Notwithstanding the foregoing, no extension of the Commitment Termination Date pursuant to this subsection shall become effective unless the Borrower shall have delivered to the Administrative Agent a certificate dated as of the Extension Date signed by a Responsible Officer of the Borrower certifying that before and after giving effect to such extension (x) no Default has occurred and is continuing as of the Extension Date or would result from such extension and (y) each of the representations and warranties set forth in Section 4.01 are true and correct in all material respects (except to the extent such representations and warranties are qualified with “materiality” or “Material Adverse Effect” or similar terms, in which case such representations and warranties shall be true and correct in all respects) as of the Extension Date,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and warranties shall be true and correct in all respects) on and as of such earlier date; </w:t>
      </w:r>
      <w:r>
        <w:rPr>
          <w:rFonts w:ascii="Arial" w:cs="Arial" w:eastAsia="Arial" w:hAnsi="Arial"/>
          <w:sz w:val="22"/>
          <w:szCs w:val="22"/>
          <w:i w:val="1"/>
          <w:iCs w:val="1"/>
          <w:color w:val="auto"/>
        </w:rPr>
        <w:t>provided</w:t>
      </w:r>
      <w:r>
        <w:rPr>
          <w:rFonts w:ascii="Arial" w:cs="Arial" w:eastAsia="Arial" w:hAnsi="Arial"/>
          <w:sz w:val="22"/>
          <w:szCs w:val="22"/>
          <w:color w:val="auto"/>
        </w:rPr>
        <w:t>, that for purposes of this Section 2.05(e), the representations and warranties contained in Section 4.01(e) shall be deemed to refer to the most recent statements furnished pursuant to Section 5.01(i)(i) and 5.01(i)(ii).</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010000"/>
        </w:rPr>
        <w:t xml:space="preserve">SECTION 2.06 </w:t>
      </w:r>
      <w:r>
        <w:rPr>
          <w:rFonts w:ascii="Arial" w:cs="Arial" w:eastAsia="Arial" w:hAnsi="Arial"/>
          <w:sz w:val="22"/>
          <w:szCs w:val="22"/>
          <w:u w:val="single" w:color="auto"/>
          <w:color w:val="000000"/>
        </w:rPr>
        <w:t>Repayment of Advances</w:t>
      </w:r>
      <w:r>
        <w:rPr>
          <w:rFonts w:ascii="Arial" w:cs="Arial" w:eastAsia="Arial" w:hAnsi="Arial"/>
          <w:sz w:val="22"/>
          <w:szCs w:val="22"/>
          <w:color w:val="000000"/>
        </w:rPr>
        <w:t>. The Borrower shall repay to the Administrative Agent, for the ratable</w:t>
      </w:r>
      <w:r>
        <w:rPr>
          <w:rFonts w:ascii="Arial" w:cs="Arial" w:eastAsia="Arial" w:hAnsi="Arial"/>
          <w:sz w:val="22"/>
          <w:szCs w:val="22"/>
          <w:color w:val="010000"/>
        </w:rPr>
        <w:t xml:space="preserve"> </w:t>
      </w:r>
      <w:r>
        <w:rPr>
          <w:rFonts w:ascii="Arial" w:cs="Arial" w:eastAsia="Arial" w:hAnsi="Arial"/>
          <w:sz w:val="22"/>
          <w:szCs w:val="22"/>
          <w:color w:val="000000"/>
        </w:rPr>
        <w:t>account of the Lenders on the Commitment Termination Date applicable to such Lenders, the aggregate principal amount of all Advances made to the Borrower outstanding on such date.</w:t>
      </w:r>
    </w:p>
    <w:p>
      <w:pPr>
        <w:spacing w:after="0" w:line="21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010000"/>
        </w:rPr>
        <w:t xml:space="preserve">SECTION 2.07 </w:t>
      </w:r>
      <w:r>
        <w:rPr>
          <w:rFonts w:ascii="Arial" w:cs="Arial" w:eastAsia="Arial" w:hAnsi="Arial"/>
          <w:sz w:val="22"/>
          <w:szCs w:val="22"/>
          <w:u w:val="single" w:color="auto"/>
          <w:color w:val="000000"/>
        </w:rPr>
        <w:t>Interest on Advances</w:t>
      </w:r>
      <w:r>
        <w:rPr>
          <w:rFonts w:ascii="Arial" w:cs="Arial" w:eastAsia="Arial" w:hAnsi="Arial"/>
          <w:sz w:val="22"/>
          <w:szCs w:val="22"/>
          <w:color w:val="000000"/>
        </w:rPr>
        <w:t>. (a)</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Scheduled Interest</w:t>
      </w:r>
      <w:r>
        <w:rPr>
          <w:rFonts w:ascii="Arial" w:cs="Arial" w:eastAsia="Arial" w:hAnsi="Arial"/>
          <w:sz w:val="22"/>
          <w:szCs w:val="22"/>
          <w:color w:val="000000"/>
        </w:rPr>
        <w:t>. The Borrower shall pay interest on the unpaid</w:t>
      </w:r>
      <w:r>
        <w:rPr>
          <w:rFonts w:ascii="Arial" w:cs="Arial" w:eastAsia="Arial" w:hAnsi="Arial"/>
          <w:sz w:val="22"/>
          <w:szCs w:val="22"/>
          <w:color w:val="010000"/>
        </w:rPr>
        <w:t xml:space="preserve"> </w:t>
      </w:r>
      <w:r>
        <w:rPr>
          <w:rFonts w:ascii="Arial" w:cs="Arial" w:eastAsia="Arial" w:hAnsi="Arial"/>
          <w:sz w:val="22"/>
          <w:szCs w:val="22"/>
          <w:color w:val="000000"/>
        </w:rPr>
        <w:t>principal amount of each Advance made to it from the date of such Advance until such principal amount shall be paid in full, at the following rates per annum:</w:t>
      </w:r>
    </w:p>
    <w:p>
      <w:pPr>
        <w:spacing w:after="0" w:line="213" w:lineRule="exact"/>
        <w:rPr>
          <w:sz w:val="20"/>
          <w:szCs w:val="20"/>
          <w:color w:val="auto"/>
        </w:rPr>
      </w:pPr>
    </w:p>
    <w:p>
      <w:pPr>
        <w:jc w:val="both"/>
        <w:ind w:left="1300" w:firstLine="653"/>
        <w:spacing w:after="0" w:line="252" w:lineRule="auto"/>
        <w:tabs>
          <w:tab w:leader="none" w:pos="3003" w:val="left"/>
        </w:tabs>
        <w:numPr>
          <w:ilvl w:val="2"/>
          <w:numId w:val="23"/>
        </w:numPr>
        <w:rPr>
          <w:rFonts w:ascii="Arial" w:cs="Arial" w:eastAsia="Arial" w:hAnsi="Arial"/>
          <w:sz w:val="21"/>
          <w:szCs w:val="21"/>
          <w:color w:val="010000"/>
        </w:rPr>
      </w:pPr>
      <w:r>
        <w:rPr>
          <w:rFonts w:ascii="Arial" w:cs="Arial" w:eastAsia="Arial" w:hAnsi="Arial"/>
          <w:sz w:val="21"/>
          <w:szCs w:val="21"/>
          <w:u w:val="single" w:color="auto"/>
          <w:color w:val="auto"/>
        </w:rPr>
        <w:t>Base Rate Advances</w:t>
      </w:r>
      <w:r>
        <w:rPr>
          <w:rFonts w:ascii="Arial" w:cs="Arial" w:eastAsia="Arial" w:hAnsi="Arial"/>
          <w:sz w:val="21"/>
          <w:szCs w:val="21"/>
          <w:color w:val="auto"/>
        </w:rPr>
        <w:t>. During such periods as such Advance is a Base Rate Advance, a rate per annum equal at all times to the sum of (A) the Base Rate in effect from time to time and (B) the Applicable Margin, payable in arrears quarterly on the last Business Day of each March, June, September and December, during such periods and on the Commitment Termination Date applicable to such Advance.</w:t>
      </w:r>
    </w:p>
    <w:p>
      <w:pPr>
        <w:spacing w:after="0" w:line="201" w:lineRule="exact"/>
        <w:rPr>
          <w:rFonts w:ascii="Arial" w:cs="Arial" w:eastAsia="Arial" w:hAnsi="Arial"/>
          <w:sz w:val="21"/>
          <w:szCs w:val="21"/>
          <w:color w:val="010000"/>
        </w:rPr>
      </w:pPr>
    </w:p>
    <w:p>
      <w:pPr>
        <w:jc w:val="both"/>
        <w:ind w:left="1300" w:firstLine="653"/>
        <w:spacing w:after="0" w:line="248" w:lineRule="auto"/>
        <w:tabs>
          <w:tab w:leader="none" w:pos="3185" w:val="left"/>
        </w:tabs>
        <w:numPr>
          <w:ilvl w:val="2"/>
          <w:numId w:val="23"/>
        </w:numPr>
        <w:rPr>
          <w:rFonts w:ascii="Arial" w:cs="Arial" w:eastAsia="Arial" w:hAnsi="Arial"/>
          <w:sz w:val="21"/>
          <w:szCs w:val="21"/>
          <w:color w:val="010000"/>
        </w:rPr>
      </w:pPr>
      <w:r>
        <w:rPr>
          <w:rFonts w:ascii="Arial" w:cs="Arial" w:eastAsia="Arial" w:hAnsi="Arial"/>
          <w:sz w:val="21"/>
          <w:szCs w:val="21"/>
          <w:u w:val="single" w:color="auto"/>
          <w:color w:val="auto"/>
        </w:rPr>
        <w:t>Eurocurrency Rate Advances</w:t>
      </w:r>
      <w:r>
        <w:rPr>
          <w:rFonts w:ascii="Arial" w:cs="Arial" w:eastAsia="Arial" w:hAnsi="Arial"/>
          <w:sz w:val="21"/>
          <w:szCs w:val="21"/>
          <w:color w:val="auto"/>
        </w:rPr>
        <w:t>. During such periods as such Advance is a Eurocurrency Rate Advance, a rate per annum equal at all times during each Interest Period for such Advance to the sum of (A) the Eurocurrency Rate for such Interest Period for such Advance, and (B) the Applicable Margin,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204" w:lineRule="exact"/>
        <w:rPr>
          <w:rFonts w:ascii="Arial" w:cs="Arial" w:eastAsia="Arial" w:hAnsi="Arial"/>
          <w:sz w:val="21"/>
          <w:szCs w:val="21"/>
          <w:color w:val="010000"/>
        </w:rPr>
      </w:pPr>
    </w:p>
    <w:p>
      <w:pPr>
        <w:jc w:val="both"/>
        <w:ind w:firstLine="1305"/>
        <w:spacing w:after="0" w:line="270" w:lineRule="auto"/>
        <w:tabs>
          <w:tab w:leader="none" w:pos="2426" w:val="left"/>
        </w:tabs>
        <w:numPr>
          <w:ilvl w:val="1"/>
          <w:numId w:val="24"/>
        </w:numPr>
        <w:rPr>
          <w:rFonts w:ascii="Arial" w:cs="Arial" w:eastAsia="Arial" w:hAnsi="Arial"/>
          <w:sz w:val="19"/>
          <w:szCs w:val="19"/>
          <w:color w:val="010000"/>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Upon the occurrence and during the continuance of an Event of Default pursuant to Section 6.01(a), the Administrative Agent shall, upon the request of the Required Lenders, require the Borrower to pay interest (“</w:t>
      </w:r>
      <w:r>
        <w:rPr>
          <w:rFonts w:ascii="Arial" w:cs="Arial" w:eastAsia="Arial" w:hAnsi="Arial"/>
          <w:sz w:val="19"/>
          <w:szCs w:val="19"/>
          <w:u w:val="single" w:color="auto"/>
          <w:color w:val="auto"/>
        </w:rPr>
        <w:t>Default Interest</w:t>
      </w:r>
      <w:r>
        <w:rPr>
          <w:rFonts w:ascii="Arial" w:cs="Arial" w:eastAsia="Arial" w:hAnsi="Arial"/>
          <w:sz w:val="19"/>
          <w:szCs w:val="19"/>
          <w:color w:val="auto"/>
        </w:rPr>
        <w:t>”), which amount shall accrue as of the date of occurrence of the Event of Default, on (i) amounts that are overdue, payable in arrears on the dates referred to in Section 2.07(a)(i) or 2.07(a)(ii), at a rate per annum equal at all times to 2% per annum above the rate per annum required to be paid on such overdue amount pursuant to Section 2.07(a)(i) or 2.07(a)(ii) and</w:t>
      </w:r>
    </w:p>
    <w:p>
      <w:pPr>
        <w:spacing w:after="0" w:line="4" w:lineRule="exact"/>
        <w:rPr>
          <w:rFonts w:ascii="Arial" w:cs="Arial" w:eastAsia="Arial" w:hAnsi="Arial"/>
          <w:sz w:val="19"/>
          <w:szCs w:val="19"/>
          <w:color w:val="010000"/>
        </w:rPr>
      </w:pPr>
    </w:p>
    <w:p>
      <w:pPr>
        <w:jc w:val="both"/>
        <w:ind w:firstLine="8"/>
        <w:spacing w:after="0" w:line="280" w:lineRule="auto"/>
        <w:tabs>
          <w:tab w:leader="none" w:pos="329" w:val="left"/>
        </w:tabs>
        <w:numPr>
          <w:ilvl w:val="0"/>
          <w:numId w:val="25"/>
        </w:numPr>
        <w:rPr>
          <w:rFonts w:ascii="Arial" w:cs="Arial" w:eastAsia="Arial" w:hAnsi="Arial"/>
          <w:sz w:val="19"/>
          <w:szCs w:val="19"/>
          <w:color w:val="auto"/>
        </w:rPr>
      </w:pPr>
      <w:r>
        <w:rPr>
          <w:rFonts w:ascii="Arial" w:cs="Arial" w:eastAsia="Arial" w:hAnsi="Arial"/>
          <w:sz w:val="19"/>
          <w:szCs w:val="19"/>
          <w:color w:val="auto"/>
        </w:rPr>
        <w:t>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Section 2.07(a)(i), or in the case of amounts due in Alternative Currencies, at a rate for short</w:t>
      </w:r>
    </w:p>
    <w:p>
      <w:pPr>
        <w:sectPr>
          <w:pgSz w:w="11900" w:h="16928" w:orient="portrait"/>
          <w:cols w:equalWidth="0" w:num="1">
            <w:col w:w="11420"/>
          </w:cols>
          <w:pgMar w:left="240" w:top="118" w:right="239" w:bottom="0" w:gutter="0" w:footer="0" w:header="0"/>
        </w:sectPr>
      </w:pPr>
    </w:p>
    <w:bookmarkStart w:id="24" w:name="page25"/>
    <w:bookmarkEnd w:id="24"/>
    <w:p>
      <w:pPr>
        <w:spacing w:after="0" w:line="95"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 xml:space="preserve">term borrowings of Alternative Currencies determined in a customary manner in good faith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following acceleration of the Advances pursuant to Section 6.01, Default Interest shall accrue and be payable hereunder whether or not previously required by the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line="273" w:lineRule="auto"/>
        <w:tabs>
          <w:tab w:leader="none" w:pos="2009" w:val="left"/>
        </w:tabs>
        <w:numPr>
          <w:ilvl w:val="0"/>
          <w:numId w:val="26"/>
        </w:numPr>
        <w:rPr>
          <w:rFonts w:ascii="Arial" w:cs="Arial" w:eastAsia="Arial" w:hAnsi="Arial"/>
          <w:sz w:val="19"/>
          <w:szCs w:val="19"/>
          <w:color w:val="010000"/>
        </w:rPr>
      </w:pPr>
      <w:r>
        <w:rPr>
          <w:rFonts w:ascii="Arial" w:cs="Arial" w:eastAsia="Arial" w:hAnsi="Arial"/>
          <w:sz w:val="19"/>
          <w:szCs w:val="19"/>
          <w:u w:val="single" w:color="auto"/>
          <w:color w:val="auto"/>
        </w:rPr>
        <w:t>Additional Interest on Eurocurrency Rate Advances</w:t>
      </w:r>
      <w:r>
        <w:rPr>
          <w:rFonts w:ascii="Arial" w:cs="Arial" w:eastAsia="Arial" w:hAnsi="Arial"/>
          <w:sz w:val="19"/>
          <w:szCs w:val="19"/>
          <w:color w:val="auto"/>
        </w:rPr>
        <w:t>. The Borrower shall pay to each Lender, so long as and to the extent such Lender shall be required under regulations of the Board of Governors of the Federal Reserve System to maintain reserves with respect to liabilities or assets consisting of or including Eurocurrency Liabilities, additional interest on the unpaid principal amount of each Advance of such Lender made to the Borrower that is a Eurocurrency Rate Advance, from the date of such Advance until such principal amount is paid in full, at an interest rate per annum equal at all times to the remainder obtained by subtracting (a) the Eurocurrency Rate for the applicable Interest Period for such Advance from (b) the rate obtained by dividing such Eurocurrency Rate by a percentage equal to 100% minus the Eurocurrency Rate Reserve Percentage of such Lender for such Interest Period, payable on each date on which interest is payable on such Advance. Such Lender shall as soon as practicable provide notice to the Administrative Agent and the Borrower of any such additional interest arising in connection with such Advance, which notice shall be conclusive and binding, absent demonstrable error.</w:t>
      </w:r>
    </w:p>
    <w:p>
      <w:pPr>
        <w:spacing w:after="0" w:line="189"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2.08</w:t>
      </w:r>
      <w:r>
        <w:rPr>
          <w:sz w:val="20"/>
          <w:szCs w:val="20"/>
          <w:color w:val="auto"/>
        </w:rPr>
        <w:tab/>
      </w:r>
      <w:r>
        <w:rPr>
          <w:rFonts w:ascii="Arial" w:cs="Arial" w:eastAsia="Arial" w:hAnsi="Arial"/>
          <w:sz w:val="19"/>
          <w:szCs w:val="19"/>
          <w:u w:val="single" w:color="auto"/>
          <w:color w:val="auto"/>
        </w:rPr>
        <w:t>Interest Rate Determination</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51" w:lineRule="auto"/>
        <w:tabs>
          <w:tab w:leader="none" w:pos="1679"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Administrative Agent shall give prompt notice to the Borrower and the Lenders of the applicable interest rate determined by the Administrative Agent for purposes of Section 2.07(a)(i) or 2.07(a)(ii).</w:t>
      </w:r>
    </w:p>
    <w:p>
      <w:pPr>
        <w:spacing w:after="0" w:line="200" w:lineRule="exact"/>
        <w:rPr>
          <w:rFonts w:ascii="Arial" w:cs="Arial" w:eastAsia="Arial" w:hAnsi="Arial"/>
          <w:sz w:val="22"/>
          <w:szCs w:val="22"/>
          <w:color w:val="auto"/>
        </w:rPr>
      </w:pPr>
    </w:p>
    <w:p>
      <w:pPr>
        <w:jc w:val="both"/>
        <w:ind w:firstLine="1305"/>
        <w:spacing w:after="0" w:line="271" w:lineRule="auto"/>
        <w:tabs>
          <w:tab w:leader="none" w:pos="2629"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If, prior to the commencement of any Interest Period for any Eurocurrency Rate Advances, (i) the Administrative Agent shall have determined (which determination shall be conclusive and binding absent manifest error) that adequate and reasonable means (including, without limitation, by means of an Interpolated Rate) do not exist for ascertaining the Eurocurrency Rate for Dollars and/or any Alternative Currency and such Interest Period or (ii) the Required Lenders notify the Administrative Agent that the Eurocurrency Rate for Dollars and/or any Alternative Currency and such Interest Period for such Advances will not adequately and fairly reflect the cost to the Required Lenders of making, funding or maintaining their respective Eurocurrency Rate Advances in Dollars and/or any Alternative Currency for such Interest Period, the Administrative Agent shall forthwith so notify the Borrower and the Lenders. Thereafter, until the Administrative Agent notifies the Borrower and the Lenders that the circumstances causing such suspension no longer exist, (x) any Eurocurrency Rate Advances requested to be made, converted or continued as or into, as applicable, Eurocurrency Rate Advances, in each case, denominated in Dollars shall (in the case of conversions or continuations, on the last day of the then existing Interest Period) be made, converted or continued as or into, as applicable, Base Rate Advances and (y) any Eurocurrency Rate Advances denominated in an affected Alternative Currency shall be made or maintained at a rate for short term borrowings of such Alternative Currency determined in a customary manner in good faith by the Administrative Agent.</w:t>
      </w:r>
    </w:p>
    <w:p>
      <w:pPr>
        <w:spacing w:after="0" w:line="200" w:lineRule="exact"/>
        <w:rPr>
          <w:rFonts w:ascii="Arial" w:cs="Arial" w:eastAsia="Arial" w:hAnsi="Arial"/>
          <w:sz w:val="19"/>
          <w:szCs w:val="19"/>
          <w:color w:val="010000"/>
        </w:rPr>
      </w:pPr>
    </w:p>
    <w:p>
      <w:pPr>
        <w:spacing w:after="0" w:line="239" w:lineRule="exact"/>
        <w:rPr>
          <w:rFonts w:ascii="Arial" w:cs="Arial" w:eastAsia="Arial" w:hAnsi="Arial"/>
          <w:sz w:val="19"/>
          <w:szCs w:val="19"/>
          <w:color w:val="010000"/>
        </w:rPr>
      </w:pPr>
    </w:p>
    <w:p>
      <w:pPr>
        <w:jc w:val="both"/>
        <w:ind w:firstLine="1305"/>
        <w:spacing w:after="0" w:line="236" w:lineRule="auto"/>
        <w:tabs>
          <w:tab w:leader="none" w:pos="2117" w:val="left"/>
        </w:tabs>
        <w:numPr>
          <w:ilvl w:val="0"/>
          <w:numId w:val="27"/>
        </w:numPr>
        <w:rPr>
          <w:rFonts w:ascii="Arial" w:cs="Arial" w:eastAsia="Arial" w:hAnsi="Arial"/>
          <w:sz w:val="22"/>
          <w:szCs w:val="22"/>
          <w:color w:val="010000"/>
        </w:rPr>
      </w:pPr>
      <w:r>
        <w:rPr>
          <w:rFonts w:ascii="Arial" w:cs="Arial" w:eastAsia="Arial" w:hAnsi="Arial"/>
          <w:sz w:val="22"/>
          <w:szCs w:val="22"/>
          <w:color w:val="auto"/>
        </w:rPr>
        <w:t>If the Borrower shall fail to select the duration of any Interest Period for any Eurocurrency Rate Advances made to the Borrower in accordance with the provisions contained in the definition of “</w:t>
      </w:r>
      <w:r>
        <w:rPr>
          <w:rFonts w:ascii="Arial" w:cs="Arial" w:eastAsia="Arial" w:hAnsi="Arial"/>
          <w:sz w:val="22"/>
          <w:szCs w:val="22"/>
          <w:u w:val="single" w:color="auto"/>
          <w:color w:val="auto"/>
        </w:rPr>
        <w:t>Interest Period</w:t>
      </w:r>
      <w:r>
        <w:rPr>
          <w:rFonts w:ascii="Arial" w:cs="Arial" w:eastAsia="Arial" w:hAnsi="Arial"/>
          <w:sz w:val="22"/>
          <w:szCs w:val="22"/>
          <w:color w:val="auto"/>
        </w:rPr>
        <w:t>” in Section 1.01, the Administrative Agent will forthwith so notify the Borrower and the Lenders and such Eurocurrency Rate Advances denominated in Dollars will automatically, on the last day of the then existing Interest Period therefor, Convert into Base Rate Advances, or in the case of Eurocurrency Rate Advances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denominated in an Alternative Currency, automatically Convert to a new Eurocurrency Rate Advance in such Alternative Currency with an Interest Period of one month’s duration.</w:t>
      </w:r>
    </w:p>
    <w:p>
      <w:pPr>
        <w:spacing w:after="0" w:line="200" w:lineRule="exact"/>
        <w:rPr>
          <w:sz w:val="20"/>
          <w:szCs w:val="20"/>
          <w:color w:val="auto"/>
        </w:rPr>
      </w:pPr>
    </w:p>
    <w:p>
      <w:pPr>
        <w:ind w:left="1940" w:hanging="635"/>
        <w:spacing w:after="0"/>
        <w:tabs>
          <w:tab w:leader="none" w:pos="1940" w:val="left"/>
        </w:tabs>
        <w:numPr>
          <w:ilvl w:val="0"/>
          <w:numId w:val="28"/>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jc w:val="both"/>
        <w:ind w:firstLine="1305"/>
        <w:spacing w:after="0" w:line="252" w:lineRule="auto"/>
        <w:tabs>
          <w:tab w:leader="none" w:pos="2387" w:val="left"/>
        </w:tabs>
        <w:numPr>
          <w:ilvl w:val="0"/>
          <w:numId w:val="28"/>
        </w:numPr>
        <w:rPr>
          <w:rFonts w:ascii="Arial" w:cs="Arial" w:eastAsia="Arial" w:hAnsi="Arial"/>
          <w:sz w:val="21"/>
          <w:szCs w:val="21"/>
          <w:color w:val="010000"/>
        </w:rPr>
      </w:pPr>
      <w:r>
        <w:rPr>
          <w:rFonts w:ascii="Arial" w:cs="Arial" w:eastAsia="Arial" w:hAnsi="Arial"/>
          <w:sz w:val="21"/>
          <w:szCs w:val="21"/>
          <w:color w:val="auto"/>
        </w:rPr>
        <w:t>Upon the occurrence and during the continuance of any Event of Default, (i) each Eurocurrency Rate Advance denominated in Dollars will automatically, on the last day of the then existing Interest Period therefor, be Converted into a Base Rate Advance (unless the Required Lenders otherwise consent) and (ii) the obligation of the Lenders to make, or to Convert Dollar denominated Advances into, Eurocurrency Rate Advances shall be suspended.</w:t>
      </w:r>
    </w:p>
    <w:p>
      <w:pPr>
        <w:spacing w:after="0" w:line="201" w:lineRule="exact"/>
        <w:rPr>
          <w:rFonts w:ascii="Arial" w:cs="Arial" w:eastAsia="Arial" w:hAnsi="Arial"/>
          <w:sz w:val="21"/>
          <w:szCs w:val="21"/>
          <w:color w:val="010000"/>
        </w:rPr>
      </w:pPr>
    </w:p>
    <w:p>
      <w:pPr>
        <w:jc w:val="both"/>
        <w:ind w:firstLine="1305"/>
        <w:spacing w:after="0" w:line="274" w:lineRule="auto"/>
        <w:tabs>
          <w:tab w:leader="none" w:pos="1985" w:val="left"/>
        </w:tabs>
        <w:numPr>
          <w:ilvl w:val="0"/>
          <w:numId w:val="28"/>
        </w:numPr>
        <w:rPr>
          <w:rFonts w:ascii="Arial" w:cs="Arial" w:eastAsia="Arial" w:hAnsi="Arial"/>
          <w:sz w:val="19"/>
          <w:szCs w:val="19"/>
          <w:color w:val="010000"/>
        </w:rPr>
      </w:pP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xml:space="preserve"> If at any time the Administrative Agent determines (which determination shall be made by notice to the Borrower and shall be conclusive and binding absent manifest error) that (i) the circumstances set forth in Section 2.08(b)(i) have arisen and such circumstances are unlikely to be temporary or (ii) the circumstances set forth in Section 2.08(b)(i) have not arisen but either (w) the supervisor for the administrator of the Screen Rate has made a public statement that the administrator of the Screen Rate is insolvent (and there is no successor administrator that will continue publication of the Screen Rate), (x) the administrator of the Screen Rate has made a public statement identifying a specific date after which the Screen Rate will permanently or indefinitely cease to be published by it (and there is no successor administrator that will continue publication of the Screen Rate), (y) the supervisor for the administrator of the Screen Rate has made a public statement identifying a specific date after which the Screen Rate will permanently or indefinitely cease to be published or (z) the supervisor for the</w:t>
      </w:r>
    </w:p>
    <w:p>
      <w:pPr>
        <w:sectPr>
          <w:pgSz w:w="11900" w:h="16933" w:orient="portrait"/>
          <w:cols w:equalWidth="0" w:num="1">
            <w:col w:w="11420"/>
          </w:cols>
          <w:pgMar w:left="240" w:top="118" w:right="239" w:bottom="0" w:gutter="0" w:footer="0" w:header="0"/>
        </w:sectPr>
      </w:pPr>
    </w:p>
    <w:bookmarkStart w:id="25" w:name="page26"/>
    <w:bookmarkEnd w:id="25"/>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administrator of the Screen Rate or a governmental authority having jurisdiction over the Administrative Agent has made a public statement identifying a specific date after which the Screen Rate may no longer be used for determining interest rates for loans, then the Administrative Agent and the Borrower may endeavor to establish an alternate rate of interest to LIBOR that gives due consideration to the then evolving or prevailing market convention for determining a rate of interest for similar syndicated loans in the United States at such time, and may enter into an amendment to this Agreement to reflect such alternate rate of interest and such other related changes to this Agreement as may be applicable (but for the avoidance of doubt, such related changes shall not include a reduction of the Applicable Margin);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alternate rate of interest as so determined would be less than zero, such rate shall be deemed to be zero for the purposes of this Agreement. Notwithstanding anything to the contrary in Section 8.01, in the case of any proposed alternative rate of interest, such amendment shall become effective without any further action or consent of any other party to this Agreement so long as the Administrative Agent shall not have received, within five Business Days of the date that a copy of the amendment is provided to the Lenders, a written notice from the Required Lenders stating that such Required Lenders object to such amendment. Until an alternate rate of interest shall be determined in accordance with this Section 2.08(f) (but, in the case of the circumstances described in clause (ii) of the first sentence of this Section 2.08(f), only to the extent the Screen Rate for the applicable currency and such Interest Period is not available or published at such time on a current basis), (x) any Eurocurrency Rate Advances requested to be made, converted or continued as or into, as applicable, Eurocurrency Rate Advances denominated in Dollars shall automatically (in the case of conversions or continuations, on the last day of the then existing Interest Period) be made, converted or continued as or into, as applicable, Base Rate Advances, (y) any Notice of Borrowing that requests the making of a Eurocurrency Rate Advance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an affected Alternative Currency shall be ineffective, and (z) any Advances denominated in an affected Alternative Currency shall be made or maintained at a rate for short term borrowings of such Alternative Currency determined in a customary manner in good faith by the Administrative Agent.</w:t>
      </w:r>
    </w:p>
    <w:p>
      <w:pPr>
        <w:spacing w:after="0" w:line="21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010000"/>
        </w:rPr>
        <w:t xml:space="preserve">SECTION 2.09 </w:t>
      </w:r>
      <w:r>
        <w:rPr>
          <w:rFonts w:ascii="Arial" w:cs="Arial" w:eastAsia="Arial" w:hAnsi="Arial"/>
          <w:sz w:val="19"/>
          <w:szCs w:val="19"/>
          <w:u w:val="single" w:color="auto"/>
          <w:color w:val="000000"/>
        </w:rPr>
        <w:t>Optional Conversion of Advances</w:t>
      </w:r>
      <w:r>
        <w:rPr>
          <w:rFonts w:ascii="Arial" w:cs="Arial" w:eastAsia="Arial" w:hAnsi="Arial"/>
          <w:sz w:val="19"/>
          <w:szCs w:val="19"/>
          <w:color w:val="000000"/>
        </w:rPr>
        <w:t>. The Borrower may on any Business Day, upon notice given to</w:t>
      </w:r>
      <w:r>
        <w:rPr>
          <w:rFonts w:ascii="Arial" w:cs="Arial" w:eastAsia="Arial" w:hAnsi="Arial"/>
          <w:sz w:val="19"/>
          <w:szCs w:val="19"/>
          <w:color w:val="010000"/>
        </w:rPr>
        <w:t xml:space="preserve"> </w:t>
      </w:r>
      <w:r>
        <w:rPr>
          <w:rFonts w:ascii="Arial" w:cs="Arial" w:eastAsia="Arial" w:hAnsi="Arial"/>
          <w:sz w:val="19"/>
          <w:szCs w:val="19"/>
          <w:color w:val="000000"/>
        </w:rPr>
        <w:t>the Administrative Agent not later than 10:00 A.M. (Chicago time) on the third Business Day prior to the date of the proposed Conversion (or in the case of a Conversion into Base Rate Advances, the Business Day prior), and subject to the provisions of Sections 2.08 and 2.12, Convert all Advances denominated in Dollars made to the Borrower of one Type comprising the same Borrowing into Advances of the other Type (such notice, a “</w:t>
      </w:r>
      <w:r>
        <w:rPr>
          <w:rFonts w:ascii="Arial" w:cs="Arial" w:eastAsia="Arial" w:hAnsi="Arial"/>
          <w:sz w:val="19"/>
          <w:szCs w:val="19"/>
          <w:u w:val="single" w:color="auto"/>
          <w:color w:val="000000"/>
        </w:rPr>
        <w:t>Notice of Conversion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any Conversion of Eurocurrency Rate Advances into Base Rate Advances shall be made only on the last day of an Interest Period for such Eurocurrency Rate Advances, any Conversion of Base Rate Advances into Eurocurrency Rate Advances shall be in an amount not less than the minimum amount specified in Section 2.01 and no Conversion of any Advances shall result in more separate Borrowings than permitted under Section 2.02(b). Each such Notice of Conversion shall, within the restrictions specified above, specify (i) the date of such Conversion (which shall be a Business Day), (ii) the Advances to be Converted, and (iii) if such Conversion is into Eurocurrency Rate Advances, the duration of the initial Interest Period for each such Advance. Each Notice of Conversion shall be irrevocable and binding on the Borrower.</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010000"/>
        </w:rPr>
        <w:t xml:space="preserve">SECTION 2.10 </w:t>
      </w:r>
      <w:r>
        <w:rPr>
          <w:rFonts w:ascii="Arial" w:cs="Arial" w:eastAsia="Arial" w:hAnsi="Arial"/>
          <w:sz w:val="19"/>
          <w:szCs w:val="19"/>
          <w:u w:val="single" w:color="auto"/>
          <w:color w:val="000000"/>
        </w:rPr>
        <w:t>Optional and Mandatory Prepayments of Advances</w:t>
      </w:r>
      <w:r>
        <w:rPr>
          <w:rFonts w:ascii="Arial" w:cs="Arial" w:eastAsia="Arial" w:hAnsi="Arial"/>
          <w:sz w:val="19"/>
          <w:szCs w:val="19"/>
          <w:color w:val="000000"/>
        </w:rPr>
        <w:t>. (a) The Borrower may, upon written notice</w:t>
      </w:r>
      <w:r>
        <w:rPr>
          <w:rFonts w:ascii="Arial" w:cs="Arial" w:eastAsia="Arial" w:hAnsi="Arial"/>
          <w:sz w:val="19"/>
          <w:szCs w:val="19"/>
          <w:color w:val="010000"/>
        </w:rPr>
        <w:t xml:space="preserve"> </w:t>
      </w:r>
      <w:r>
        <w:rPr>
          <w:rFonts w:ascii="Arial" w:cs="Arial" w:eastAsia="Arial" w:hAnsi="Arial"/>
          <w:sz w:val="19"/>
          <w:szCs w:val="19"/>
          <w:color w:val="000000"/>
        </w:rPr>
        <w:t xml:space="preserve">to the Administrative Agent stating the proposed date and aggregate principal amount of the proposed prepayment, given not later than 10:00 A.M. (Chicago time) on the date (which date shall be a Business Day) of such proposed prepayment (or such later time as the Administrative Agent, in its reasonable discretion, may agree to), in the case of a Borrowing consisting of Base Rate Advances, and not later than 10:00 A.M. (Local Time) at least two Business Days prior to the date of such proposed prepayment, in the case of a Borrowing consisting of Eurocurrency Rate Advances, and if such notice is given, the Borrower shall, prepay the outstanding principal amount of the Advances comprising part of the same Borrowing made to the Borrower in whole or ratably in part, and in the case of any Eurocurrency Rate Advances, together with accrued interest to the date of such prepayment on the principal amount prepaid;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(i) each partial prepayment shall be in an aggregate principal amount of the Borrowing Minimum or a Borrowing Multiple in excess thereof and (ii) if any prepayment of a Eurocurrency Rate Advance is made on a date other than the last day of an Interest Period for such Eurocurrency Rate Advance, the Borrower shall also pay any amount owing pursuant to Section 8.04(c); and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subject to clause (ii) of the immediately preceding proviso, any such notice may state that such notice is conditioned upon the effectiveness of other credit facilities or the consummation of a specific transaction, in which case such notice may be revoked by the Borrower if such condition is not satisfied.</w:t>
      </w:r>
    </w:p>
    <w:p>
      <w:pPr>
        <w:spacing w:after="0" w:line="192" w:lineRule="exact"/>
        <w:rPr>
          <w:sz w:val="20"/>
          <w:szCs w:val="20"/>
          <w:color w:val="auto"/>
        </w:rPr>
      </w:pPr>
    </w:p>
    <w:p>
      <w:pPr>
        <w:jc w:val="both"/>
        <w:ind w:firstLine="1305"/>
        <w:spacing w:after="0" w:line="238" w:lineRule="auto"/>
        <w:tabs>
          <w:tab w:leader="none" w:pos="2413"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In the event and on each occasion that the Dollar Equivalent of the aggregate principal amount of the Advances equals 105% or more of the aggregate Commitments, the Borrower shall prepay Advances in an aggregate amount such that after giving effect to such prepayments, the Dollar Equivalent of the aggregate principal amount of the outstanding Advances does not exceed the aggregate Commitments.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010000"/>
        </w:rPr>
        <w:t xml:space="preserve">SECTION 2.11 </w:t>
      </w:r>
      <w:r>
        <w:rPr>
          <w:rFonts w:ascii="Arial" w:cs="Arial" w:eastAsia="Arial" w:hAnsi="Arial"/>
          <w:sz w:val="19"/>
          <w:szCs w:val="19"/>
          <w:u w:val="single" w:color="auto"/>
          <w:color w:val="000000"/>
        </w:rPr>
        <w:t>Increased Costs</w:t>
      </w:r>
      <w:r>
        <w:rPr>
          <w:rFonts w:ascii="Arial" w:cs="Arial" w:eastAsia="Arial" w:hAnsi="Arial"/>
          <w:sz w:val="19"/>
          <w:szCs w:val="19"/>
          <w:color w:val="000000"/>
        </w:rPr>
        <w:t>. (a) If, due to either (i) the introduction of or any change in or in the</w:t>
      </w:r>
      <w:r>
        <w:rPr>
          <w:rFonts w:ascii="Arial" w:cs="Arial" w:eastAsia="Arial" w:hAnsi="Arial"/>
          <w:sz w:val="19"/>
          <w:szCs w:val="19"/>
          <w:color w:val="010000"/>
        </w:rPr>
        <w:t xml:space="preserve"> </w:t>
      </w:r>
      <w:r>
        <w:rPr>
          <w:rFonts w:ascii="Arial" w:cs="Arial" w:eastAsia="Arial" w:hAnsi="Arial"/>
          <w:sz w:val="19"/>
          <w:szCs w:val="19"/>
          <w:color w:val="000000"/>
        </w:rPr>
        <w:t>interpretation of any law or regulation or (ii) the compliance with any directive, guideline or request from any central bank or other governmental authority including, without limitation, any agency of the European Union or similar monetary or multinational authority (whether or not having the force of law), in each case after the date hereof (or with respect to any Lender (or the</w:t>
      </w:r>
    </w:p>
    <w:p>
      <w:pPr>
        <w:sectPr>
          <w:pgSz w:w="11900" w:h="16949" w:orient="portrait"/>
          <w:cols w:equalWidth="0" w:num="1">
            <w:col w:w="11420"/>
          </w:cols>
          <w:pgMar w:left="240" w:top="118" w:right="239" w:bottom="0" w:gutter="0" w:footer="0" w:header="0"/>
        </w:sectPr>
      </w:pPr>
    </w:p>
    <w:bookmarkStart w:id="26" w:name="page27"/>
    <w:bookmarkEnd w:id="26"/>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Administrative Agent), if later, the date on which such Lender (or the Administrative Agent) becomes a Lender (or the Administrative Agent)), there shall be any increase in the cost to any Lender or the Administrative Agent of agreeing to make or making, funding or maintaining Advances (excluding for purposes of this Section 2.11 any such increased costs resulting from</w:t>
      </w:r>
    </w:p>
    <w:p>
      <w:pPr>
        <w:spacing w:after="0" w:line="2" w:lineRule="exact"/>
        <w:rPr>
          <w:sz w:val="20"/>
          <w:szCs w:val="20"/>
          <w:color w:val="auto"/>
        </w:rPr>
      </w:pPr>
    </w:p>
    <w:p>
      <w:pPr>
        <w:jc w:val="both"/>
        <w:ind w:firstLine="8"/>
        <w:spacing w:after="0" w:line="232" w:lineRule="auto"/>
        <w:tabs>
          <w:tab w:leader="none" w:pos="26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Taxes as to which such Lender is indemnified under Section 2.14, (ii) Excluded Taxes, or (iii) Other Taxes), then the Borrower shall from time to time, upon demand by such Lender or the Administrative Agent (with a copy of such demand to the Administrative Agent, if applicable), pay to the Administrative Agent for the account of such Lender (or for its own account, if applicable) additional amounts sufficient to compensate such Lender or the Administrative Agent for such increased cost. A certificate describing such increased costs in reasonable detail delivered to the Borrower shall be conclusive and binding for all purposes, absent demonstrable error.</w:t>
      </w:r>
    </w:p>
    <w:p>
      <w:pPr>
        <w:spacing w:after="0" w:line="216" w:lineRule="exact"/>
        <w:rPr>
          <w:rFonts w:ascii="Arial" w:cs="Arial" w:eastAsia="Arial" w:hAnsi="Arial"/>
          <w:sz w:val="22"/>
          <w:szCs w:val="22"/>
          <w:color w:val="auto"/>
        </w:rPr>
      </w:pPr>
    </w:p>
    <w:p>
      <w:pPr>
        <w:jc w:val="both"/>
        <w:ind w:firstLine="1305"/>
        <w:spacing w:after="0" w:line="272" w:lineRule="auto"/>
        <w:tabs>
          <w:tab w:leader="none" w:pos="2089"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If any Lender reasonably determines that compliance with any law or regulation or any directive, guideline or request from any central bank or other governmental authority including, without limitation, any agency of the European Union or similar monetary or multinational authority (whether or not having the force of law), in each case promulgated or given after the date hereof (or with respect to any Lender, if later, the date on which such Lender becomes a Lender), affects or would affect the amount of capital, insurance or liquidity required or expected to be maintained by such Lender or its Applicable Lending Office or any corporation controlling such Lender and that the amount of such capital, insurance or liquidity is increased by or based upon the existence of such Lender’s commitment to lend hereunder and other commitments of this type, the Borrower shall, from time to time upon demand by such Lender (with a copy of such demand to the Administrative Agent), pay to the Administrative Agent for the account of such Lender, additional amounts sufficient to compensate such Lender or such corporation in the light of such circumstances, to the extent that such Lender reasonably determines such increase in capital, insurance or liquidity to be allocable to the existence of such Lender’s Advances or commitment to lend hereunder. A certificate as to such amounts submitted to the Borrower and the Administrative Agent by such Lender shall be conclusive and binding for all purposes, absent demonstrable error.</w:t>
      </w:r>
    </w:p>
    <w:p>
      <w:pPr>
        <w:spacing w:after="0" w:line="188" w:lineRule="exact"/>
        <w:rPr>
          <w:rFonts w:ascii="Arial" w:cs="Arial" w:eastAsia="Arial" w:hAnsi="Arial"/>
          <w:sz w:val="19"/>
          <w:szCs w:val="19"/>
          <w:color w:val="010000"/>
        </w:rPr>
      </w:pPr>
    </w:p>
    <w:p>
      <w:pPr>
        <w:jc w:val="both"/>
        <w:ind w:firstLine="1305"/>
        <w:spacing w:after="0" w:line="275" w:lineRule="auto"/>
        <w:tabs>
          <w:tab w:leader="none" w:pos="1968"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Notwithstanding anything in this Section 2.11 to the contrary, for purposes of this Section 2.11, (A) the Dodd Frank Wall Street Reform and Consumer Protection Act and the rules and regulations issued thereunder or in connection therewith or in implementation thereof, and (B) all requests, rules, guidelines and directions promulgated by the Bank for International Settlements or the Basel Committee on Banking Supervision (or any similar or successor agency, or the United States or foreign regulatory authorities, in each case, pursuant to Basel III) shall be deemed to have been enacted following the date hereof (or with respect to any Lender, if later, the date on which such Lender becomes a Lender). Notwithstanding the foregoing in this Section 2.11, no Lender shall demand compensation pursuant to this Section 2.11(c) unless such Lender is generally making corresponding demands on similarly situated borrowers in comparable credit facilities to which such Lender is a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1"/>
          <w:szCs w:val="21"/>
          <w:color w:val="010000"/>
        </w:rPr>
        <w:t xml:space="preserve">SECTION 2.12 </w:t>
      </w:r>
      <w:r>
        <w:rPr>
          <w:rFonts w:ascii="Arial" w:cs="Arial" w:eastAsia="Arial" w:hAnsi="Arial"/>
          <w:sz w:val="21"/>
          <w:szCs w:val="21"/>
          <w:u w:val="single" w:color="auto"/>
          <w:color w:val="000000"/>
        </w:rPr>
        <w:t>Illegality</w:t>
      </w:r>
      <w:r>
        <w:rPr>
          <w:rFonts w:ascii="Arial" w:cs="Arial" w:eastAsia="Arial" w:hAnsi="Arial"/>
          <w:sz w:val="21"/>
          <w:szCs w:val="21"/>
          <w:color w:val="000000"/>
        </w:rPr>
        <w:t>. Notwithstanding any other provision of this Agreement, with respect to Dollar</w:t>
      </w:r>
      <w:r>
        <w:rPr>
          <w:rFonts w:ascii="Arial" w:cs="Arial" w:eastAsia="Arial" w:hAnsi="Arial"/>
          <w:sz w:val="21"/>
          <w:szCs w:val="21"/>
          <w:color w:val="010000"/>
        </w:rPr>
        <w:t xml:space="preserve"> </w:t>
      </w:r>
      <w:r>
        <w:rPr>
          <w:rFonts w:ascii="Arial" w:cs="Arial" w:eastAsia="Arial" w:hAnsi="Arial"/>
          <w:sz w:val="21"/>
          <w:szCs w:val="21"/>
          <w:color w:val="000000"/>
        </w:rPr>
        <w:t>denominated Advances, (a) if any Lender shall notify the Administrative Agent that the introduction of or any change in or in the interpretation of any law or regulation makes it unlawful, or any central bank or other governmental authority, including without limitation, any agency of the European Union or similar monetary or multinational authority, asserts that it is unlawful, for such Lender or its Applicable Lending Office to perform its obligations hereunder to make Eurocurrency Rate Advances or to fund or maintain Eurocurrency Rate Advances hereunder, (i) each Eurocurrency Rate Advance of such Lender will automatically, upon such notification, be Converted into a Base Rate Advance and (ii) the obligation of such Lender to make Eurocurrency Rate Advances or to Convert Advances into Eurocurrency Rate Advances shall be suspended until the Administrative Agent shall notify the Borrower and such Lender that the circumstances causing such suspension no longer exist and (b) if Lenders constituting the Required Lenders so notify the Administrative Agent, (i) each Eurocurrency Rate Advance of each Lender will automatically, upon such notification, Convert into a Base Rate Advance and (ii) the obligation of each Lender to make Eurocurrency Rate Advances or to Convert Advances into Eurocurrency Rate Advances shall be suspended until the Administrative Agent shall notify the Borrower and each Lender that the circumstances causing such suspension no longer exist. Notwithstanding any other provision of this Agreement, if any of the circumstances set forth in clauses (a) or (b) above arise with respect to Advances denominated in an Alternative Currency, such Alternative Currency denominated Advances shall be made or maintained, as applicable, at a rate for short term borrowings of such Alternative Currency determined in a customary manner in good faith by the Administrative Agent.</w:t>
      </w:r>
    </w:p>
    <w:p>
      <w:pPr>
        <w:spacing w:after="0" w:line="21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010000"/>
        </w:rPr>
        <w:t xml:space="preserve">SECTION 2.13 </w:t>
      </w:r>
      <w:r>
        <w:rPr>
          <w:rFonts w:ascii="Arial" w:cs="Arial" w:eastAsia="Arial" w:hAnsi="Arial"/>
          <w:sz w:val="19"/>
          <w:szCs w:val="19"/>
          <w:u w:val="single" w:color="auto"/>
          <w:color w:val="000000"/>
        </w:rPr>
        <w:t>Payments and Computations</w:t>
      </w:r>
      <w:r>
        <w:rPr>
          <w:rFonts w:ascii="Arial" w:cs="Arial" w:eastAsia="Arial" w:hAnsi="Arial"/>
          <w:sz w:val="19"/>
          <w:szCs w:val="19"/>
          <w:color w:val="000000"/>
        </w:rPr>
        <w:t>. (a) The Borrower shall make each payment required to be made by</w:t>
      </w:r>
      <w:r>
        <w:rPr>
          <w:rFonts w:ascii="Arial" w:cs="Arial" w:eastAsia="Arial" w:hAnsi="Arial"/>
          <w:sz w:val="19"/>
          <w:szCs w:val="19"/>
          <w:color w:val="010000"/>
        </w:rPr>
        <w:t xml:space="preserve"> </w:t>
      </w:r>
      <w:r>
        <w:rPr>
          <w:rFonts w:ascii="Arial" w:cs="Arial" w:eastAsia="Arial" w:hAnsi="Arial"/>
          <w:sz w:val="19"/>
          <w:szCs w:val="19"/>
          <w:color w:val="000000"/>
        </w:rPr>
        <w:t>it under this Agreement not later than 11:00 A.M. (Local Time) on the day when due in Dollars (or (i) with respect to principal, interest or breakage indemnity due in respect of Advances denominated in an Alternative Currency, in such Alternative Currency and (ii) with respect to other payments required to be made pursuant to Section 2.11 or 8.04 that are invoiced in a currency other than Dollars or an Alternative Currency shall be payable in the currency so invoiced) to the Administrative Agent at the applicable Administrative Agent’s Office in same day funds. The Administrative Agent will promptly thereafter cause to be distributed like funds relating to the payment of principal or interest or facility fees ratably (other than amounts payable pursuant to Section 2.02(c), 2.07(c), 2.11, 2.12(i) (or if applicable the last sentence of Section 2.12), 2.14, 2.15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Administrative Agent shall make all payments hereunder in respect of the interest assigned thereby to the assignor for amounts which have accrued to but excluding the effective date of such assignment and to the assignee for amounts which have accrued</w:t>
      </w:r>
    </w:p>
    <w:p>
      <w:pPr>
        <w:sectPr>
          <w:pgSz w:w="11900" w:h="16913" w:orient="portrait"/>
          <w:cols w:equalWidth="0" w:num="1">
            <w:col w:w="11420"/>
          </w:cols>
          <w:pgMar w:left="240" w:top="118" w:right="239" w:bottom="0" w:gutter="0" w:footer="0" w:header="0"/>
        </w:sectPr>
      </w:pPr>
    </w:p>
    <w:bookmarkStart w:id="27" w:name="page28"/>
    <w:bookmarkEnd w:id="27"/>
    <w:p>
      <w:pPr>
        <w:spacing w:after="0" w:line="251" w:lineRule="auto"/>
        <w:rPr>
          <w:sz w:val="20"/>
          <w:szCs w:val="20"/>
          <w:color w:val="auto"/>
        </w:rPr>
      </w:pPr>
      <w:r>
        <w:rPr>
          <w:rFonts w:ascii="Arial" w:cs="Arial" w:eastAsia="Arial" w:hAnsi="Arial"/>
          <w:sz w:val="22"/>
          <w:szCs w:val="22"/>
          <w:color w:val="auto"/>
        </w:rPr>
        <w:t>from and after the effective date of such assignment. All payments to be made by the Borrower shall be made without condition or deduction for any counterclaim, defense, recoupment or setoff.</w:t>
      </w:r>
    </w:p>
    <w:p>
      <w:pPr>
        <w:spacing w:after="0" w:line="201" w:lineRule="exact"/>
        <w:rPr>
          <w:sz w:val="20"/>
          <w:szCs w:val="20"/>
          <w:color w:val="auto"/>
        </w:rPr>
      </w:pPr>
    </w:p>
    <w:p>
      <w:pPr>
        <w:ind w:firstLine="1305"/>
        <w:spacing w:after="0" w:line="251" w:lineRule="auto"/>
        <w:tabs>
          <w:tab w:leader="none" w:pos="2318"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The Borrower hereby authorizes each Lender, if and to the extent payment owed to such Lender by the Borrower is not made when due hereunder, to charge from time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time against any or all of the Borrower’s accounts with such Lender any amount so due, unless otherwise agreed between the Borrower and such Lender.</w:t>
      </w:r>
    </w:p>
    <w:p>
      <w:pPr>
        <w:spacing w:after="0" w:line="200" w:lineRule="exact"/>
        <w:rPr>
          <w:sz w:val="20"/>
          <w:szCs w:val="20"/>
          <w:color w:val="auto"/>
        </w:rPr>
      </w:pPr>
    </w:p>
    <w:p>
      <w:pPr>
        <w:jc w:val="both"/>
        <w:ind w:firstLine="1305"/>
        <w:spacing w:after="0" w:line="246" w:lineRule="auto"/>
        <w:tabs>
          <w:tab w:leader="none" w:pos="1955" w:val="left"/>
        </w:tabs>
        <w:numPr>
          <w:ilvl w:val="0"/>
          <w:numId w:val="32"/>
        </w:numPr>
        <w:rPr>
          <w:rFonts w:ascii="Arial" w:cs="Arial" w:eastAsia="Arial" w:hAnsi="Arial"/>
          <w:sz w:val="21"/>
          <w:szCs w:val="21"/>
          <w:color w:val="010000"/>
        </w:rPr>
      </w:pPr>
      <w:r>
        <w:rPr>
          <w:rFonts w:ascii="Arial" w:cs="Arial" w:eastAsia="Arial" w:hAnsi="Arial"/>
          <w:sz w:val="21"/>
          <w:szCs w:val="21"/>
          <w:color w:val="auto"/>
        </w:rPr>
        <w:t>All computations of interest based on the Base Rate or with respect to any Advances denominated in Sterling shall be made by the Administrative Agent on the basis of a year of 365 or, other than with respect to Sterling, 366 days, as the case may be, and all computations of interest based on the Eurocurrency Rate (other than with respect to any Advances denominated in Sterling) or the Federal Funds Rate (other than determinations of the Base Rate made at any time by reference to the Federal Funds Rate), and of facility fees shall be made by the Administrative Agent on the basis of a year of 360 days, in each case for the actual number of days (including the first day but excluding the last day) occurring in the period for which such interest or such fees are payable. Each determination by the Administrative Agent of an interest rate hereunder shall be conclusive and binding for all purposes, absent demonstrable error.</w:t>
      </w:r>
    </w:p>
    <w:p>
      <w:pPr>
        <w:spacing w:after="0" w:line="207" w:lineRule="exact"/>
        <w:rPr>
          <w:rFonts w:ascii="Arial" w:cs="Arial" w:eastAsia="Arial" w:hAnsi="Arial"/>
          <w:sz w:val="21"/>
          <w:szCs w:val="21"/>
          <w:color w:val="010000"/>
        </w:rPr>
      </w:pPr>
    </w:p>
    <w:p>
      <w:pPr>
        <w:jc w:val="both"/>
        <w:ind w:firstLine="1305"/>
        <w:spacing w:after="0" w:line="282" w:lineRule="auto"/>
        <w:tabs>
          <w:tab w:leader="none" w:pos="2210" w:val="left"/>
        </w:tabs>
        <w:numPr>
          <w:ilvl w:val="0"/>
          <w:numId w:val="32"/>
        </w:numPr>
        <w:rPr>
          <w:rFonts w:ascii="Arial" w:cs="Arial" w:eastAsia="Arial" w:hAnsi="Arial"/>
          <w:sz w:val="19"/>
          <w:szCs w:val="19"/>
          <w:color w:val="010000"/>
        </w:rPr>
      </w:pPr>
      <w:r>
        <w:rPr>
          <w:rFonts w:ascii="Arial" w:cs="Arial" w:eastAsia="Arial" w:hAnsi="Arial"/>
          <w:sz w:val="19"/>
          <w:szCs w:val="19"/>
          <w:color w:val="auto"/>
        </w:rPr>
        <w:t xml:space="preserve">Except as otherwise set forth herein, whenever any payment hereunder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extension would cause payment of interest on or principal of Eurocurrency Rate Advances to be made in the next following calendar month, such payment shall be made on the immediately preceding Business Day.</w:t>
      </w:r>
    </w:p>
    <w:p>
      <w:pPr>
        <w:spacing w:after="0" w:line="174" w:lineRule="exact"/>
        <w:rPr>
          <w:rFonts w:ascii="Arial" w:cs="Arial" w:eastAsia="Arial" w:hAnsi="Arial"/>
          <w:sz w:val="19"/>
          <w:szCs w:val="19"/>
          <w:color w:val="010000"/>
        </w:rPr>
      </w:pPr>
    </w:p>
    <w:p>
      <w:pPr>
        <w:jc w:val="both"/>
        <w:ind w:firstLine="1305"/>
        <w:spacing w:after="0" w:line="245" w:lineRule="auto"/>
        <w:tabs>
          <w:tab w:leader="none" w:pos="2144" w:val="left"/>
        </w:tabs>
        <w:numPr>
          <w:ilvl w:val="0"/>
          <w:numId w:val="32"/>
        </w:numPr>
        <w:rPr>
          <w:rFonts w:ascii="Arial" w:cs="Arial" w:eastAsia="Arial" w:hAnsi="Arial"/>
          <w:sz w:val="21"/>
          <w:szCs w:val="21"/>
          <w:color w:val="010000"/>
        </w:rPr>
      </w:pPr>
      <w:r>
        <w:rPr>
          <w:rFonts w:ascii="Arial" w:cs="Arial" w:eastAsia="Arial" w:hAnsi="Arial"/>
          <w:sz w:val="21"/>
          <w:szCs w:val="21"/>
          <w:color w:val="auto"/>
        </w:rPr>
        <w:t>Unless the Administrative Agent shall have received written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the Borrower shall not have so made such payment in full to the Administrative Agent, each Lender shall repay to the Administrative Agent, following prompt notice thereof, forthwith on demand such amount distributed to such Lender, together with interest thereon, for each day from the date such amount is distributed to such Lender until the date such Lender repays such amount to the Administrative Agent, at the Federal Funds Rate, or in the case of amounts in an Alternative Currency, at a rate for short term borrowings of such Alternative Currency determined in a customary manner in good faith by the Administrative Agent.</w:t>
      </w:r>
    </w:p>
    <w:p>
      <w:pPr>
        <w:spacing w:after="0" w:line="209"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010000"/>
        </w:rPr>
        <w:t xml:space="preserve">SECTION 2.14 </w:t>
      </w:r>
      <w:r>
        <w:rPr>
          <w:rFonts w:ascii="Arial" w:cs="Arial" w:eastAsia="Arial" w:hAnsi="Arial"/>
          <w:sz w:val="21"/>
          <w:szCs w:val="21"/>
          <w:u w:val="single" w:color="auto"/>
          <w:color w:val="000000"/>
        </w:rPr>
        <w:t>Taxes</w:t>
      </w:r>
      <w:r>
        <w:rPr>
          <w:rFonts w:ascii="Arial" w:cs="Arial" w:eastAsia="Arial" w:hAnsi="Arial"/>
          <w:sz w:val="21"/>
          <w:szCs w:val="21"/>
          <w:color w:val="000000"/>
        </w:rPr>
        <w:t>. (a) Any and all payments by or on behalf of the Borrower under any Loan Document</w:t>
      </w:r>
      <w:r>
        <w:rPr>
          <w:rFonts w:ascii="Arial" w:cs="Arial" w:eastAsia="Arial" w:hAnsi="Arial"/>
          <w:sz w:val="21"/>
          <w:szCs w:val="21"/>
          <w:color w:val="010000"/>
        </w:rPr>
        <w:t xml:space="preserve"> </w:t>
      </w:r>
      <w:r>
        <w:rPr>
          <w:rFonts w:ascii="Arial" w:cs="Arial" w:eastAsia="Arial" w:hAnsi="Arial"/>
          <w:sz w:val="21"/>
          <w:szCs w:val="21"/>
          <w:color w:val="000000"/>
        </w:rPr>
        <w:t xml:space="preserve">shall be made, in accordance with Section 2.13, free and clear of and without deduction for any and all present or future Taxes, including levies, imposts, deductions, charges and withholdings, and all liabilities with respect thereto, </w:t>
      </w:r>
      <w:r>
        <w:rPr>
          <w:rFonts w:ascii="Arial" w:cs="Arial" w:eastAsia="Arial" w:hAnsi="Arial"/>
          <w:sz w:val="21"/>
          <w:szCs w:val="21"/>
          <w:u w:val="single" w:color="auto"/>
          <w:color w:val="000000"/>
        </w:rPr>
        <w:t>excluding</w:t>
      </w:r>
      <w:r>
        <w:rPr>
          <w:rFonts w:ascii="Arial" w:cs="Arial" w:eastAsia="Arial" w:hAnsi="Arial"/>
          <w:sz w:val="21"/>
          <w:szCs w:val="21"/>
          <w:color w:val="000000"/>
        </w:rPr>
        <w:t>, in the case of each Lender and each Agent, (i) taxes imposed on (or measured by) its overall net income (however denominated), franchise taxes, and branch profits taxes, in each case only to the extent imposed by the jurisdiction under the laws of which such Lender or such Agent, as the case may be, is organized or any political subdivision thereof, by the jurisdiction of such Lender’s Applicable Lending Office or any political subdivision thereof or as a result of a present or former connection between such Lender and the jurisdiction imposing such Tax (other than connections arising from such Lender having executed, delivered, become a party to, performed its obligations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under, received payments under, received or perfected a security interest under, engaged in any other transaction pursuant to or enforced any Loan Document, or sold or assigned an interest in any Advance or Loan Document), (ii) any branch profits Taxes imposed by the United States, (iii) backup withholding Tax imposed by the United States on payments by the Borrower to any Lender, (iv) any Tax that is imposed by the United States by reason of such recipient’s failure to comply with Section 2.14(f), and</w:t>
      </w:r>
    </w:p>
    <w:p>
      <w:pPr>
        <w:spacing w:after="0" w:line="4" w:lineRule="exact"/>
        <w:rPr>
          <w:sz w:val="20"/>
          <w:szCs w:val="20"/>
          <w:color w:val="auto"/>
        </w:rPr>
      </w:pPr>
    </w:p>
    <w:p>
      <w:pPr>
        <w:jc w:val="both"/>
        <w:ind w:firstLine="8"/>
        <w:spacing w:after="0" w:line="243" w:lineRule="auto"/>
        <w:tabs>
          <w:tab w:leader="none" w:pos="322"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taxes imposed under FATCA, including as a result of such recipient’s failure to comply with Section 2.14(f)(iv) (all such excluded taxes, levies, imposts, deductions, charges, withholdings and liabilities in respect of payments under any Loan Document being hereinafter referred to as “</w:t>
      </w:r>
      <w:r>
        <w:rPr>
          <w:rFonts w:ascii="Arial" w:cs="Arial" w:eastAsia="Arial" w:hAnsi="Arial"/>
          <w:sz w:val="21"/>
          <w:szCs w:val="21"/>
          <w:u w:val="single" w:color="auto"/>
          <w:color w:val="auto"/>
        </w:rPr>
        <w:t>Excluded Taxes</w:t>
      </w:r>
      <w:r>
        <w:rPr>
          <w:rFonts w:ascii="Arial" w:cs="Arial" w:eastAsia="Arial" w:hAnsi="Arial"/>
          <w:sz w:val="21"/>
          <w:szCs w:val="21"/>
          <w:color w:val="auto"/>
        </w:rPr>
        <w:t>”). If the Borrower shall be required by applicable law to deduct any Taxes from or in respect of any sum payable under any Loan Document to any Lender or any Agent, (A) the Borrower shall make such deductions and (B) the Borrower shall pay the full amount deducted to the relevant taxation authority or other authority in accordance with applicable law. If the Borrower shall be required by applicable law to deduct any Taxes other than Excluded Taxes from or in respect of any sum payable under any Loan Document to any Lender or any Agent, the sum payable shall be increased as may be necessary so that after making all required deductions (including deductions applicable to additional sums payable under this Section 2.14) such Lender or such Agent, as the case may be, receives an amount equal to the sum it would have received had no such deductions been made.</w:t>
      </w:r>
    </w:p>
    <w:p>
      <w:pPr>
        <w:sectPr>
          <w:pgSz w:w="11900" w:h="16838" w:orient="portrait"/>
          <w:cols w:equalWidth="0" w:num="1">
            <w:col w:w="11420"/>
          </w:cols>
          <w:pgMar w:left="240" w:top="118" w:right="239" w:bottom="0" w:gutter="0" w:footer="0" w:header="0"/>
        </w:sectPr>
      </w:pPr>
    </w:p>
    <w:bookmarkStart w:id="28" w:name="page29"/>
    <w:bookmarkEnd w:id="28"/>
    <w:p>
      <w:pPr>
        <w:jc w:val="both"/>
        <w:ind w:firstLine="1305"/>
        <w:spacing w:after="0" w:line="282" w:lineRule="auto"/>
        <w:tabs>
          <w:tab w:leader="none" w:pos="2021" w:val="left"/>
        </w:tabs>
        <w:numPr>
          <w:ilvl w:val="1"/>
          <w:numId w:val="34"/>
        </w:numPr>
        <w:rPr>
          <w:rFonts w:ascii="Arial" w:cs="Arial" w:eastAsia="Arial" w:hAnsi="Arial"/>
          <w:sz w:val="19"/>
          <w:szCs w:val="19"/>
          <w:color w:val="010000"/>
        </w:rPr>
      </w:pPr>
      <w:r>
        <w:rPr>
          <w:rFonts w:ascii="Arial" w:cs="Arial" w:eastAsia="Arial" w:hAnsi="Arial"/>
          <w:sz w:val="19"/>
          <w:szCs w:val="19"/>
          <w:color w:val="auto"/>
        </w:rPr>
        <w:t>In addition, without duplication of any other obligation set forth in this Section 2.14, the Borrower agrees to pay any present or future stamp and documentary Taxes and any other excise or property Taxes, charges or similar levies that arise from any payment made by it under any Loan Document or from the execution, delivery or registration of, or performance under, or otherwise with respect to, any Loan Document (hereinafter referred to as “</w:t>
      </w:r>
      <w:r>
        <w:rPr>
          <w:rFonts w:ascii="Arial" w:cs="Arial" w:eastAsia="Arial" w:hAnsi="Arial"/>
          <w:sz w:val="19"/>
          <w:szCs w:val="19"/>
          <w:u w:val="single" w:color="auto"/>
          <w:color w:val="auto"/>
        </w:rPr>
        <w:t>Other Taxes</w:t>
      </w:r>
      <w:r>
        <w:rPr>
          <w:rFonts w:ascii="Arial" w:cs="Arial" w:eastAsia="Arial" w:hAnsi="Arial"/>
          <w:sz w:val="19"/>
          <w:szCs w:val="19"/>
          <w:color w:val="auto"/>
        </w:rPr>
        <w:t>”), except to the extent such Other Taxes are Other Connection Taxes imposed solely as a result of an assignment or the designation of a new Applicable Lending Office.</w:t>
      </w:r>
    </w:p>
    <w:p>
      <w:pPr>
        <w:spacing w:after="0" w:line="175" w:lineRule="exact"/>
        <w:rPr>
          <w:rFonts w:ascii="Arial" w:cs="Arial" w:eastAsia="Arial" w:hAnsi="Arial"/>
          <w:sz w:val="19"/>
          <w:szCs w:val="19"/>
          <w:color w:val="010000"/>
        </w:rPr>
      </w:pPr>
    </w:p>
    <w:p>
      <w:pPr>
        <w:jc w:val="both"/>
        <w:ind w:firstLine="1305"/>
        <w:spacing w:after="0" w:line="234" w:lineRule="auto"/>
        <w:tabs>
          <w:tab w:leader="none" w:pos="2022" w:val="left"/>
        </w:tabs>
        <w:numPr>
          <w:ilvl w:val="1"/>
          <w:numId w:val="34"/>
        </w:numPr>
        <w:rPr>
          <w:rFonts w:ascii="Arial" w:cs="Arial" w:eastAsia="Arial" w:hAnsi="Arial"/>
          <w:sz w:val="22"/>
          <w:szCs w:val="22"/>
          <w:color w:val="010000"/>
        </w:rPr>
      </w:pPr>
      <w:r>
        <w:rPr>
          <w:rFonts w:ascii="Arial" w:cs="Arial" w:eastAsia="Arial" w:hAnsi="Arial"/>
          <w:sz w:val="22"/>
          <w:szCs w:val="22"/>
          <w:color w:val="auto"/>
        </w:rPr>
        <w:t>Without duplication of any other obligation set forth in this Section 2.14, the Borrower shall indemnify each Lender and each Agent for the full amount of Taxes (other than Excluded Taxes) and Other Taxes (except to the extent such Other Taxes are Other Connection Taxes imposed solely as a result of an assignment or the designation of a new Applicable Lending Office) imposed on or paid by such Lender or such Agent, as the case may be, in respect of Advances made to the Borrower and any liability (including, without limitation, penalties, interest and expenses) arising therefrom or with respect thereto. This indemnification shall be made within 30 days from the date such Lender or such Agent, as the case may be, makes written demand therefor.</w:t>
      </w:r>
    </w:p>
    <w:p>
      <w:pPr>
        <w:spacing w:after="0" w:line="218" w:lineRule="exact"/>
        <w:rPr>
          <w:rFonts w:ascii="Arial" w:cs="Arial" w:eastAsia="Arial" w:hAnsi="Arial"/>
          <w:sz w:val="22"/>
          <w:szCs w:val="22"/>
          <w:color w:val="010000"/>
        </w:rPr>
      </w:pPr>
    </w:p>
    <w:p>
      <w:pPr>
        <w:ind w:left="2100" w:hanging="795"/>
        <w:spacing w:after="0"/>
        <w:tabs>
          <w:tab w:leader="none" w:pos="2100" w:val="left"/>
        </w:tabs>
        <w:numPr>
          <w:ilvl w:val="1"/>
          <w:numId w:val="34"/>
        </w:numPr>
        <w:rPr>
          <w:rFonts w:ascii="Arial" w:cs="Arial" w:eastAsia="Arial" w:hAnsi="Arial"/>
          <w:sz w:val="19"/>
          <w:szCs w:val="19"/>
          <w:color w:val="010000"/>
        </w:rPr>
      </w:pPr>
      <w:r>
        <w:rPr>
          <w:rFonts w:ascii="Arial" w:cs="Arial" w:eastAsia="Arial" w:hAnsi="Arial"/>
          <w:sz w:val="19"/>
          <w:szCs w:val="19"/>
          <w:color w:val="auto"/>
        </w:rPr>
        <w:t>Each Lender shall severally indemnify the Administrative Agent, within 10 days after demand therefor, for</w:t>
      </w:r>
    </w:p>
    <w:p>
      <w:pPr>
        <w:spacing w:after="0" w:line="42" w:lineRule="exact"/>
        <w:rPr>
          <w:rFonts w:ascii="Arial" w:cs="Arial" w:eastAsia="Arial" w:hAnsi="Arial"/>
          <w:sz w:val="19"/>
          <w:szCs w:val="19"/>
          <w:color w:val="010000"/>
        </w:rPr>
      </w:pPr>
    </w:p>
    <w:p>
      <w:pPr>
        <w:jc w:val="both"/>
        <w:ind w:firstLine="8"/>
        <w:spacing w:after="0" w:line="232" w:lineRule="auto"/>
        <w:tabs>
          <w:tab w:leader="none" w:pos="269"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Taxes attributable to such Lender (but only to the extent that the Borrower has not already indemnified the Administrative Agent for such Taxes and without limiting the obligation of the Borrower to do so) and (ii) any Taxes attributable to such Lender’s failure to comply with the provisions of Section 8.07(e)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describing in reasonable detail the amount of such payment or liability delivered to any Lender by the Administrative Agent shall be conclusive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94" w:lineRule="exact"/>
        <w:rPr>
          <w:sz w:val="20"/>
          <w:szCs w:val="20"/>
          <w:color w:val="auto"/>
        </w:rPr>
      </w:pPr>
    </w:p>
    <w:p>
      <w:pPr>
        <w:jc w:val="both"/>
        <w:ind w:firstLine="1305"/>
        <w:spacing w:after="0"/>
        <w:tabs>
          <w:tab w:leader="none" w:pos="2022" w:val="left"/>
        </w:tabs>
        <w:numPr>
          <w:ilvl w:val="1"/>
          <w:numId w:val="36"/>
        </w:numPr>
        <w:rPr>
          <w:rFonts w:ascii="Arial" w:cs="Arial" w:eastAsia="Arial" w:hAnsi="Arial"/>
          <w:sz w:val="22"/>
          <w:szCs w:val="22"/>
          <w:color w:val="010000"/>
        </w:rPr>
      </w:pPr>
      <w:r>
        <w:rPr>
          <w:rFonts w:ascii="Arial" w:cs="Arial" w:eastAsia="Arial" w:hAnsi="Arial"/>
          <w:sz w:val="22"/>
          <w:szCs w:val="22"/>
          <w:color w:val="auto"/>
        </w:rPr>
        <w:t>Within 30 days after the date of any payment of Taxes or Other Taxes for which the Borrower is responsible under this Section 2.14, the Borrower shall furnish to the Administrative Agent, at its address as specified pursuant to Section 8.02, the original or a certified copy of a receipt evidencing payment thereof.</w:t>
      </w:r>
    </w:p>
    <w:p>
      <w:pPr>
        <w:spacing w:after="0" w:line="213" w:lineRule="exact"/>
        <w:rPr>
          <w:rFonts w:ascii="Arial" w:cs="Arial" w:eastAsia="Arial" w:hAnsi="Arial"/>
          <w:sz w:val="22"/>
          <w:szCs w:val="22"/>
          <w:color w:val="010000"/>
        </w:rPr>
      </w:pPr>
    </w:p>
    <w:p>
      <w:pPr>
        <w:jc w:val="both"/>
        <w:ind w:firstLine="1305"/>
        <w:spacing w:after="0" w:line="269" w:lineRule="auto"/>
        <w:tabs>
          <w:tab w:leader="none" w:pos="2080" w:val="left"/>
        </w:tabs>
        <w:numPr>
          <w:ilvl w:val="1"/>
          <w:numId w:val="36"/>
        </w:numPr>
        <w:rPr>
          <w:rFonts w:ascii="Arial" w:cs="Arial" w:eastAsia="Arial" w:hAnsi="Arial"/>
          <w:sz w:val="19"/>
          <w:szCs w:val="19"/>
          <w:color w:val="010000"/>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2.14(f)(i), (ii) or</w:t>
      </w:r>
    </w:p>
    <w:p>
      <w:pPr>
        <w:spacing w:after="0" w:line="1" w:lineRule="exact"/>
        <w:rPr>
          <w:rFonts w:ascii="Arial" w:cs="Arial" w:eastAsia="Arial" w:hAnsi="Arial"/>
          <w:sz w:val="19"/>
          <w:szCs w:val="19"/>
          <w:color w:val="010000"/>
        </w:rPr>
      </w:pPr>
    </w:p>
    <w:p>
      <w:pPr>
        <w:jc w:val="both"/>
        <w:ind w:firstLine="8"/>
        <w:spacing w:after="0" w:line="234" w:lineRule="auto"/>
        <w:tabs>
          <w:tab w:leader="none" w:pos="382" w:val="left"/>
        </w:tabs>
        <w:numPr>
          <w:ilvl w:val="0"/>
          <w:numId w:val="37"/>
        </w:numPr>
        <w:rPr>
          <w:rFonts w:ascii="Arial" w:cs="Arial" w:eastAsia="Arial" w:hAnsi="Arial"/>
          <w:sz w:val="22"/>
          <w:szCs w:val="22"/>
          <w:color w:val="auto"/>
        </w:rPr>
      </w:pPr>
      <w:r>
        <w:rPr>
          <w:rFonts w:ascii="Arial" w:cs="Arial" w:eastAsia="Arial" w:hAnsi="Arial"/>
          <w:sz w:val="22"/>
          <w:szCs w:val="22"/>
          <w:color w:val="auto"/>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Without limiting the generality of the foregoing:</w:t>
      </w:r>
    </w:p>
    <w:p>
      <w:pPr>
        <w:spacing w:after="0" w:line="233" w:lineRule="exact"/>
        <w:rPr>
          <w:sz w:val="20"/>
          <w:szCs w:val="20"/>
          <w:color w:val="auto"/>
        </w:rPr>
      </w:pPr>
    </w:p>
    <w:p>
      <w:pPr>
        <w:jc w:val="both"/>
        <w:ind w:left="1300" w:firstLine="653"/>
        <w:spacing w:after="0" w:line="252" w:lineRule="auto"/>
        <w:tabs>
          <w:tab w:leader="none" w:pos="2841" w:val="left"/>
        </w:tabs>
        <w:numPr>
          <w:ilvl w:val="0"/>
          <w:numId w:val="38"/>
        </w:numPr>
        <w:rPr>
          <w:rFonts w:ascii="Arial" w:cs="Arial" w:eastAsia="Arial" w:hAnsi="Arial"/>
          <w:sz w:val="21"/>
          <w:szCs w:val="21"/>
          <w:color w:val="010000"/>
        </w:rPr>
      </w:pPr>
      <w:r>
        <w:rPr>
          <w:rFonts w:ascii="Arial" w:cs="Arial" w:eastAsia="Arial" w:hAnsi="Arial"/>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01" w:lineRule="exact"/>
        <w:rPr>
          <w:rFonts w:ascii="Arial" w:cs="Arial" w:eastAsia="Arial" w:hAnsi="Arial"/>
          <w:sz w:val="21"/>
          <w:szCs w:val="21"/>
          <w:color w:val="010000"/>
        </w:rPr>
      </w:pPr>
    </w:p>
    <w:p>
      <w:pPr>
        <w:jc w:val="both"/>
        <w:ind w:left="1300" w:firstLine="653"/>
        <w:spacing w:after="0" w:line="282" w:lineRule="auto"/>
        <w:tabs>
          <w:tab w:leader="none" w:pos="3009"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any Foreign Lender, if not a U.S. Person (a “</w:t>
      </w:r>
      <w:r>
        <w:rPr>
          <w:rFonts w:ascii="Arial" w:cs="Arial" w:eastAsia="Arial" w:hAnsi="Arial"/>
          <w:sz w:val="19"/>
          <w:szCs w:val="19"/>
          <w:u w:val="single" w:color="auto"/>
          <w:color w:val="auto"/>
        </w:rPr>
        <w:t>Non-U.S. Lender</w:t>
      </w:r>
      <w:r>
        <w:rPr>
          <w:rFonts w:ascii="Arial" w:cs="Arial" w:eastAsia="Arial" w:hAnsi="Arial"/>
          <w:sz w:val="19"/>
          <w:szCs w:val="19"/>
          <w:color w:val="auto"/>
        </w:rPr>
        <w:t>”) shall, to the extent it is legally entitled to do so,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74" w:lineRule="exact"/>
        <w:rPr>
          <w:rFonts w:ascii="Arial" w:cs="Arial" w:eastAsia="Arial" w:hAnsi="Arial"/>
          <w:sz w:val="19"/>
          <w:szCs w:val="19"/>
          <w:color w:val="010000"/>
        </w:rPr>
      </w:pPr>
    </w:p>
    <w:p>
      <w:pPr>
        <w:ind w:left="1960" w:firstLine="641"/>
        <w:spacing w:after="0" w:line="251" w:lineRule="auto"/>
        <w:tabs>
          <w:tab w:leader="none" w:pos="3502" w:val="left"/>
        </w:tabs>
        <w:numPr>
          <w:ilvl w:val="1"/>
          <w:numId w:val="38"/>
        </w:numPr>
        <w:rPr>
          <w:rFonts w:ascii="Arial" w:cs="Arial" w:eastAsia="Arial" w:hAnsi="Arial"/>
          <w:sz w:val="22"/>
          <w:szCs w:val="22"/>
          <w:color w:val="auto"/>
        </w:rPr>
      </w:pPr>
      <w:r>
        <w:rPr>
          <w:rFonts w:ascii="Arial" w:cs="Arial" w:eastAsia="Arial" w:hAnsi="Arial"/>
          <w:sz w:val="22"/>
          <w:szCs w:val="22"/>
          <w:color w:val="auto"/>
        </w:rPr>
        <w:t>executed originals of IRS Form W-8BEN or IRS Form W-8BEN-E claiming eligibility for benefits of an income tax treaty to which the United States of America is a party;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31" w:gutter="0" w:footer="0" w:header="0"/>
        </w:sectPr>
      </w:pPr>
    </w:p>
    <w:bookmarkStart w:id="29" w:name="page30"/>
    <w:bookmarkEnd w:id="29"/>
    <w:p>
      <w:pPr>
        <w:spacing w:after="0" w:line="74" w:lineRule="exact"/>
        <w:rPr>
          <w:sz w:val="20"/>
          <w:szCs w:val="20"/>
          <w:color w:val="auto"/>
        </w:rPr>
      </w:pPr>
    </w:p>
    <w:p>
      <w:pPr>
        <w:ind w:left="3260" w:hanging="659"/>
        <w:spacing w:after="0"/>
        <w:tabs>
          <w:tab w:leader="none" w:pos="32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executed originals of IRS Form W-8ECI;</w:t>
      </w:r>
    </w:p>
    <w:p>
      <w:pPr>
        <w:spacing w:after="0" w:line="233" w:lineRule="exact"/>
        <w:rPr>
          <w:rFonts w:ascii="Arial" w:cs="Arial" w:eastAsia="Arial" w:hAnsi="Arial"/>
          <w:sz w:val="22"/>
          <w:szCs w:val="22"/>
          <w:color w:val="auto"/>
        </w:rPr>
      </w:pPr>
    </w:p>
    <w:p>
      <w:pPr>
        <w:jc w:val="both"/>
        <w:ind w:left="1960" w:firstLine="641"/>
        <w:spacing w:after="0" w:line="235" w:lineRule="auto"/>
        <w:tabs>
          <w:tab w:leader="none" w:pos="34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the case of a Foreign Lender claiming the benefits of the exemption for portfolio interest under section 881(c) of the Code, (x) a certificate to the effect that such Foreign Lender is not (A) a “bank” within the meaning of section 881(c)(3)(A) of the Code, (B) a “10-percent shareholder” of either Borrower within the meaning of section 881(c)(3)(B) of the Code, or (C) a “controlled foreign corporation” described in section 881(c)(3)(C) of the Code and two (2) executed originals of IRS Form W-8BEN or IRS Form W-8BEN-E, or</w:t>
      </w:r>
    </w:p>
    <w:p>
      <w:pPr>
        <w:spacing w:after="0" w:line="215" w:lineRule="exact"/>
        <w:rPr>
          <w:rFonts w:ascii="Arial" w:cs="Arial" w:eastAsia="Arial" w:hAnsi="Arial"/>
          <w:sz w:val="22"/>
          <w:szCs w:val="22"/>
          <w:color w:val="auto"/>
        </w:rPr>
      </w:pPr>
    </w:p>
    <w:p>
      <w:pPr>
        <w:jc w:val="both"/>
        <w:ind w:left="1960" w:firstLine="641"/>
        <w:spacing w:after="0" w:line="279" w:lineRule="auto"/>
        <w:tabs>
          <w:tab w:leader="none" w:pos="33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originals of IRS Form W-8IMY, accompanied by IRS Form W-8ECI, IRS Form W-8BEN or IRS Form W-8BEN-E, a portfolio interest certificate in compliance with Section 2.13(f)(ii)(C)(1), IRS Form W-9, and/or other certification documents from each beneficial owner, as applicable; provided that if the Foreign Lender is a partnership and one or more partners of such Foreign Lender are claiming the portfolio interest exemption, such Foreign Lender may provide a certificate in compliance with Section 2.13(f)(ii)(C)(1) on behalf of such partner or partners.</w:t>
      </w:r>
    </w:p>
    <w:p>
      <w:pPr>
        <w:spacing w:after="0" w:line="178"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auto"/>
        </w:rPr>
        <w:t>In addition,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12" w:lineRule="exact"/>
        <w:rPr>
          <w:sz w:val="20"/>
          <w:szCs w:val="20"/>
          <w:color w:val="auto"/>
        </w:rPr>
      </w:pPr>
    </w:p>
    <w:p>
      <w:pPr>
        <w:jc w:val="both"/>
        <w:ind w:left="1300" w:firstLine="653"/>
        <w:spacing w:after="0" w:line="277" w:lineRule="auto"/>
        <w:tabs>
          <w:tab w:leader="none" w:pos="2637"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9" w:lineRule="exact"/>
        <w:rPr>
          <w:rFonts w:ascii="Arial" w:cs="Arial" w:eastAsia="Arial" w:hAnsi="Arial"/>
          <w:sz w:val="19"/>
          <w:szCs w:val="19"/>
          <w:color w:val="010000"/>
        </w:rPr>
      </w:pPr>
    </w:p>
    <w:p>
      <w:pPr>
        <w:jc w:val="both"/>
        <w:ind w:left="1300" w:firstLine="653"/>
        <w:spacing w:after="0" w:line="247" w:lineRule="auto"/>
        <w:tabs>
          <w:tab w:leader="none" w:pos="3205" w:val="left"/>
        </w:tabs>
        <w:numPr>
          <w:ilvl w:val="0"/>
          <w:numId w:val="40"/>
        </w:numPr>
        <w:rPr>
          <w:rFonts w:ascii="Arial" w:cs="Arial" w:eastAsia="Arial" w:hAnsi="Arial"/>
          <w:sz w:val="21"/>
          <w:szCs w:val="21"/>
          <w:color w:val="010000"/>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requested by the Borrower or the Administrative Agent as may be necessary for the Borrower or the Administrative Agent to comply with its obligations under FATCA, to determine that such Lender has complied with such Lender’s obligations under FATCA or to determine the amount to deduct and withhold from such payment. Solely for the purposes of this clause 2.14(f)(iv), “FATCA” shall include any amendments made to FATCA after the date of this Agreement.</w:t>
      </w:r>
    </w:p>
    <w:p>
      <w:pPr>
        <w:spacing w:after="0" w:line="215"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213" w:lineRule="exact"/>
        <w:rPr>
          <w:sz w:val="20"/>
          <w:szCs w:val="20"/>
          <w:color w:val="auto"/>
        </w:rPr>
      </w:pPr>
    </w:p>
    <w:p>
      <w:pPr>
        <w:jc w:val="both"/>
        <w:ind w:firstLine="1305"/>
        <w:spacing w:after="0" w:line="244" w:lineRule="auto"/>
        <w:tabs>
          <w:tab w:leader="none" w:pos="2318" w:val="left"/>
        </w:tabs>
        <w:numPr>
          <w:ilvl w:val="0"/>
          <w:numId w:val="41"/>
        </w:numPr>
        <w:rPr>
          <w:rFonts w:ascii="Arial" w:cs="Arial" w:eastAsia="Arial" w:hAnsi="Arial"/>
          <w:sz w:val="21"/>
          <w:szCs w:val="21"/>
          <w:color w:val="010000"/>
        </w:rPr>
      </w:pPr>
      <w:r>
        <w:rPr>
          <w:rFonts w:ascii="Arial" w:cs="Arial" w:eastAsia="Arial" w:hAnsi="Arial"/>
          <w:sz w:val="21"/>
          <w:szCs w:val="21"/>
          <w:color w:val="auto"/>
        </w:rPr>
        <w:t>In the event that an additional payment is made under Section 2.14(a) or 2.14(c) for the account of any Lender and such Lender, in its sole discretion exercised in good faith, determines that it has irrevocably received a refund of any tax paid or payable by it in respect of or calculated with reference to the deduction or withholding giving rise to such additional payment, such Lender shall, to the extent that it determines that it can do so without prejudice to the retention of the amount of such refund, pay to the Borrower such amount as such Lender shall, in its reasonable discretion exercised in good faith, have determined is attributable to such deduction or withholding and will leave such Lender (after such payment) in no worse position than it would have been had the Borrower not been required to make such deduction or withholding. Nothing contained in this Section 2.14(g) shall (i) interfere with the right of a Lender to arrange its tax affairs in whatever manner it thinks fit or (ii) oblige any Lender to disclose any information relating to its tax returns, tax affairs or any computations in respect thereof or (iii) require any Lender to take or refrain from taking any action that would prejudice its ability to benefit from any other credits, reliefs, remissions or repayments to which it may be entitled.</w:t>
      </w:r>
    </w:p>
    <w:p>
      <w:pPr>
        <w:spacing w:after="0" w:line="216" w:lineRule="exact"/>
        <w:rPr>
          <w:rFonts w:ascii="Arial" w:cs="Arial" w:eastAsia="Arial" w:hAnsi="Arial"/>
          <w:sz w:val="21"/>
          <w:szCs w:val="21"/>
          <w:color w:val="010000"/>
        </w:rPr>
      </w:pPr>
    </w:p>
    <w:p>
      <w:pPr>
        <w:ind w:left="1960" w:hanging="655"/>
        <w:spacing w:after="0"/>
        <w:tabs>
          <w:tab w:leader="none" w:pos="1960"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jc w:val="both"/>
        <w:ind w:firstLine="1305"/>
        <w:spacing w:after="0" w:line="258" w:lineRule="auto"/>
        <w:tabs>
          <w:tab w:leader="none" w:pos="2621" w:val="left"/>
        </w:tabs>
        <w:numPr>
          <w:ilvl w:val="0"/>
          <w:numId w:val="41"/>
        </w:numPr>
        <w:rPr>
          <w:rFonts w:ascii="Arial" w:cs="Arial" w:eastAsia="Arial" w:hAnsi="Arial"/>
          <w:sz w:val="21"/>
          <w:szCs w:val="21"/>
          <w:color w:val="010000"/>
        </w:rPr>
      </w:pPr>
      <w:r>
        <w:rPr>
          <w:rFonts w:ascii="Arial" w:cs="Arial" w:eastAsia="Arial" w:hAnsi="Arial"/>
          <w:sz w:val="21"/>
          <w:szCs w:val="21"/>
          <w:color w:val="auto"/>
        </w:rPr>
        <w:t>Each party’s obligations under this Section 2.14 shall survive the resignation or replacement of the Administrative Agent or any assignment of rights by, or the replacement of, a Lender, the termination of the Commitments and the repayment, satisfaction or discharge of all obligations under the Loan Documents.</w:t>
      </w:r>
    </w:p>
    <w:p>
      <w:pPr>
        <w:sectPr>
          <w:pgSz w:w="11900" w:h="16912" w:orient="portrait"/>
          <w:cols w:equalWidth="0" w:num="1">
            <w:col w:w="11420"/>
          </w:cols>
          <w:pgMar w:left="240" w:top="118" w:right="239" w:bottom="0" w:gutter="0" w:footer="0" w:header="0"/>
        </w:sectPr>
      </w:pPr>
    </w:p>
    <w:bookmarkStart w:id="30" w:name="page31"/>
    <w:bookmarkEnd w:id="30"/>
    <w:p>
      <w:pPr>
        <w:ind w:left="1960" w:hanging="655"/>
        <w:spacing w:after="0"/>
        <w:tabs>
          <w:tab w:leader="none" w:pos="1960" w:val="left"/>
        </w:tabs>
        <w:numPr>
          <w:ilvl w:val="0"/>
          <w:numId w:val="42"/>
        </w:numPr>
        <w:rPr>
          <w:rFonts w:ascii="Arial" w:cs="Arial" w:eastAsia="Arial" w:hAnsi="Arial"/>
          <w:sz w:val="22"/>
          <w:szCs w:val="22"/>
          <w:color w:val="010000"/>
        </w:rPr>
      </w:pPr>
      <w:r>
        <w:rPr>
          <w:rFonts w:ascii="Arial" w:cs="Arial" w:eastAsia="Arial" w:hAnsi="Arial"/>
          <w:sz w:val="22"/>
          <w:szCs w:val="22"/>
          <w:color w:val="auto"/>
        </w:rPr>
        <w:t>For purposes of this Section 2.14, the term “applicable law” includes FATCA.</w:t>
      </w:r>
    </w:p>
    <w:p>
      <w:pPr>
        <w:spacing w:after="0" w:line="23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010000"/>
        </w:rPr>
        <w:t xml:space="preserve">SECTION 2.15 </w:t>
      </w:r>
      <w:r>
        <w:rPr>
          <w:rFonts w:ascii="Arial" w:cs="Arial" w:eastAsia="Arial" w:hAnsi="Arial"/>
          <w:sz w:val="19"/>
          <w:szCs w:val="19"/>
          <w:u w:val="single" w:color="auto"/>
          <w:color w:val="000000"/>
        </w:rPr>
        <w:t>Sharing of Payments, Etc.</w:t>
      </w:r>
      <w:r>
        <w:rPr>
          <w:rFonts w:ascii="Arial" w:cs="Arial" w:eastAsia="Arial" w:hAnsi="Arial"/>
          <w:sz w:val="19"/>
          <w:szCs w:val="19"/>
          <w:color w:val="010000"/>
        </w:rPr>
        <w:t xml:space="preserve"> </w:t>
      </w:r>
      <w:r>
        <w:rPr>
          <w:rFonts w:ascii="Arial" w:cs="Arial" w:eastAsia="Arial" w:hAnsi="Arial"/>
          <w:sz w:val="19"/>
          <w:szCs w:val="19"/>
          <w:color w:val="000000"/>
        </w:rPr>
        <w:t>Subject to Section 2.18 in the case of a Defaulting Lender, if any</w:t>
      </w:r>
      <w:r>
        <w:rPr>
          <w:rFonts w:ascii="Arial" w:cs="Arial" w:eastAsia="Arial" w:hAnsi="Arial"/>
          <w:sz w:val="19"/>
          <w:szCs w:val="19"/>
          <w:color w:val="010000"/>
        </w:rPr>
        <w:t xml:space="preserve"> </w:t>
      </w:r>
      <w:r>
        <w:rPr>
          <w:rFonts w:ascii="Arial" w:cs="Arial" w:eastAsia="Arial" w:hAnsi="Arial"/>
          <w:sz w:val="19"/>
          <w:szCs w:val="19"/>
          <w:color w:val="000000"/>
        </w:rPr>
        <w:t xml:space="preserve">Lender shall obtain any payment (whether voluntary, involuntary, through the exercise of any right of setoff, or otherwise) on account of the Advances owing to it (other than pursuant to Section 2.02(c), 2.05(d), 2.05(e), 2.07(c), 2.11, 2.12(a), 2.14 or 8.04(c))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if all or any portion of such excess payment is thereafter recovered from such purchasing Lender, such purchase from each Lender shall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rescinded and such Lender shall repay to the purchasing Lender the purchase price to the extent of such recovery together with an amount equal to such Lender’s ratable share (according to the proportion of (a) the amount of such Lender’s required repayment to</w:t>
      </w:r>
    </w:p>
    <w:p>
      <w:pPr>
        <w:spacing w:after="0" w:line="2" w:lineRule="exact"/>
        <w:rPr>
          <w:sz w:val="20"/>
          <w:szCs w:val="20"/>
          <w:color w:val="auto"/>
        </w:rPr>
      </w:pPr>
    </w:p>
    <w:p>
      <w:pPr>
        <w:jc w:val="both"/>
        <w:ind w:firstLine="8"/>
        <w:spacing w:after="0" w:line="232" w:lineRule="auto"/>
        <w:tabs>
          <w:tab w:leader="none" w:pos="321"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 The provisions of this Section 2.15 shall not be construed to apply to (A) any payment made by the Borrower pursuant to and in accordance with the express terms of this Agreement as in effect from time to time or (B) any payment obtained by a Lender as consideration for the assignment of or sale of a participation in any of its Advances to any assignee or participant permitted hereunder.</w:t>
      </w:r>
    </w:p>
    <w:p>
      <w:pPr>
        <w:spacing w:after="0" w:line="21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010000"/>
        </w:rPr>
        <w:t xml:space="preserve">SECTION 2.16 </w:t>
      </w:r>
      <w:r>
        <w:rPr>
          <w:rFonts w:ascii="Arial" w:cs="Arial" w:eastAsia="Arial" w:hAnsi="Arial"/>
          <w:sz w:val="22"/>
          <w:szCs w:val="22"/>
          <w:u w:val="single" w:color="auto"/>
          <w:color w:val="000000"/>
        </w:rPr>
        <w:t>Use of Proceeds</w:t>
      </w:r>
      <w:r>
        <w:rPr>
          <w:rFonts w:ascii="Arial" w:cs="Arial" w:eastAsia="Arial" w:hAnsi="Arial"/>
          <w:sz w:val="22"/>
          <w:szCs w:val="22"/>
          <w:color w:val="000000"/>
        </w:rPr>
        <w:t>. The proceeds of the Advances shall be available, and the Borrower agrees that it</w:t>
      </w:r>
      <w:r>
        <w:rPr>
          <w:rFonts w:ascii="Arial" w:cs="Arial" w:eastAsia="Arial" w:hAnsi="Arial"/>
          <w:sz w:val="22"/>
          <w:szCs w:val="22"/>
          <w:color w:val="010000"/>
        </w:rPr>
        <w:t xml:space="preserve"> </w:t>
      </w:r>
      <w:r>
        <w:rPr>
          <w:rFonts w:ascii="Arial" w:cs="Arial" w:eastAsia="Arial" w:hAnsi="Arial"/>
          <w:sz w:val="22"/>
          <w:szCs w:val="22"/>
          <w:color w:val="000000"/>
        </w:rPr>
        <w:t>shall apply such proceeds, for general corporate purposes of the Borrower and its Subsidiaries.</w:t>
      </w:r>
    </w:p>
    <w:p>
      <w:pPr>
        <w:spacing w:after="0" w:line="200"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010000"/>
        </w:rPr>
        <w:t xml:space="preserve">SECTION 2.17 </w:t>
      </w:r>
      <w:r>
        <w:rPr>
          <w:rFonts w:ascii="Arial" w:cs="Arial" w:eastAsia="Arial" w:hAnsi="Arial"/>
          <w:sz w:val="22"/>
          <w:szCs w:val="22"/>
          <w:u w:val="single" w:color="auto"/>
          <w:color w:val="000000"/>
        </w:rPr>
        <w:t>Evidence of Debt</w:t>
      </w:r>
      <w:r>
        <w:rPr>
          <w:rFonts w:ascii="Arial" w:cs="Arial" w:eastAsia="Arial" w:hAnsi="Arial"/>
          <w:sz w:val="22"/>
          <w:szCs w:val="22"/>
          <w:color w:val="000000"/>
        </w:rPr>
        <w:t>. (a) The Register maintained by the Administrative Agent pursuant to</w:t>
      </w:r>
      <w:r>
        <w:rPr>
          <w:rFonts w:ascii="Arial" w:cs="Arial" w:eastAsia="Arial" w:hAnsi="Arial"/>
          <w:sz w:val="22"/>
          <w:szCs w:val="22"/>
          <w:color w:val="010000"/>
        </w:rPr>
        <w:t xml:space="preserve"> </w:t>
      </w:r>
      <w:r>
        <w:rPr>
          <w:rFonts w:ascii="Arial" w:cs="Arial" w:eastAsia="Arial" w:hAnsi="Arial"/>
          <w:sz w:val="22"/>
          <w:szCs w:val="22"/>
          <w:color w:val="000000"/>
        </w:rPr>
        <w:t>Section 8.07(d) shall include (i) the date and amount of each Borrowing made hereunder by the Borrower, the Type of Advances comprising such Borrowing and, if appropriate, the Interest Period applicable thereto, (ii) the terms of each Assignment and Acceptance delivered to and accepted by it, (iii) the amount of any principal or interest due and payable or to become due and payable from the Borrower to each Lender hereunder and (iv) the amount of any sum received by the Administrative Agent from the Borrower hereunder and each Lender’s share thereof.</w:t>
      </w:r>
    </w:p>
    <w:p>
      <w:pPr>
        <w:spacing w:after="0" w:line="215" w:lineRule="exact"/>
        <w:rPr>
          <w:sz w:val="20"/>
          <w:szCs w:val="20"/>
          <w:color w:val="auto"/>
        </w:rPr>
      </w:pPr>
    </w:p>
    <w:p>
      <w:pPr>
        <w:jc w:val="both"/>
        <w:ind w:firstLine="1305"/>
        <w:spacing w:after="0" w:line="282" w:lineRule="auto"/>
        <w:tabs>
          <w:tab w:leader="none" w:pos="2588"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 xml:space="preserve">Entries made reasonably and in good faith by the Administrative Agent in the Register pursuant to subsection (a) above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amount of principal and interest due and payable or to become due and payable from the Borrower to each Lender under this Agreement,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the Administrative Agent to make an entry, or any finding that an entry is incorrect, in the Register or such account or accounts shall not limit, expand or otherwise affect the obligations of the Borrower under this Agreement.</w:t>
      </w:r>
    </w:p>
    <w:p>
      <w:pPr>
        <w:spacing w:after="0" w:line="175"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2.18</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7" w:lineRule="auto"/>
        <w:tabs>
          <w:tab w:leader="none" w:pos="2401"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Notwithstanding any provision of this Agreement to the contrary, if any Lender becomes a Defaulting Lender, then the following provisions shall apply for so long as such Lender is a Defaulting Lender (it being understood that the determination of whether a Lender is no longer a Defaulting Lender shall be made as described in Section 2.18(b)):</w:t>
      </w:r>
    </w:p>
    <w:p>
      <w:pPr>
        <w:spacing w:after="0" w:line="161" w:lineRule="exact"/>
        <w:rPr>
          <w:rFonts w:ascii="Arial" w:cs="Arial" w:eastAsia="Arial" w:hAnsi="Arial"/>
          <w:sz w:val="19"/>
          <w:szCs w:val="19"/>
          <w:color w:val="010000"/>
        </w:rPr>
      </w:pPr>
    </w:p>
    <w:p>
      <w:pPr>
        <w:ind w:left="3020" w:hanging="1067"/>
        <w:spacing w:after="0"/>
        <w:tabs>
          <w:tab w:leader="none" w:pos="3020" w:val="left"/>
        </w:tabs>
        <w:numPr>
          <w:ilvl w:val="1"/>
          <w:numId w:val="45"/>
        </w:numPr>
        <w:rPr>
          <w:rFonts w:ascii="Arial" w:cs="Arial" w:eastAsia="Arial" w:hAnsi="Arial"/>
          <w:sz w:val="19"/>
          <w:szCs w:val="19"/>
          <w:color w:val="010000"/>
        </w:rPr>
      </w:pPr>
      <w:r>
        <w:rPr>
          <w:rFonts w:ascii="Arial" w:cs="Arial" w:eastAsia="Arial" w:hAnsi="Arial"/>
          <w:sz w:val="19"/>
          <w:szCs w:val="19"/>
          <w:color w:val="auto"/>
        </w:rPr>
        <w:t>such Defaulting Lender will not be entitled to any fees accruing during such period pursuant to</w:t>
      </w:r>
    </w:p>
    <w:p>
      <w:pPr>
        <w:spacing w:after="0" w:line="42" w:lineRule="exact"/>
        <w:rPr>
          <w:rFonts w:ascii="Arial" w:cs="Arial" w:eastAsia="Arial" w:hAnsi="Arial"/>
          <w:sz w:val="19"/>
          <w:szCs w:val="19"/>
          <w:color w:val="010000"/>
        </w:rPr>
      </w:pPr>
    </w:p>
    <w:p>
      <w:pPr>
        <w:ind w:left="1300"/>
        <w:spacing w:after="0"/>
        <w:rPr>
          <w:rFonts w:ascii="Arial" w:cs="Arial" w:eastAsia="Arial" w:hAnsi="Arial"/>
          <w:sz w:val="19"/>
          <w:szCs w:val="19"/>
          <w:color w:val="010000"/>
        </w:rPr>
      </w:pPr>
      <w:r>
        <w:rPr>
          <w:rFonts w:ascii="Arial" w:cs="Arial" w:eastAsia="Arial" w:hAnsi="Arial"/>
          <w:sz w:val="22"/>
          <w:szCs w:val="22"/>
          <w:color w:val="auto"/>
        </w:rPr>
        <w:t>Section 2.04(a);</w:t>
      </w:r>
    </w:p>
    <w:p>
      <w:pPr>
        <w:spacing w:after="0" w:line="215" w:lineRule="exact"/>
        <w:rPr>
          <w:rFonts w:ascii="Arial" w:cs="Arial" w:eastAsia="Arial" w:hAnsi="Arial"/>
          <w:sz w:val="19"/>
          <w:szCs w:val="19"/>
          <w:color w:val="010000"/>
        </w:rPr>
      </w:pPr>
    </w:p>
    <w:p>
      <w:pPr>
        <w:ind w:left="1300" w:firstLine="653"/>
        <w:spacing w:after="0" w:line="251" w:lineRule="auto"/>
        <w:tabs>
          <w:tab w:leader="none" w:pos="2658" w:val="left"/>
        </w:tabs>
        <w:numPr>
          <w:ilvl w:val="1"/>
          <w:numId w:val="45"/>
        </w:numPr>
        <w:rPr>
          <w:rFonts w:ascii="Arial" w:cs="Arial" w:eastAsia="Arial" w:hAnsi="Arial"/>
          <w:sz w:val="22"/>
          <w:szCs w:val="22"/>
          <w:color w:val="010000"/>
        </w:rPr>
      </w:pPr>
      <w:r>
        <w:rPr>
          <w:rFonts w:ascii="Arial" w:cs="Arial" w:eastAsia="Arial" w:hAnsi="Arial"/>
          <w:sz w:val="22"/>
          <w:szCs w:val="22"/>
          <w:color w:val="auto"/>
        </w:rPr>
        <w:t>to the fullest extent permitted by applicable law, such Lender will not be entitled to vote in respect of amendments and waivers hereunder, and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00"/>
        <w:spacing w:after="0" w:line="245" w:lineRule="auto"/>
        <w:rPr>
          <w:sz w:val="20"/>
          <w:szCs w:val="20"/>
          <w:color w:val="auto"/>
        </w:rPr>
      </w:pPr>
      <w:r>
        <w:rPr>
          <w:rFonts w:ascii="Arial" w:cs="Arial" w:eastAsia="Arial" w:hAnsi="Arial"/>
          <w:sz w:val="21"/>
          <w:szCs w:val="21"/>
          <w:color w:val="auto"/>
        </w:rPr>
        <w:t xml:space="preserve">Commitment and the outstanding Advances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 and</w:t>
      </w:r>
    </w:p>
    <w:p>
      <w:pPr>
        <w:sectPr>
          <w:pgSz w:w="11900" w:h="16838" w:orient="portrait"/>
          <w:cols w:equalWidth="0" w:num="1">
            <w:col w:w="11420"/>
          </w:cols>
          <w:pgMar w:left="240" w:top="361" w:right="239" w:bottom="0" w:gutter="0" w:footer="0" w:header="0"/>
        </w:sectPr>
      </w:pPr>
    </w:p>
    <w:bookmarkStart w:id="31" w:name="page32"/>
    <w:bookmarkEnd w:id="31"/>
    <w:p>
      <w:pPr>
        <w:spacing w:after="0" w:line="106" w:lineRule="exact"/>
        <w:rPr>
          <w:sz w:val="20"/>
          <w:szCs w:val="20"/>
          <w:color w:val="auto"/>
        </w:rPr>
      </w:pPr>
    </w:p>
    <w:p>
      <w:pPr>
        <w:ind w:left="1300" w:firstLine="653"/>
        <w:spacing w:after="0" w:line="251" w:lineRule="auto"/>
        <w:tabs>
          <w:tab w:leader="none" w:pos="3042"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the Borrower may, at its sole expense and effort, require such Defaulting Lender to assign and delegate its interests, rights and obligations under this Agreement pursuant to Section 8.07.</w:t>
      </w:r>
    </w:p>
    <w:p>
      <w:pPr>
        <w:spacing w:after="0" w:line="200" w:lineRule="exact"/>
        <w:rPr>
          <w:rFonts w:ascii="Arial" w:cs="Arial" w:eastAsia="Arial" w:hAnsi="Arial"/>
          <w:sz w:val="22"/>
          <w:szCs w:val="22"/>
          <w:color w:val="010000"/>
        </w:rPr>
      </w:pPr>
    </w:p>
    <w:p>
      <w:pPr>
        <w:jc w:val="both"/>
        <w:ind w:firstLine="1305"/>
        <w:spacing w:after="0" w:line="273" w:lineRule="auto"/>
        <w:tabs>
          <w:tab w:leader="none" w:pos="1994"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 xml:space="preserve">If the Borrower and the Administrative Agent agree in writing in their discretion that a Lender is no longer a Defaulting Lender, the Administrative Agent will so notify the parties hereto, whereupon as of the effective date specified in such notice and subject to any conditions set forth therein, such Lender will, to the extent applicable, purchase at par such portion of outstanding Advances of the other Lenders and/or make such other adjustments as the Administrative Agent may determine to be necessary to cause the Advances and unused Commitments to be on a pro rata basis in accordance with their respective Commitments, whereupon such Lender will cease to be a Defaulting Lender and will be a Non-Defaulting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88" w:lineRule="exact"/>
        <w:rPr>
          <w:rFonts w:ascii="Arial" w:cs="Arial" w:eastAsia="Arial" w:hAnsi="Arial"/>
          <w:sz w:val="19"/>
          <w:szCs w:val="19"/>
          <w:color w:val="010000"/>
        </w:rPr>
      </w:pPr>
    </w:p>
    <w:p>
      <w:pPr>
        <w:jc w:val="both"/>
        <w:ind w:firstLine="1305"/>
        <w:spacing w:after="0" w:line="244" w:lineRule="auto"/>
        <w:tabs>
          <w:tab w:leader="none" w:pos="2144" w:val="left"/>
        </w:tabs>
        <w:numPr>
          <w:ilvl w:val="0"/>
          <w:numId w:val="47"/>
        </w:numPr>
        <w:rPr>
          <w:rFonts w:ascii="Arial" w:cs="Arial" w:eastAsia="Arial" w:hAnsi="Arial"/>
          <w:sz w:val="21"/>
          <w:szCs w:val="21"/>
          <w:color w:val="010000"/>
        </w:rPr>
      </w:pPr>
      <w:r>
        <w:rPr>
          <w:rFonts w:ascii="Arial" w:cs="Arial" w:eastAsia="Arial" w:hAnsi="Arial"/>
          <w:sz w:val="21"/>
          <w:szCs w:val="21"/>
          <w:color w:val="auto"/>
        </w:rPr>
        <w:t xml:space="preserve">Any payment of principal, interest, fees or other amounts received by the Administrative Agent hereunder for the account of such Defaulting Lender (whether voluntary or mandatory, at maturity, pursuant to Section 6.01 or otherwise) or received by the Administrative Agent from a Defaulting Lender pursuant to Section 8.05 shall be applied at such time or times as follows: </w:t>
      </w:r>
      <w:r>
        <w:rPr>
          <w:rFonts w:ascii="Arial" w:cs="Arial" w:eastAsia="Arial" w:hAnsi="Arial"/>
          <w:sz w:val="21"/>
          <w:szCs w:val="21"/>
          <w:i w:val="1"/>
          <w:iCs w:val="1"/>
          <w:color w:val="auto"/>
        </w:rPr>
        <w:t>first</w:t>
      </w:r>
      <w:r>
        <w:rPr>
          <w:rFonts w:ascii="Arial" w:cs="Arial" w:eastAsia="Arial" w:hAnsi="Arial"/>
          <w:sz w:val="21"/>
          <w:szCs w:val="21"/>
          <w:color w:val="auto"/>
        </w:rPr>
        <w:t xml:space="preserve">, to the payment of any amounts owing by such Defaulting Lender to the Administrative Agent hereunder; </w:t>
      </w:r>
      <w:r>
        <w:rPr>
          <w:rFonts w:ascii="Arial" w:cs="Arial" w:eastAsia="Arial" w:hAnsi="Arial"/>
          <w:sz w:val="21"/>
          <w:szCs w:val="21"/>
          <w:i w:val="1"/>
          <w:iCs w:val="1"/>
          <w:color w:val="auto"/>
        </w:rPr>
        <w:t>second</w:t>
      </w:r>
      <w:r>
        <w:rPr>
          <w:rFonts w:ascii="Arial" w:cs="Arial" w:eastAsia="Arial" w:hAnsi="Arial"/>
          <w:sz w:val="21"/>
          <w:szCs w:val="21"/>
          <w:color w:val="auto"/>
        </w:rPr>
        <w:t xml:space="preserve"> as the Borrower may request (so long as no Default or Event of Default exists), to the funding of any Advance in respect of which such Defaulting Lender has failed to fund its portion thereof as required by this Agreement, as reasonably determined by the Administrative Agent; </w:t>
      </w:r>
      <w:r>
        <w:rPr>
          <w:rFonts w:ascii="Arial" w:cs="Arial" w:eastAsia="Arial" w:hAnsi="Arial"/>
          <w:sz w:val="21"/>
          <w:szCs w:val="21"/>
          <w:i w:val="1"/>
          <w:iCs w:val="1"/>
          <w:color w:val="auto"/>
        </w:rPr>
        <w:t>third</w:t>
      </w:r>
      <w:r>
        <w:rPr>
          <w:rFonts w:ascii="Arial" w:cs="Arial" w:eastAsia="Arial" w:hAnsi="Arial"/>
          <w:sz w:val="21"/>
          <w:szCs w:val="21"/>
          <w:color w:val="auto"/>
        </w:rPr>
        <w:t xml:space="preserve">, as the Borrower may request, to be held in a deposit account and released pro rata in order to satisfy such Defaulting Lender’s potential future funding obligations with respect to Advances under this Agreement; </w:t>
      </w:r>
      <w:r>
        <w:rPr>
          <w:rFonts w:ascii="Arial" w:cs="Arial" w:eastAsia="Arial" w:hAnsi="Arial"/>
          <w:sz w:val="21"/>
          <w:szCs w:val="21"/>
          <w:i w:val="1"/>
          <w:iCs w:val="1"/>
          <w:color w:val="auto"/>
        </w:rPr>
        <w:t>fourth</w:t>
      </w:r>
      <w:r>
        <w:rPr>
          <w:rFonts w:ascii="Arial" w:cs="Arial" w:eastAsia="Arial" w:hAnsi="Arial"/>
          <w:sz w:val="21"/>
          <w:szCs w:val="21"/>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21"/>
          <w:szCs w:val="21"/>
          <w:i w:val="1"/>
          <w:iCs w:val="1"/>
          <w:color w:val="auto"/>
        </w:rPr>
        <w:t>fifth</w:t>
      </w:r>
      <w:r>
        <w:rPr>
          <w:rFonts w:ascii="Arial" w:cs="Arial" w:eastAsia="Arial" w:hAnsi="Arial"/>
          <w:sz w:val="21"/>
          <w:szCs w:val="21"/>
          <w:color w:val="auto"/>
        </w:rPr>
        <w:t>, to the payment of any amounts owing to the Borrower as a result of any judgment of a court of competent jurisdiction obtained by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Borrower against such Defaulting Lender as a result of such Defaulting Lender’s breach of its obligations under this Agreement; and </w:t>
      </w:r>
      <w:r>
        <w:rPr>
          <w:rFonts w:ascii="Arial" w:cs="Arial" w:eastAsia="Arial" w:hAnsi="Arial"/>
          <w:sz w:val="22"/>
          <w:szCs w:val="22"/>
          <w:i w:val="1"/>
          <w:iCs w:val="1"/>
          <w:color w:val="auto"/>
        </w:rPr>
        <w:t>sixth</w:t>
      </w:r>
      <w:r>
        <w:rPr>
          <w:rFonts w:ascii="Arial" w:cs="Arial" w:eastAsia="Arial" w:hAnsi="Arial"/>
          <w:sz w:val="22"/>
          <w:szCs w:val="22"/>
          <w:color w:val="auto"/>
        </w:rPr>
        <w:t>, to such Defaulting Lender or as otherwise directed by a court of competent jurisdiction. Any payments, prepayments or other amounts paid or payable to a Defaulting Lender that are applied (or held) to pay amounts owed by a Defaulting Lender or otherwise pursuant to this Section 2.18(c) shall be deemed paid to and redirected by such Defaulting Lender, and each Lender irrevocably consents hereto.</w:t>
      </w:r>
    </w:p>
    <w:p>
      <w:pPr>
        <w:spacing w:after="0" w:line="215"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SECTION 2.19 </w:t>
      </w:r>
      <w:r>
        <w:rPr>
          <w:rFonts w:ascii="Arial" w:cs="Arial" w:eastAsia="Arial" w:hAnsi="Arial"/>
          <w:sz w:val="21"/>
          <w:szCs w:val="21"/>
          <w:u w:val="single" w:color="auto"/>
          <w:color w:val="auto"/>
        </w:rPr>
        <w:t>Mitigation</w:t>
      </w:r>
      <w:r>
        <w:rPr>
          <w:rFonts w:ascii="Arial" w:cs="Arial" w:eastAsia="Arial" w:hAnsi="Arial"/>
          <w:sz w:val="21"/>
          <w:szCs w:val="21"/>
          <w:color w:val="auto"/>
        </w:rPr>
        <w:t>. (a) Each Lender shall promptly notify the Borrower and the Administrative Agent of any event of which it has knowledge that will result in, and will use reasonable commercial efforts available to it (and not, in such Lender’s good faith judgment, otherwise disadvantageous to such Lender) to mitigate or avoid, (i) any obligation by the Borrower to pay any amount pursuant to Section 2.11 or 2.14 or (ii) the occurrence of any circumstance described in Section 2.12 (and, if any Lender has given notice of any such event described in clause (i) or (ii) above and thereafter such event ceases to exist, such Lender shall promptly so notify the Borrower and the Administrative Agent). In furtherance of the foregoing, each Lender will designate a different funding office if such designation will avoid (or reduce the cost to the Borrower of) any event described in clause (i) or (ii) of the preceding sentence and such designation will not, in such Lender’s good faith judgment, be otherwise disadvantageous to such Lender.</w:t>
      </w:r>
    </w:p>
    <w:p>
      <w:pPr>
        <w:spacing w:after="0" w:line="212" w:lineRule="exact"/>
        <w:rPr>
          <w:sz w:val="20"/>
          <w:szCs w:val="20"/>
          <w:color w:val="auto"/>
        </w:rPr>
      </w:pPr>
    </w:p>
    <w:p>
      <w:pPr>
        <w:jc w:val="both"/>
        <w:ind w:firstLine="1305"/>
        <w:spacing w:after="0" w:line="236" w:lineRule="auto"/>
        <w:tabs>
          <w:tab w:leader="none" w:pos="2197"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Notwithstanding any other provision of this Agreement, if any Lender fails to notify the Borrower of any event or circumstance which will entitle such Lender to compensation pursuant to Section 2.11 within 180 days after such Lender obtains knowledge of such event or circumstance, then such Lender shall not be entitled to compensation from the Borrower for any amount arising prior to the date which is 180 days before the date on which such Lender notifies the Borrower of such event or circumstance.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III</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TO EFFECTIVENESS AND LENDING</w:t>
      </w:r>
    </w:p>
    <w:p>
      <w:pPr>
        <w:spacing w:after="0" w:line="239" w:lineRule="exact"/>
        <w:rPr>
          <w:sz w:val="20"/>
          <w:szCs w:val="20"/>
          <w:color w:val="auto"/>
        </w:rPr>
      </w:pPr>
    </w:p>
    <w:p>
      <w:pPr>
        <w:ind w:firstLine="1297"/>
        <w:spacing w:after="0" w:line="274" w:lineRule="auto"/>
        <w:rPr>
          <w:sz w:val="20"/>
          <w:szCs w:val="20"/>
          <w:color w:val="auto"/>
        </w:rPr>
      </w:pPr>
      <w:r>
        <w:rPr>
          <w:rFonts w:ascii="Arial" w:cs="Arial" w:eastAsia="Arial" w:hAnsi="Arial"/>
          <w:sz w:val="21"/>
          <w:szCs w:val="21"/>
          <w:color w:val="010000"/>
        </w:rPr>
        <w:t xml:space="preserve">SECTION 3.01 </w:t>
      </w:r>
      <w:r>
        <w:rPr>
          <w:rFonts w:ascii="Arial" w:cs="Arial" w:eastAsia="Arial" w:hAnsi="Arial"/>
          <w:sz w:val="21"/>
          <w:szCs w:val="21"/>
          <w:u w:val="single" w:color="auto"/>
          <w:color w:val="000000"/>
        </w:rPr>
        <w:t>Conditions Precedent to Effective Date</w:t>
      </w:r>
      <w:r>
        <w:rPr>
          <w:rFonts w:ascii="Arial" w:cs="Arial" w:eastAsia="Arial" w:hAnsi="Arial"/>
          <w:sz w:val="21"/>
          <w:szCs w:val="21"/>
          <w:color w:val="000000"/>
        </w:rPr>
        <w:t>. This Agreement shall become effective on and as of the</w:t>
      </w:r>
      <w:r>
        <w:rPr>
          <w:rFonts w:ascii="Arial" w:cs="Arial" w:eastAsia="Arial" w:hAnsi="Arial"/>
          <w:sz w:val="21"/>
          <w:szCs w:val="21"/>
          <w:color w:val="010000"/>
        </w:rPr>
        <w:t xml:space="preserve"> </w:t>
      </w:r>
      <w:r>
        <w:rPr>
          <w:rFonts w:ascii="Arial" w:cs="Arial" w:eastAsia="Arial" w:hAnsi="Arial"/>
          <w:sz w:val="21"/>
          <w:szCs w:val="21"/>
          <w:color w:val="000000"/>
        </w:rPr>
        <w:t>first date on which the following conditions precedent have been satisfied (or waived in accordance with Section 8.01):</w:t>
      </w:r>
    </w:p>
    <w:p>
      <w:pPr>
        <w:spacing w:after="0" w:line="178" w:lineRule="exact"/>
        <w:rPr>
          <w:sz w:val="20"/>
          <w:szCs w:val="20"/>
          <w:color w:val="auto"/>
        </w:rPr>
      </w:pPr>
    </w:p>
    <w:p>
      <w:pPr>
        <w:jc w:val="both"/>
        <w:ind w:left="660" w:firstLine="645"/>
        <w:spacing w:after="0" w:line="238" w:lineRule="auto"/>
        <w:tabs>
          <w:tab w:leader="none" w:pos="2034"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The Administrative Agent (or its counsel) shall have received from each party hereto either (i) a counterpart of this Agreement and the other Loan Documents signed on behalf of such party or (ii) written evidence reasonably satisfactory to the Administrative Agent (which may include .pdf or facsimile transmission of a signed signature page of this Agreement) that such party has signed a counterpart of this Agreement.</w:t>
      </w:r>
    </w:p>
    <w:p>
      <w:pPr>
        <w:spacing w:after="0" w:line="212" w:lineRule="exact"/>
        <w:rPr>
          <w:rFonts w:ascii="Arial" w:cs="Arial" w:eastAsia="Arial" w:hAnsi="Arial"/>
          <w:sz w:val="22"/>
          <w:szCs w:val="22"/>
          <w:color w:val="010000"/>
        </w:rPr>
      </w:pPr>
    </w:p>
    <w:p>
      <w:pPr>
        <w:jc w:val="both"/>
        <w:ind w:left="660" w:firstLine="645"/>
        <w:spacing w:after="0" w:line="297" w:lineRule="auto"/>
        <w:tabs>
          <w:tab w:leader="none" w:pos="1965"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fees and other amounts then due and payable by the Consolidated Group to the Administrative Agent, the Arranger and the Lenders under the Loan Documents or pursuant to any fee or similar letters relating to the Loan Documents shall be paid, to the extent invoiced by the relevant person at least one Business Day prior to the</w:t>
      </w:r>
    </w:p>
    <w:p>
      <w:pPr>
        <w:sectPr>
          <w:pgSz w:w="11900" w:h="16944" w:orient="portrait"/>
          <w:cols w:equalWidth="0" w:num="1">
            <w:col w:w="11420"/>
          </w:cols>
          <w:pgMar w:left="240" w:top="118" w:right="239" w:bottom="0" w:gutter="0" w:footer="0" w:header="0"/>
        </w:sectPr>
      </w:pPr>
    </w:p>
    <w:bookmarkStart w:id="32" w:name="page33"/>
    <w:bookmarkEnd w:id="32"/>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Effective Date and to the extent such amounts are payable on or prior to the Effective Date.</w:t>
      </w:r>
    </w:p>
    <w:p>
      <w:pPr>
        <w:spacing w:after="0" w:line="233" w:lineRule="exact"/>
        <w:rPr>
          <w:sz w:val="20"/>
          <w:szCs w:val="20"/>
          <w:color w:val="auto"/>
        </w:rPr>
      </w:pPr>
    </w:p>
    <w:p>
      <w:pPr>
        <w:ind w:left="660" w:firstLine="645"/>
        <w:spacing w:after="0" w:line="251" w:lineRule="auto"/>
        <w:tabs>
          <w:tab w:leader="none" w:pos="2574"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The Administrative Agent shall have received on or before the Effective Date, each dated on or, as applicable, prior to such date:</w:t>
      </w:r>
    </w:p>
    <w:p>
      <w:pPr>
        <w:spacing w:after="0" w:line="200" w:lineRule="exact"/>
        <w:rPr>
          <w:rFonts w:ascii="Arial" w:cs="Arial" w:eastAsia="Arial" w:hAnsi="Arial"/>
          <w:sz w:val="22"/>
          <w:szCs w:val="22"/>
          <w:color w:val="010000"/>
        </w:rPr>
      </w:pPr>
    </w:p>
    <w:p>
      <w:pPr>
        <w:jc w:val="both"/>
        <w:ind w:left="1300" w:firstLine="653"/>
        <w:spacing w:after="0"/>
        <w:tabs>
          <w:tab w:leader="none" w:pos="2665" w:val="left"/>
        </w:tabs>
        <w:numPr>
          <w:ilvl w:val="1"/>
          <w:numId w:val="50"/>
        </w:numPr>
        <w:rPr>
          <w:rFonts w:ascii="Arial" w:cs="Arial" w:eastAsia="Arial" w:hAnsi="Arial"/>
          <w:sz w:val="22"/>
          <w:szCs w:val="22"/>
          <w:color w:val="010000"/>
        </w:rPr>
      </w:pPr>
      <w:r>
        <w:rPr>
          <w:rFonts w:ascii="Arial" w:cs="Arial" w:eastAsia="Arial" w:hAnsi="Arial"/>
          <w:sz w:val="22"/>
          <w:szCs w:val="22"/>
          <w:color w:val="auto"/>
        </w:rPr>
        <w:t>Certified copies of the resolutions or similar authorizing documentation of the governing body of the Borrower authorizing the Transactions and such Person to enter into and perform its obligations under the Loan Documents to which it is a party;</w:t>
      </w:r>
    </w:p>
    <w:p>
      <w:pPr>
        <w:spacing w:after="0" w:line="213" w:lineRule="exact"/>
        <w:rPr>
          <w:rFonts w:ascii="Arial" w:cs="Arial" w:eastAsia="Arial" w:hAnsi="Arial"/>
          <w:sz w:val="22"/>
          <w:szCs w:val="22"/>
          <w:color w:val="010000"/>
        </w:rPr>
      </w:pPr>
    </w:p>
    <w:p>
      <w:pPr>
        <w:ind w:left="1300" w:right="20" w:firstLine="653"/>
        <w:spacing w:after="0" w:line="251" w:lineRule="auto"/>
        <w:tabs>
          <w:tab w:leader="none" w:pos="2766" w:val="left"/>
        </w:tabs>
        <w:numPr>
          <w:ilvl w:val="1"/>
          <w:numId w:val="50"/>
        </w:numPr>
        <w:rPr>
          <w:rFonts w:ascii="Arial" w:cs="Arial" w:eastAsia="Arial" w:hAnsi="Arial"/>
          <w:sz w:val="22"/>
          <w:szCs w:val="22"/>
          <w:color w:val="010000"/>
        </w:rPr>
      </w:pPr>
      <w:r>
        <w:rPr>
          <w:rFonts w:ascii="Arial" w:cs="Arial" w:eastAsia="Arial" w:hAnsi="Arial"/>
          <w:sz w:val="22"/>
          <w:szCs w:val="22"/>
          <w:color w:val="auto"/>
        </w:rPr>
        <w:t>A good standing certificate or similar certificate dated a date reasonably close to the Effective Date from the jurisdiction of organization of the Borrower;</w:t>
      </w:r>
    </w:p>
    <w:p>
      <w:pPr>
        <w:spacing w:after="0" w:line="200" w:lineRule="exact"/>
        <w:rPr>
          <w:rFonts w:ascii="Arial" w:cs="Arial" w:eastAsia="Arial" w:hAnsi="Arial"/>
          <w:sz w:val="22"/>
          <w:szCs w:val="22"/>
          <w:color w:val="010000"/>
        </w:rPr>
      </w:pPr>
    </w:p>
    <w:p>
      <w:pPr>
        <w:ind w:left="1300" w:firstLine="653"/>
        <w:spacing w:after="0" w:line="251" w:lineRule="auto"/>
        <w:tabs>
          <w:tab w:leader="none" w:pos="3028" w:val="left"/>
        </w:tabs>
        <w:numPr>
          <w:ilvl w:val="1"/>
          <w:numId w:val="50"/>
        </w:numPr>
        <w:rPr>
          <w:rFonts w:ascii="Arial" w:cs="Arial" w:eastAsia="Arial" w:hAnsi="Arial"/>
          <w:sz w:val="22"/>
          <w:szCs w:val="22"/>
          <w:color w:val="010000"/>
        </w:rPr>
      </w:pPr>
      <w:r>
        <w:rPr>
          <w:rFonts w:ascii="Arial" w:cs="Arial" w:eastAsia="Arial" w:hAnsi="Arial"/>
          <w:sz w:val="22"/>
          <w:szCs w:val="22"/>
          <w:color w:val="auto"/>
        </w:rPr>
        <w:t>A customary certificate of the Borrower certifying the names and true signatures of its officers authorized to sign this Agreement and the other documents to be delivered by it hereunder; and</w:t>
      </w:r>
    </w:p>
    <w:p>
      <w:pPr>
        <w:spacing w:after="0" w:line="200" w:lineRule="exact"/>
        <w:rPr>
          <w:rFonts w:ascii="Arial" w:cs="Arial" w:eastAsia="Arial" w:hAnsi="Arial"/>
          <w:sz w:val="22"/>
          <w:szCs w:val="22"/>
          <w:color w:val="010000"/>
        </w:rPr>
      </w:pPr>
    </w:p>
    <w:p>
      <w:pPr>
        <w:ind w:left="1300" w:right="20" w:firstLine="653"/>
        <w:spacing w:after="0" w:line="251" w:lineRule="auto"/>
        <w:tabs>
          <w:tab w:leader="none" w:pos="2962" w:val="left"/>
        </w:tabs>
        <w:numPr>
          <w:ilvl w:val="1"/>
          <w:numId w:val="50"/>
        </w:numPr>
        <w:rPr>
          <w:rFonts w:ascii="Arial" w:cs="Arial" w:eastAsia="Arial" w:hAnsi="Arial"/>
          <w:sz w:val="22"/>
          <w:szCs w:val="22"/>
          <w:color w:val="010000"/>
        </w:rPr>
      </w:pPr>
      <w:r>
        <w:rPr>
          <w:rFonts w:ascii="Arial" w:cs="Arial" w:eastAsia="Arial" w:hAnsi="Arial"/>
          <w:sz w:val="22"/>
          <w:szCs w:val="22"/>
          <w:color w:val="auto"/>
        </w:rPr>
        <w:t>A favorable opinion letter of Wachtell, Lipton, Rosen &amp; Katz in form and substance reasonably satisfactory to the Administrative Agent.</w:t>
      </w:r>
    </w:p>
    <w:p>
      <w:pPr>
        <w:spacing w:after="0" w:line="200" w:lineRule="exact"/>
        <w:rPr>
          <w:rFonts w:ascii="Arial" w:cs="Arial" w:eastAsia="Arial" w:hAnsi="Arial"/>
          <w:sz w:val="22"/>
          <w:szCs w:val="22"/>
          <w:color w:val="010000"/>
        </w:rPr>
      </w:pPr>
    </w:p>
    <w:p>
      <w:pPr>
        <w:jc w:val="both"/>
        <w:ind w:left="660" w:firstLine="645"/>
        <w:spacing w:after="0" w:line="238" w:lineRule="auto"/>
        <w:tabs>
          <w:tab w:leader="none" w:pos="1952"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The Administrative Agent shall have received, at least 3 Business Days prior to the Effective Date, so long as requested no less than 10 Business Days prior to the Effective Date, all documentation and other information required by regulatory authorities under applicable “know your customer” and anti-money laundering rules and regulations, including the Patriot Act, in each case relating to the Borrower.</w:t>
      </w:r>
    </w:p>
    <w:p>
      <w:pPr>
        <w:spacing w:after="0" w:line="212" w:lineRule="exact"/>
        <w:rPr>
          <w:rFonts w:ascii="Arial" w:cs="Arial" w:eastAsia="Arial" w:hAnsi="Arial"/>
          <w:sz w:val="22"/>
          <w:szCs w:val="22"/>
          <w:color w:val="010000"/>
        </w:rPr>
      </w:pPr>
    </w:p>
    <w:p>
      <w:pPr>
        <w:jc w:val="both"/>
        <w:ind w:left="660" w:firstLine="645"/>
        <w:spacing w:after="0" w:line="275" w:lineRule="auto"/>
        <w:tabs>
          <w:tab w:leader="none" w:pos="2048" w:val="left"/>
        </w:tabs>
        <w:numPr>
          <w:ilvl w:val="0"/>
          <w:numId w:val="50"/>
        </w:numPr>
        <w:rPr>
          <w:rFonts w:ascii="Arial" w:cs="Arial" w:eastAsia="Arial" w:hAnsi="Arial"/>
          <w:sz w:val="19"/>
          <w:szCs w:val="19"/>
          <w:color w:val="auto"/>
        </w:rPr>
      </w:pPr>
      <w:r>
        <w:rPr>
          <w:rFonts w:ascii="Arial" w:cs="Arial" w:eastAsia="Arial" w:hAnsi="Arial"/>
          <w:sz w:val="19"/>
          <w:szCs w:val="19"/>
          <w:color w:val="auto"/>
        </w:rPr>
        <w:t>On the Effective Date, (x) no Default has occurred and is continuing and (y) each of the representations and warranties set forth in Section 4.01 are true and correct in all material respects (except to the extent such representations and warranties are qualified with “materiality” or “Material Adverse Effect” or similar terms, in which case such representations and warranties shall be true and correct in all respects) as of the Effective Date,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 and warranties shall be true and correct in all respects) on and as of such earlier date.</w:t>
      </w:r>
    </w:p>
    <w:p>
      <w:pPr>
        <w:spacing w:after="0" w:line="185" w:lineRule="exact"/>
        <w:rPr>
          <w:rFonts w:ascii="Arial" w:cs="Arial" w:eastAsia="Arial" w:hAnsi="Arial"/>
          <w:sz w:val="19"/>
          <w:szCs w:val="19"/>
          <w:color w:val="auto"/>
        </w:rPr>
      </w:pPr>
    </w:p>
    <w:p>
      <w:pPr>
        <w:jc w:val="both"/>
        <w:ind w:left="660" w:firstLine="645"/>
        <w:spacing w:after="0" w:line="252" w:lineRule="auto"/>
        <w:tabs>
          <w:tab w:leader="none" w:pos="2091" w:val="left"/>
        </w:tabs>
        <w:numPr>
          <w:ilvl w:val="0"/>
          <w:numId w:val="50"/>
        </w:numPr>
        <w:rPr>
          <w:rFonts w:ascii="Arial" w:cs="Arial" w:eastAsia="Arial" w:hAnsi="Arial"/>
          <w:sz w:val="21"/>
          <w:szCs w:val="21"/>
          <w:color w:val="auto"/>
        </w:rPr>
      </w:pPr>
      <w:r>
        <w:rPr>
          <w:rFonts w:ascii="Arial" w:cs="Arial" w:eastAsia="Arial" w:hAnsi="Arial"/>
          <w:sz w:val="21"/>
          <w:szCs w:val="21"/>
          <w:color w:val="auto"/>
        </w:rPr>
        <w:t>All fees and other amounts due and payable by the Consolidated Group to the Arranger, the Administrative Agent and the Lenders under the Loan Documents or pursuant to the Fee Letter or any similar letters relating to the Loan Documents shall be paid, to the extent invoiced at least one Business Day prior to the Effective Date by the relevant person and to the extent such amounts are payable on or prior to the Effective Date.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firstLine="1305"/>
        <w:spacing w:after="0" w:line="297" w:lineRule="auto"/>
        <w:tabs>
          <w:tab w:leader="none" w:pos="1954"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commitments under the Existing Credit Agreement shall have been, or substantially concurrently with the occurrence of the Effective Date shall be, terminated in their entirety and no advances or other obligations thereunder (other than contingent obligations as to which no claim has been asserted) shall remain outstanding.</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Administrative Agent shall notify the Borrower and the Lenders of the Effective Date in writing promptly upon such conditions precedent being satisfied (or waived in accordance with Section 8.01), and such notice shall be conclusive and binding evidence of the occurrence thereof.</w:t>
      </w:r>
    </w:p>
    <w:p>
      <w:pPr>
        <w:spacing w:after="0" w:line="213"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3.02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010000"/>
        </w:rPr>
        <w:t xml:space="preserve">SECTION 3.03 </w:t>
      </w:r>
      <w:r>
        <w:rPr>
          <w:rFonts w:ascii="Arial" w:cs="Arial" w:eastAsia="Arial" w:hAnsi="Arial"/>
          <w:sz w:val="22"/>
          <w:szCs w:val="22"/>
          <w:u w:val="single" w:color="auto"/>
          <w:color w:val="000000"/>
        </w:rPr>
        <w:t>Conditions to Advances on and after the Effective Date.</w:t>
      </w:r>
      <w:r>
        <w:rPr>
          <w:rFonts w:ascii="Arial" w:cs="Arial" w:eastAsia="Arial" w:hAnsi="Arial"/>
          <w:sz w:val="22"/>
          <w:szCs w:val="22"/>
          <w:color w:val="010000"/>
        </w:rPr>
        <w:t xml:space="preserve"> </w:t>
      </w:r>
      <w:r>
        <w:rPr>
          <w:rFonts w:ascii="Arial" w:cs="Arial" w:eastAsia="Arial" w:hAnsi="Arial"/>
          <w:sz w:val="22"/>
          <w:szCs w:val="22"/>
          <w:color w:val="000000"/>
        </w:rPr>
        <w:t>The obligation of each Lender to make</w:t>
      </w:r>
      <w:r>
        <w:rPr>
          <w:rFonts w:ascii="Arial" w:cs="Arial" w:eastAsia="Arial" w:hAnsi="Arial"/>
          <w:sz w:val="22"/>
          <w:szCs w:val="22"/>
          <w:color w:val="010000"/>
        </w:rPr>
        <w:t xml:space="preserve"> </w:t>
      </w:r>
      <w:r>
        <w:rPr>
          <w:rFonts w:ascii="Arial" w:cs="Arial" w:eastAsia="Arial" w:hAnsi="Arial"/>
          <w:sz w:val="22"/>
          <w:szCs w:val="22"/>
          <w:color w:val="000000"/>
        </w:rPr>
        <w:t>an Advance on any date during the Availability Period is subject to the satisfaction (or waiver in accordance with Section 8.01) of the following conditions on and as of the date of the making of such Advance:</w:t>
      </w:r>
    </w:p>
    <w:p>
      <w:pPr>
        <w:spacing w:after="0" w:line="213"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The Effective Date shall have occurred.</w:t>
      </w:r>
    </w:p>
    <w:p>
      <w:pPr>
        <w:spacing w:after="0" w:line="233" w:lineRule="exact"/>
        <w:rPr>
          <w:rFonts w:ascii="Arial" w:cs="Arial" w:eastAsia="Arial" w:hAnsi="Arial"/>
          <w:sz w:val="22"/>
          <w:szCs w:val="22"/>
          <w:color w:val="010000"/>
        </w:rPr>
      </w:pPr>
    </w:p>
    <w:p>
      <w:pPr>
        <w:ind w:left="1960" w:hanging="655"/>
        <w:spacing w:after="0"/>
        <w:tabs>
          <w:tab w:leader="none" w:pos="1960" w:val="left"/>
        </w:tabs>
        <w:numPr>
          <w:ilvl w:val="0"/>
          <w:numId w:val="52"/>
        </w:numPr>
        <w:rPr>
          <w:rFonts w:ascii="Arial" w:cs="Arial" w:eastAsia="Arial" w:hAnsi="Arial"/>
          <w:sz w:val="21"/>
          <w:szCs w:val="21"/>
          <w:color w:val="010000"/>
        </w:rPr>
      </w:pPr>
      <w:r>
        <w:rPr>
          <w:rFonts w:ascii="Arial" w:cs="Arial" w:eastAsia="Arial" w:hAnsi="Arial"/>
          <w:sz w:val="21"/>
          <w:szCs w:val="21"/>
          <w:color w:val="auto"/>
        </w:rPr>
        <w:t>The Administrative Agent shall have received a Notice of Borrowing in accordance with Section 2.02.</w:t>
      </w:r>
    </w:p>
    <w:p>
      <w:pPr>
        <w:spacing w:after="0" w:line="244" w:lineRule="exact"/>
        <w:rPr>
          <w:rFonts w:ascii="Arial" w:cs="Arial" w:eastAsia="Arial" w:hAnsi="Arial"/>
          <w:sz w:val="21"/>
          <w:szCs w:val="21"/>
          <w:color w:val="010000"/>
        </w:rPr>
      </w:pPr>
    </w:p>
    <w:p>
      <w:pPr>
        <w:jc w:val="both"/>
        <w:ind w:left="660" w:firstLine="645"/>
        <w:spacing w:after="0" w:line="287" w:lineRule="auto"/>
        <w:tabs>
          <w:tab w:leader="none" w:pos="2845"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(x) No Default is continuing or would result from the proposed Borrowing and (y) each of the representations and warranties set forth in Section 4.01 (other than the representations and warranties set forth in Sections 4.01(h)(ii) and (f)) are true and correct in all material respects (except to the extent such representations and warranties are qualified with “materiality” or “Material Adverse Effect” or similar terms, in which case such representations and</w:t>
      </w:r>
    </w:p>
    <w:p>
      <w:pPr>
        <w:sectPr>
          <w:pgSz w:w="11900" w:h="16949" w:orient="portrait"/>
          <w:cols w:equalWidth="0" w:num="1">
            <w:col w:w="11420"/>
          </w:cols>
          <w:pgMar w:left="240" w:top="361" w:right="239" w:bottom="0" w:gutter="0" w:footer="0" w:header="0"/>
        </w:sectPr>
      </w:pPr>
    </w:p>
    <w:bookmarkStart w:id="33" w:name="page34"/>
    <w:bookmarkEnd w:id="33"/>
    <w:p>
      <w:pPr>
        <w:spacing w:after="0" w:line="119"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color w:val="auto"/>
        </w:rPr>
        <w:t>warranties shall be true and correct in all respects) as of the date of the proposed Borrowing,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 and warranties shall be true and correct in all respects) on and as of such earlier 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IV</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3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010000"/>
        </w:rPr>
        <w:t xml:space="preserve">SECTION 4.01 </w:t>
      </w:r>
      <w:r>
        <w:rPr>
          <w:rFonts w:ascii="Arial" w:cs="Arial" w:eastAsia="Arial" w:hAnsi="Arial"/>
          <w:sz w:val="21"/>
          <w:szCs w:val="21"/>
          <w:u w:val="single" w:color="auto"/>
          <w:color w:val="000000"/>
        </w:rPr>
        <w:t>Representations and Warranties</w:t>
      </w:r>
      <w:r>
        <w:rPr>
          <w:rFonts w:ascii="Arial" w:cs="Arial" w:eastAsia="Arial" w:hAnsi="Arial"/>
          <w:sz w:val="21"/>
          <w:szCs w:val="21"/>
          <w:color w:val="000000"/>
        </w:rPr>
        <w:t>. The Borrower represents and warrants on the Effective Date and</w:t>
      </w:r>
      <w:r>
        <w:rPr>
          <w:rFonts w:ascii="Arial" w:cs="Arial" w:eastAsia="Arial" w:hAnsi="Arial"/>
          <w:sz w:val="21"/>
          <w:szCs w:val="21"/>
          <w:color w:val="010000"/>
        </w:rPr>
        <w:t xml:space="preserve"> </w:t>
      </w:r>
      <w:r>
        <w:rPr>
          <w:rFonts w:ascii="Arial" w:cs="Arial" w:eastAsia="Arial" w:hAnsi="Arial"/>
          <w:sz w:val="21"/>
          <w:szCs w:val="21"/>
          <w:color w:val="000000"/>
        </w:rPr>
        <w:t>on the date of the making of each Advance as follows (but with respect to the representations and warranties set forth in Sections 4.01(h)(ii) and (f), only on the Effective Date, any Increase Effective Date and any Extension Date):</w:t>
      </w:r>
    </w:p>
    <w:p>
      <w:pPr>
        <w:spacing w:after="0" w:line="194" w:lineRule="exact"/>
        <w:rPr>
          <w:sz w:val="20"/>
          <w:szCs w:val="20"/>
          <w:color w:val="auto"/>
        </w:rPr>
      </w:pPr>
    </w:p>
    <w:p>
      <w:pPr>
        <w:ind w:left="660" w:firstLine="645"/>
        <w:spacing w:after="0" w:line="251" w:lineRule="auto"/>
        <w:tabs>
          <w:tab w:leader="none" w:pos="1980"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The Borrower is duly organized, validly existing and in good standing (to the extent that such concept exists) under the laws of its jurisdiction of organization.</w:t>
      </w:r>
    </w:p>
    <w:p>
      <w:pPr>
        <w:spacing w:after="0" w:line="200" w:lineRule="exact"/>
        <w:rPr>
          <w:rFonts w:ascii="Arial" w:cs="Arial" w:eastAsia="Arial" w:hAnsi="Arial"/>
          <w:sz w:val="22"/>
          <w:szCs w:val="22"/>
          <w:color w:val="010000"/>
        </w:rPr>
      </w:pPr>
    </w:p>
    <w:p>
      <w:pPr>
        <w:ind w:left="660" w:firstLine="645"/>
        <w:spacing w:after="0" w:line="251" w:lineRule="auto"/>
        <w:tabs>
          <w:tab w:leader="none" w:pos="2019"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The execution, delivery and performance by the Borrower of this Agreement and the other Loan Documents to which it is a party (i) are within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Borrower’s organizational powers, (ii) have been duly authorized by all necessary organizational action, (iii) do not contravene (A) the Borrower’s charter or by-laws or other organizational documents or (B) any law, regulation or contractual restriction binding on or affecting the Borrower and (iv) will not result in or require the creation or imposition of any Lien upon or with respect to any of the properties of the Consolidated Group (other than Liens created or required to be created pursuant to the terms hereof), except, in the case of clause (iii)(B) and (iv), as would not be reasonably expected to have a Material Adverse Effect.</w:t>
      </w:r>
    </w:p>
    <w:p>
      <w:pPr>
        <w:spacing w:after="0" w:line="215" w:lineRule="exact"/>
        <w:rPr>
          <w:sz w:val="20"/>
          <w:szCs w:val="20"/>
          <w:color w:val="auto"/>
        </w:rPr>
      </w:pPr>
    </w:p>
    <w:p>
      <w:pPr>
        <w:jc w:val="both"/>
        <w:ind w:left="660" w:firstLine="645"/>
        <w:spacing w:after="0"/>
        <w:tabs>
          <w:tab w:leader="none" w:pos="2088"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No authorization or approval or other action by, and no notice to or filing with, any governmental authority or regulatory body is required for the due execution, delivery and performance by the Borrower of this Agreement and the consummation of the transactions contemplated hereby.</w:t>
      </w:r>
    </w:p>
    <w:p>
      <w:pPr>
        <w:spacing w:after="0" w:line="213" w:lineRule="exact"/>
        <w:rPr>
          <w:rFonts w:ascii="Arial" w:cs="Arial" w:eastAsia="Arial" w:hAnsi="Arial"/>
          <w:sz w:val="22"/>
          <w:szCs w:val="22"/>
          <w:color w:val="010000"/>
        </w:rPr>
      </w:pPr>
    </w:p>
    <w:p>
      <w:pPr>
        <w:jc w:val="both"/>
        <w:ind w:left="660" w:firstLine="645"/>
        <w:spacing w:after="0" w:line="282" w:lineRule="auto"/>
        <w:tabs>
          <w:tab w:leader="none" w:pos="2236"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This Agreement and the other Loan Documents have been duly executed and delivered by the Borrower. This Agreement and the other Loan Documents are legal, valid and binding obligations of the Borrower, enforceable against the Borrower in accordance with its terms, except as affected by applicable bankruptcy, insolvency, reorganization, moratorium or similar laws affecting creditors’ rights generally and general principles of equity (whether considered in a proceeding in equity or at law) and an implied covenant of good faith and fair dealing.</w:t>
      </w:r>
    </w:p>
    <w:p>
      <w:pPr>
        <w:spacing w:after="0" w:line="174" w:lineRule="exact"/>
        <w:rPr>
          <w:rFonts w:ascii="Arial" w:cs="Arial" w:eastAsia="Arial" w:hAnsi="Arial"/>
          <w:sz w:val="19"/>
          <w:szCs w:val="19"/>
          <w:color w:val="010000"/>
        </w:rPr>
      </w:pPr>
    </w:p>
    <w:p>
      <w:pPr>
        <w:jc w:val="both"/>
        <w:ind w:left="660" w:firstLine="645"/>
        <w:spacing w:after="0" w:line="287" w:lineRule="auto"/>
        <w:tabs>
          <w:tab w:leader="none" w:pos="2750"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Each of the Previously Delivered Financial Statements present fairly, in all material respects, the consolidated financial position and results of operations and cash flows of the Borrower and its consolidated Subsidiaries as of such dates and for such periods in accordance with GAAP, except as may be indicated in the notes thereto and subject to year-end audit adjustments and the absence of footnotes in the case of unaudited financial statements.</w:t>
      </w:r>
    </w:p>
    <w:p>
      <w:pPr>
        <w:spacing w:after="0" w:line="170" w:lineRule="exact"/>
        <w:rPr>
          <w:rFonts w:ascii="Arial" w:cs="Arial" w:eastAsia="Arial" w:hAnsi="Arial"/>
          <w:sz w:val="19"/>
          <w:szCs w:val="19"/>
          <w:color w:val="010000"/>
        </w:rPr>
      </w:pPr>
    </w:p>
    <w:p>
      <w:pPr>
        <w:jc w:val="both"/>
        <w:ind w:left="660" w:firstLine="645"/>
        <w:spacing w:after="0" w:line="273" w:lineRule="auto"/>
        <w:tabs>
          <w:tab w:leader="none" w:pos="2402"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As of the Effective Date (or, in the case that this representation and warranty is made on any Increase Effective Date or any Extension Date, as of such Increase Effective Date or Extension Date), there is no action, suit, investigation, litigation or proceeding (including, without limitation, any Environmental Action), affecting the Consolidated Group pending or, to the knowledge of the Borrower, threatened before any court, governmental agency or arbitrator that would reasonably be expected to be adversely determined, and if so determined, (i) would reasonably be expected to have a material adverse effect on the financial condition or results of operations of the Consolidated Group taken as a whole (other than the litigation set forth on Schedule 4.01(f) attached hereto (or, in the case that this representation and warranty is made on any Increase Effective Date or any Extension Date, as set forth on a schedule delivered to the Administrative Agent on or prior to such Increase Effective Date or Extension Date) or (ii) would adversely affect the legality, validity and enforceability of any material provision of this Agreement in any material respect.</w:t>
      </w:r>
    </w:p>
    <w:p>
      <w:pPr>
        <w:spacing w:after="0" w:line="188" w:lineRule="exact"/>
        <w:rPr>
          <w:rFonts w:ascii="Arial" w:cs="Arial" w:eastAsia="Arial" w:hAnsi="Arial"/>
          <w:sz w:val="19"/>
          <w:szCs w:val="19"/>
          <w:color w:val="010000"/>
        </w:rPr>
      </w:pPr>
    </w:p>
    <w:p>
      <w:pPr>
        <w:jc w:val="both"/>
        <w:ind w:left="660" w:firstLine="645"/>
        <w:spacing w:after="0"/>
        <w:tabs>
          <w:tab w:leader="none" w:pos="2101"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Following application of the proceeds of each Advance, not more than 25 percent of the value of the assets of the Borrower and of the Consolidated Group, on a Consolidated basis, subject to the provisions of Section 5.02(a) will be Margin Stock.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firstLine="645"/>
        <w:spacing w:after="0" w:line="297" w:lineRule="auto"/>
        <w:tabs>
          <w:tab w:leader="none" w:pos="2060"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(i) All written information (other than the Projections) concerning the Borrower and its Subsidiaries and the transactions contemplated hereby or otherwise prepared by the Borrower and its Subsidiaries and furnished by such Persons to the Agents or the Lenders prior to the Effective Date in connection with the negotiation of this Agreement when taken as</w:t>
      </w:r>
    </w:p>
    <w:p>
      <w:pPr>
        <w:sectPr>
          <w:pgSz w:w="11900" w:h="16958" w:orient="portrait"/>
          <w:cols w:equalWidth="0" w:num="1">
            <w:col w:w="11420"/>
          </w:cols>
          <w:pgMar w:left="240" w:top="118" w:right="239" w:bottom="0" w:gutter="0" w:footer="0" w:header="0"/>
        </w:sectPr>
      </w:pPr>
    </w:p>
    <w:bookmarkStart w:id="34" w:name="page35"/>
    <w:bookmarkEnd w:id="34"/>
    <w:p>
      <w:pPr>
        <w:jc w:val="both"/>
        <w:spacing w:after="0" w:line="275" w:lineRule="auto"/>
        <w:rPr>
          <w:sz w:val="20"/>
          <w:szCs w:val="20"/>
          <w:color w:val="auto"/>
        </w:rPr>
      </w:pPr>
      <w:r>
        <w:rPr>
          <w:rFonts w:ascii="Arial" w:cs="Arial" w:eastAsia="Arial" w:hAnsi="Arial"/>
          <w:sz w:val="19"/>
          <w:szCs w:val="19"/>
          <w:color w:val="auto"/>
        </w:rPr>
        <w:t>a whole, was true and correct in all material respects as of the date when furnished by such Person to the Agents or the Lenders and did not, taken as a whole, when so furnished contain any untrue statement of a material fact as of any such date or omit to state a material fact necessary in order to make the statements contained therein, taken as a whole, not materially misleading in light of the circumstances under which such statements were made. The Projections and estimates and information of a general economic nature prepared by the Borrower or its Subsidiaries and that have been furnished by such Person to any Lenders or the Administrative Agent prior to the Effective Date in connection with the transactions contemplated hereby were prepared in good faith based upon assumptions believed by such Person to be reasonable as of the date of such Projections (it being understood that actual results may vary materially from the Projections).</w:t>
      </w:r>
    </w:p>
    <w:p>
      <w:pPr>
        <w:spacing w:after="0" w:line="186" w:lineRule="exact"/>
        <w:rPr>
          <w:sz w:val="20"/>
          <w:szCs w:val="20"/>
          <w:color w:val="auto"/>
        </w:rPr>
      </w:pPr>
    </w:p>
    <w:p>
      <w:pPr>
        <w:jc w:val="both"/>
        <w:ind w:firstLine="1293"/>
        <w:spacing w:after="0" w:line="246" w:lineRule="auto"/>
        <w:tabs>
          <w:tab w:leader="none" w:pos="1690" w:val="left"/>
        </w:tabs>
        <w:numPr>
          <w:ilvl w:val="1"/>
          <w:numId w:val="56"/>
        </w:numPr>
        <w:rPr>
          <w:rFonts w:ascii="Arial" w:cs="Arial" w:eastAsia="Arial" w:hAnsi="Arial"/>
          <w:sz w:val="21"/>
          <w:szCs w:val="21"/>
          <w:color w:val="auto"/>
        </w:rPr>
      </w:pPr>
      <w:r>
        <w:rPr>
          <w:rFonts w:ascii="Arial" w:cs="Arial" w:eastAsia="Arial" w:hAnsi="Arial"/>
          <w:sz w:val="21"/>
          <w:szCs w:val="21"/>
          <w:color w:val="auto"/>
        </w:rPr>
        <w:t>Since December 31, 2017 (or, in the case that this representation and warranty is made on any Increase Effective Date or any Extension Date, the date of the financial statements most recently furnished pursuant to Section 5.01(i)(ii)), except to the extent disclosed in any Annual Report on Form 10-K, Quarterly Report on Form 10-Q or Current Report on Form 8-K, in each case filed by the Borrower with the Securities and Exchange Commission after such date and on or prior to the Effective Date (or, in the case that this representation and warranty is made on any Increase Effective Date or Extension Date, on or prior to such Increase Effective Date or Extension Date, as applicable), there has not occurred any event or condition that has had or would be reasonably expected to have, either individually or in the aggregate, a Material Adverse Effect.</w:t>
      </w:r>
    </w:p>
    <w:p>
      <w:pPr>
        <w:spacing w:after="0" w:line="207" w:lineRule="exact"/>
        <w:rPr>
          <w:rFonts w:ascii="Arial" w:cs="Arial" w:eastAsia="Arial" w:hAnsi="Arial"/>
          <w:sz w:val="21"/>
          <w:szCs w:val="21"/>
          <w:color w:val="auto"/>
        </w:rPr>
      </w:pPr>
    </w:p>
    <w:p>
      <w:pPr>
        <w:jc w:val="both"/>
        <w:ind w:firstLine="645"/>
        <w:spacing w:after="0" w:line="252" w:lineRule="auto"/>
        <w:tabs>
          <w:tab w:leader="none" w:pos="1460"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(i) No ERISA Event has occurred or is reasonably expected to occur with respect to any Plan which would reasonably be expected to have a Material Adverse Effect and (ii) as of the Effective Date, the Borrower is not and will not be using “plan assets” (within the meaning of 29 CFR § 2510.3-101, as modified by Section 3(42) of ERISA) of one or more Benefit Plans in connection with the Commitments or the Advances.</w:t>
      </w:r>
    </w:p>
    <w:p>
      <w:pPr>
        <w:spacing w:after="0" w:line="201" w:lineRule="exact"/>
        <w:rPr>
          <w:rFonts w:ascii="Arial" w:cs="Arial" w:eastAsia="Arial" w:hAnsi="Arial"/>
          <w:sz w:val="21"/>
          <w:szCs w:val="21"/>
          <w:color w:val="010000"/>
        </w:rPr>
      </w:pPr>
    </w:p>
    <w:p>
      <w:pPr>
        <w:jc w:val="both"/>
        <w:ind w:firstLine="645"/>
        <w:spacing w:after="0" w:line="249" w:lineRule="auto"/>
        <w:tabs>
          <w:tab w:leader="none" w:pos="1352"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As of the last annual actuarial valuation date prior to the Effective Date, the AbbVie Pension Plan was not in at-risk status (as defined in Section 430(i)(4) of the Internal Revenue Code) and no other Plan was in at-risk status (as defined in Section 430(i)(4) of the Internal Revenue Code), and since such annual actuarial valuation date there has been no material adverse change in the funding status of any Plan that would reasonably be expected to cause such Plan to be in at-risk status (as defined in Section 430(i)(4) of the Internal Revenue Code).</w:t>
      </w:r>
    </w:p>
    <w:p>
      <w:pPr>
        <w:spacing w:after="0" w:line="205" w:lineRule="exact"/>
        <w:rPr>
          <w:rFonts w:ascii="Arial" w:cs="Arial" w:eastAsia="Arial" w:hAnsi="Arial"/>
          <w:sz w:val="21"/>
          <w:szCs w:val="21"/>
          <w:color w:val="010000"/>
        </w:rPr>
      </w:pPr>
    </w:p>
    <w:p>
      <w:pPr>
        <w:jc w:val="both"/>
        <w:ind w:firstLine="645"/>
        <w:spacing w:after="0" w:line="238" w:lineRule="auto"/>
        <w:tabs>
          <w:tab w:leader="none" w:pos="1305"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Neither the Borrower nor any ERISA Affiliate (i) is reasonably expected to incur any Withdrawal Liability to any Multiemployer Plan or has incurred any such Withdrawal Liability that has not been satisfied in full or (ii) has been notified by the sponsor of a Multiemployer Plan that such Multiemployer Plan is insolvent (within the meaning of Section 4245 of ERISA) or has been determined to be in “endangered” or</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“critical’ status (within the meaning of Section 432 of the Internal Revenue Code or Section 305 of ERISA), and no such Multiemployer Plan is reasonably expected to be insolvent or in “endangered” or “critical” status.</w:t>
      </w:r>
    </w:p>
    <w:p>
      <w:pPr>
        <w:spacing w:after="0" w:line="200" w:lineRule="exact"/>
        <w:rPr>
          <w:sz w:val="20"/>
          <w:szCs w:val="20"/>
          <w:color w:val="auto"/>
        </w:rPr>
      </w:pPr>
    </w:p>
    <w:p>
      <w:pPr>
        <w:jc w:val="both"/>
        <w:ind w:firstLine="645"/>
        <w:spacing w:after="0" w:line="245" w:lineRule="auto"/>
        <w:tabs>
          <w:tab w:leader="none" w:pos="1771" w:val="left"/>
        </w:tabs>
        <w:numPr>
          <w:ilvl w:val="0"/>
          <w:numId w:val="58"/>
        </w:numPr>
        <w:rPr>
          <w:rFonts w:ascii="Arial" w:cs="Arial" w:eastAsia="Arial" w:hAnsi="Arial"/>
          <w:sz w:val="21"/>
          <w:szCs w:val="21"/>
          <w:color w:val="010000"/>
        </w:rPr>
      </w:pPr>
      <w:r>
        <w:rPr>
          <w:rFonts w:ascii="Arial" w:cs="Arial" w:eastAsia="Arial" w:hAnsi="Arial"/>
          <w:sz w:val="21"/>
          <w:szCs w:val="21"/>
          <w:color w:val="auto"/>
        </w:rPr>
        <w:t>(i) The operations and properties of the Consolidated Group comply in all respects with all applicable Environmental Laws and Environmental Permits except to the extent that the failure to so comply, either individually or in the aggregate, would not reasonably be expected to have a Material Adverse Effect; (ii) all past non-compliance with such Environmental Laws and Environmental Permits has been resolved without any ongoing obligations or costs except to the extent that such non-compliance, individually or in the aggregate, would not reasonably be expected to have a Material Adverse Effect; and (iii) no circumstances exist that would be reasonably expected to (A) form the basis of an Environmental Action against a member of the Consolidated Group or any of its properties that, either individually or in the aggregate, would have a Material Adverse Effect or (B) cause any such property to be subject to any restrictions on ownership, occupancy, use or transferability under any Environmental Law that, either individually or in the aggregate, would have a Material Adverse Effect.</w:t>
      </w:r>
    </w:p>
    <w:p>
      <w:pPr>
        <w:spacing w:after="0" w:line="208" w:lineRule="exact"/>
        <w:rPr>
          <w:rFonts w:ascii="Arial" w:cs="Arial" w:eastAsia="Arial" w:hAnsi="Arial"/>
          <w:sz w:val="21"/>
          <w:szCs w:val="21"/>
          <w:color w:val="010000"/>
        </w:rPr>
      </w:pPr>
    </w:p>
    <w:p>
      <w:pPr>
        <w:jc w:val="both"/>
        <w:ind w:firstLine="645"/>
        <w:spacing w:after="0" w:line="271" w:lineRule="auto"/>
        <w:tabs>
          <w:tab w:leader="none" w:pos="1419"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(i) None of the properties currently or formerly owned or operated by a member of the Consolidated Group is listed or proposed for listing on the NPL or on the CERCLIS or any analogous foreign, state or local list or, to the best knowledge of the Borrower, is adjacent to any such property other than such properties of a member of the Consolidated Group that, individually or in the aggregate, would not reasonably be expected to have a Material Adverse Effect; (ii) there are no, and never have been any, underground or aboveground storage tanks or any surface impoundments, septic tanks, pits, sumps or lagoons in which Hazardous Materials are being or have been treated, stored or disposed of on any property currently owned or operated by any member of the Consolidated Group or, to the best knowledge of the Borrower, on any property formerly owned or operated by a member of the Consolidated Group that, either individually or in the aggregate, would reasonably be expected to have a Material Adverse Effect; (iii) there is no asbestos or asbestos-containing material on any property currently owned or operated by a member of the Consolidated Group that, either individually or in the aggregate, would reasonably be expected to have a Material Adverse Effect; and (iv) Hazardous Materials have not been released, discharged or disposed of on any property currently or formerly owned or operated by a member of the Consolidated Group or, to the best knowledge of the Borrower, on any adjoining property that, either individually or in the aggregate, would reasonably be expected to have a Material Adverse Effect.</w:t>
      </w:r>
    </w:p>
    <w:p>
      <w:pPr>
        <w:sectPr>
          <w:pgSz w:w="11900" w:h="16838" w:orient="portrait"/>
          <w:cols w:equalWidth="0" w:num="1">
            <w:col w:w="10760"/>
          </w:cols>
          <w:pgMar w:left="900" w:top="118" w:right="239" w:bottom="47" w:gutter="0" w:footer="0" w:header="0"/>
        </w:sectPr>
      </w:pPr>
    </w:p>
    <w:bookmarkStart w:id="35" w:name="page36"/>
    <w:bookmarkEnd w:id="35"/>
    <w:p>
      <w:pPr>
        <w:spacing w:after="0" w:line="110" w:lineRule="exact"/>
        <w:rPr>
          <w:sz w:val="20"/>
          <w:szCs w:val="20"/>
          <w:color w:val="auto"/>
        </w:rPr>
      </w:pPr>
    </w:p>
    <w:p>
      <w:pPr>
        <w:jc w:val="both"/>
        <w:ind w:left="660" w:firstLine="645"/>
        <w:spacing w:after="0" w:line="277" w:lineRule="auto"/>
        <w:tabs>
          <w:tab w:leader="none" w:pos="2398"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No member of the Consolidated Group is undertaking, and no member of the Consolidated Group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or regulatory authority or the requirements of any Environmental Law that, either individually or in the aggregate, would reasonably be expected to have a Material Adverse Effect; and all Hazardous Materials generated, used, treated, handled or stored at, or transported to or from, any property currently or formerly owned or operated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by a member of the Consolidated Group have been disposed of in a manner that, either individually or in the aggregate, would not reasonably be expected to have a Material Adverse Effect.</w:t>
      </w:r>
    </w:p>
    <w:p>
      <w:pPr>
        <w:spacing w:after="0" w:line="200" w:lineRule="exact"/>
        <w:rPr>
          <w:sz w:val="20"/>
          <w:szCs w:val="20"/>
          <w:color w:val="auto"/>
        </w:rPr>
      </w:pPr>
    </w:p>
    <w:p>
      <w:pPr>
        <w:jc w:val="both"/>
        <w:ind w:left="660" w:firstLine="645"/>
        <w:spacing w:after="0" w:line="249" w:lineRule="auto"/>
        <w:tabs>
          <w:tab w:leader="none" w:pos="2533" w:val="left"/>
        </w:tabs>
        <w:numPr>
          <w:ilvl w:val="0"/>
          <w:numId w:val="60"/>
        </w:numPr>
        <w:rPr>
          <w:rFonts w:ascii="Arial" w:cs="Arial" w:eastAsia="Arial" w:hAnsi="Arial"/>
          <w:sz w:val="21"/>
          <w:szCs w:val="21"/>
          <w:color w:val="010000"/>
        </w:rPr>
      </w:pPr>
      <w:r>
        <w:rPr>
          <w:rFonts w:ascii="Arial" w:cs="Arial" w:eastAsia="Arial" w:hAnsi="Arial"/>
          <w:sz w:val="21"/>
          <w:szCs w:val="21"/>
          <w:color w:val="auto"/>
        </w:rPr>
        <w:t>No member of the Consolidated Group is an “investment company”, or an “affiliated person” of, or “promoter” or “principal underwriter” for, an “investment company” (each as defined in the Investment Company Act of 1940, as amended). Neither the making of any Advances nor the application of the proceeds or repayment thereof by the Borrower, nor the consummation of the other transactions contemplated hereby, will violate any provision of such Act or any rule, regulation or order of the Securities and Exchange Commission thereunder.</w:t>
      </w:r>
    </w:p>
    <w:p>
      <w:pPr>
        <w:spacing w:after="0" w:line="205" w:lineRule="exact"/>
        <w:rPr>
          <w:rFonts w:ascii="Arial" w:cs="Arial" w:eastAsia="Arial" w:hAnsi="Arial"/>
          <w:sz w:val="21"/>
          <w:szCs w:val="21"/>
          <w:color w:val="010000"/>
        </w:rPr>
      </w:pPr>
    </w:p>
    <w:p>
      <w:pPr>
        <w:jc w:val="both"/>
        <w:ind w:left="660" w:firstLine="645"/>
        <w:spacing w:after="0"/>
        <w:tabs>
          <w:tab w:leader="none" w:pos="2276"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 xml:space="preserve">The Advances and all related obligations of the Borrower under this Agreement rank </w:t>
      </w:r>
      <w:r>
        <w:rPr>
          <w:rFonts w:ascii="Arial" w:cs="Arial" w:eastAsia="Arial" w:hAnsi="Arial"/>
          <w:sz w:val="22"/>
          <w:szCs w:val="22"/>
          <w:u w:val="single" w:color="auto"/>
          <w:color w:val="auto"/>
        </w:rPr>
        <w:t>pari passu</w:t>
      </w:r>
      <w:r>
        <w:rPr>
          <w:rFonts w:ascii="Arial" w:cs="Arial" w:eastAsia="Arial" w:hAnsi="Arial"/>
          <w:sz w:val="22"/>
          <w:szCs w:val="22"/>
          <w:color w:val="auto"/>
        </w:rPr>
        <w:t xml:space="preserve"> with all other unsecured obligations of the Borrower that are not, by their terms, expressly subordinate to the obligations of the Borrower hereunder.</w:t>
      </w:r>
    </w:p>
    <w:p>
      <w:pPr>
        <w:spacing w:after="0" w:line="213" w:lineRule="exact"/>
        <w:rPr>
          <w:rFonts w:ascii="Arial" w:cs="Arial" w:eastAsia="Arial" w:hAnsi="Arial"/>
          <w:sz w:val="22"/>
          <w:szCs w:val="22"/>
          <w:color w:val="010000"/>
        </w:rPr>
      </w:pPr>
    </w:p>
    <w:p>
      <w:pPr>
        <w:ind w:left="1960" w:hanging="655"/>
        <w:spacing w:after="0"/>
        <w:tabs>
          <w:tab w:leader="none" w:pos="1960" w:val="left"/>
        </w:tabs>
        <w:numPr>
          <w:ilvl w:val="0"/>
          <w:numId w:val="60"/>
        </w:numPr>
        <w:rPr>
          <w:rFonts w:ascii="Arial" w:cs="Arial" w:eastAsia="Arial" w:hAnsi="Arial"/>
          <w:sz w:val="22"/>
          <w:szCs w:val="22"/>
          <w:color w:val="010000"/>
        </w:rPr>
      </w:pPr>
      <w:r>
        <w:rPr>
          <w:rFonts w:ascii="Arial" w:cs="Arial" w:eastAsia="Arial" w:hAnsi="Arial"/>
          <w:sz w:val="22"/>
          <w:szCs w:val="22"/>
          <w:color w:val="auto"/>
        </w:rPr>
        <w:t>The proceeds of the Advances will be used in accordance with Section 2.16.</w:t>
      </w:r>
    </w:p>
    <w:p>
      <w:pPr>
        <w:spacing w:after="0" w:line="233" w:lineRule="exact"/>
        <w:rPr>
          <w:rFonts w:ascii="Arial" w:cs="Arial" w:eastAsia="Arial" w:hAnsi="Arial"/>
          <w:sz w:val="22"/>
          <w:szCs w:val="22"/>
          <w:color w:val="010000"/>
        </w:rPr>
      </w:pPr>
    </w:p>
    <w:p>
      <w:pPr>
        <w:jc w:val="both"/>
        <w:ind w:left="660" w:firstLine="645"/>
        <w:spacing w:after="0" w:line="273" w:lineRule="auto"/>
        <w:tabs>
          <w:tab w:leader="none" w:pos="2078"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 xml:space="preserve">No member of the Consolidated Group or any of their respective officers or directors (a) have violated or is in violation of, in any material respects, or has engaged in any conduct or dealings that would be sanctionable under any applicable material anti-money laundering law or any Sanctions or (b) is an Embargoed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member of the Consolidated Group (other than the Borrower) becomes an Embargoed Person pursuant to clause (b)(iii) of the definition thereof as a result of a country or territory becoming subject to any applicable Sanctions program after the Effective Date, such Person shall not be an Embargoed Person so long as (x) the Borrower is taking reasonable steps to either obtain an appropriate license for transacting business in such country or territory or to cause such Person to no longer reside, be organized or chartered or have a place of business in such country or territory and (y) such Person’s residing, being organized or chartered or having a place of business in such country or territory would not be reasonably expected to have a Material Adverse Effect. The Consolidated Group have adopted and maintain policies and procedures designed to ensure compliance and are reasonably expected to continue to ensure compliance with Sanctions.</w:t>
      </w:r>
    </w:p>
    <w:p>
      <w:pPr>
        <w:spacing w:after="0" w:line="183" w:lineRule="exact"/>
        <w:rPr>
          <w:rFonts w:ascii="Arial" w:cs="Arial" w:eastAsia="Arial" w:hAnsi="Arial"/>
          <w:sz w:val="19"/>
          <w:szCs w:val="19"/>
          <w:color w:val="010000"/>
        </w:rPr>
      </w:pPr>
    </w:p>
    <w:p>
      <w:pPr>
        <w:jc w:val="both"/>
        <w:ind w:left="660" w:firstLine="645"/>
        <w:spacing w:after="0" w:line="275" w:lineRule="auto"/>
        <w:tabs>
          <w:tab w:leader="none" w:pos="2414"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No member of the Consolidated Group is in violation, in any material respects, of any applicable law, relating to anti-corruption (including the FCPA and the United Kingdom Bribery Act of 2010)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or counter-terrorism (including United States Executive Order No. 13224 on Terrorist Financing, effective September 24, 2011, the USA PATRIOT ACT, the United Kingdom Terrorism Act of 2000, the United Kingdom Anti-Terrorism, Crime and Security Act of 2011, the United Kingdom Terrorism (United Nations Measures) Order of 2006, the United Kingdom Terrorism (United Nations Measures) Order of 2009 and the United Kingdom Terrorist Asset-Freezing etc. Act of 2010). The Consolidated Group have adopted and maintain policies and procedures designed to ensure compliance and are reasonably expected to continue to ensure compliance with Anti-Corruption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39"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010000"/>
        </w:rPr>
        <w:t xml:space="preserve">SECTION 5.01 </w:t>
      </w:r>
      <w:r>
        <w:rPr>
          <w:rFonts w:ascii="Arial" w:cs="Arial" w:eastAsia="Arial" w:hAnsi="Arial"/>
          <w:sz w:val="22"/>
          <w:szCs w:val="22"/>
          <w:u w:val="single" w:color="auto"/>
          <w:color w:val="000000"/>
        </w:rPr>
        <w:t>Affirmative Covenants</w:t>
      </w:r>
      <w:r>
        <w:rPr>
          <w:rFonts w:ascii="Arial" w:cs="Arial" w:eastAsia="Arial" w:hAnsi="Arial"/>
          <w:sz w:val="22"/>
          <w:szCs w:val="22"/>
          <w:color w:val="000000"/>
        </w:rPr>
        <w:t>. So long as any Advance shall remain unpaid or any Lender shall have</w:t>
      </w:r>
      <w:r>
        <w:rPr>
          <w:rFonts w:ascii="Arial" w:cs="Arial" w:eastAsia="Arial" w:hAnsi="Arial"/>
          <w:sz w:val="22"/>
          <w:szCs w:val="22"/>
          <w:color w:val="010000"/>
        </w:rPr>
        <w:t xml:space="preserve"> </w:t>
      </w:r>
      <w:r>
        <w:rPr>
          <w:rFonts w:ascii="Arial" w:cs="Arial" w:eastAsia="Arial" w:hAnsi="Arial"/>
          <w:sz w:val="22"/>
          <w:szCs w:val="22"/>
          <w:color w:val="000000"/>
        </w:rPr>
        <w:t>any Commitment hereunder, the Borrower will:</w:t>
      </w:r>
    </w:p>
    <w:p>
      <w:pPr>
        <w:spacing w:after="0" w:line="200" w:lineRule="exact"/>
        <w:rPr>
          <w:sz w:val="20"/>
          <w:szCs w:val="20"/>
          <w:color w:val="auto"/>
        </w:rPr>
      </w:pPr>
    </w:p>
    <w:p>
      <w:pPr>
        <w:jc w:val="both"/>
        <w:ind w:left="660" w:firstLine="645"/>
        <w:spacing w:after="0" w:line="238" w:lineRule="auto"/>
        <w:tabs>
          <w:tab w:leader="none" w:pos="198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Compliance with Laws, Etc.</w:t>
      </w:r>
      <w:r>
        <w:rPr>
          <w:rFonts w:ascii="Arial" w:cs="Arial" w:eastAsia="Arial" w:hAnsi="Arial"/>
          <w:sz w:val="22"/>
          <w:szCs w:val="22"/>
          <w:color w:val="auto"/>
        </w:rPr>
        <w:t xml:space="preserve"> Comply, and cause each member of the Consolidated Group to comply, with all applicable laws, rules, regulations and orders (such compliance to include, without limitation, compliance with ERISA and Environmental Laws), except to the extent that the failure to so comply, either individually or in the aggregate, would not reasonably be expected to have a Material Adverse Effect.</w:t>
      </w:r>
    </w:p>
    <w:p>
      <w:pPr>
        <w:spacing w:after="0" w:line="212" w:lineRule="exact"/>
        <w:rPr>
          <w:rFonts w:ascii="Arial" w:cs="Arial" w:eastAsia="Arial" w:hAnsi="Arial"/>
          <w:sz w:val="22"/>
          <w:szCs w:val="22"/>
          <w:color w:val="010000"/>
        </w:rPr>
      </w:pPr>
    </w:p>
    <w:p>
      <w:pPr>
        <w:jc w:val="both"/>
        <w:ind w:left="660" w:firstLine="645"/>
        <w:spacing w:after="0" w:line="287" w:lineRule="auto"/>
        <w:tabs>
          <w:tab w:leader="none" w:pos="1979"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Payment of Taxes, Etc.</w:t>
      </w:r>
      <w:r>
        <w:rPr>
          <w:rFonts w:ascii="Arial" w:cs="Arial" w:eastAsia="Arial" w:hAnsi="Arial"/>
          <w:sz w:val="19"/>
          <w:szCs w:val="19"/>
          <w:color w:val="auto"/>
        </w:rPr>
        <w:t xml:space="preserve"> Pay and discharge, or cause to be paid and discharged, before the same shall become delinquent, all taxes, assessments and governmental charges levied or imposed upon a member of the Consolidated Group or upon the income, profits or property of a member of the Consolidated Group, in each case except to the extent that (i) the amount, applicability or validity thereof is being contested in good faith and by proper proceedings or (ii) the failure to pay</w:t>
      </w:r>
    </w:p>
    <w:p>
      <w:pPr>
        <w:sectPr>
          <w:pgSz w:w="11900" w:h="16949" w:orient="portrait"/>
          <w:cols w:equalWidth="0" w:num="1">
            <w:col w:w="11420"/>
          </w:cols>
          <w:pgMar w:left="240" w:top="118" w:right="239" w:bottom="0" w:gutter="0" w:footer="0" w:header="0"/>
        </w:sectPr>
      </w:pPr>
    </w:p>
    <w:bookmarkStart w:id="36" w:name="page37"/>
    <w:bookmarkEnd w:id="36"/>
    <w:p>
      <w:pPr>
        <w:spacing w:after="0" w:line="251" w:lineRule="auto"/>
        <w:rPr>
          <w:sz w:val="20"/>
          <w:szCs w:val="20"/>
          <w:color w:val="auto"/>
        </w:rPr>
      </w:pPr>
      <w:r>
        <w:rPr>
          <w:rFonts w:ascii="Arial" w:cs="Arial" w:eastAsia="Arial" w:hAnsi="Arial"/>
          <w:sz w:val="22"/>
          <w:szCs w:val="22"/>
          <w:color w:val="auto"/>
        </w:rPr>
        <w:t>such taxes, assessments and charges, either individually or in the aggregate, would not reasonably be expected to have a Material Adverse Effect.</w:t>
      </w:r>
    </w:p>
    <w:p>
      <w:pPr>
        <w:spacing w:after="0" w:line="201" w:lineRule="exact"/>
        <w:rPr>
          <w:sz w:val="20"/>
          <w:szCs w:val="20"/>
          <w:color w:val="auto"/>
        </w:rPr>
      </w:pPr>
    </w:p>
    <w:p>
      <w:pPr>
        <w:jc w:val="both"/>
        <w:ind w:firstLine="645"/>
        <w:spacing w:after="0" w:line="287" w:lineRule="auto"/>
        <w:tabs>
          <w:tab w:leader="none" w:pos="1766" w:val="left"/>
        </w:tabs>
        <w:numPr>
          <w:ilvl w:val="0"/>
          <w:numId w:val="62"/>
        </w:numPr>
        <w:rPr>
          <w:rFonts w:ascii="Arial" w:cs="Arial" w:eastAsia="Arial" w:hAnsi="Arial"/>
          <w:sz w:val="19"/>
          <w:szCs w:val="19"/>
          <w:color w:val="010000"/>
        </w:rPr>
      </w:pP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Maintain, and cause each member of the Consolidated Group to maintain, insurance with responsible and reputable insurance companies or associations (or pursuant to self-insurance arrangements) in such amounts and covering such risks as is usually carried by companies engaged in similar businesses and owning similar properties in the same general areas in which any member of the Consolidated Group operates.</w:t>
      </w:r>
    </w:p>
    <w:p>
      <w:pPr>
        <w:spacing w:after="0" w:line="170" w:lineRule="exact"/>
        <w:rPr>
          <w:rFonts w:ascii="Arial" w:cs="Arial" w:eastAsia="Arial" w:hAnsi="Arial"/>
          <w:sz w:val="19"/>
          <w:szCs w:val="19"/>
          <w:color w:val="010000"/>
        </w:rPr>
      </w:pPr>
    </w:p>
    <w:p>
      <w:pPr>
        <w:jc w:val="both"/>
        <w:ind w:firstLine="645"/>
        <w:spacing w:after="0" w:line="248" w:lineRule="auto"/>
        <w:tabs>
          <w:tab w:leader="none" w:pos="1562" w:val="left"/>
        </w:tabs>
        <w:numPr>
          <w:ilvl w:val="0"/>
          <w:numId w:val="62"/>
        </w:numPr>
        <w:rPr>
          <w:rFonts w:ascii="Arial" w:cs="Arial" w:eastAsia="Arial" w:hAnsi="Arial"/>
          <w:sz w:val="21"/>
          <w:szCs w:val="21"/>
          <w:color w:val="010000"/>
        </w:rPr>
      </w:pPr>
      <w:r>
        <w:rPr>
          <w:rFonts w:ascii="Arial" w:cs="Arial" w:eastAsia="Arial" w:hAnsi="Arial"/>
          <w:sz w:val="21"/>
          <w:szCs w:val="21"/>
          <w:u w:val="single" w:color="auto"/>
          <w:color w:val="auto"/>
        </w:rPr>
        <w:t>Preservation of Existence, Etc.</w:t>
      </w:r>
      <w:r>
        <w:rPr>
          <w:rFonts w:ascii="Arial" w:cs="Arial" w:eastAsia="Arial" w:hAnsi="Arial"/>
          <w:sz w:val="21"/>
          <w:szCs w:val="21"/>
          <w:color w:val="auto"/>
        </w:rPr>
        <w:t xml:space="preserve"> Do, or cause to be done, all things necessary to preserve and keep in full force and effect its (i) existence and (ii) rights (charter and statutory) and franchises;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Borrower may consummate any merger or consolidation permitted under Section 5.02(b);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Borrower shall not be required to preserve any such right or franchise if the management of the Borrower shall determine that the preservation thereof is no longer desirable in the conduct of the business of the Borrower and that the loss thereof is not disadvantageous in any material respect to the Lenders.</w:t>
      </w:r>
    </w:p>
    <w:p>
      <w:pPr>
        <w:spacing w:after="0" w:line="204" w:lineRule="exact"/>
        <w:rPr>
          <w:rFonts w:ascii="Arial" w:cs="Arial" w:eastAsia="Arial" w:hAnsi="Arial"/>
          <w:sz w:val="21"/>
          <w:szCs w:val="21"/>
          <w:color w:val="010000"/>
        </w:rPr>
      </w:pPr>
    </w:p>
    <w:p>
      <w:pPr>
        <w:jc w:val="both"/>
        <w:ind w:firstLine="645"/>
        <w:spacing w:after="0" w:line="235" w:lineRule="auto"/>
        <w:tabs>
          <w:tab w:leader="none" w:pos="1347" w:val="left"/>
        </w:tabs>
        <w:numPr>
          <w:ilvl w:val="0"/>
          <w:numId w:val="62"/>
        </w:numPr>
        <w:rPr>
          <w:rFonts w:ascii="Arial" w:cs="Arial" w:eastAsia="Arial" w:hAnsi="Arial"/>
          <w:sz w:val="22"/>
          <w:szCs w:val="22"/>
          <w:color w:val="010000"/>
        </w:rPr>
      </w:pPr>
      <w:r>
        <w:rPr>
          <w:rFonts w:ascii="Arial" w:cs="Arial" w:eastAsia="Arial" w:hAnsi="Arial"/>
          <w:sz w:val="22"/>
          <w:szCs w:val="22"/>
          <w:u w:val="single" w:color="auto"/>
          <w:color w:val="auto"/>
        </w:rPr>
        <w:t>Visitation Rights</w:t>
      </w:r>
      <w:r>
        <w:rPr>
          <w:rFonts w:ascii="Arial" w:cs="Arial" w:eastAsia="Arial" w:hAnsi="Arial"/>
          <w:sz w:val="22"/>
          <w:szCs w:val="22"/>
          <w:color w:val="auto"/>
        </w:rPr>
        <w:t>. At any reasonable time and from time to time during normal business hours (but not more than once annually if no Event of Default has occurred and is continuing), upon reasonable notice to the Borrower, permit the Administrative Agent or any of the Lenders, or any agents or representatives thereof, to examine and make copies of and abstracts from the records and books of account, and visit the properties, of the Consolidated Group, and to discuss the affairs, finances and accounts of the Consolidated Group with any of the members of the senior treasury staff of the Borrower.</w:t>
      </w:r>
    </w:p>
    <w:p>
      <w:pPr>
        <w:spacing w:after="0" w:line="21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5"/>
        <w:spacing w:after="0" w:line="258" w:lineRule="auto"/>
        <w:tabs>
          <w:tab w:leader="none" w:pos="1377" w:val="left"/>
        </w:tabs>
        <w:numPr>
          <w:ilvl w:val="0"/>
          <w:numId w:val="63"/>
        </w:numPr>
        <w:rPr>
          <w:rFonts w:ascii="Arial" w:cs="Arial" w:eastAsia="Arial" w:hAnsi="Arial"/>
          <w:sz w:val="21"/>
          <w:szCs w:val="21"/>
          <w:color w:val="010000"/>
        </w:rPr>
      </w:pPr>
      <w:r>
        <w:rPr>
          <w:rFonts w:ascii="Arial" w:cs="Arial" w:eastAsia="Arial" w:hAnsi="Arial"/>
          <w:sz w:val="21"/>
          <w:szCs w:val="21"/>
          <w:u w:val="single" w:color="auto"/>
          <w:color w:val="auto"/>
        </w:rPr>
        <w:t>Keeping of Books</w:t>
      </w:r>
      <w:r>
        <w:rPr>
          <w:rFonts w:ascii="Arial" w:cs="Arial" w:eastAsia="Arial" w:hAnsi="Arial"/>
          <w:sz w:val="21"/>
          <w:szCs w:val="21"/>
          <w:color w:val="auto"/>
        </w:rPr>
        <w:t>. Keep, and cause each of its Subsidiaries to keep, proper books of record and account, in which full and correct entries shall be made of all financial transactions and the assets and business of the Consolidated Group sufficient to permit the preparation of financial statements in accordance with GAAP.</w:t>
      </w:r>
    </w:p>
    <w:p>
      <w:pPr>
        <w:spacing w:after="0" w:line="193" w:lineRule="exact"/>
        <w:rPr>
          <w:rFonts w:ascii="Arial" w:cs="Arial" w:eastAsia="Arial" w:hAnsi="Arial"/>
          <w:sz w:val="21"/>
          <w:szCs w:val="21"/>
          <w:color w:val="010000"/>
        </w:rPr>
      </w:pPr>
    </w:p>
    <w:p>
      <w:pPr>
        <w:jc w:val="both"/>
        <w:ind w:firstLine="645"/>
        <w:spacing w:after="0" w:line="279" w:lineRule="auto"/>
        <w:tabs>
          <w:tab w:leader="none" w:pos="1711" w:val="left"/>
        </w:tabs>
        <w:numPr>
          <w:ilvl w:val="0"/>
          <w:numId w:val="63"/>
        </w:numPr>
        <w:rPr>
          <w:rFonts w:ascii="Arial" w:cs="Arial" w:eastAsia="Arial" w:hAnsi="Arial"/>
          <w:sz w:val="19"/>
          <w:szCs w:val="19"/>
          <w:color w:val="010000"/>
        </w:rPr>
      </w:pPr>
      <w:r>
        <w:rPr>
          <w:rFonts w:ascii="Arial" w:cs="Arial" w:eastAsia="Arial" w:hAnsi="Arial"/>
          <w:sz w:val="19"/>
          <w:szCs w:val="19"/>
          <w:u w:val="single" w:color="auto"/>
          <w:color w:val="auto"/>
        </w:rPr>
        <w:t>Maintenance of Properties, Etc.</w:t>
      </w:r>
      <w:r>
        <w:rPr>
          <w:rFonts w:ascii="Arial" w:cs="Arial" w:eastAsia="Arial" w:hAnsi="Arial"/>
          <w:sz w:val="19"/>
          <w:szCs w:val="19"/>
          <w:color w:val="auto"/>
        </w:rPr>
        <w:t xml:space="preserve"> Cause all of its properties that are used or useful in the conduct of its business or the business of any member of the Consolidated Group to be maintained and kept in good condition, repair and working order and supplied with all necessary equipment, and cause to be made all necessary repairs, renewals, replacements, betterments and improvements thereof, all as in the judgment of the Borrower may be necessary so that the business carried on in connection therewith may be properly and advantageously conducted at all times, except, in each case, where the failure to do so would not reasonably be expected to result in a Material Adverse Effect.</w:t>
      </w:r>
    </w:p>
    <w:p>
      <w:pPr>
        <w:spacing w:after="0" w:line="177" w:lineRule="exact"/>
        <w:rPr>
          <w:rFonts w:ascii="Arial" w:cs="Arial" w:eastAsia="Arial" w:hAnsi="Arial"/>
          <w:sz w:val="19"/>
          <w:szCs w:val="19"/>
          <w:color w:val="010000"/>
        </w:rPr>
      </w:pPr>
    </w:p>
    <w:p>
      <w:pPr>
        <w:jc w:val="both"/>
        <w:ind w:firstLine="645"/>
        <w:spacing w:after="0" w:line="249" w:lineRule="auto"/>
        <w:tabs>
          <w:tab w:leader="none" w:pos="1535" w:val="left"/>
        </w:tabs>
        <w:numPr>
          <w:ilvl w:val="0"/>
          <w:numId w:val="63"/>
        </w:numPr>
        <w:rPr>
          <w:rFonts w:ascii="Arial" w:cs="Arial" w:eastAsia="Arial" w:hAnsi="Arial"/>
          <w:sz w:val="21"/>
          <w:szCs w:val="21"/>
          <w:color w:val="010000"/>
        </w:rPr>
      </w:pP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xml:space="preserve">. Conduct, and cause each member of the Consolidated Group to conduct, all material transactions otherwise permitted under this Agreement with any of their Affiliates (excluding the members of the Consolidated Group) on terms that are fair and reasonable and no less favorable to the Borrower or such Subsidiary than it would obtain in a comparable arm’s-length transaction with a Person not an Affiliate;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provisions of this Section 5.01(h) shall not apply to the following:</w:t>
      </w:r>
    </w:p>
    <w:p>
      <w:pPr>
        <w:spacing w:after="0" w:line="205" w:lineRule="exact"/>
        <w:rPr>
          <w:rFonts w:ascii="Arial" w:cs="Arial" w:eastAsia="Arial" w:hAnsi="Arial"/>
          <w:sz w:val="21"/>
          <w:szCs w:val="21"/>
          <w:color w:val="010000"/>
        </w:rPr>
      </w:pPr>
    </w:p>
    <w:p>
      <w:pPr>
        <w:jc w:val="both"/>
        <w:ind w:left="640" w:firstLine="653"/>
        <w:spacing w:after="0" w:line="249" w:lineRule="auto"/>
        <w:tabs>
          <w:tab w:leader="none" w:pos="2167"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payment of dividends or other distributions (whether in cash, securities or other property) with respect to any Equity Interests in a member of the Consolidated Group, or any payment (whether in cash, securities or other property), including any sinking fund or similar deposit, on account of the purchase, redemption, retirement, acquisition, cancellation or termination of any such Equity Interests in such Person or any option, warrant or other right to acquire any such Equity Interests in such Person;</w:t>
      </w:r>
    </w:p>
    <w:p>
      <w:pPr>
        <w:spacing w:after="0" w:line="205" w:lineRule="exact"/>
        <w:rPr>
          <w:rFonts w:ascii="Arial" w:cs="Arial" w:eastAsia="Arial" w:hAnsi="Arial"/>
          <w:sz w:val="21"/>
          <w:szCs w:val="21"/>
          <w:color w:val="auto"/>
        </w:rPr>
      </w:pPr>
    </w:p>
    <w:p>
      <w:pPr>
        <w:jc w:val="both"/>
        <w:ind w:left="640" w:firstLine="653"/>
        <w:spacing w:after="0" w:line="297" w:lineRule="auto"/>
        <w:tabs>
          <w:tab w:leader="none" w:pos="2457" w:val="left"/>
        </w:tabs>
        <w:numPr>
          <w:ilvl w:val="1"/>
          <w:numId w:val="63"/>
        </w:numPr>
        <w:rPr>
          <w:rFonts w:ascii="Arial" w:cs="Arial" w:eastAsia="Arial" w:hAnsi="Arial"/>
          <w:sz w:val="19"/>
          <w:szCs w:val="19"/>
          <w:color w:val="010000"/>
        </w:rPr>
      </w:pPr>
      <w:r>
        <w:rPr>
          <w:rFonts w:ascii="Arial" w:cs="Arial" w:eastAsia="Arial" w:hAnsi="Arial"/>
          <w:sz w:val="19"/>
          <w:szCs w:val="19"/>
          <w:color w:val="auto"/>
        </w:rPr>
        <w:t>payment of, or other consideration in respect of, compensation to, the making of loans to and payment of fees and expenses of and indemnities to officers, directors, employees or consultants of a member of the Consolidated Group and payment, or other consideration in respect of, directors’ and officers’ indemnities;</w:t>
      </w:r>
    </w:p>
    <w:p>
      <w:pPr>
        <w:spacing w:after="0" w:line="161" w:lineRule="exact"/>
        <w:rPr>
          <w:rFonts w:ascii="Arial" w:cs="Arial" w:eastAsia="Arial" w:hAnsi="Arial"/>
          <w:sz w:val="19"/>
          <w:szCs w:val="19"/>
          <w:color w:val="010000"/>
        </w:rPr>
      </w:pPr>
    </w:p>
    <w:p>
      <w:pPr>
        <w:ind w:left="640" w:firstLine="653"/>
        <w:spacing w:after="0" w:line="251" w:lineRule="auto"/>
        <w:tabs>
          <w:tab w:leader="none" w:pos="2098"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transactions pursuant to any agreement to which a member of the Consolidated Group is a party on the date hereof and set forth on Schedule 5.01(h);</w:t>
      </w:r>
    </w:p>
    <w:p>
      <w:pPr>
        <w:spacing w:after="0" w:line="200" w:lineRule="exact"/>
        <w:rPr>
          <w:rFonts w:ascii="Arial" w:cs="Arial" w:eastAsia="Arial" w:hAnsi="Arial"/>
          <w:sz w:val="22"/>
          <w:szCs w:val="22"/>
          <w:color w:val="010000"/>
        </w:rPr>
      </w:pPr>
    </w:p>
    <w:p>
      <w:pPr>
        <w:ind w:left="640" w:firstLine="653"/>
        <w:spacing w:after="0" w:line="274" w:lineRule="auto"/>
        <w:tabs>
          <w:tab w:leader="none" w:pos="2329" w:val="left"/>
        </w:tabs>
        <w:numPr>
          <w:ilvl w:val="1"/>
          <w:numId w:val="63"/>
        </w:numPr>
        <w:rPr>
          <w:rFonts w:ascii="Arial" w:cs="Arial" w:eastAsia="Arial" w:hAnsi="Arial"/>
          <w:sz w:val="21"/>
          <w:szCs w:val="21"/>
          <w:color w:val="010000"/>
        </w:rPr>
      </w:pPr>
      <w:r>
        <w:rPr>
          <w:rFonts w:ascii="Arial" w:cs="Arial" w:eastAsia="Arial" w:hAnsi="Arial"/>
          <w:sz w:val="21"/>
          <w:szCs w:val="21"/>
          <w:color w:val="auto"/>
        </w:rPr>
        <w:t>transactions with joint ventures for the purchase or sale of property or other assets and services entered into in the ordinary course of business and in a manner consistent with past practices;</w:t>
      </w:r>
    </w:p>
    <w:p>
      <w:pPr>
        <w:spacing w:after="0" w:line="177" w:lineRule="exact"/>
        <w:rPr>
          <w:rFonts w:ascii="Arial" w:cs="Arial" w:eastAsia="Arial" w:hAnsi="Arial"/>
          <w:sz w:val="21"/>
          <w:szCs w:val="21"/>
          <w:color w:val="010000"/>
        </w:rPr>
      </w:pPr>
    </w:p>
    <w:p>
      <w:pPr>
        <w:ind w:left="1960" w:hanging="667"/>
        <w:spacing w:after="0"/>
        <w:tabs>
          <w:tab w:leader="none" w:pos="1960"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transactions ancillary to or in connection with the Transactions;</w:t>
      </w:r>
    </w:p>
    <w:p>
      <w:pPr>
        <w:spacing w:after="0" w:line="233" w:lineRule="exact"/>
        <w:rPr>
          <w:rFonts w:ascii="Arial" w:cs="Arial" w:eastAsia="Arial" w:hAnsi="Arial"/>
          <w:sz w:val="22"/>
          <w:szCs w:val="22"/>
          <w:color w:val="010000"/>
        </w:rPr>
      </w:pPr>
    </w:p>
    <w:p>
      <w:pPr>
        <w:ind w:left="640" w:firstLine="653"/>
        <w:spacing w:after="0" w:line="251" w:lineRule="auto"/>
        <w:tabs>
          <w:tab w:leader="none" w:pos="2235" w:val="left"/>
        </w:tabs>
        <w:numPr>
          <w:ilvl w:val="1"/>
          <w:numId w:val="63"/>
        </w:numPr>
        <w:rPr>
          <w:rFonts w:ascii="Arial" w:cs="Arial" w:eastAsia="Arial" w:hAnsi="Arial"/>
          <w:sz w:val="22"/>
          <w:szCs w:val="22"/>
          <w:color w:val="010000"/>
        </w:rPr>
      </w:pPr>
      <w:r>
        <w:rPr>
          <w:rFonts w:ascii="Arial" w:cs="Arial" w:eastAsia="Arial" w:hAnsi="Arial"/>
          <w:sz w:val="22"/>
          <w:szCs w:val="22"/>
          <w:color w:val="auto"/>
        </w:rPr>
        <w:t>transactions approved by a majority of Disinterested Directors of the Borrower or of the relevant member of the Consolidated Group in good faith; or</w:t>
      </w:r>
    </w:p>
    <w:p>
      <w:pPr>
        <w:spacing w:after="0" w:line="2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18" w:right="239" w:bottom="331" w:gutter="0" w:footer="0" w:header="0"/>
        </w:sectPr>
      </w:pPr>
    </w:p>
    <w:bookmarkStart w:id="37" w:name="page38"/>
    <w:bookmarkEnd w:id="37"/>
    <w:p>
      <w:pPr>
        <w:spacing w:after="0" w:line="88" w:lineRule="exact"/>
        <w:rPr>
          <w:sz w:val="20"/>
          <w:szCs w:val="20"/>
          <w:color w:val="auto"/>
        </w:rPr>
      </w:pPr>
    </w:p>
    <w:p>
      <w:pPr>
        <w:jc w:val="both"/>
        <w:ind w:left="1300" w:firstLine="653"/>
        <w:spacing w:after="0" w:line="247" w:lineRule="auto"/>
        <w:tabs>
          <w:tab w:leader="none" w:pos="2617" w:val="left"/>
        </w:tabs>
        <w:numPr>
          <w:ilvl w:val="1"/>
          <w:numId w:val="64"/>
        </w:numPr>
        <w:rPr>
          <w:rFonts w:ascii="Arial" w:cs="Arial" w:eastAsia="Arial" w:hAnsi="Arial"/>
          <w:sz w:val="21"/>
          <w:szCs w:val="21"/>
          <w:color w:val="010000"/>
        </w:rPr>
      </w:pPr>
      <w:r>
        <w:rPr>
          <w:rFonts w:ascii="Arial" w:cs="Arial" w:eastAsia="Arial" w:hAnsi="Arial"/>
          <w:sz w:val="21"/>
          <w:szCs w:val="21"/>
          <w:color w:val="auto"/>
        </w:rPr>
        <w:t>any transaction in respect of which the Borrower delivers to the Administrative Agent (for delivery to the Lenders) a letter addressed to the board of directors of the Borrower (or the board of directors of the relevant member of the Consolidated Group) from an accounting, appraisal or investment banking firm that is (a) in the good faith determination of the Borrower qualified to render such letter and (b) reasonably satisfactory to the Administrative Agent, which letter states that such transaction is on terms that are no less favorable to the Borrower or the relevant member of the Consolidated Group, as applicable, than would be obtained in a comparable arm’s length transaction with a Person that is not an Affiliate.</w:t>
      </w:r>
    </w:p>
    <w:p>
      <w:pPr>
        <w:spacing w:after="0" w:line="205" w:lineRule="exact"/>
        <w:rPr>
          <w:rFonts w:ascii="Arial" w:cs="Arial" w:eastAsia="Arial" w:hAnsi="Arial"/>
          <w:sz w:val="21"/>
          <w:szCs w:val="21"/>
          <w:color w:val="010000"/>
        </w:rPr>
      </w:pPr>
    </w:p>
    <w:p>
      <w:pPr>
        <w:ind w:left="1960" w:hanging="655"/>
        <w:spacing w:after="0"/>
        <w:tabs>
          <w:tab w:leader="none" w:pos="1960" w:val="left"/>
        </w:tabs>
        <w:numPr>
          <w:ilvl w:val="0"/>
          <w:numId w:val="65"/>
        </w:numPr>
        <w:rPr>
          <w:rFonts w:ascii="Arial" w:cs="Arial" w:eastAsia="Arial" w:hAnsi="Arial"/>
          <w:sz w:val="21"/>
          <w:szCs w:val="21"/>
          <w:color w:val="010000"/>
        </w:rPr>
      </w:pPr>
      <w:r>
        <w:rPr>
          <w:rFonts w:ascii="Arial" w:cs="Arial" w:eastAsia="Arial" w:hAnsi="Arial"/>
          <w:sz w:val="21"/>
          <w:szCs w:val="21"/>
          <w:u w:val="single" w:color="auto"/>
          <w:color w:val="auto"/>
        </w:rPr>
        <w:t>Reporting Requirements</w:t>
      </w:r>
      <w:r>
        <w:rPr>
          <w:rFonts w:ascii="Arial" w:cs="Arial" w:eastAsia="Arial" w:hAnsi="Arial"/>
          <w:sz w:val="21"/>
          <w:szCs w:val="21"/>
          <w:color w:val="auto"/>
        </w:rPr>
        <w:t>. Furnish to the Administrative Agent for further distribution to the Lenders:</w:t>
      </w:r>
    </w:p>
    <w:p>
      <w:pPr>
        <w:spacing w:after="0" w:line="244" w:lineRule="exact"/>
        <w:rPr>
          <w:rFonts w:ascii="Arial" w:cs="Arial" w:eastAsia="Arial" w:hAnsi="Arial"/>
          <w:sz w:val="21"/>
          <w:szCs w:val="21"/>
          <w:color w:val="010000"/>
        </w:rPr>
      </w:pPr>
    </w:p>
    <w:p>
      <w:pPr>
        <w:jc w:val="both"/>
        <w:ind w:left="1300" w:firstLine="653"/>
        <w:spacing w:after="0" w:line="248" w:lineRule="auto"/>
        <w:tabs>
          <w:tab w:leader="none" w:pos="2638"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as soon as available and in any event within 50 days after the end of each of the first three quarters of each fiscal year of the Borrower, a Consolidated balance sheet of the Consolidated Group as of the end of such quarter and Consolidated statements of earnings and cash flows of the Consolidated Group for the period commencing at the end of the previous fiscal year and ending with the end of such quarter, duly certified by the Chief Financial Officer, the Controller or the Treasurer of the Borrower as having been prepared in accordance with GAAP (subject to the absence of footnotes and year end audit adjustments);</w:t>
      </w:r>
    </w:p>
    <w:p>
      <w:pPr>
        <w:spacing w:after="0" w:line="204" w:lineRule="exact"/>
        <w:rPr>
          <w:rFonts w:ascii="Arial" w:cs="Arial" w:eastAsia="Arial" w:hAnsi="Arial"/>
          <w:sz w:val="21"/>
          <w:szCs w:val="21"/>
          <w:color w:val="010000"/>
        </w:rPr>
      </w:pPr>
    </w:p>
    <w:p>
      <w:pPr>
        <w:jc w:val="both"/>
        <w:ind w:left="1300" w:firstLine="653"/>
        <w:spacing w:after="0" w:line="248" w:lineRule="auto"/>
        <w:tabs>
          <w:tab w:leader="none" w:pos="3131" w:val="left"/>
        </w:tabs>
        <w:numPr>
          <w:ilvl w:val="1"/>
          <w:numId w:val="65"/>
        </w:numPr>
        <w:rPr>
          <w:rFonts w:ascii="Arial" w:cs="Arial" w:eastAsia="Arial" w:hAnsi="Arial"/>
          <w:sz w:val="21"/>
          <w:szCs w:val="21"/>
          <w:color w:val="010000"/>
        </w:rPr>
      </w:pPr>
      <w:r>
        <w:rPr>
          <w:rFonts w:ascii="Arial" w:cs="Arial" w:eastAsia="Arial" w:hAnsi="Arial"/>
          <w:sz w:val="21"/>
          <w:szCs w:val="21"/>
          <w:color w:val="auto"/>
        </w:rPr>
        <w:t>as soon as available and in any event within 100 days after the end of each fiscal year of the Borrower, a copy of the annual audit report for such year for the Consolidated Group, containing a Consolidated balance sheet of the Consolidated Group as of the end of such fiscal year and Consolidated statements of earnings and cash flows of the Consolidated Group for such fiscal year, in each case accompanied by an unqualified opinion or an opinion reasonably acceptable to the Required Lenders by Ernst &amp; Young LLP or other independent public accountants of recognized national standing;</w:t>
      </w:r>
    </w:p>
    <w:p>
      <w:pPr>
        <w:spacing w:after="0" w:line="204" w:lineRule="exact"/>
        <w:rPr>
          <w:rFonts w:ascii="Arial" w:cs="Arial" w:eastAsia="Arial" w:hAnsi="Arial"/>
          <w:sz w:val="21"/>
          <w:szCs w:val="21"/>
          <w:color w:val="010000"/>
        </w:rPr>
      </w:pPr>
    </w:p>
    <w:p>
      <w:pPr>
        <w:jc w:val="both"/>
        <w:ind w:left="1300" w:firstLine="653"/>
        <w:spacing w:after="0" w:line="235" w:lineRule="auto"/>
        <w:tabs>
          <w:tab w:leader="none" w:pos="2718" w:val="left"/>
        </w:tabs>
        <w:numPr>
          <w:ilvl w:val="1"/>
          <w:numId w:val="65"/>
        </w:numPr>
        <w:rPr>
          <w:rFonts w:ascii="Arial" w:cs="Arial" w:eastAsia="Arial" w:hAnsi="Arial"/>
          <w:sz w:val="22"/>
          <w:szCs w:val="22"/>
          <w:color w:val="010000"/>
        </w:rPr>
      </w:pPr>
      <w:r>
        <w:rPr>
          <w:rFonts w:ascii="Arial" w:cs="Arial" w:eastAsia="Arial" w:hAnsi="Arial"/>
          <w:sz w:val="22"/>
          <w:szCs w:val="22"/>
          <w:color w:val="auto"/>
        </w:rPr>
        <w:t>simultaneously with each delivery of the financial statements referred to in subclauses (i) and (ii) of this Section 5.01(i), a certificate of the Chief Financial Officer, the Controller or the Treasurer of the Borrower that no Default or Event of Default has occurred and is continuing (or if such event has occurred and is continuing the actions being taken by the Borrower to cure such Default or Event of Default), including, if such covenant is tested at such time, setting forth in reasonable detail the calculations necessary to demonstrate compliance with Section 5.03;</w:t>
      </w:r>
    </w:p>
    <w:p>
      <w:pPr>
        <w:spacing w:after="0" w:line="215" w:lineRule="exact"/>
        <w:rPr>
          <w:rFonts w:ascii="Arial" w:cs="Arial" w:eastAsia="Arial" w:hAnsi="Arial"/>
          <w:sz w:val="22"/>
          <w:szCs w:val="22"/>
          <w:color w:val="010000"/>
        </w:rPr>
      </w:pPr>
    </w:p>
    <w:p>
      <w:pPr>
        <w:jc w:val="both"/>
        <w:ind w:left="1300" w:firstLine="653"/>
        <w:spacing w:after="0" w:line="287" w:lineRule="auto"/>
        <w:tabs>
          <w:tab w:leader="none" w:pos="2733" w:val="left"/>
        </w:tabs>
        <w:numPr>
          <w:ilvl w:val="1"/>
          <w:numId w:val="65"/>
        </w:numPr>
        <w:rPr>
          <w:rFonts w:ascii="Arial" w:cs="Arial" w:eastAsia="Arial" w:hAnsi="Arial"/>
          <w:sz w:val="19"/>
          <w:szCs w:val="19"/>
          <w:color w:val="010000"/>
        </w:rPr>
      </w:pPr>
      <w:r>
        <w:rPr>
          <w:rFonts w:ascii="Arial" w:cs="Arial" w:eastAsia="Arial" w:hAnsi="Arial"/>
          <w:sz w:val="19"/>
          <w:szCs w:val="19"/>
          <w:color w:val="auto"/>
        </w:rPr>
        <w:t>as soon as possible and in any event within five days after any Responsible Officer of the Borrower shall have obtained knowledge of the occurrence of each Default continuing on the date of such statement, a statement of the Chief Financial Officer, the Controller or the Treasurer of the Borrower setting forth details of such Default and the action that the Borrower has taken and proposes to take with respect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00" w:firstLine="653"/>
        <w:spacing w:after="0" w:line="297" w:lineRule="auto"/>
        <w:tabs>
          <w:tab w:leader="none" w:pos="2659" w:val="left"/>
        </w:tabs>
        <w:numPr>
          <w:ilvl w:val="1"/>
          <w:numId w:val="66"/>
        </w:numPr>
        <w:rPr>
          <w:rFonts w:ascii="Arial" w:cs="Arial" w:eastAsia="Arial" w:hAnsi="Arial"/>
          <w:sz w:val="19"/>
          <w:szCs w:val="19"/>
          <w:color w:val="010000"/>
        </w:rPr>
      </w:pPr>
      <w:r>
        <w:rPr>
          <w:rFonts w:ascii="Arial" w:cs="Arial" w:eastAsia="Arial" w:hAnsi="Arial"/>
          <w:sz w:val="19"/>
          <w:szCs w:val="19"/>
          <w:color w:val="auto"/>
        </w:rPr>
        <w:t>promptly after the sending or filing thereof, copies of all reports that the Borrower sends to any of its securityholders, in their capacity as such, and copies of all reports and registration statements that members of the Consolidated Group file with the Securities and Exchange Commission or any national securities exchange;</w:t>
      </w:r>
    </w:p>
    <w:p>
      <w:pPr>
        <w:spacing w:after="0" w:line="161" w:lineRule="exact"/>
        <w:rPr>
          <w:rFonts w:ascii="Arial" w:cs="Arial" w:eastAsia="Arial" w:hAnsi="Arial"/>
          <w:sz w:val="19"/>
          <w:szCs w:val="19"/>
          <w:color w:val="010000"/>
        </w:rPr>
      </w:pPr>
    </w:p>
    <w:p>
      <w:pPr>
        <w:jc w:val="both"/>
        <w:ind w:left="1300" w:firstLine="653"/>
        <w:spacing w:after="0" w:line="297" w:lineRule="auto"/>
        <w:tabs>
          <w:tab w:leader="none" w:pos="2976" w:val="left"/>
        </w:tabs>
        <w:numPr>
          <w:ilvl w:val="1"/>
          <w:numId w:val="66"/>
        </w:numPr>
        <w:rPr>
          <w:rFonts w:ascii="Arial" w:cs="Arial" w:eastAsia="Arial" w:hAnsi="Arial"/>
          <w:sz w:val="19"/>
          <w:szCs w:val="19"/>
          <w:color w:val="010000"/>
        </w:rPr>
      </w:pPr>
      <w:r>
        <w:rPr>
          <w:rFonts w:ascii="Arial" w:cs="Arial" w:eastAsia="Arial" w:hAnsi="Arial"/>
          <w:sz w:val="19"/>
          <w:szCs w:val="19"/>
          <w:color w:val="auto"/>
        </w:rPr>
        <w:t>promptly after a Responsible Officer of the Borrower obtains knowledge of the commencement thereof, notice of all actions, suits, investigations, litigations and proceedings before any court, governmental agency or arbitrator affecting the Consolidated Group of the type described in Section 4.01(f)(ii); and</w:t>
      </w:r>
    </w:p>
    <w:p>
      <w:pPr>
        <w:spacing w:after="0" w:line="161" w:lineRule="exact"/>
        <w:rPr>
          <w:rFonts w:ascii="Arial" w:cs="Arial" w:eastAsia="Arial" w:hAnsi="Arial"/>
          <w:sz w:val="19"/>
          <w:szCs w:val="19"/>
          <w:color w:val="010000"/>
        </w:rPr>
      </w:pPr>
    </w:p>
    <w:p>
      <w:pPr>
        <w:ind w:left="1300" w:firstLine="653"/>
        <w:spacing w:after="0" w:line="251" w:lineRule="auto"/>
        <w:tabs>
          <w:tab w:leader="none" w:pos="2685" w:val="left"/>
        </w:tabs>
        <w:numPr>
          <w:ilvl w:val="1"/>
          <w:numId w:val="66"/>
        </w:numPr>
        <w:rPr>
          <w:rFonts w:ascii="Arial" w:cs="Arial" w:eastAsia="Arial" w:hAnsi="Arial"/>
          <w:sz w:val="22"/>
          <w:szCs w:val="22"/>
          <w:color w:val="010000"/>
        </w:rPr>
      </w:pPr>
      <w:r>
        <w:rPr>
          <w:rFonts w:ascii="Arial" w:cs="Arial" w:eastAsia="Arial" w:hAnsi="Arial"/>
          <w:sz w:val="22"/>
          <w:szCs w:val="22"/>
          <w:color w:val="auto"/>
        </w:rPr>
        <w:t>such other information respecting the Consolidated Group as any Lender through the Administrative Agent may from time to time reasonably request.</w:t>
      </w:r>
    </w:p>
    <w:p>
      <w:pPr>
        <w:spacing w:after="0" w:line="200" w:lineRule="exact"/>
        <w:rPr>
          <w:rFonts w:ascii="Arial" w:cs="Arial" w:eastAsia="Arial" w:hAnsi="Arial"/>
          <w:sz w:val="22"/>
          <w:szCs w:val="22"/>
          <w:color w:val="010000"/>
        </w:rPr>
      </w:pPr>
    </w:p>
    <w:p>
      <w:pPr>
        <w:jc w:val="both"/>
        <w:ind w:left="660" w:firstLine="645"/>
        <w:spacing w:after="0" w:line="274" w:lineRule="auto"/>
        <w:tabs>
          <w:tab w:leader="none" w:pos="1998" w:val="left"/>
        </w:tabs>
        <w:numPr>
          <w:ilvl w:val="0"/>
          <w:numId w:val="67"/>
        </w:numPr>
        <w:rPr>
          <w:rFonts w:ascii="Arial" w:cs="Arial" w:eastAsia="Arial" w:hAnsi="Arial"/>
          <w:sz w:val="19"/>
          <w:szCs w:val="19"/>
          <w:color w:val="010000"/>
        </w:rPr>
      </w:pPr>
      <w:r>
        <w:rPr>
          <w:rFonts w:ascii="Arial" w:cs="Arial" w:eastAsia="Arial" w:hAnsi="Arial"/>
          <w:sz w:val="19"/>
          <w:szCs w:val="19"/>
          <w:u w:val="single" w:color="auto"/>
          <w:color w:val="auto"/>
        </w:rPr>
        <w:t>Sanctions and FCPA</w:t>
      </w:r>
      <w:r>
        <w:rPr>
          <w:rFonts w:ascii="Arial" w:cs="Arial" w:eastAsia="Arial" w:hAnsi="Arial"/>
          <w:sz w:val="19"/>
          <w:szCs w:val="19"/>
          <w:color w:val="auto"/>
        </w:rPr>
        <w:t>. The Borrower (a) shall not use the proceeds of any Advances, and (b) shall ensure and shall cause each other member of the Consolidated Group to ensure, and, to their knowledge, their respective officers, employees, directors and agents (in their capacity as officers, employees, directors or agents, respectively, of the Borrower or another member of the Consolidated Group), shall ensure, that the proceeds of any Advances shall not be used by such Persons, in each case of clause (a) and (b), (i) to fund any activities or business of or with any Embargoed Person, or in any country or territory, that at the time of such funding is the target of any Sanctions, (ii) in any other manner that would result in a violation of any Sanctions by the Agents, Lenders, the Borrower or any member of the Consolidated Group or (iii) in furtherance of an offer, payment, promise to pay, or authorization of the payment or giving of money, or anything else of value, to any Person in violation of any Anti-Corruption Laws.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Information required to be delivered pursuant to subsections (i), (ii) and (v) of Section 5.01(i) above shall be deemed to have been delivered if such information, or one or more annual or quarterly or other reports or proxy statements containing such information, shall have been posted and available on the website of the Securities and Exchange Commission at http://www.sec.gov (and a confirming electronic correspondence is delivered or caused to be delivered by the Borrower to the Administrative Agent providing notice of such availability). The Borrower hereby acknowledges that the Administrative Agent and/or the Arranger will make available to the Lenders materials and/or information provided by or on behalf of the Borrower hereunder (collectively,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Materials</w:t>
      </w:r>
      <w:r>
        <w:rPr>
          <w:rFonts w:ascii="Arial" w:cs="Arial" w:eastAsia="Arial" w:hAnsi="Arial"/>
          <w:sz w:val="19"/>
          <w:szCs w:val="19"/>
          <w:color w:val="auto"/>
        </w:rPr>
        <w:t>”) by posting the Borrower Materials on IntraLinks or another similar secure electronic system.</w:t>
      </w:r>
    </w:p>
    <w:p>
      <w:pPr>
        <w:sectPr>
          <w:pgSz w:w="11900" w:h="16926" w:orient="portrait"/>
          <w:cols w:equalWidth="0" w:num="1">
            <w:col w:w="11420"/>
          </w:cols>
          <w:pgMar w:left="240" w:top="118" w:right="239" w:bottom="0" w:gutter="0" w:footer="0" w:header="0"/>
        </w:sectPr>
      </w:pPr>
    </w:p>
    <w:bookmarkStart w:id="38" w:name="page39"/>
    <w:bookmarkEnd w:id="38"/>
    <w:p>
      <w:pPr>
        <w:ind w:left="1300"/>
        <w:spacing w:after="0"/>
        <w:tabs>
          <w:tab w:leader="none" w:pos="3000" w:val="left"/>
        </w:tabs>
        <w:rPr>
          <w:sz w:val="20"/>
          <w:szCs w:val="20"/>
          <w:color w:val="auto"/>
        </w:rPr>
      </w:pPr>
      <w:r>
        <w:rPr>
          <w:rFonts w:ascii="Arial" w:cs="Arial" w:eastAsia="Arial" w:hAnsi="Arial"/>
          <w:sz w:val="22"/>
          <w:szCs w:val="22"/>
          <w:color w:val="010000"/>
        </w:rPr>
        <w:t>SECTION 5.02</w:t>
      </w:r>
      <w:r>
        <w:rPr>
          <w:sz w:val="20"/>
          <w:szCs w:val="20"/>
          <w:color w:val="auto"/>
        </w:rPr>
        <w:tab/>
      </w:r>
      <w:r>
        <w:rPr>
          <w:rFonts w:ascii="Arial" w:cs="Arial" w:eastAsia="Arial" w:hAnsi="Arial"/>
          <w:sz w:val="19"/>
          <w:szCs w:val="19"/>
          <w:u w:val="single" w:color="auto"/>
          <w:color w:val="auto"/>
        </w:rPr>
        <w:t>Negative Covenants</w:t>
      </w:r>
      <w:r>
        <w:rPr>
          <w:rFonts w:ascii="Arial" w:cs="Arial" w:eastAsia="Arial" w:hAnsi="Arial"/>
          <w:sz w:val="19"/>
          <w:szCs w:val="19"/>
          <w:color w:val="auto"/>
        </w:rPr>
        <w:t>. So long as any Advance shall remain unpaid or any Lender shall have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Commitment hereunder, the Borrower will not:</w:t>
      </w:r>
    </w:p>
    <w:p>
      <w:pPr>
        <w:spacing w:after="0" w:line="215" w:lineRule="exact"/>
        <w:rPr>
          <w:sz w:val="20"/>
          <w:szCs w:val="20"/>
          <w:color w:val="auto"/>
        </w:rPr>
      </w:pPr>
    </w:p>
    <w:p>
      <w:pPr>
        <w:jc w:val="both"/>
        <w:ind w:left="660" w:firstLine="645"/>
        <w:spacing w:after="0" w:line="297" w:lineRule="auto"/>
        <w:tabs>
          <w:tab w:leader="none" w:pos="2088" w:val="left"/>
        </w:tabs>
        <w:numPr>
          <w:ilvl w:val="0"/>
          <w:numId w:val="68"/>
        </w:numPr>
        <w:rPr>
          <w:rFonts w:ascii="Arial" w:cs="Arial" w:eastAsia="Arial" w:hAnsi="Arial"/>
          <w:sz w:val="19"/>
          <w:szCs w:val="19"/>
          <w:color w:val="010000"/>
        </w:rPr>
      </w:pPr>
      <w:r>
        <w:rPr>
          <w:rFonts w:ascii="Arial" w:cs="Arial" w:eastAsia="Arial" w:hAnsi="Arial"/>
          <w:sz w:val="19"/>
          <w:szCs w:val="19"/>
          <w:u w:val="single" w:color="auto"/>
          <w:color w:val="auto"/>
        </w:rPr>
        <w:t>Liens, Etc.</w:t>
      </w:r>
      <w:r>
        <w:rPr>
          <w:rFonts w:ascii="Arial" w:cs="Arial" w:eastAsia="Arial" w:hAnsi="Arial"/>
          <w:sz w:val="19"/>
          <w:szCs w:val="19"/>
          <w:color w:val="auto"/>
        </w:rPr>
        <w:t xml:space="preserve"> Incur, issue, assume or guarantee, or permit any Domestic Subsidiary to incur, issue, assume or guaranty, at any time, any Borrowed Debt secured by a Lien on any Principal Domestic Property of the Borrower or any Domestic Subsidiary, or any shares of stock or Borrowed Debt of any Domestic Subsidiary (other than Margin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47" w:lineRule="auto"/>
        <w:rPr>
          <w:sz w:val="20"/>
          <w:szCs w:val="20"/>
          <w:color w:val="auto"/>
        </w:rPr>
      </w:pPr>
      <w:r>
        <w:rPr>
          <w:rFonts w:ascii="Arial" w:cs="Arial" w:eastAsia="Arial" w:hAnsi="Arial"/>
          <w:sz w:val="21"/>
          <w:szCs w:val="21"/>
          <w:color w:val="auto"/>
        </w:rPr>
        <w:t xml:space="preserve">Stock), without effectively providing that the Advances outstanding at such time (together with, if the Borrower shall so determine, any other Borrowed Debt of the Borrower or such Domestic Subsidiary existing at such time or thereafter created that is not subordinate to the Advances) shall be secured equally and ratably with (or prior to) such secured Borrowed Debt, so long as such secured Borrowed Debt shall be so secured, unless, after giving effect thereto, the aggregate amount of all such secured Borrowed Debt would not exceed 15% of Consolidated Net Assets;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Section 5.02(a) shall not apply to, and there shall be excluded from secured Borrowed Debt in any computation under this Section 5.02(a), Borrowed Debt secured by:</w:t>
      </w:r>
    </w:p>
    <w:p>
      <w:pPr>
        <w:spacing w:after="0" w:line="205" w:lineRule="exact"/>
        <w:rPr>
          <w:sz w:val="20"/>
          <w:szCs w:val="20"/>
          <w:color w:val="auto"/>
        </w:rPr>
      </w:pPr>
    </w:p>
    <w:p>
      <w:pPr>
        <w:ind w:left="1300" w:firstLine="653"/>
        <w:spacing w:after="0" w:line="251" w:lineRule="auto"/>
        <w:tabs>
          <w:tab w:leader="none" w:pos="2692" w:val="left"/>
        </w:tabs>
        <w:numPr>
          <w:ilvl w:val="0"/>
          <w:numId w:val="69"/>
        </w:numPr>
        <w:rPr>
          <w:rFonts w:ascii="Arial" w:cs="Arial" w:eastAsia="Arial" w:hAnsi="Arial"/>
          <w:sz w:val="22"/>
          <w:szCs w:val="22"/>
          <w:color w:val="auto"/>
        </w:rPr>
      </w:pPr>
      <w:r>
        <w:rPr>
          <w:rFonts w:ascii="Arial" w:cs="Arial" w:eastAsia="Arial" w:hAnsi="Arial"/>
          <w:sz w:val="22"/>
          <w:szCs w:val="22"/>
          <w:color w:val="auto"/>
        </w:rPr>
        <w:t>Liens on property of, or on any shares of stock or Borrowed Debt of, any Person existing at the time such Person becomes a Domestic Subsidiary;</w:t>
      </w:r>
    </w:p>
    <w:p>
      <w:pPr>
        <w:spacing w:after="0" w:line="200" w:lineRule="exact"/>
        <w:rPr>
          <w:rFonts w:ascii="Arial" w:cs="Arial" w:eastAsia="Arial" w:hAnsi="Arial"/>
          <w:sz w:val="22"/>
          <w:szCs w:val="22"/>
          <w:color w:val="auto"/>
        </w:rPr>
      </w:pPr>
    </w:p>
    <w:p>
      <w:pPr>
        <w:ind w:left="2620" w:hanging="667"/>
        <w:spacing w:after="0"/>
        <w:tabs>
          <w:tab w:leader="none" w:pos="2620"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Liens in favor of the Borrower or any Domestic Subsidiary;</w:t>
      </w:r>
    </w:p>
    <w:p>
      <w:pPr>
        <w:spacing w:after="0" w:line="233" w:lineRule="exact"/>
        <w:rPr>
          <w:rFonts w:ascii="Arial" w:cs="Arial" w:eastAsia="Arial" w:hAnsi="Arial"/>
          <w:sz w:val="22"/>
          <w:szCs w:val="22"/>
          <w:color w:val="010000"/>
        </w:rPr>
      </w:pPr>
    </w:p>
    <w:p>
      <w:pPr>
        <w:jc w:val="both"/>
        <w:ind w:left="1300" w:firstLine="653"/>
        <w:spacing w:after="0" w:line="238" w:lineRule="auto"/>
        <w:tabs>
          <w:tab w:leader="none" w:pos="2772"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Liens on property of the Borrower or any Domestic Subsidiary in favor of the United States or any State thereof, or any department, agency or instrumentality or political subdivision of the United States or any State thereof, or in favor of any other country, or any political subdivision thereof, to secure partial, progress, advance or other payments pursuant to any contract or statute;</w:t>
      </w:r>
    </w:p>
    <w:p>
      <w:pPr>
        <w:spacing w:after="0" w:line="212" w:lineRule="exact"/>
        <w:rPr>
          <w:rFonts w:ascii="Arial" w:cs="Arial" w:eastAsia="Arial" w:hAnsi="Arial"/>
          <w:sz w:val="22"/>
          <w:szCs w:val="22"/>
          <w:color w:val="010000"/>
        </w:rPr>
      </w:pPr>
    </w:p>
    <w:p>
      <w:pPr>
        <w:jc w:val="both"/>
        <w:ind w:left="1300" w:firstLine="653"/>
        <w:spacing w:after="0" w:line="235" w:lineRule="auto"/>
        <w:tabs>
          <w:tab w:leader="none" w:pos="3043"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Liens on property shares of stock or Borrowed Debt existing at the time of acquisition thereof (including acquisition through merger or consolidation) or to secure the payment of all or any part of the purchase price or construction or improvement cost thereof or to secure any Debt incurred prior to, at the time of, or within 180 days after, the acquisition of such property or shares or Borrowed Debt or the completion of any such construction or improvement for the purpose of financing all or any part of the purchase price or construction or improvement cost thereof;</w:t>
      </w:r>
    </w:p>
    <w:p>
      <w:pPr>
        <w:spacing w:after="0" w:line="215" w:lineRule="exact"/>
        <w:rPr>
          <w:rFonts w:ascii="Arial" w:cs="Arial" w:eastAsia="Arial" w:hAnsi="Arial"/>
          <w:sz w:val="22"/>
          <w:szCs w:val="22"/>
          <w:color w:val="010000"/>
        </w:rPr>
      </w:pPr>
    </w:p>
    <w:p>
      <w:pPr>
        <w:ind w:left="2620" w:hanging="667"/>
        <w:spacing w:after="0"/>
        <w:tabs>
          <w:tab w:leader="none" w:pos="2620"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Liens existing on the Effective Date;</w:t>
      </w:r>
    </w:p>
    <w:p>
      <w:pPr>
        <w:spacing w:after="0" w:line="233" w:lineRule="exact"/>
        <w:rPr>
          <w:rFonts w:ascii="Arial" w:cs="Arial" w:eastAsia="Arial" w:hAnsi="Arial"/>
          <w:sz w:val="22"/>
          <w:szCs w:val="22"/>
          <w:color w:val="010000"/>
        </w:rPr>
      </w:pPr>
    </w:p>
    <w:p>
      <w:pPr>
        <w:ind w:left="2620" w:hanging="667"/>
        <w:spacing w:after="0"/>
        <w:tabs>
          <w:tab w:leader="none" w:pos="2620" w:val="left"/>
        </w:tabs>
        <w:numPr>
          <w:ilvl w:val="0"/>
          <w:numId w:val="69"/>
        </w:numPr>
        <w:rPr>
          <w:rFonts w:ascii="Arial" w:cs="Arial" w:eastAsia="Arial" w:hAnsi="Arial"/>
          <w:sz w:val="22"/>
          <w:szCs w:val="22"/>
          <w:color w:val="010000"/>
        </w:rPr>
      </w:pPr>
      <w:r>
        <w:rPr>
          <w:rFonts w:ascii="Arial" w:cs="Arial" w:eastAsia="Arial" w:hAnsi="Arial"/>
          <w:sz w:val="22"/>
          <w:szCs w:val="22"/>
          <w:color w:val="auto"/>
        </w:rPr>
        <w:t>Liens incurred in connection with pollution control, industrial revenue or similar financing;</w:t>
      </w:r>
    </w:p>
    <w:p>
      <w:pPr>
        <w:spacing w:after="0" w:line="233" w:lineRule="exact"/>
        <w:rPr>
          <w:rFonts w:ascii="Arial" w:cs="Arial" w:eastAsia="Arial" w:hAnsi="Arial"/>
          <w:sz w:val="22"/>
          <w:szCs w:val="22"/>
          <w:color w:val="010000"/>
        </w:rPr>
      </w:pPr>
    </w:p>
    <w:p>
      <w:pPr>
        <w:jc w:val="both"/>
        <w:ind w:left="1300" w:firstLine="653"/>
        <w:spacing w:after="0" w:line="248" w:lineRule="auto"/>
        <w:tabs>
          <w:tab w:leader="none" w:pos="2644" w:val="left"/>
        </w:tabs>
        <w:numPr>
          <w:ilvl w:val="0"/>
          <w:numId w:val="69"/>
        </w:numPr>
        <w:rPr>
          <w:rFonts w:ascii="Arial" w:cs="Arial" w:eastAsia="Arial" w:hAnsi="Arial"/>
          <w:sz w:val="21"/>
          <w:szCs w:val="21"/>
          <w:color w:val="010000"/>
        </w:rPr>
      </w:pPr>
      <w:r>
        <w:rPr>
          <w:rFonts w:ascii="Arial" w:cs="Arial" w:eastAsia="Arial" w:hAnsi="Arial"/>
          <w:sz w:val="21"/>
          <w:szCs w:val="21"/>
          <w:color w:val="auto"/>
        </w:rPr>
        <w:t>survey exceptions and such matters as an accurate survey would disclose, easements, trackage rights, leases, licenses, special assessments, rights of way covenants, conditions, restrictions and declarations on or with respect to the use of real property,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the Borrower or any Domestic Subsidiary; and</w:t>
      </w:r>
    </w:p>
    <w:p>
      <w:pPr>
        <w:spacing w:after="0" w:line="204" w:lineRule="exact"/>
        <w:rPr>
          <w:rFonts w:ascii="Arial" w:cs="Arial" w:eastAsia="Arial" w:hAnsi="Arial"/>
          <w:sz w:val="21"/>
          <w:szCs w:val="21"/>
          <w:color w:val="010000"/>
        </w:rPr>
      </w:pPr>
    </w:p>
    <w:p>
      <w:pPr>
        <w:jc w:val="both"/>
        <w:ind w:left="1300" w:firstLine="653"/>
        <w:spacing w:after="0" w:line="297" w:lineRule="auto"/>
        <w:tabs>
          <w:tab w:leader="none" w:pos="2866" w:val="left"/>
        </w:tabs>
        <w:numPr>
          <w:ilvl w:val="0"/>
          <w:numId w:val="69"/>
        </w:numPr>
        <w:rPr>
          <w:rFonts w:ascii="Arial" w:cs="Arial" w:eastAsia="Arial" w:hAnsi="Arial"/>
          <w:sz w:val="19"/>
          <w:szCs w:val="19"/>
          <w:color w:val="010000"/>
        </w:rPr>
      </w:pPr>
      <w:r>
        <w:rPr>
          <w:rFonts w:ascii="Arial" w:cs="Arial" w:eastAsia="Arial" w:hAnsi="Arial"/>
          <w:sz w:val="19"/>
          <w:szCs w:val="19"/>
          <w:color w:val="auto"/>
        </w:rPr>
        <w:t xml:space="preserve">any extension, renewal or replacement (or successive extensions, renewals or replacements), as a whole or in part, of any Borrowed Debt secured by any Lien referred to in subclauses (i) through (vii) of this Section 5.02(a);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extension renewal or replacement Lien shall be limited to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spacing w:after="0" w:line="328" w:lineRule="auto"/>
        <w:rPr>
          <w:sz w:val="20"/>
          <w:szCs w:val="20"/>
          <w:color w:val="auto"/>
        </w:rPr>
      </w:pPr>
      <w:r>
        <w:rPr>
          <w:rFonts w:ascii="Arial" w:cs="Arial" w:eastAsia="Arial" w:hAnsi="Arial"/>
          <w:sz w:val="19"/>
          <w:szCs w:val="19"/>
          <w:color w:val="auto"/>
        </w:rPr>
        <w:t>or a part of the same property, shares of stock or Debt that secured the Lien extended, renewed or replaced (plus improvements on such property) and (ii) the Borrowed Debt secured by such Lien at such time is not increased.</w:t>
      </w:r>
    </w:p>
    <w:p>
      <w:pPr>
        <w:spacing w:after="0" w:line="132" w:lineRule="exact"/>
        <w:rPr>
          <w:sz w:val="20"/>
          <w:szCs w:val="20"/>
          <w:color w:val="auto"/>
        </w:rPr>
      </w:pPr>
    </w:p>
    <w:p>
      <w:pPr>
        <w:jc w:val="both"/>
        <w:ind w:left="660" w:firstLine="645"/>
        <w:spacing w:after="0" w:line="297" w:lineRule="auto"/>
        <w:tabs>
          <w:tab w:leader="none" w:pos="2060" w:val="left"/>
        </w:tabs>
        <w:numPr>
          <w:ilvl w:val="0"/>
          <w:numId w:val="70"/>
        </w:numPr>
        <w:rPr>
          <w:rFonts w:ascii="Arial" w:cs="Arial" w:eastAsia="Arial" w:hAnsi="Arial"/>
          <w:sz w:val="19"/>
          <w:szCs w:val="19"/>
          <w:color w:val="010000"/>
        </w:rPr>
      </w:pPr>
      <w:r>
        <w:rPr>
          <w:rFonts w:ascii="Arial" w:cs="Arial" w:eastAsia="Arial" w:hAnsi="Arial"/>
          <w:sz w:val="19"/>
          <w:szCs w:val="19"/>
          <w:u w:val="single" w:color="auto"/>
          <w:color w:val="auto"/>
        </w:rPr>
        <w:t>Mergers, Etc.</w:t>
      </w:r>
      <w:r>
        <w:rPr>
          <w:rFonts w:ascii="Arial" w:cs="Arial" w:eastAsia="Arial" w:hAnsi="Arial"/>
          <w:sz w:val="19"/>
          <w:szCs w:val="19"/>
          <w:color w:val="auto"/>
        </w:rPr>
        <w:t xml:space="preserve"> Merge or consolidate with or into, or convey, transfer, lease or otherwise dispose of (whether in one transaction or in a series of transactions) all or substantially all of its assets (other than Margin Stock) (whether now owned or hereafter acquired) to, any Person, or permit any member of the Consolidated Group to do so, except that:</w:t>
      </w:r>
    </w:p>
    <w:p>
      <w:pPr>
        <w:spacing w:after="0" w:line="161" w:lineRule="exact"/>
        <w:rPr>
          <w:rFonts w:ascii="Arial" w:cs="Arial" w:eastAsia="Arial" w:hAnsi="Arial"/>
          <w:sz w:val="19"/>
          <w:szCs w:val="19"/>
          <w:color w:val="010000"/>
        </w:rPr>
      </w:pPr>
    </w:p>
    <w:p>
      <w:pPr>
        <w:jc w:val="both"/>
        <w:ind w:left="1300" w:firstLine="653"/>
        <w:spacing w:after="0"/>
        <w:tabs>
          <w:tab w:leader="none" w:pos="27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member of (x) the Consolidated Group other than the Borrower may merge or consolidate with or into, or (y) the Consolidated Group may dispose of assets to, in each case, any other member of the Consolidated Group;</w:t>
      </w:r>
    </w:p>
    <w:p>
      <w:pPr>
        <w:sectPr>
          <w:pgSz w:w="11900" w:h="16838" w:orient="portrait"/>
          <w:cols w:equalWidth="0" w:num="1">
            <w:col w:w="11420"/>
          </w:cols>
          <w:pgMar w:left="240" w:top="361" w:right="239" w:bottom="55" w:gutter="0" w:footer="0" w:header="0"/>
        </w:sectPr>
      </w:pPr>
    </w:p>
    <w:bookmarkStart w:id="39" w:name="page40"/>
    <w:bookmarkEnd w:id="39"/>
    <w:p>
      <w:pPr>
        <w:ind w:left="2640" w:hanging="687"/>
        <w:spacing w:after="0"/>
        <w:tabs>
          <w:tab w:leader="none" w:pos="2640"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the Borrower may merge with any other Person so long as (A) the Borrower is the surviving entity or</w:t>
      </w:r>
    </w:p>
    <w:p>
      <w:pPr>
        <w:spacing w:after="0" w:line="43" w:lineRule="exact"/>
        <w:rPr>
          <w:rFonts w:ascii="Arial" w:cs="Arial" w:eastAsia="Arial" w:hAnsi="Arial"/>
          <w:sz w:val="19"/>
          <w:szCs w:val="19"/>
          <w:color w:val="010000"/>
        </w:rPr>
      </w:pPr>
    </w:p>
    <w:p>
      <w:pPr>
        <w:ind w:left="1300" w:firstLine="5"/>
        <w:spacing w:after="0" w:line="308" w:lineRule="auto"/>
        <w:tabs>
          <w:tab w:leader="none" w:pos="1659"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surviving entity shall assume, by agreement reasonably satisfactory in form and substance to the Required Lenders, all of the rights and obligations of the Borrower under this Agreement and the other Loan Documents;</w:t>
      </w:r>
    </w:p>
    <w:p>
      <w:pPr>
        <w:spacing w:after="0" w:line="150" w:lineRule="exact"/>
        <w:rPr>
          <w:rFonts w:ascii="Arial" w:cs="Arial" w:eastAsia="Arial" w:hAnsi="Arial"/>
          <w:sz w:val="19"/>
          <w:szCs w:val="19"/>
          <w:color w:val="auto"/>
        </w:rPr>
      </w:pPr>
    </w:p>
    <w:p>
      <w:pPr>
        <w:jc w:val="both"/>
        <w:ind w:left="1300" w:firstLine="653"/>
        <w:spacing w:after="0" w:line="282" w:lineRule="auto"/>
        <w:tabs>
          <w:tab w:leader="none" w:pos="2704" w:val="left"/>
        </w:tabs>
        <w:numPr>
          <w:ilvl w:val="1"/>
          <w:numId w:val="72"/>
        </w:numPr>
        <w:rPr>
          <w:rFonts w:ascii="Arial" w:cs="Arial" w:eastAsia="Arial" w:hAnsi="Arial"/>
          <w:sz w:val="19"/>
          <w:szCs w:val="19"/>
          <w:color w:val="010000"/>
        </w:rPr>
      </w:pPr>
      <w:r>
        <w:rPr>
          <w:rFonts w:ascii="Arial" w:cs="Arial" w:eastAsia="Arial" w:hAnsi="Arial"/>
          <w:sz w:val="19"/>
          <w:szCs w:val="19"/>
          <w:color w:val="auto"/>
        </w:rPr>
        <w:t>any member of the Consolidated Group (other than the Borrower) may merge or consolidate with or into another Person, convey, transfer, lease or otherwise dispose of all or any portion of its assets so long as (A) the consideration received in respect of such merger, consolidation, conveyance, transfer, lease or other disposition is at least equal to the fair market value of such assets and (B) no Material Adverse Effect would reasonably be expected to result from such merger, consolidation, conveyance, transfer, lease or other disposition;</w:t>
      </w:r>
    </w:p>
    <w:p>
      <w:pPr>
        <w:spacing w:after="0" w:line="175"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in the cases of clause (ii) hereof, that no Default shall have occurred and be continuing at the time of such proposed transaction or would result therefrom.</w:t>
      </w:r>
    </w:p>
    <w:p>
      <w:pPr>
        <w:spacing w:after="0" w:line="200" w:lineRule="exact"/>
        <w:rPr>
          <w:sz w:val="20"/>
          <w:szCs w:val="20"/>
          <w:color w:val="auto"/>
        </w:rPr>
      </w:pPr>
    </w:p>
    <w:p>
      <w:pPr>
        <w:ind w:left="1960" w:hanging="655"/>
        <w:spacing w:after="0"/>
        <w:tabs>
          <w:tab w:leader="none" w:pos="1960" w:val="left"/>
        </w:tabs>
        <w:numPr>
          <w:ilvl w:val="0"/>
          <w:numId w:val="73"/>
        </w:numPr>
        <w:rPr>
          <w:rFonts w:ascii="Arial" w:cs="Arial" w:eastAsia="Arial" w:hAnsi="Arial"/>
          <w:sz w:val="19"/>
          <w:szCs w:val="19"/>
          <w:color w:val="010000"/>
        </w:rPr>
      </w:pPr>
      <w:r>
        <w:rPr>
          <w:rFonts w:ascii="Arial" w:cs="Arial" w:eastAsia="Arial" w:hAnsi="Arial"/>
          <w:sz w:val="19"/>
          <w:szCs w:val="19"/>
          <w:u w:val="single" w:color="auto"/>
          <w:color w:val="auto"/>
        </w:rPr>
        <w:t>Accounting Changes</w:t>
      </w:r>
      <w:r>
        <w:rPr>
          <w:rFonts w:ascii="Arial" w:cs="Arial" w:eastAsia="Arial" w:hAnsi="Arial"/>
          <w:sz w:val="19"/>
          <w:szCs w:val="19"/>
          <w:color w:val="auto"/>
        </w:rPr>
        <w:t>. Change the Borrower’s fiscal year-end from December 31 of each calendar year.</w:t>
      </w:r>
    </w:p>
    <w:p>
      <w:pPr>
        <w:spacing w:after="0" w:line="267" w:lineRule="exact"/>
        <w:rPr>
          <w:rFonts w:ascii="Arial" w:cs="Arial" w:eastAsia="Arial" w:hAnsi="Arial"/>
          <w:sz w:val="19"/>
          <w:szCs w:val="19"/>
          <w:color w:val="010000"/>
        </w:rPr>
      </w:pPr>
    </w:p>
    <w:p>
      <w:pPr>
        <w:jc w:val="both"/>
        <w:ind w:left="660" w:firstLine="645"/>
        <w:spacing w:after="0" w:line="235" w:lineRule="auto"/>
        <w:tabs>
          <w:tab w:leader="none" w:pos="2087" w:val="left"/>
        </w:tabs>
        <w:numPr>
          <w:ilvl w:val="0"/>
          <w:numId w:val="73"/>
        </w:numPr>
        <w:rPr>
          <w:rFonts w:ascii="Arial" w:cs="Arial" w:eastAsia="Arial" w:hAnsi="Arial"/>
          <w:sz w:val="22"/>
          <w:szCs w:val="22"/>
          <w:color w:val="010000"/>
        </w:rPr>
      </w:pPr>
      <w:r>
        <w:rPr>
          <w:rFonts w:ascii="Arial" w:cs="Arial" w:eastAsia="Arial" w:hAnsi="Arial"/>
          <w:sz w:val="22"/>
          <w:szCs w:val="22"/>
          <w:u w:val="single" w:color="auto"/>
          <w:color w:val="auto"/>
        </w:rPr>
        <w:t>Change in Nature of Business</w:t>
      </w:r>
      <w:r>
        <w:rPr>
          <w:rFonts w:ascii="Arial" w:cs="Arial" w:eastAsia="Arial" w:hAnsi="Arial"/>
          <w:sz w:val="22"/>
          <w:szCs w:val="22"/>
          <w:color w:val="auto"/>
        </w:rPr>
        <w:t>. Make any material change in the nature of the business of the Consolidated Group, taken as a whole, from that carried out by the Borrower and its Subsidiaries on the Effective Date; it being understood that this Section 5.02(d) shall not prohibit members of the Consolidated Group from conducting any business or business activities incidental or related to such business as carried on as of the Effective Date or any business or activity that is reasonably similar or complementary thereto or a reasonable extension, development or expansion thereof or ancillary thereto.</w:t>
      </w:r>
    </w:p>
    <w:p>
      <w:pPr>
        <w:spacing w:after="0" w:line="215"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5.03</w:t>
      </w:r>
      <w:r>
        <w:rPr>
          <w:sz w:val="20"/>
          <w:szCs w:val="20"/>
          <w:color w:val="auto"/>
        </w:rPr>
        <w:tab/>
      </w:r>
      <w:r>
        <w:rPr>
          <w:rFonts w:ascii="Arial" w:cs="Arial" w:eastAsia="Arial" w:hAnsi="Arial"/>
          <w:sz w:val="19"/>
          <w:szCs w:val="19"/>
          <w:u w:val="single" w:color="auto"/>
          <w:color w:val="auto"/>
        </w:rPr>
        <w:t>Financial Covenant</w:t>
      </w:r>
      <w:r>
        <w:rPr>
          <w:rFonts w:ascii="Arial" w:cs="Arial" w:eastAsia="Arial" w:hAnsi="Arial"/>
          <w:sz w:val="19"/>
          <w:szCs w:val="19"/>
          <w:color w:val="auto"/>
        </w:rPr>
        <w:t>.</w:t>
      </w:r>
    </w:p>
    <w:p>
      <w:pPr>
        <w:spacing w:after="0" w:line="233" w:lineRule="exact"/>
        <w:rPr>
          <w:sz w:val="20"/>
          <w:szCs w:val="20"/>
          <w:color w:val="auto"/>
        </w:rPr>
      </w:pPr>
    </w:p>
    <w:p>
      <w:pPr>
        <w:jc w:val="both"/>
        <w:ind w:left="660" w:firstLine="645"/>
        <w:spacing w:after="0" w:line="276" w:lineRule="auto"/>
        <w:tabs>
          <w:tab w:leader="none" w:pos="19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Beginning on the last day of the first fiscal quarter ending after the Effective Date and on the last day of each fiscal quarter ending thereafter, the Borrower will not permit, as of the last day of any such fiscal quarter, the ratio of</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Consolidated Total Debt at such time to (y) Consolidated EBITDA of the Borrower (the “</w:t>
      </w:r>
      <w:r>
        <w:rPr>
          <w:rFonts w:ascii="Arial" w:cs="Arial" w:eastAsia="Arial" w:hAnsi="Arial"/>
          <w:sz w:val="22"/>
          <w:szCs w:val="22"/>
          <w:u w:val="single" w:color="auto"/>
          <w:color w:val="auto"/>
        </w:rPr>
        <w:t>Consolidated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48" w:lineRule="auto"/>
        <w:rPr>
          <w:sz w:val="20"/>
          <w:szCs w:val="20"/>
          <w:color w:val="auto"/>
        </w:rPr>
      </w:pPr>
      <w:r>
        <w:rPr>
          <w:rFonts w:ascii="Arial" w:cs="Arial" w:eastAsia="Arial" w:hAnsi="Arial"/>
          <w:sz w:val="21"/>
          <w:szCs w:val="21"/>
          <w:u w:val="single" w:color="auto"/>
          <w:color w:val="auto"/>
        </w:rPr>
        <w:t>Leverage Ratio</w:t>
      </w:r>
      <w:r>
        <w:rPr>
          <w:rFonts w:ascii="Arial" w:cs="Arial" w:eastAsia="Arial" w:hAnsi="Arial"/>
          <w:sz w:val="21"/>
          <w:szCs w:val="21"/>
          <w:color w:val="auto"/>
        </w:rPr>
        <w:t xml:space="preserve">”) for the four consecutive fiscal quarter period ending as of such date to exceed 3.75:1.00; </w:t>
      </w:r>
      <w:r>
        <w:rPr>
          <w:rFonts w:ascii="Arial" w:cs="Arial" w:eastAsia="Arial" w:hAnsi="Arial"/>
          <w:sz w:val="21"/>
          <w:szCs w:val="21"/>
          <w:i w:val="1"/>
          <w:iCs w:val="1"/>
          <w:color w:val="auto"/>
        </w:rPr>
        <w:t>provided</w:t>
      </w:r>
      <w:r>
        <w:rPr>
          <w:rFonts w:ascii="Arial" w:cs="Arial" w:eastAsia="Arial" w:hAnsi="Arial"/>
          <w:sz w:val="21"/>
          <w:szCs w:val="21"/>
          <w:color w:val="auto"/>
        </w:rPr>
        <w:t>, that at the election of the Borrower, exercised by written notice delivered by the Borrower to the Administrative Agent at any time prior to the date that is thirty (30) days following consummation of any Material Acquisition by the Borrower or any Subsidiary such maximum Consolidated Leverage Ratio shall be increased to 4.25:1.00 with respect to the last day of the fiscal quarter during which such Material Acquisition shall have been consummated and the last day of each of the immediately following three consecutive fiscal quarters.</w:t>
      </w:r>
    </w:p>
    <w:p>
      <w:pPr>
        <w:spacing w:after="0" w:line="204" w:lineRule="exact"/>
        <w:rPr>
          <w:sz w:val="20"/>
          <w:szCs w:val="20"/>
          <w:color w:val="auto"/>
        </w:rPr>
      </w:pPr>
    </w:p>
    <w:p>
      <w:pPr>
        <w:ind w:left="660" w:right="60" w:firstLine="645"/>
        <w:spacing w:after="0" w:line="272" w:lineRule="auto"/>
        <w:tabs>
          <w:tab w:leader="none" w:pos="1965" w:val="left"/>
        </w:tabs>
        <w:numPr>
          <w:ilvl w:val="0"/>
          <w:numId w:val="76"/>
        </w:numPr>
        <w:rPr>
          <w:rFonts w:ascii="Arial" w:cs="Arial" w:eastAsia="Arial" w:hAnsi="Arial"/>
          <w:sz w:val="19"/>
          <w:szCs w:val="19"/>
          <w:color w:val="auto"/>
        </w:rPr>
      </w:pPr>
      <w:r>
        <w:rPr>
          <w:rFonts w:ascii="Arial" w:cs="Arial" w:eastAsia="Arial" w:hAnsi="Arial"/>
          <w:sz w:val="19"/>
          <w:szCs w:val="19"/>
          <w:color w:val="auto"/>
        </w:rPr>
        <w:t>At any time after the definitive agreement for any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any Acquisition Debt (and the proceeds of such Acquisition Debt) shall be excluded from the definition of Consolidated Leverage Ratio; provided that (x) the definitive documentation relating to such Acquisition Debt shall contain “special mandatory redemption” or escrow provisions (or other similar provisions) or otherwise require such indebtedness to be redeemed or prepaid if such Material Acquisition is not consummated by a date specified in such definitive documentation and (y) if the definitive agreement (or, in the case of a tender 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Acquisition Debt, such Acquisition Debt is so redeemed or prepaid by the date that it is required to be redeemed or prepaid in such circumstances pursuant to the terms of such Acquisition Debt.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w:t>
      </w:r>
    </w:p>
    <w:p>
      <w:pPr>
        <w:spacing w:after="0" w:line="239"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2"/>
          <w:szCs w:val="22"/>
          <w:color w:val="010000"/>
        </w:rPr>
        <w:t>SECTION 6.01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w:t>
      </w:r>
      <w:r>
        <w:rPr>
          <w:rFonts w:ascii="Arial" w:cs="Arial" w:eastAsia="Arial" w:hAnsi="Arial"/>
          <w:sz w:val="19"/>
          <w:szCs w:val="19"/>
          <w:u w:val="single" w:color="auto"/>
          <w:color w:val="auto"/>
        </w:rPr>
        <w:t>Events of Default</w:t>
      </w:r>
      <w:r>
        <w:rPr>
          <w:rFonts w:ascii="Arial" w:cs="Arial" w:eastAsia="Arial" w:hAnsi="Arial"/>
          <w:sz w:val="19"/>
          <w:szCs w:val="19"/>
          <w:color w:val="auto"/>
        </w:rPr>
        <w:t>”) shall occur and be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continuing:</w:t>
      </w:r>
    </w:p>
    <w:p>
      <w:pPr>
        <w:spacing w:after="0" w:line="215" w:lineRule="exact"/>
        <w:rPr>
          <w:sz w:val="20"/>
          <w:szCs w:val="20"/>
          <w:color w:val="auto"/>
        </w:rPr>
      </w:pPr>
    </w:p>
    <w:p>
      <w:pPr>
        <w:ind w:left="2040" w:hanging="735"/>
        <w:spacing w:after="0"/>
        <w:tabs>
          <w:tab w:leader="none" w:pos="2040" w:val="left"/>
        </w:tabs>
        <w:numPr>
          <w:ilvl w:val="1"/>
          <w:numId w:val="77"/>
        </w:numPr>
        <w:rPr>
          <w:rFonts w:ascii="Arial" w:cs="Arial" w:eastAsia="Arial" w:hAnsi="Arial"/>
          <w:sz w:val="19"/>
          <w:szCs w:val="19"/>
          <w:color w:val="010000"/>
        </w:rPr>
      </w:pPr>
      <w:r>
        <w:rPr>
          <w:rFonts w:ascii="Arial" w:cs="Arial" w:eastAsia="Arial" w:hAnsi="Arial"/>
          <w:sz w:val="19"/>
          <w:szCs w:val="19"/>
          <w:color w:val="auto"/>
        </w:rPr>
        <w:t>The Borrower shall fail (i) to pay any principal of any Advance when the same becomes due and payable or</w:t>
      </w:r>
    </w:p>
    <w:p>
      <w:pPr>
        <w:spacing w:after="0" w:line="42" w:lineRule="exact"/>
        <w:rPr>
          <w:rFonts w:ascii="Arial" w:cs="Arial" w:eastAsia="Arial" w:hAnsi="Arial"/>
          <w:sz w:val="19"/>
          <w:szCs w:val="19"/>
          <w:color w:val="010000"/>
        </w:rPr>
      </w:pPr>
    </w:p>
    <w:p>
      <w:pPr>
        <w:ind w:left="660" w:right="20" w:hanging="4"/>
        <w:spacing w:after="0" w:line="237" w:lineRule="auto"/>
        <w:tabs>
          <w:tab w:leader="none" w:pos="981"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pay any interest on any Advance or make any payment of fees or other amounts payable under this Agreement within five Business Days after the same becomes due and payable; or</w:t>
      </w:r>
    </w:p>
    <w:p>
      <w:pPr>
        <w:spacing w:after="0" w:line="211" w:lineRule="exact"/>
        <w:rPr>
          <w:rFonts w:ascii="Arial" w:cs="Arial" w:eastAsia="Arial" w:hAnsi="Arial"/>
          <w:sz w:val="22"/>
          <w:szCs w:val="22"/>
          <w:color w:val="auto"/>
        </w:rPr>
      </w:pPr>
    </w:p>
    <w:p>
      <w:pPr>
        <w:jc w:val="both"/>
        <w:ind w:left="660" w:firstLine="645"/>
        <w:spacing w:after="0" w:line="238" w:lineRule="auto"/>
        <w:tabs>
          <w:tab w:leader="none" w:pos="2330" w:val="left"/>
        </w:tabs>
        <w:numPr>
          <w:ilvl w:val="1"/>
          <w:numId w:val="78"/>
        </w:numPr>
        <w:rPr>
          <w:rFonts w:ascii="Arial" w:cs="Arial" w:eastAsia="Arial" w:hAnsi="Arial"/>
          <w:sz w:val="22"/>
          <w:szCs w:val="22"/>
          <w:color w:val="010000"/>
        </w:rPr>
      </w:pPr>
      <w:r>
        <w:rPr>
          <w:rFonts w:ascii="Arial" w:cs="Arial" w:eastAsia="Arial" w:hAnsi="Arial"/>
          <w:sz w:val="22"/>
          <w:szCs w:val="22"/>
          <w:color w:val="auto"/>
        </w:rPr>
        <w:t>Any representation or warranty made by the Borrower herein or in any other Loan Document or by the Borrower (or any of its officers or directors) in connection with this Agreement or in any certificate or other document furnished pursuant to or in connection with this Agreement, if any, in each case shall prove to have been incorrect in any material respect when made or deemed made; or</w:t>
      </w:r>
    </w:p>
    <w:p>
      <w:pPr>
        <w:sectPr>
          <w:pgSz w:w="11900" w:h="16838" w:orient="portrait"/>
          <w:cols w:equalWidth="0" w:num="1">
            <w:col w:w="11420"/>
          </w:cols>
          <w:pgMar w:left="240" w:top="118" w:right="239" w:bottom="0" w:gutter="0" w:footer="0" w:header="0"/>
        </w:sectPr>
      </w:pPr>
    </w:p>
    <w:bookmarkStart w:id="40" w:name="page41"/>
    <w:bookmarkEnd w:id="40"/>
    <w:p>
      <w:pPr>
        <w:spacing w:after="0" w:line="110" w:lineRule="exact"/>
        <w:rPr>
          <w:sz w:val="20"/>
          <w:szCs w:val="20"/>
          <w:color w:val="auto"/>
        </w:rPr>
      </w:pPr>
    </w:p>
    <w:p>
      <w:pPr>
        <w:ind w:left="660" w:right="20" w:firstLine="645"/>
        <w:spacing w:after="0" w:line="251" w:lineRule="auto"/>
        <w:tabs>
          <w:tab w:leader="none" w:pos="2791" w:val="left"/>
        </w:tabs>
        <w:numPr>
          <w:ilvl w:val="0"/>
          <w:numId w:val="79"/>
        </w:numPr>
        <w:rPr>
          <w:rFonts w:ascii="Arial" w:cs="Arial" w:eastAsia="Arial" w:hAnsi="Arial"/>
          <w:sz w:val="22"/>
          <w:szCs w:val="22"/>
          <w:color w:val="010000"/>
        </w:rPr>
      </w:pPr>
      <w:r>
        <w:rPr>
          <w:rFonts w:ascii="Arial" w:cs="Arial" w:eastAsia="Arial" w:hAnsi="Arial"/>
          <w:sz w:val="22"/>
          <w:szCs w:val="22"/>
          <w:color w:val="auto"/>
        </w:rPr>
        <w:t>(i) The Borrower shall fail to perform or observe any term, covenant or agreement contained in Section 5.01(d)(i), 5.01(i)(iv), 5.02(a), 5.02(b) or 5.03 or (ii)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48" w:lineRule="auto"/>
        <w:rPr>
          <w:sz w:val="20"/>
          <w:szCs w:val="20"/>
          <w:color w:val="auto"/>
        </w:rPr>
      </w:pPr>
      <w:r>
        <w:rPr>
          <w:rFonts w:ascii="Arial" w:cs="Arial" w:eastAsia="Arial" w:hAnsi="Arial"/>
          <w:sz w:val="21"/>
          <w:szCs w:val="21"/>
          <w:color w:val="auto"/>
        </w:rPr>
        <w:t>Borrower shall fail to perform or observe any term, covenant or agreement contained in Section 5.01(e) or clauses (i)-(iii) or (v)-(vii) of Section 5.01(i) if such failure shall remain unremedied for 10 Business Days after written notice thereof shall have been given to the Borrower by the Administrative Agent or any Lender, or (iii) the Borrower shall fail to perform or observe any other term, covenant or agreement contained in this Agreement, if any, in each case on its part to be performed or observed if such failure shall remain unremedied for 30 days after written notice thereof shall have been given to the Borrower by the Administrative Agent or any Lender; or</w:t>
      </w:r>
    </w:p>
    <w:p>
      <w:pPr>
        <w:spacing w:after="0" w:line="204" w:lineRule="exact"/>
        <w:rPr>
          <w:sz w:val="20"/>
          <w:szCs w:val="20"/>
          <w:color w:val="auto"/>
        </w:rPr>
      </w:pPr>
    </w:p>
    <w:p>
      <w:pPr>
        <w:jc w:val="both"/>
        <w:ind w:left="660" w:firstLine="645"/>
        <w:spacing w:after="0" w:line="245" w:lineRule="auto"/>
        <w:tabs>
          <w:tab w:leader="none" w:pos="2087" w:val="left"/>
        </w:tabs>
        <w:numPr>
          <w:ilvl w:val="0"/>
          <w:numId w:val="80"/>
        </w:numPr>
        <w:rPr>
          <w:rFonts w:ascii="Arial" w:cs="Arial" w:eastAsia="Arial" w:hAnsi="Arial"/>
          <w:sz w:val="21"/>
          <w:szCs w:val="21"/>
          <w:color w:val="010000"/>
        </w:rPr>
      </w:pPr>
      <w:r>
        <w:rPr>
          <w:rFonts w:ascii="Arial" w:cs="Arial" w:eastAsia="Arial" w:hAnsi="Arial"/>
          <w:sz w:val="21"/>
          <w:szCs w:val="21"/>
          <w:color w:val="auto"/>
        </w:rPr>
        <w:t>The Borrower or any Significant Subsidiary shall fail to pay any principal of or premium or interest on any Debt that is outstanding in a principal amount, or, in the case of any Hedge Agreement, having a maximum Agreement Value, of at least $200,000,000 in the aggregate (but excluding Debt outstanding hereunder) of the Borrower or such Significant Subsidiary, when the same becomes due and payable (whether by scheduled maturity, required prepayment, acceleration, demand or otherwise), and such failure shall continue after the applicable grace period, if any, specified in the agreement or instrument relating to such Debt; or the Borrower shall default in its obligations under any agreement or instrument relating to any such Debt, which default shall continue after the applicable grace period, if any, specified in such agreement or instrument, if the effect of such default is to accelerate, or to permit the acceleration of, the maturity of such Debt; or</w:t>
      </w:r>
    </w:p>
    <w:p>
      <w:pPr>
        <w:spacing w:after="0" w:line="212" w:lineRule="exact"/>
        <w:rPr>
          <w:rFonts w:ascii="Arial" w:cs="Arial" w:eastAsia="Arial" w:hAnsi="Arial"/>
          <w:sz w:val="21"/>
          <w:szCs w:val="21"/>
          <w:color w:val="010000"/>
        </w:rPr>
      </w:pPr>
    </w:p>
    <w:p>
      <w:pPr>
        <w:jc w:val="both"/>
        <w:ind w:left="660" w:firstLine="645"/>
        <w:spacing w:after="0" w:line="274" w:lineRule="auto"/>
        <w:tabs>
          <w:tab w:leader="none" w:pos="2156"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The Borrower or any Significant Subsidiary shall generally not pay its debts as such debts become due, or shall admit in writing its inability to pay its debts generally, or shall make a general assignment for the benefit of creditors; or any proceeding shall be instituted by or against the Borrower or any Significant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such proceeding shall remain undismissed or unstayed for a period of 60 days; or the Borrower or any Significant Subsidiary shall take any corporate action to authorize any of the actions set forth above in this Section 6.01(e); or</w:t>
      </w:r>
    </w:p>
    <w:p>
      <w:pPr>
        <w:spacing w:after="0" w:line="185" w:lineRule="exact"/>
        <w:rPr>
          <w:rFonts w:ascii="Arial" w:cs="Arial" w:eastAsia="Arial" w:hAnsi="Arial"/>
          <w:sz w:val="19"/>
          <w:szCs w:val="19"/>
          <w:color w:val="010000"/>
        </w:rPr>
      </w:pPr>
    </w:p>
    <w:p>
      <w:pPr>
        <w:jc w:val="both"/>
        <w:ind w:left="660" w:firstLine="645"/>
        <w:spacing w:after="0" w:line="275" w:lineRule="auto"/>
        <w:tabs>
          <w:tab w:leader="none" w:pos="1997"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 xml:space="preserve">Any one or more judgments or orders for the payment of money in excess of $200,000,000 shall be rendered against a member of the Consolidated Group and either (i) enforcement proceedings shall have been commenced by any creditor upon such judgment or order or (ii) within 60 days after the entry, issue, or levy thereof, such judgment or order has not been paid or discharged or stayed pending appeal, or, after the expiration of any such stay, such judgment or order has not been paid or discharged;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determining whether an Event of Default has occurred under this Section 6.01(f), the amount of any such judgment or order shall be reduced to the extent that (A) such judgment or order is covered by a valid and binding policy of insurance between the defendant and the insurer covering payment thereof and (B) such insurer, which shall be rated at least “A” by A.M. Best Company, has been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notified of, and has not disputed the claim made for payment of, such judgment or order; or</w:t>
      </w:r>
    </w:p>
    <w:p>
      <w:pPr>
        <w:spacing w:after="0" w:line="233" w:lineRule="exact"/>
        <w:rPr>
          <w:sz w:val="20"/>
          <w:szCs w:val="20"/>
          <w:color w:val="auto"/>
        </w:rPr>
      </w:pPr>
    </w:p>
    <w:p>
      <w:pPr>
        <w:jc w:val="both"/>
        <w:ind w:left="660" w:firstLine="645"/>
        <w:spacing w:after="0" w:line="279" w:lineRule="auto"/>
        <w:tabs>
          <w:tab w:leader="none" w:pos="1992"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(i) Any Person or two or more Persons acting in concert shall have acquired beneficial ownership (within the meaning of Rule 13d-3 of the Securities and Exchange Commission under the Securities Exchange Act of 1934, as amended), directly or indirectly, of Voting Stock of the Borrower (or other securities convertible into or exchangeable for such Voting Stock) representing 50% or more of the combined voting power of all Voting Stock of the Borrower (on a fully diluted basis); or (ii) during any period of up to 24 consecutive months, commencing after the date of this Agreement, a majority of the members of the board of directors of the Borrower shall not be Continuing Directors; or</w:t>
      </w:r>
    </w:p>
    <w:p>
      <w:pPr>
        <w:spacing w:after="0" w:line="177" w:lineRule="exact"/>
        <w:rPr>
          <w:rFonts w:ascii="Arial" w:cs="Arial" w:eastAsia="Arial" w:hAnsi="Arial"/>
          <w:sz w:val="19"/>
          <w:szCs w:val="19"/>
          <w:color w:val="010000"/>
        </w:rPr>
      </w:pPr>
    </w:p>
    <w:p>
      <w:pPr>
        <w:jc w:val="both"/>
        <w:ind w:left="660" w:firstLine="645"/>
        <w:spacing w:after="0" w:line="238" w:lineRule="auto"/>
        <w:tabs>
          <w:tab w:leader="none" w:pos="2249"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One or more of the following shall have occurred or is reasonably expected to occur, which in each case would reasonably be expected to result in a Material Adverse Effect: (i) any ERISA Event; (ii) the partial or complete withdrawal of the Borrower or any ERISA Affiliate from a Multiemployer Plan; or (iii) the insolvency, being in “endangered” or “critical” status or termination of a Multiemployer Plan; or</w:t>
      </w:r>
    </w:p>
    <w:p>
      <w:pPr>
        <w:spacing w:after="0" w:line="212" w:lineRule="exact"/>
        <w:rPr>
          <w:rFonts w:ascii="Arial" w:cs="Arial" w:eastAsia="Arial" w:hAnsi="Arial"/>
          <w:sz w:val="22"/>
          <w:szCs w:val="22"/>
          <w:color w:val="010000"/>
        </w:rPr>
      </w:pPr>
    </w:p>
    <w:p>
      <w:pPr>
        <w:ind w:left="660" w:firstLine="645"/>
        <w:spacing w:after="0" w:line="251" w:lineRule="auto"/>
        <w:tabs>
          <w:tab w:leader="none" w:pos="2377" w:val="left"/>
        </w:tabs>
        <w:numPr>
          <w:ilvl w:val="0"/>
          <w:numId w:val="81"/>
        </w:numPr>
        <w:rPr>
          <w:rFonts w:ascii="Arial" w:cs="Arial" w:eastAsia="Arial" w:hAnsi="Arial"/>
          <w:sz w:val="22"/>
          <w:szCs w:val="22"/>
          <w:color w:val="010000"/>
        </w:rPr>
      </w:pPr>
      <w:r>
        <w:rPr>
          <w:rFonts w:ascii="Arial" w:cs="Arial" w:eastAsia="Arial" w:hAnsi="Arial"/>
          <w:sz w:val="22"/>
          <w:szCs w:val="22"/>
          <w:color w:val="auto"/>
        </w:rPr>
        <w:t>This Agreement shall cease to be valid and enforceable against the Borrower (except to the extent it is terminated in accordance with its terms) or the Borrower shall so assert in writing;</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then, and in any such event, the Administrative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w:t>
      </w:r>
    </w:p>
    <w:p>
      <w:pPr>
        <w:sectPr>
          <w:pgSz w:w="11900" w:h="16949" w:orient="portrait"/>
          <w:cols w:equalWidth="0" w:num="1">
            <w:col w:w="11420"/>
          </w:cols>
          <w:pgMar w:left="240" w:top="118" w:right="239" w:bottom="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9"/>
          <w:szCs w:val="19"/>
          <w:color w:val="auto"/>
        </w:rPr>
        <w:t>whereupon the Advances, all such interest and all such amounts shall become and be forthwith due and payable, without presentment, demand, protest or further notice of any kind, all of which are hereby expressly waived by the Borrower; provided, however, that in the event of an Event of Default under Section 6.01(e), (A) the Commitment of each Lender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010000"/>
        </w:rPr>
        <w:t>ARTICLE VII</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AGENTS</w:t>
      </w:r>
    </w:p>
    <w:p>
      <w:pPr>
        <w:spacing w:after="0" w:line="239"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010000"/>
        </w:rPr>
        <w:t xml:space="preserve">SECTION 7.01 </w:t>
      </w:r>
      <w:r>
        <w:rPr>
          <w:rFonts w:ascii="Arial" w:cs="Arial" w:eastAsia="Arial" w:hAnsi="Arial"/>
          <w:sz w:val="22"/>
          <w:szCs w:val="22"/>
          <w:u w:val="single" w:color="auto"/>
          <w:color w:val="000000"/>
        </w:rPr>
        <w:t>Authorization and Action</w:t>
      </w:r>
      <w:r>
        <w:rPr>
          <w:rFonts w:ascii="Arial" w:cs="Arial" w:eastAsia="Arial" w:hAnsi="Arial"/>
          <w:sz w:val="22"/>
          <w:szCs w:val="22"/>
          <w:color w:val="000000"/>
        </w:rPr>
        <w:t>. Each Lender hereby irrevocably appoints JPMorgan Chase Bank, N.A.</w:t>
      </w:r>
      <w:r>
        <w:rPr>
          <w:rFonts w:ascii="Arial" w:cs="Arial" w:eastAsia="Arial" w:hAnsi="Arial"/>
          <w:sz w:val="22"/>
          <w:szCs w:val="22"/>
          <w:color w:val="010000"/>
        </w:rPr>
        <w:t xml:space="preserve"> </w:t>
      </w:r>
      <w:r>
        <w:rPr>
          <w:rFonts w:ascii="Arial" w:cs="Arial" w:eastAsia="Arial" w:hAnsi="Arial"/>
          <w:sz w:val="22"/>
          <w:szCs w:val="22"/>
          <w:color w:val="000000"/>
        </w:rPr>
        <w:t>(or an Affiliate thereof designated by it)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The provisions of this Article VII (other than (x) Section 7.10, to the extent set forth therein and (y)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the third sentence of Section 7.04) are solely for the benefit of the Administrative Agent and the Lenders, and the Borrower shall not have rights as a third party beneficiary of any of such provisions (other than the third sentence of Section 7.04).</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010000"/>
        </w:rPr>
        <w:t xml:space="preserve">SECTION 7.02 </w:t>
      </w:r>
      <w:r>
        <w:rPr>
          <w:rFonts w:ascii="Arial" w:cs="Arial" w:eastAsia="Arial" w:hAnsi="Arial"/>
          <w:sz w:val="19"/>
          <w:szCs w:val="19"/>
          <w:u w:val="single" w:color="auto"/>
          <w:color w:val="000000"/>
        </w:rPr>
        <w:t>Administrative Agent Individually</w:t>
      </w:r>
      <w:r>
        <w:rPr>
          <w:rFonts w:ascii="Arial" w:cs="Arial" w:eastAsia="Arial" w:hAnsi="Arial"/>
          <w:sz w:val="19"/>
          <w:szCs w:val="19"/>
          <w:color w:val="000000"/>
        </w:rPr>
        <w:t>. The Person serving as the Administrative Agent hereunder</w:t>
      </w:r>
      <w:r>
        <w:rPr>
          <w:rFonts w:ascii="Arial" w:cs="Arial" w:eastAsia="Arial" w:hAnsi="Arial"/>
          <w:sz w:val="19"/>
          <w:szCs w:val="19"/>
          <w:color w:val="010000"/>
        </w:rPr>
        <w:t xml:space="preserve"> </w:t>
      </w:r>
      <w:r>
        <w:rPr>
          <w:rFonts w:ascii="Arial" w:cs="Arial" w:eastAsia="Arial" w:hAnsi="Arial"/>
          <w:sz w:val="19"/>
          <w:szCs w:val="19"/>
          <w:color w:val="000000"/>
        </w:rPr>
        <w:t>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as a Lender. Such Person and its Affiliates may accept deposits from, own securities of, lend money to, act as the financial advisor or in any other advisory capacity for and generally engage in any kind of business with any member of the Consolidated Group or other Affiliate thereof as if such Person were not the Administrative Agent hereunder and without any duty to account therefor to the Lenders.</w:t>
      </w:r>
    </w:p>
    <w:p>
      <w:pPr>
        <w:spacing w:after="0" w:line="180"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7.03</w:t>
      </w:r>
      <w:r>
        <w:rPr>
          <w:sz w:val="20"/>
          <w:szCs w:val="20"/>
          <w:color w:val="auto"/>
        </w:rPr>
        <w:tab/>
      </w:r>
      <w:r>
        <w:rPr>
          <w:rFonts w:ascii="Arial" w:cs="Arial" w:eastAsia="Arial" w:hAnsi="Arial"/>
          <w:sz w:val="19"/>
          <w:szCs w:val="19"/>
          <w:u w:val="single" w:color="auto"/>
          <w:color w:val="auto"/>
        </w:rPr>
        <w:t>Duties of Administrative Agent; Exculpatory Provisions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73" w:lineRule="auto"/>
        <w:tabs>
          <w:tab w:leader="none" w:pos="1995"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The Administrative Agent’s duties hereunder and under the other Loan Documents are solely ministerial and administrative in nature, and the Administrative Agent shall not have any duties or obligations except those expressly set forth herein or in any other Loan Document. Without limiting the generality of the foregoing, the Administrative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the Lenders as shall be expressly provided for herein or in any other Loan Document); provided that the Administrative Agent shall not be required to take any action that, in its opinion or the opinion of its counsel, may expose the Administrative Agent or any of its Affiliates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8" w:lineRule="exact"/>
        <w:rPr>
          <w:rFonts w:ascii="Arial" w:cs="Arial" w:eastAsia="Arial" w:hAnsi="Arial"/>
          <w:sz w:val="19"/>
          <w:szCs w:val="19"/>
          <w:color w:val="010000"/>
        </w:rPr>
      </w:pPr>
    </w:p>
    <w:p>
      <w:pPr>
        <w:jc w:val="both"/>
        <w:ind w:firstLine="1305"/>
        <w:spacing w:after="0" w:line="248" w:lineRule="auto"/>
        <w:tabs>
          <w:tab w:leader="none" w:pos="2021"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8.01 or Section 6.01) or (ii) in the absence of its own gross negligence or willful misconduct. The Administrative Agent shall be deemed not to have knowledge of any Default or Event of Default unless and until the Borrower or any Lender shall have given notice to the Administrative Agent describing such Default or Event of Default.</w:t>
      </w:r>
    </w:p>
    <w:p>
      <w:pPr>
        <w:spacing w:after="0" w:line="204" w:lineRule="exact"/>
        <w:rPr>
          <w:rFonts w:ascii="Arial" w:cs="Arial" w:eastAsia="Arial" w:hAnsi="Arial"/>
          <w:sz w:val="21"/>
          <w:szCs w:val="21"/>
          <w:color w:val="010000"/>
        </w:rPr>
      </w:pPr>
    </w:p>
    <w:p>
      <w:pPr>
        <w:jc w:val="both"/>
        <w:ind w:firstLine="1305"/>
        <w:spacing w:after="0" w:line="236" w:lineRule="auto"/>
        <w:tabs>
          <w:tab w:leader="none" w:pos="2049"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Neither the Administrative Agent nor any other Agent shall be responsible for or have any duty to ascertain or inquire into (i) any statement, warranty, representation or other information made or supplied in or in connection with this Agreement, any other Loan Document or any information memorandum delivered in connection with the syndication of this Agreement, (ii) the contents of any certificate, report or other document delivered hereunder or thereunder or in connection herewith or therewith or the adequacy, accuracy and/or completeness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(but subject to the foregoing clause (ii)) to confirm receipt of items expressly required to be delivered to the Administrative Agent.</w:t>
      </w:r>
    </w:p>
    <w:p>
      <w:pPr>
        <w:sectPr>
          <w:pgSz w:w="11900" w:h="16838" w:orient="portrait"/>
          <w:cols w:equalWidth="0" w:num="1">
            <w:col w:w="11420"/>
          </w:cols>
          <w:pgMar w:left="240" w:top="118" w:right="239" w:bottom="56" w:gutter="0" w:footer="0" w:header="0"/>
        </w:sectPr>
      </w:pPr>
    </w:p>
    <w:bookmarkStart w:id="42" w:name="page43"/>
    <w:bookmarkEnd w:id="42"/>
    <w:p>
      <w:pPr>
        <w:spacing w:after="0" w:line="75" w:lineRule="exact"/>
        <w:rPr>
          <w:sz w:val="20"/>
          <w:szCs w:val="20"/>
          <w:color w:val="auto"/>
        </w:rPr>
      </w:pPr>
    </w:p>
    <w:p>
      <w:pPr>
        <w:jc w:val="both"/>
        <w:ind w:firstLine="1305"/>
        <w:spacing w:after="0" w:line="287" w:lineRule="auto"/>
        <w:tabs>
          <w:tab w:leader="none" w:pos="2021"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Nothing in this Agreement or any other Loan Document shall require the Administrative Agent or any of its Related Parties to carry out any “know your customer” or other checks in relation to any person on behalf of any Lender, and each Lender confirms to the Administrative Agent that it is solely responsible for any such checks it is required to carry out and that it may not rely on any statement in relation to such checks made by the Administrative Agent or any of its Related Parties.</w:t>
      </w:r>
    </w:p>
    <w:p>
      <w:pPr>
        <w:spacing w:after="0" w:line="17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010000"/>
        </w:rPr>
        <w:t xml:space="preserve">SECTION 7.04 </w:t>
      </w:r>
      <w:r>
        <w:rPr>
          <w:rFonts w:ascii="Arial" w:cs="Arial" w:eastAsia="Arial" w:hAnsi="Arial"/>
          <w:sz w:val="19"/>
          <w:szCs w:val="19"/>
          <w:u w:val="single" w:color="auto"/>
          <w:color w:val="000000"/>
        </w:rPr>
        <w:t>Reliance by Administrative Agent</w:t>
      </w:r>
      <w:r>
        <w:rPr>
          <w:rFonts w:ascii="Arial" w:cs="Arial" w:eastAsia="Arial" w:hAnsi="Arial"/>
          <w:sz w:val="19"/>
          <w:szCs w:val="19"/>
          <w:color w:val="000000"/>
        </w:rPr>
        <w:t>. The Administrative Agent shall be entitled to rely upon, and</w:t>
      </w:r>
      <w:r>
        <w:rPr>
          <w:rFonts w:ascii="Arial" w:cs="Arial" w:eastAsia="Arial" w:hAnsi="Arial"/>
          <w:sz w:val="19"/>
          <w:szCs w:val="19"/>
          <w:color w:val="010000"/>
        </w:rPr>
        <w:t xml:space="preserve"> </w:t>
      </w:r>
      <w:r>
        <w:rPr>
          <w:rFonts w:ascii="Arial" w:cs="Arial" w:eastAsia="Arial" w:hAnsi="Arial"/>
          <w:sz w:val="19"/>
          <w:szCs w:val="19"/>
          <w:color w:val="000000"/>
        </w:rPr>
        <w:t>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Effective Date or the making of any Advance that by its terms must be fulfilled to the satisfaction of a Lender, each Lender shall be deemed to have consented to, approved or accepted such condition unless (i) an officer of the Administrative Agent responsible for the transactions contemplated hereby shall have received notice to the contrary from such Lender prior to the occurrence of the Effective Date or the making of such Advance, as applicable, and (ii) in the case of a condition to the making of an Advance, such Lender shall not have made available to the Administrative Agent such Lender’s ratable portion of such Borrowing.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010000"/>
        </w:rPr>
        <w:t xml:space="preserve">SECTION 7.05 </w:t>
      </w:r>
      <w:r>
        <w:rPr>
          <w:rFonts w:ascii="Arial" w:cs="Arial" w:eastAsia="Arial" w:hAnsi="Arial"/>
          <w:sz w:val="21"/>
          <w:szCs w:val="21"/>
          <w:u w:val="single" w:color="auto"/>
          <w:color w:val="000000"/>
        </w:rPr>
        <w:t>Delegation of Duties</w:t>
      </w:r>
      <w:r>
        <w:rPr>
          <w:rFonts w:ascii="Arial" w:cs="Arial" w:eastAsia="Arial" w:hAnsi="Arial"/>
          <w:sz w:val="21"/>
          <w:szCs w:val="21"/>
          <w:color w:val="000000"/>
        </w:rPr>
        <w:t>. The Administrative Agent may perform any and all of its duties and</w:t>
      </w:r>
      <w:r>
        <w:rPr>
          <w:rFonts w:ascii="Arial" w:cs="Arial" w:eastAsia="Arial" w:hAnsi="Arial"/>
          <w:sz w:val="21"/>
          <w:szCs w:val="21"/>
          <w:color w:val="010000"/>
        </w:rPr>
        <w:t xml:space="preserve"> </w:t>
      </w:r>
      <w:r>
        <w:rPr>
          <w:rFonts w:ascii="Arial" w:cs="Arial" w:eastAsia="Arial" w:hAnsi="Arial"/>
          <w:sz w:val="21"/>
          <w:szCs w:val="21"/>
          <w:color w:val="000000"/>
        </w:rPr>
        <w:t>exercise its rights and powers hereunder by or through any one or more sub agents appointed by the Administrative Agent. The Administrative Agent and any such sub agent may perform any and all of its duties and exercise its rights and powers by or through their respective Related Parties. Each such sub agent and the Related Parties of the Administrative Agent and each such sub agent shall be entitled to the benefits of all provisions of this Article VII and Section 8.04 (as though such sub-agents were the “Administrative Agent” under this Agreement) as if set forth in full herein with respect thereto.</w:t>
      </w:r>
    </w:p>
    <w:p>
      <w:pPr>
        <w:spacing w:after="0" w:line="204"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22"/>
          <w:szCs w:val="22"/>
          <w:color w:val="010000"/>
        </w:rPr>
        <w:t>SECTION 7.06</w:t>
      </w:r>
      <w:r>
        <w:rPr>
          <w:sz w:val="20"/>
          <w:szCs w:val="20"/>
          <w:color w:val="auto"/>
        </w:rPr>
        <w:tab/>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w:t>
      </w:r>
    </w:p>
    <w:p>
      <w:pPr>
        <w:spacing w:after="0" w:line="233" w:lineRule="exact"/>
        <w:rPr>
          <w:sz w:val="20"/>
          <w:szCs w:val="20"/>
          <w:color w:val="auto"/>
        </w:rPr>
      </w:pPr>
    </w:p>
    <w:p>
      <w:pPr>
        <w:ind w:right="60" w:firstLine="1305"/>
        <w:spacing w:after="0" w:line="251" w:lineRule="auto"/>
        <w:tabs>
          <w:tab w:leader="none" w:pos="2130"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The Administrative Agent may at any time give notice of its resignation to the Lenders and the Borrower. Upon receipt of any such notice of resignation, the Required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Lenders shall have the right (with the consent of the Borrower, provided that no consent of the Borrower shall be required if an Event of Default pursuant to Section 6.01(a) or (e)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21"/>
          <w:szCs w:val="21"/>
          <w:u w:val="single" w:color="auto"/>
          <w:color w:val="auto"/>
        </w:rPr>
        <w:t>Resignation Effective Date</w:t>
      </w:r>
      <w:r>
        <w:rPr>
          <w:rFonts w:ascii="Arial" w:cs="Arial" w:eastAsia="Arial" w:hAnsi="Arial"/>
          <w:sz w:val="21"/>
          <w:szCs w:val="21"/>
          <w:color w:val="auto"/>
        </w:rPr>
        <w:t>”), then the retiring Administrative Agent may (but shall not be obligated to), on behalf of the Lenders (and with the consent of the Borrower, provided that no consent of the Borrower shall be required if an Event of Default has occurred and is continuing), appoint a successor Administrative Agent meeting the qualifications set forth above. Whether or not a successor has been appointed, such resignation shall become effective in accordance with such notice on the Resignation Effective Date.</w:t>
      </w:r>
    </w:p>
    <w:p>
      <w:pPr>
        <w:spacing w:after="0" w:line="209" w:lineRule="exact"/>
        <w:rPr>
          <w:sz w:val="20"/>
          <w:szCs w:val="20"/>
          <w:color w:val="auto"/>
        </w:rPr>
      </w:pPr>
    </w:p>
    <w:p>
      <w:pPr>
        <w:jc w:val="both"/>
        <w:ind w:firstLine="1305"/>
        <w:spacing w:after="0" w:line="247" w:lineRule="auto"/>
        <w:tabs>
          <w:tab w:leader="none" w:pos="2035" w:val="left"/>
        </w:tabs>
        <w:numPr>
          <w:ilvl w:val="0"/>
          <w:numId w:val="85"/>
        </w:numPr>
        <w:rPr>
          <w:rFonts w:ascii="Arial" w:cs="Arial" w:eastAsia="Arial" w:hAnsi="Arial"/>
          <w:sz w:val="21"/>
          <w:szCs w:val="21"/>
          <w:color w:val="010000"/>
        </w:rPr>
      </w:pPr>
      <w:r>
        <w:rPr>
          <w:rFonts w:ascii="Arial" w:cs="Arial" w:eastAsia="Arial" w:hAnsi="Arial"/>
          <w:sz w:val="21"/>
          <w:szCs w:val="21"/>
          <w:color w:val="auto"/>
        </w:rPr>
        <w:t>If the Person serving as Administrative Agent is a Defaulting Lender pursuant to clause (d) of the definition thereof, such Person shall automatically and without the taking of any action by any Person, be removed as Administrative Agent on the date that is 30 days following the date such Person became a Defaulting Lender (or such earlier day as shall be agreed by the Required Lenders) (the “</w:t>
      </w:r>
      <w:r>
        <w:rPr>
          <w:rFonts w:ascii="Arial" w:cs="Arial" w:eastAsia="Arial" w:hAnsi="Arial"/>
          <w:sz w:val="21"/>
          <w:szCs w:val="21"/>
          <w:u w:val="single" w:color="auto"/>
          <w:color w:val="auto"/>
        </w:rPr>
        <w:t>Removal Effective Date</w:t>
      </w:r>
      <w:r>
        <w:rPr>
          <w:rFonts w:ascii="Arial" w:cs="Arial" w:eastAsia="Arial" w:hAnsi="Arial"/>
          <w:sz w:val="21"/>
          <w:szCs w:val="21"/>
          <w:color w:val="auto"/>
        </w:rPr>
        <w:t>”). In connection therewith, the Required Lenders, in consultation with the Borrower, shall appoint a successor. If no such successor shall have been so appointed by the Required Lenders and shall have accepted such appointment on or prior to the Removal Effective Date, then such removal shall nonetheless become effective in accordance with such notice on the Removal Effective Date.</w:t>
      </w:r>
    </w:p>
    <w:p>
      <w:pPr>
        <w:spacing w:after="0" w:line="205" w:lineRule="exact"/>
        <w:rPr>
          <w:rFonts w:ascii="Arial" w:cs="Arial" w:eastAsia="Arial" w:hAnsi="Arial"/>
          <w:sz w:val="21"/>
          <w:szCs w:val="21"/>
          <w:color w:val="010000"/>
        </w:rPr>
      </w:pPr>
    </w:p>
    <w:p>
      <w:pPr>
        <w:jc w:val="both"/>
        <w:ind w:firstLine="1305"/>
        <w:spacing w:after="0" w:line="271" w:lineRule="auto"/>
        <w:tabs>
          <w:tab w:leader="none" w:pos="1968"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and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 and Section 8.04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ectPr>
          <w:pgSz w:w="11900" w:h="16913" w:orient="portrait"/>
          <w:cols w:equalWidth="0" w:num="1">
            <w:col w:w="11420"/>
          </w:cols>
          <w:pgMar w:left="240" w:top="118" w:right="239" w:bottom="0" w:gutter="0" w:footer="0" w:header="0"/>
        </w:sectPr>
      </w:pPr>
    </w:p>
    <w:bookmarkStart w:id="43" w:name="page44"/>
    <w:bookmarkEnd w:id="43"/>
    <w:p>
      <w:pPr>
        <w:spacing w:after="0" w:line="9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010000"/>
        </w:rPr>
        <w:t xml:space="preserve">SECTION 7.07 </w:t>
      </w:r>
      <w:r>
        <w:rPr>
          <w:rFonts w:ascii="Arial" w:cs="Arial" w:eastAsia="Arial" w:hAnsi="Arial"/>
          <w:sz w:val="22"/>
          <w:szCs w:val="22"/>
          <w:u w:val="single" w:color="auto"/>
          <w:color w:val="000000"/>
        </w:rPr>
        <w:t>Non-Reliance on Administrative Agent and Other Lenders</w:t>
      </w:r>
      <w:r>
        <w:rPr>
          <w:rFonts w:ascii="Arial" w:cs="Arial" w:eastAsia="Arial" w:hAnsi="Arial"/>
          <w:sz w:val="22"/>
          <w:szCs w:val="22"/>
          <w:color w:val="000000"/>
        </w:rPr>
        <w:t>. Each Lender acknowledges that it</w:t>
      </w:r>
      <w:r>
        <w:rPr>
          <w:rFonts w:ascii="Arial" w:cs="Arial" w:eastAsia="Arial" w:hAnsi="Arial"/>
          <w:sz w:val="22"/>
          <w:szCs w:val="22"/>
          <w:color w:val="010000"/>
        </w:rPr>
        <w:t xml:space="preserve"> </w:t>
      </w:r>
      <w:r>
        <w:rPr>
          <w:rFonts w:ascii="Arial" w:cs="Arial" w:eastAsia="Arial" w:hAnsi="Arial"/>
          <w:sz w:val="22"/>
          <w:szCs w:val="22"/>
          <w:color w:val="000000"/>
        </w:rPr>
        <w:t>has, independently and without reliance upon the Administrative Agent or any other Lender or any of their Related Parties and based on such</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010000"/>
        </w:rPr>
        <w:t xml:space="preserve">SECTION 7.08 </w:t>
      </w:r>
      <w:r>
        <w:rPr>
          <w:rFonts w:ascii="Arial" w:cs="Arial" w:eastAsia="Arial" w:hAnsi="Arial"/>
          <w:sz w:val="21"/>
          <w:szCs w:val="21"/>
          <w:u w:val="single" w:color="auto"/>
          <w:color w:val="000000"/>
        </w:rPr>
        <w:t>Indemnification</w:t>
      </w:r>
      <w:r>
        <w:rPr>
          <w:rFonts w:ascii="Arial" w:cs="Arial" w:eastAsia="Arial" w:hAnsi="Arial"/>
          <w:sz w:val="21"/>
          <w:szCs w:val="21"/>
          <w:color w:val="000000"/>
        </w:rPr>
        <w:t>. The Lenders agree to indemnify the Administrative Agent (to the extent not</w:t>
      </w:r>
      <w:r>
        <w:rPr>
          <w:rFonts w:ascii="Arial" w:cs="Arial" w:eastAsia="Arial" w:hAnsi="Arial"/>
          <w:sz w:val="21"/>
          <w:szCs w:val="21"/>
          <w:color w:val="010000"/>
        </w:rPr>
        <w:t xml:space="preserve"> </w:t>
      </w:r>
      <w:r>
        <w:rPr>
          <w:rFonts w:ascii="Arial" w:cs="Arial" w:eastAsia="Arial" w:hAnsi="Arial"/>
          <w:sz w:val="21"/>
          <w:szCs w:val="21"/>
          <w:color w:val="000000"/>
        </w:rPr>
        <w:t>reimbursed by the Borrower), ratably according to the respective principal amounts of the Advances made by each of them (or, if no Advances are at the time outstanding, ratably according to the respective amounts of their Commitments), from and against any and all liabilities, obligations, losses, damages, penalties, actions, judgments, suits, costs, expenses and disbursements of any kind or nature whatsoever that may be imposed on, incurred by, or asserted against the Administrative Agent in any way relating to or arising out of this Agreement or any action taken or omitted by the Administrative Agent under this Agreement, in each case, acting in the capacity of Administrative Agent; provided that no Lender shall be liable for any portion of such liabilities, obligations, losses, damages, penalties, actions, judgments, suits, costs, expenses or disbursements resulting from the Administrative Agent’s gross negligence or willful misconduct. Without limitation of the foregoing, each Lender agrees to reimburse the Administrative Agent promptly upon demand for its ratable share of any out-of-pocket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promptly reimbursed for such expenses by the Borrower.</w:t>
      </w:r>
    </w:p>
    <w:p>
      <w:pPr>
        <w:spacing w:after="0" w:line="209"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010000"/>
        </w:rPr>
        <w:t xml:space="preserve">SECTION 7.09 </w:t>
      </w:r>
      <w:r>
        <w:rPr>
          <w:rFonts w:ascii="Arial" w:cs="Arial" w:eastAsia="Arial" w:hAnsi="Arial"/>
          <w:sz w:val="22"/>
          <w:szCs w:val="22"/>
          <w:u w:val="single" w:color="auto"/>
          <w:color w:val="000000"/>
        </w:rPr>
        <w:t>Other Agents</w:t>
      </w:r>
      <w:r>
        <w:rPr>
          <w:rFonts w:ascii="Arial" w:cs="Arial" w:eastAsia="Arial" w:hAnsi="Arial"/>
          <w:sz w:val="22"/>
          <w:szCs w:val="22"/>
          <w:color w:val="000000"/>
        </w:rPr>
        <w:t>. None of the Lenders identified on the facing page or signature pages of this</w:t>
      </w:r>
      <w:r>
        <w:rPr>
          <w:rFonts w:ascii="Arial" w:cs="Arial" w:eastAsia="Arial" w:hAnsi="Arial"/>
          <w:sz w:val="22"/>
          <w:szCs w:val="22"/>
          <w:color w:val="010000"/>
        </w:rPr>
        <w:t xml:space="preserve"> </w:t>
      </w:r>
      <w:r>
        <w:rPr>
          <w:rFonts w:ascii="Arial" w:cs="Arial" w:eastAsia="Arial" w:hAnsi="Arial"/>
          <w:sz w:val="22"/>
          <w:szCs w:val="22"/>
          <w:color w:val="000000"/>
        </w:rPr>
        <w:t>Agreement as a “syndication agent”, “arranger” or “bookrunner” shall have any right, power, obligation, liability, responsibility or duty under this Agreement other than those applicable to all Lenders as such. Without limiting the foregoing, none of the Lenders so identified shall have or be deemed to have any fiduciary relationship with any Lender. Each Lender acknowledges that it has not relied, and will not rely, on any of the Lenders so identified in deciding to enter into this Agreement or in taking or not taking action hereunder.</w:t>
      </w:r>
    </w:p>
    <w:p>
      <w:pPr>
        <w:spacing w:after="0" w:line="21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010000"/>
        </w:rPr>
        <w:t xml:space="preserve">SECTION 7.10 </w:t>
      </w:r>
      <w:r>
        <w:rPr>
          <w:rFonts w:ascii="Arial" w:cs="Arial" w:eastAsia="Arial" w:hAnsi="Arial"/>
          <w:sz w:val="21"/>
          <w:szCs w:val="21"/>
          <w:u w:val="single" w:color="auto"/>
          <w:color w:val="000000"/>
        </w:rPr>
        <w:t>ERISA</w:t>
      </w:r>
      <w:r>
        <w:rPr>
          <w:rFonts w:ascii="Arial" w:cs="Arial" w:eastAsia="Arial" w:hAnsi="Arial"/>
          <w:sz w:val="21"/>
          <w:szCs w:val="21"/>
          <w:color w:val="000000"/>
        </w:rPr>
        <w:t>. (a) Each Lender (x) represents and warrants, as of the date such Person became a Lender</w:t>
      </w:r>
      <w:r>
        <w:rPr>
          <w:rFonts w:ascii="Arial" w:cs="Arial" w:eastAsia="Arial" w:hAnsi="Arial"/>
          <w:sz w:val="21"/>
          <w:szCs w:val="21"/>
          <w:color w:val="010000"/>
        </w:rPr>
        <w:t xml:space="preserve"> </w:t>
      </w:r>
      <w:r>
        <w:rPr>
          <w:rFonts w:ascii="Arial" w:cs="Arial" w:eastAsia="Arial" w:hAnsi="Arial"/>
          <w:sz w:val="21"/>
          <w:szCs w:val="21"/>
          <w:color w:val="000000"/>
        </w:rPr>
        <w:t>party hereto, to, and (y) covenants, from the date such Person became a Lender party hereto to the date such Person ceases being a Lender party hereto, for the benefit of, the Agents and their respective Affiliates, and not, for the avoidance of doubt, to or for the benefit of the Borrower, that at least one of the following is and will be true:</w:t>
      </w:r>
    </w:p>
    <w:p>
      <w:pPr>
        <w:spacing w:after="0" w:line="201" w:lineRule="exact"/>
        <w:rPr>
          <w:sz w:val="20"/>
          <w:szCs w:val="20"/>
          <w:color w:val="auto"/>
        </w:rPr>
      </w:pPr>
    </w:p>
    <w:p>
      <w:pPr>
        <w:ind w:left="1300" w:firstLine="653"/>
        <w:spacing w:after="0" w:line="251" w:lineRule="auto"/>
        <w:tabs>
          <w:tab w:leader="none" w:pos="2746" w:val="left"/>
        </w:tabs>
        <w:numPr>
          <w:ilvl w:val="0"/>
          <w:numId w:val="86"/>
        </w:numPr>
        <w:rPr>
          <w:rFonts w:ascii="Arial" w:cs="Arial" w:eastAsia="Arial" w:hAnsi="Arial"/>
          <w:sz w:val="22"/>
          <w:szCs w:val="22"/>
          <w:color w:val="010000"/>
        </w:rPr>
      </w:pPr>
      <w:r>
        <w:rPr>
          <w:rFonts w:ascii="Arial" w:cs="Arial" w:eastAsia="Arial" w:hAnsi="Arial"/>
          <w:sz w:val="22"/>
          <w:szCs w:val="22"/>
          <w:color w:val="auto"/>
        </w:rPr>
        <w:t>such Lender is not using “plan assets” (within the meaning of the Plan Asset Regulations) of one or more Benefit Plans in connection with the Advances or the Commitments,</w:t>
      </w:r>
    </w:p>
    <w:p>
      <w:pPr>
        <w:spacing w:after="0" w:line="200" w:lineRule="exact"/>
        <w:rPr>
          <w:rFonts w:ascii="Arial" w:cs="Arial" w:eastAsia="Arial" w:hAnsi="Arial"/>
          <w:sz w:val="22"/>
          <w:szCs w:val="22"/>
          <w:color w:val="010000"/>
        </w:rPr>
      </w:pPr>
    </w:p>
    <w:p>
      <w:pPr>
        <w:ind w:left="1300" w:firstLine="653"/>
        <w:spacing w:after="0" w:line="251" w:lineRule="auto"/>
        <w:tabs>
          <w:tab w:leader="none" w:pos="2766" w:val="left"/>
        </w:tabs>
        <w:numPr>
          <w:ilvl w:val="0"/>
          <w:numId w:val="86"/>
        </w:numPr>
        <w:rPr>
          <w:rFonts w:ascii="Arial" w:cs="Arial" w:eastAsia="Arial" w:hAnsi="Arial"/>
          <w:sz w:val="22"/>
          <w:szCs w:val="22"/>
          <w:color w:val="010000"/>
        </w:rPr>
      </w:pPr>
      <w:r>
        <w:rPr>
          <w:rFonts w:ascii="Arial" w:cs="Arial" w:eastAsia="Arial" w:hAnsi="Arial"/>
          <w:sz w:val="22"/>
          <w:szCs w:val="22"/>
          <w:color w:val="auto"/>
        </w:rPr>
        <w:t>the transaction exemption set forth in one or more PTEs, such as PTE 84-14 (a class exemption for certain transactions determined by independent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00"/>
        <w:spacing w:after="0" w:line="277" w:lineRule="auto"/>
        <w:rPr>
          <w:sz w:val="20"/>
          <w:szCs w:val="20"/>
          <w:color w:val="auto"/>
        </w:rPr>
      </w:pPr>
      <w:r>
        <w:rPr>
          <w:rFonts w:ascii="Arial" w:cs="Arial" w:eastAsia="Arial" w:hAnsi="Arial"/>
          <w:sz w:val="19"/>
          <w:szCs w:val="19"/>
          <w:color w:val="auto"/>
        </w:rPr>
        <w:t>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 and the conditions for exemptive relief thereunder are and will continue to be satisfied in connection therewith,</w:t>
      </w:r>
    </w:p>
    <w:p>
      <w:pPr>
        <w:spacing w:after="0" w:line="180" w:lineRule="exact"/>
        <w:rPr>
          <w:sz w:val="20"/>
          <w:szCs w:val="20"/>
          <w:color w:val="auto"/>
        </w:rPr>
      </w:pPr>
    </w:p>
    <w:p>
      <w:pPr>
        <w:jc w:val="both"/>
        <w:ind w:left="1300" w:firstLine="653"/>
        <w:spacing w:after="0" w:line="275" w:lineRule="auto"/>
        <w:tabs>
          <w:tab w:leader="none" w:pos="3069" w:val="left"/>
        </w:tabs>
        <w:numPr>
          <w:ilvl w:val="0"/>
          <w:numId w:val="87"/>
        </w:numPr>
        <w:rPr>
          <w:rFonts w:ascii="Arial" w:cs="Arial" w:eastAsia="Arial" w:hAnsi="Arial"/>
          <w:sz w:val="19"/>
          <w:szCs w:val="19"/>
          <w:color w:val="010000"/>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ectPr>
          <w:pgSz w:w="11900" w:h="16934" w:orient="portrait"/>
          <w:cols w:equalWidth="0" w:num="1">
            <w:col w:w="11420"/>
          </w:cols>
          <w:pgMar w:left="240" w:top="361" w:right="239" w:bottom="0" w:gutter="0" w:footer="0" w:header="0"/>
        </w:sectPr>
      </w:pPr>
    </w:p>
    <w:bookmarkStart w:id="44" w:name="page45"/>
    <w:bookmarkEnd w:id="44"/>
    <w:p>
      <w:pPr>
        <w:spacing w:after="0" w:line="149" w:lineRule="exact"/>
        <w:rPr>
          <w:sz w:val="20"/>
          <w:szCs w:val="20"/>
          <w:color w:val="auto"/>
        </w:rPr>
      </w:pPr>
    </w:p>
    <w:p>
      <w:pPr>
        <w:ind w:left="1300" w:right="40" w:firstLine="653"/>
        <w:spacing w:after="0" w:line="251" w:lineRule="auto"/>
        <w:tabs>
          <w:tab w:leader="none" w:pos="3286" w:val="left"/>
        </w:tabs>
        <w:numPr>
          <w:ilvl w:val="1"/>
          <w:numId w:val="88"/>
        </w:numPr>
        <w:rPr>
          <w:rFonts w:ascii="Arial" w:cs="Arial" w:eastAsia="Arial" w:hAnsi="Arial"/>
          <w:sz w:val="22"/>
          <w:szCs w:val="22"/>
          <w:color w:val="010000"/>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200" w:lineRule="exact"/>
        <w:rPr>
          <w:rFonts w:ascii="Arial" w:cs="Arial" w:eastAsia="Arial" w:hAnsi="Arial"/>
          <w:sz w:val="22"/>
          <w:szCs w:val="22"/>
          <w:color w:val="010000"/>
        </w:rPr>
      </w:pPr>
    </w:p>
    <w:p>
      <w:pPr>
        <w:jc w:val="both"/>
        <w:ind w:left="660" w:right="40" w:firstLine="645"/>
        <w:spacing w:after="0" w:line="244" w:lineRule="auto"/>
        <w:tabs>
          <w:tab w:leader="none" w:pos="1979" w:val="left"/>
        </w:tabs>
        <w:numPr>
          <w:ilvl w:val="0"/>
          <w:numId w:val="89"/>
        </w:numPr>
        <w:rPr>
          <w:rFonts w:ascii="Arial" w:cs="Arial" w:eastAsia="Arial" w:hAnsi="Arial"/>
          <w:sz w:val="21"/>
          <w:szCs w:val="21"/>
          <w:color w:val="010000"/>
        </w:rPr>
      </w:pPr>
      <w:r>
        <w:rPr>
          <w:rFonts w:ascii="Arial" w:cs="Arial" w:eastAsia="Arial" w:hAnsi="Arial"/>
          <w:sz w:val="21"/>
          <w:szCs w:val="21"/>
          <w:color w:val="auto"/>
        </w:rPr>
        <w:t>The Agents and the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Advances, the Commitments and this Agreement, (ii) may recognize a gain if it extended the Advances or the Commitments for an amount less than the amount being paid for an interest in the Advances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9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6960" w:type="dxa"/>
            <w:vAlign w:val="bottom"/>
          </w:tcPr>
          <w:p>
            <w:pPr>
              <w:jc w:val="center"/>
              <w:ind w:right="4432"/>
              <w:spacing w:after="0"/>
              <w:rPr>
                <w:sz w:val="20"/>
                <w:szCs w:val="20"/>
                <w:color w:val="auto"/>
              </w:rPr>
            </w:pPr>
            <w:r>
              <w:rPr>
                <w:rFonts w:ascii="Arial" w:cs="Arial" w:eastAsia="Arial" w:hAnsi="Arial"/>
                <w:sz w:val="22"/>
                <w:szCs w:val="22"/>
                <w:color w:val="auto"/>
                <w:w w:val="89"/>
              </w:rPr>
              <w:t>62</w:t>
            </w:r>
          </w:p>
        </w:tc>
      </w:tr>
      <w:tr>
        <w:trPr>
          <w:trHeight w:val="122"/>
        </w:trPr>
        <w:tc>
          <w:tcPr>
            <w:tcW w:w="29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6960" w:type="dxa"/>
            <w:vAlign w:val="bottom"/>
            <w:tcBorders>
              <w:bottom w:val="single" w:sz="8" w:color="808080"/>
            </w:tcBorders>
          </w:tcPr>
          <w:p>
            <w:pPr>
              <w:spacing w:after="0"/>
              <w:rPr>
                <w:sz w:val="10"/>
                <w:szCs w:val="10"/>
                <w:color w:val="auto"/>
              </w:rPr>
            </w:pPr>
          </w:p>
        </w:tc>
      </w:tr>
      <w:tr>
        <w:trPr>
          <w:trHeight w:val="844"/>
        </w:trPr>
        <w:tc>
          <w:tcPr>
            <w:tcW w:w="2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960" w:type="dxa"/>
            <w:vAlign w:val="bottom"/>
          </w:tcPr>
          <w:p>
            <w:pPr>
              <w:jc w:val="center"/>
              <w:ind w:right="4412"/>
              <w:spacing w:after="0"/>
              <w:rPr>
                <w:sz w:val="20"/>
                <w:szCs w:val="20"/>
                <w:color w:val="auto"/>
              </w:rPr>
            </w:pPr>
            <w:r>
              <w:rPr>
                <w:rFonts w:ascii="Arial" w:cs="Arial" w:eastAsia="Arial" w:hAnsi="Arial"/>
                <w:sz w:val="22"/>
                <w:szCs w:val="22"/>
                <w:color w:val="010000"/>
                <w:w w:val="99"/>
              </w:rPr>
              <w:t>ARTICLE VIII</w:t>
            </w:r>
          </w:p>
        </w:tc>
      </w:tr>
      <w:tr>
        <w:trPr>
          <w:trHeight w:val="486"/>
        </w:trPr>
        <w:tc>
          <w:tcPr>
            <w:tcW w:w="2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960" w:type="dxa"/>
            <w:vAlign w:val="bottom"/>
          </w:tcPr>
          <w:p>
            <w:pPr>
              <w:jc w:val="center"/>
              <w:ind w:right="4432"/>
              <w:spacing w:after="0"/>
              <w:rPr>
                <w:sz w:val="20"/>
                <w:szCs w:val="20"/>
                <w:color w:val="auto"/>
              </w:rPr>
            </w:pPr>
            <w:r>
              <w:rPr>
                <w:rFonts w:ascii="Arial" w:cs="Arial" w:eastAsia="Arial" w:hAnsi="Arial"/>
                <w:sz w:val="22"/>
                <w:szCs w:val="22"/>
                <w:b w:val="1"/>
                <w:bCs w:val="1"/>
                <w:color w:val="auto"/>
                <w:w w:val="99"/>
              </w:rPr>
              <w:t>MISCELLANEOUS</w:t>
            </w:r>
          </w:p>
        </w:tc>
      </w:tr>
      <w:tr>
        <w:trPr>
          <w:trHeight w:val="436"/>
        </w:trPr>
        <w:tc>
          <w:tcPr>
            <w:tcW w:w="4500" w:type="dxa"/>
            <w:vAlign w:val="bottom"/>
            <w:gridSpan w:val="2"/>
          </w:tcPr>
          <w:p>
            <w:pPr>
              <w:ind w:left="1300"/>
              <w:spacing w:after="0"/>
              <w:rPr>
                <w:sz w:val="20"/>
                <w:szCs w:val="20"/>
                <w:color w:val="auto"/>
              </w:rPr>
            </w:pPr>
            <w:r>
              <w:rPr>
                <w:rFonts w:ascii="Arial" w:cs="Arial" w:eastAsia="Arial" w:hAnsi="Arial"/>
                <w:sz w:val="22"/>
                <w:szCs w:val="22"/>
                <w:color w:val="010000"/>
                <w:w w:val="92"/>
              </w:rPr>
              <w:t xml:space="preserve">SECTION 8.01   </w:t>
            </w:r>
            <w:r>
              <w:rPr>
                <w:rFonts w:ascii="Arial" w:cs="Arial" w:eastAsia="Arial" w:hAnsi="Arial"/>
                <w:sz w:val="22"/>
                <w:szCs w:val="22"/>
                <w:color w:val="000000"/>
                <w:w w:val="92"/>
              </w:rPr>
              <w:t>Amendments, Etc.</w:t>
            </w:r>
          </w:p>
        </w:tc>
        <w:tc>
          <w:tcPr>
            <w:tcW w:w="6960" w:type="dxa"/>
            <w:vAlign w:val="bottom"/>
          </w:tcPr>
          <w:p>
            <w:pPr>
              <w:ind w:left="680"/>
              <w:spacing w:after="0"/>
              <w:rPr>
                <w:sz w:val="20"/>
                <w:szCs w:val="20"/>
                <w:color w:val="auto"/>
              </w:rPr>
            </w:pPr>
            <w:r>
              <w:rPr>
                <w:rFonts w:ascii="Arial" w:cs="Arial" w:eastAsia="Arial" w:hAnsi="Arial"/>
                <w:sz w:val="22"/>
                <w:szCs w:val="22"/>
                <w:color w:val="auto"/>
                <w:w w:val="89"/>
              </w:rPr>
              <w:t>Subject to Sections 2.05(d) and 2.08(f), no amendment or waiver of any</w:t>
            </w:r>
          </w:p>
        </w:tc>
      </w:tr>
      <w:tr>
        <w:trPr>
          <w:trHeight w:val="20"/>
        </w:trPr>
        <w:tc>
          <w:tcPr>
            <w:tcW w:w="29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-1158875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-1158875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both"/>
        <w:ind w:right="40"/>
        <w:spacing w:after="0" w:line="287" w:lineRule="auto"/>
        <w:rPr>
          <w:sz w:val="20"/>
          <w:szCs w:val="20"/>
          <w:color w:val="auto"/>
        </w:rPr>
      </w:pPr>
      <w:r>
        <w:rPr>
          <w:rFonts w:ascii="Arial" w:cs="Arial" w:eastAsia="Arial" w:hAnsi="Arial"/>
          <w:sz w:val="19"/>
          <w:szCs w:val="19"/>
          <w:color w:val="auto"/>
        </w:rPr>
        <w:t>provision of this Agreement, nor consent to any departure by the Borrower therefrom, shall in any event be effective unless the same shall be in writing and signed by the Required Lenders and the Borrower and acknowledged by the Administrative Agent, and then such waiver or consent shall be effective only in the specific instance and for the specific purpose for which given; provided, however, that no amendment, waiver or consent shall, unless in writing, do any of the following:</w:t>
      </w:r>
    </w:p>
    <w:p>
      <w:pPr>
        <w:spacing w:after="0" w:line="170" w:lineRule="exact"/>
        <w:rPr>
          <w:sz w:val="20"/>
          <w:szCs w:val="20"/>
          <w:color w:val="auto"/>
        </w:rPr>
      </w:pPr>
    </w:p>
    <w:p>
      <w:pPr>
        <w:ind w:left="1300" w:right="40" w:firstLine="653"/>
        <w:spacing w:after="0" w:line="251" w:lineRule="auto"/>
        <w:tabs>
          <w:tab w:leader="none" w:pos="2719"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waive any of the conditions specified in Sections 3.01 or 3.03 unless signed by each Lender directly and adversely affected thereby;</w:t>
      </w:r>
    </w:p>
    <w:p>
      <w:pPr>
        <w:spacing w:after="0" w:line="200" w:lineRule="exact"/>
        <w:rPr>
          <w:rFonts w:ascii="Arial" w:cs="Arial" w:eastAsia="Arial" w:hAnsi="Arial"/>
          <w:sz w:val="22"/>
          <w:szCs w:val="22"/>
          <w:color w:val="010000"/>
        </w:rPr>
      </w:pPr>
    </w:p>
    <w:p>
      <w:pPr>
        <w:ind w:left="1300" w:right="40" w:firstLine="653"/>
        <w:spacing w:after="0" w:line="251" w:lineRule="auto"/>
        <w:tabs>
          <w:tab w:leader="none" w:pos="2806"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increase or extend the Commitments of a Lender or subject a Lender to any additional obligations, unless signed by such Lender;</w:t>
      </w:r>
    </w:p>
    <w:p>
      <w:pPr>
        <w:spacing w:after="0" w:line="200" w:lineRule="exact"/>
        <w:rPr>
          <w:rFonts w:ascii="Arial" w:cs="Arial" w:eastAsia="Arial" w:hAnsi="Arial"/>
          <w:sz w:val="22"/>
          <w:szCs w:val="22"/>
          <w:color w:val="010000"/>
        </w:rPr>
      </w:pPr>
    </w:p>
    <w:p>
      <w:pPr>
        <w:jc w:val="both"/>
        <w:ind w:left="1300" w:right="40" w:firstLine="653"/>
        <w:spacing w:after="0" w:line="287" w:lineRule="auto"/>
        <w:tabs>
          <w:tab w:leader="none" w:pos="2785"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 xml:space="preserve">reduce the principal of, or stated rate of interest on, the Advances, the stated rate at which any fees hereunder are calculated or any other amounts payable hereunder, unless signed by each Lender directly and adversely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only the consent of the Required Lenders shall be necessary to amend the definition of “Default Interest” or to waive any obligation of the Borrower to pay Default Interest;</w:t>
      </w:r>
    </w:p>
    <w:p>
      <w:pPr>
        <w:spacing w:after="0" w:line="170" w:lineRule="exact"/>
        <w:rPr>
          <w:rFonts w:ascii="Arial" w:cs="Arial" w:eastAsia="Arial" w:hAnsi="Arial"/>
          <w:sz w:val="19"/>
          <w:szCs w:val="19"/>
          <w:color w:val="010000"/>
        </w:rPr>
      </w:pPr>
    </w:p>
    <w:p>
      <w:pPr>
        <w:ind w:left="1300" w:right="40" w:firstLine="653"/>
        <w:spacing w:after="0" w:line="328" w:lineRule="auto"/>
        <w:tabs>
          <w:tab w:leader="none" w:pos="2733"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postpone any date fixed for any payment of principal of, or interest on, the Advances or any fees or other amounts payable hereunder, unless signed by each Lender directly and adversely affected thereby;</w:t>
      </w:r>
    </w:p>
    <w:p>
      <w:pPr>
        <w:spacing w:after="0" w:line="132" w:lineRule="exact"/>
        <w:rPr>
          <w:rFonts w:ascii="Arial" w:cs="Arial" w:eastAsia="Arial" w:hAnsi="Arial"/>
          <w:sz w:val="19"/>
          <w:szCs w:val="19"/>
          <w:color w:val="010000"/>
        </w:rPr>
      </w:pPr>
    </w:p>
    <w:p>
      <w:pPr>
        <w:jc w:val="both"/>
        <w:ind w:left="1300" w:right="40" w:firstLine="653"/>
        <w:spacing w:after="0"/>
        <w:tabs>
          <w:tab w:leader="none" w:pos="305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change the percentage of the Commitments or of the aggregate unpaid principal amount of the Advances, or the number of Lenders, that, in each case, shall be required for the Lenders or any of them to take any action hereunder, unless signed by all Lenders;</w:t>
      </w:r>
    </w:p>
    <w:p>
      <w:pPr>
        <w:spacing w:after="0" w:line="213" w:lineRule="exact"/>
        <w:rPr>
          <w:rFonts w:ascii="Arial" w:cs="Arial" w:eastAsia="Arial" w:hAnsi="Arial"/>
          <w:sz w:val="22"/>
          <w:szCs w:val="22"/>
          <w:color w:val="010000"/>
        </w:rPr>
      </w:pPr>
    </w:p>
    <w:p>
      <w:pPr>
        <w:jc w:val="both"/>
        <w:ind w:left="1300" w:right="40" w:firstLine="653"/>
        <w:spacing w:after="0"/>
        <w:tabs>
          <w:tab w:leader="none" w:pos="2733"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change Section 2.06, Section 2.13(a) or Section 2.15, in each case in a manner that would affect the ratable sharing of payments required thereby without the written consent of each Lender directly and adversely affected thereby; or</w:t>
      </w:r>
    </w:p>
    <w:p>
      <w:pPr>
        <w:spacing w:after="0" w:line="213" w:lineRule="exact"/>
        <w:rPr>
          <w:rFonts w:ascii="Arial" w:cs="Arial" w:eastAsia="Arial" w:hAnsi="Arial"/>
          <w:sz w:val="22"/>
          <w:szCs w:val="22"/>
          <w:color w:val="010000"/>
        </w:rPr>
      </w:pPr>
    </w:p>
    <w:p>
      <w:pPr>
        <w:ind w:left="2620" w:hanging="667"/>
        <w:spacing w:after="0"/>
        <w:tabs>
          <w:tab w:leader="none" w:pos="2620" w:val="left"/>
        </w:tabs>
        <w:numPr>
          <w:ilvl w:val="0"/>
          <w:numId w:val="90"/>
        </w:numPr>
        <w:rPr>
          <w:rFonts w:ascii="Arial" w:cs="Arial" w:eastAsia="Arial" w:hAnsi="Arial"/>
          <w:sz w:val="21"/>
          <w:szCs w:val="21"/>
          <w:color w:val="010000"/>
        </w:rPr>
      </w:pPr>
      <w:r>
        <w:rPr>
          <w:rFonts w:ascii="Arial" w:cs="Arial" w:eastAsia="Arial" w:hAnsi="Arial"/>
          <w:sz w:val="21"/>
          <w:szCs w:val="21"/>
          <w:color w:val="auto"/>
        </w:rPr>
        <w:t>amend this Section 8.01 or the definition of “Required Lenders”, unless signed by all Lenders;</w:t>
      </w:r>
    </w:p>
    <w:p>
      <w:pPr>
        <w:spacing w:after="0" w:line="245" w:lineRule="exact"/>
        <w:rPr>
          <w:sz w:val="20"/>
          <w:szCs w:val="20"/>
          <w:color w:val="auto"/>
        </w:rPr>
      </w:pPr>
    </w:p>
    <w:p>
      <w:pPr>
        <w:jc w:val="both"/>
        <w:ind w:right="40"/>
        <w:spacing w:after="0" w:line="236"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no amendment, waiver or consent shall, unless in writing and signed by the Administrative Agent in addition to the Lenders required above to take such action, affect the rights or duties of the Administrative Agent under this Agreement. Notwithstanding the foregoing, the Administrative Agent and the Borrower may amend any Loan Document to correct any errors, mistakes, omissions, defects or inconsistencies, or to effect administrative changes that are not adverse to any Lender, and such amendment shall become effective without any further</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consent of any other party to such Loan Document other than the Administrative Agent and the Borrower.</w:t>
      </w:r>
    </w:p>
    <w:p>
      <w:pPr>
        <w:spacing w:after="0" w:line="233" w:lineRule="exact"/>
        <w:rPr>
          <w:sz w:val="20"/>
          <w:szCs w:val="20"/>
          <w:color w:val="auto"/>
        </w:rPr>
      </w:pPr>
    </w:p>
    <w:p>
      <w:pPr>
        <w:jc w:val="both"/>
        <w:ind w:right="40" w:firstLine="1297"/>
        <w:spacing w:after="0" w:line="328" w:lineRule="auto"/>
        <w:rPr>
          <w:sz w:val="20"/>
          <w:szCs w:val="20"/>
          <w:color w:val="auto"/>
        </w:rPr>
      </w:pPr>
      <w:r>
        <w:rPr>
          <w:rFonts w:ascii="Arial" w:cs="Arial" w:eastAsia="Arial" w:hAnsi="Arial"/>
          <w:sz w:val="19"/>
          <w:szCs w:val="19"/>
          <w:color w:val="010000"/>
        </w:rPr>
        <w:t xml:space="preserve">SECTION 8.02 </w:t>
      </w:r>
      <w:r>
        <w:rPr>
          <w:rFonts w:ascii="Arial" w:cs="Arial" w:eastAsia="Arial" w:hAnsi="Arial"/>
          <w:sz w:val="19"/>
          <w:szCs w:val="19"/>
          <w:u w:val="single" w:color="auto"/>
          <w:color w:val="000000"/>
        </w:rPr>
        <w:t>Notices, Etc.</w:t>
      </w:r>
      <w:r>
        <w:rPr>
          <w:rFonts w:ascii="Arial" w:cs="Arial" w:eastAsia="Arial" w:hAnsi="Arial"/>
          <w:sz w:val="19"/>
          <w:szCs w:val="19"/>
          <w:color w:val="010000"/>
        </w:rPr>
        <w:t xml:space="preserve"> </w:t>
      </w:r>
      <w:r>
        <w:rPr>
          <w:rFonts w:ascii="Arial" w:cs="Arial" w:eastAsia="Arial" w:hAnsi="Arial"/>
          <w:sz w:val="19"/>
          <w:szCs w:val="19"/>
          <w:color w:val="000000"/>
        </w:rPr>
        <w:t>(a) All notices and other communications provided for hereunder shall be in</w:t>
      </w:r>
      <w:r>
        <w:rPr>
          <w:rFonts w:ascii="Arial" w:cs="Arial" w:eastAsia="Arial" w:hAnsi="Arial"/>
          <w:sz w:val="19"/>
          <w:szCs w:val="19"/>
          <w:color w:val="010000"/>
        </w:rPr>
        <w:t xml:space="preserve"> </w:t>
      </w:r>
      <w:r>
        <w:rPr>
          <w:rFonts w:ascii="Arial" w:cs="Arial" w:eastAsia="Arial" w:hAnsi="Arial"/>
          <w:sz w:val="19"/>
          <w:szCs w:val="19"/>
          <w:color w:val="000000"/>
        </w:rPr>
        <w:t>writing (including telecopier) and mailed, telecopied or delivered, if to the Borrower or the Administrative Agent, to the address,</w:t>
      </w:r>
    </w:p>
    <w:p>
      <w:pPr>
        <w:sectPr>
          <w:pgSz w:w="11900" w:h="16987" w:orient="portrait"/>
          <w:cols w:equalWidth="0" w:num="1">
            <w:col w:w="11460"/>
          </w:cols>
          <w:pgMar w:left="240" w:top="361" w:right="199" w:bottom="0" w:gutter="0" w:footer="0" w:header="0"/>
        </w:sectPr>
      </w:pPr>
    </w:p>
    <w:bookmarkStart w:id="45" w:name="page46"/>
    <w:bookmarkEnd w:id="45"/>
    <w:p>
      <w:pPr>
        <w:jc w:val="both"/>
        <w:spacing w:after="0" w:line="244" w:lineRule="auto"/>
        <w:rPr>
          <w:sz w:val="20"/>
          <w:szCs w:val="20"/>
          <w:color w:val="auto"/>
        </w:rPr>
      </w:pPr>
      <w:r>
        <w:rPr>
          <w:rFonts w:ascii="Arial" w:cs="Arial" w:eastAsia="Arial" w:hAnsi="Arial"/>
          <w:sz w:val="21"/>
          <w:szCs w:val="21"/>
          <w:color w:val="auto"/>
        </w:rPr>
        <w:t>telecopier number or if applicable, electronic mail address, specified for such Person on Schedule II; or, as to the Borrower or the Administrative Agent, at such other address as shall be designated by such party in a written notice to the other parties and, as to each other party, at such other address as shall be designated by such party in a written notice to the Borrower and the Administrative Agent. All such notices and communications shall, when mailed or telecopied, be effective three Business Days after being deposited in the mails, postage prepaid, or upon confirmation of receipt (except that if electronic confirmation of receipt is received at a time that the recipient is not open for business, the applicable notice or communication shall be effective at the opening of business on the next business day of the recipient), respectively, except that notices and communications to the Administrative Agent pursuant to Article II, III or VII shall not be effective until received by the Administrative Agent. Delivery by telecopier or other electronic communication of an executed counterpart of any amendment or waiver of any provision of this Agreement or of any Exhibit hereto to be executed and delivered hereunder shall be effective as delivery of a manually executed counterpart thereof.</w:t>
      </w:r>
    </w:p>
    <w:p>
      <w:pPr>
        <w:spacing w:after="0" w:line="217" w:lineRule="exact"/>
        <w:rPr>
          <w:sz w:val="20"/>
          <w:szCs w:val="20"/>
          <w:color w:val="auto"/>
        </w:rPr>
      </w:pPr>
    </w:p>
    <w:p>
      <w:pPr>
        <w:jc w:val="both"/>
        <w:ind w:firstLine="1305"/>
        <w:spacing w:after="0" w:line="247" w:lineRule="auto"/>
        <w:tabs>
          <w:tab w:leader="none" w:pos="2075" w:val="left"/>
        </w:tabs>
        <w:numPr>
          <w:ilvl w:val="0"/>
          <w:numId w:val="91"/>
        </w:numPr>
        <w:rPr>
          <w:rFonts w:ascii="Arial" w:cs="Arial" w:eastAsia="Arial" w:hAnsi="Arial"/>
          <w:sz w:val="21"/>
          <w:szCs w:val="21"/>
          <w:color w:val="010000"/>
        </w:rPr>
      </w:pPr>
      <w:r>
        <w:rPr>
          <w:rFonts w:ascii="Arial" w:cs="Arial" w:eastAsia="Arial" w:hAnsi="Arial"/>
          <w:sz w:val="21"/>
          <w:szCs w:val="21"/>
          <w:u w:val="single" w:color="auto"/>
          <w:color w:val="auto"/>
        </w:rPr>
        <w:t>Electronic Communications</w:t>
      </w:r>
      <w:r>
        <w:rPr>
          <w:rFonts w:ascii="Arial" w:cs="Arial" w:eastAsia="Arial" w:hAnsi="Arial"/>
          <w:sz w:val="21"/>
          <w:szCs w:val="21"/>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20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8" w:lineRule="exact"/>
        <w:rPr>
          <w:sz w:val="20"/>
          <w:szCs w:val="20"/>
          <w:color w:val="auto"/>
        </w:rPr>
      </w:pPr>
    </w:p>
    <w:p>
      <w:pPr>
        <w:jc w:val="both"/>
        <w:ind w:firstLine="1305"/>
        <w:spacing w:after="0" w:line="238" w:lineRule="auto"/>
        <w:tabs>
          <w:tab w:leader="none" w:pos="2076"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The Borrower agrees that the Administrative Agent may, but shall not be obligated to, make any notice and other communications available to the Lenders by posting the notices and other communications on IntraLinks™, DebtDomain, SyndTrak, ClearPar or any other electronic platform chosen by the Administrative Agent to be its electronic transmission system (the “</w:t>
      </w:r>
      <w:r>
        <w:rPr>
          <w:rFonts w:ascii="Arial" w:cs="Arial" w:eastAsia="Arial" w:hAnsi="Arial"/>
          <w:sz w:val="22"/>
          <w:szCs w:val="22"/>
          <w:u w:val="single" w:color="auto"/>
          <w:color w:val="auto"/>
        </w:rPr>
        <w:t>Approved Electronic Platform</w:t>
      </w:r>
      <w:r>
        <w:rPr>
          <w:rFonts w:ascii="Arial" w:cs="Arial" w:eastAsia="Arial" w:hAnsi="Arial"/>
          <w:sz w:val="22"/>
          <w:szCs w:val="22"/>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line="243" w:lineRule="auto"/>
        <w:tabs>
          <w:tab w:leader="none" w:pos="2156" w:val="left"/>
        </w:tabs>
        <w:numPr>
          <w:ilvl w:val="0"/>
          <w:numId w:val="93"/>
        </w:numPr>
        <w:rPr>
          <w:rFonts w:ascii="Arial" w:cs="Arial" w:eastAsia="Arial" w:hAnsi="Arial"/>
          <w:sz w:val="21"/>
          <w:szCs w:val="21"/>
          <w:color w:val="010000"/>
        </w:rPr>
      </w:pPr>
      <w:r>
        <w:rPr>
          <w:rFonts w:ascii="Arial" w:cs="Arial" w:eastAsia="Arial" w:hAnsi="Arial"/>
          <w:sz w:val="21"/>
          <w:szCs w:val="21"/>
          <w:color w:val="auto"/>
        </w:rPr>
        <w:t>THE APPROVED ELECTRONIC PLATFORM IS PROVIDED “AS IS” AND “AS AVAILABLE.” THE AGENT PARTIES (AS DEFINED BELOW) DO NOT WARRANT THE ACCURACY OR COMPLETENESS OF THE BORROWER MATERIALS OR THE ADEQUACY OF THE APPROVED ELECTRONIC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APPROVED ELECTRONIC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no event shall any Agent Party have any liability to the Borrower, any Lender or any other Person for indirect, special, incidental, consequential or punitive damages (as opposed to direct or actual damages).</w:t>
      </w:r>
    </w:p>
    <w:p>
      <w:pPr>
        <w:spacing w:after="0" w:line="222" w:lineRule="exact"/>
        <w:rPr>
          <w:rFonts w:ascii="Arial" w:cs="Arial" w:eastAsia="Arial" w:hAnsi="Arial"/>
          <w:sz w:val="21"/>
          <w:szCs w:val="21"/>
          <w:color w:val="010000"/>
        </w:rPr>
      </w:pPr>
    </w:p>
    <w:p>
      <w:pPr>
        <w:jc w:val="both"/>
        <w:ind w:firstLine="1305"/>
        <w:spacing w:after="0" w:line="272" w:lineRule="auto"/>
        <w:tabs>
          <w:tab w:leader="none" w:pos="2347" w:val="left"/>
        </w:tabs>
        <w:numPr>
          <w:ilvl w:val="0"/>
          <w:numId w:val="93"/>
        </w:numPr>
        <w:rPr>
          <w:rFonts w:ascii="Arial" w:cs="Arial" w:eastAsia="Arial" w:hAnsi="Arial"/>
          <w:sz w:val="19"/>
          <w:szCs w:val="19"/>
          <w:color w:val="010000"/>
        </w:rPr>
      </w:pPr>
      <w:r>
        <w:rPr>
          <w:rFonts w:ascii="Arial" w:cs="Arial" w:eastAsia="Arial" w:hAnsi="Arial"/>
          <w:sz w:val="19"/>
          <w:szCs w:val="19"/>
          <w:color w:val="auto"/>
        </w:rPr>
        <w:t>Each Lender agrees that notice to it (as provided in the next sentence) (a “</w:t>
      </w:r>
      <w:r>
        <w:rPr>
          <w:rFonts w:ascii="Arial" w:cs="Arial" w:eastAsia="Arial" w:hAnsi="Arial"/>
          <w:sz w:val="19"/>
          <w:szCs w:val="19"/>
          <w:u w:val="single" w:color="auto"/>
          <w:color w:val="auto"/>
        </w:rPr>
        <w:t>Notice</w:t>
      </w:r>
      <w:r>
        <w:rPr>
          <w:rFonts w:ascii="Arial" w:cs="Arial" w:eastAsia="Arial" w:hAnsi="Arial"/>
          <w:sz w:val="19"/>
          <w:szCs w:val="19"/>
          <w:color w:val="auto"/>
        </w:rPr>
        <w:t>”) specifying that any communication has been posted to the Approved Electronic Platform shall constitute effective delivery of such information, documents or other materials to such Lender for purposes of this Agreement.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Approved Electronic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Approved Electronic Platform and that may contain material non-public information with respect to the Borrower or its securities for purposes of United States federal or state securities laws.</w:t>
      </w:r>
    </w:p>
    <w:p>
      <w:pPr>
        <w:sectPr>
          <w:pgSz w:w="11900" w:h="16838" w:orient="portrait"/>
          <w:cols w:equalWidth="0" w:num="1">
            <w:col w:w="11420"/>
          </w:cols>
          <w:pgMar w:left="240" w:top="118" w:right="239" w:bottom="291" w:gutter="0" w:footer="0" w:header="0"/>
        </w:sectPr>
      </w:pPr>
    </w:p>
    <w:bookmarkStart w:id="46" w:name="page47"/>
    <w:bookmarkEnd w:id="46"/>
    <w:p>
      <w:pPr>
        <w:spacing w:after="0" w:line="95" w:lineRule="exact"/>
        <w:rPr>
          <w:sz w:val="20"/>
          <w:szCs w:val="20"/>
          <w:color w:val="auto"/>
        </w:rPr>
      </w:pPr>
    </w:p>
    <w:p>
      <w:pPr>
        <w:jc w:val="both"/>
        <w:ind w:firstLine="1305"/>
        <w:spacing w:after="0" w:line="282" w:lineRule="auto"/>
        <w:tabs>
          <w:tab w:leader="none" w:pos="2269" w:val="left"/>
        </w:tabs>
        <w:numPr>
          <w:ilvl w:val="0"/>
          <w:numId w:val="94"/>
        </w:numPr>
        <w:rPr>
          <w:rFonts w:ascii="Arial" w:cs="Arial" w:eastAsia="Arial" w:hAnsi="Arial"/>
          <w:sz w:val="19"/>
          <w:szCs w:val="19"/>
          <w:color w:val="010000"/>
        </w:rPr>
      </w:pPr>
      <w:r>
        <w:rPr>
          <w:rFonts w:ascii="Arial" w:cs="Arial" w:eastAsia="Arial" w:hAnsi="Arial"/>
          <w:sz w:val="19"/>
          <w:szCs w:val="19"/>
          <w:color w:val="auto"/>
        </w:rPr>
        <w:t>If any notice required under this Agreement is permitted to be made, and is made, by telephone, actions taken or omitted to be taken in reliance thereon by the Administrative Agent or any Lender shall be binding upon the Borrower notwithstanding any inconsistency between the notice provided by telephone and any subsequent writing in confirmation thereof provided to the Administrative Agent or such Lender; provided that any such action taken or omitted to be taken by the Administrative Agent or such Lender shall have been in good faith and in accordance with the terms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line="297" w:lineRule="auto"/>
        <w:tabs>
          <w:tab w:leader="none" w:pos="1981"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With respect to notices and other communications hereunder from the Borrower to any Lender, the Borrower shall provide such notices and other communications to the Administrative Agent, and the Administrative Agent shall promptly deliver such notices and other communications to any such Lender in accordance with subsection (b) above or otherwise.</w:t>
      </w:r>
    </w:p>
    <w:p>
      <w:pPr>
        <w:spacing w:after="0" w:line="161" w:lineRule="exact"/>
        <w:rPr>
          <w:rFonts w:ascii="Arial" w:cs="Arial" w:eastAsia="Arial" w:hAnsi="Arial"/>
          <w:sz w:val="19"/>
          <w:szCs w:val="19"/>
          <w:color w:val="010000"/>
        </w:rPr>
      </w:pPr>
    </w:p>
    <w:p>
      <w:pPr>
        <w:jc w:val="both"/>
        <w:ind w:firstLine="1305"/>
        <w:spacing w:after="0" w:line="297" w:lineRule="auto"/>
        <w:tabs>
          <w:tab w:leader="none" w:pos="2278" w:val="left"/>
        </w:tabs>
        <w:numPr>
          <w:ilvl w:val="0"/>
          <w:numId w:val="95"/>
        </w:numPr>
        <w:rPr>
          <w:rFonts w:ascii="Arial" w:cs="Arial" w:eastAsia="Arial" w:hAnsi="Arial"/>
          <w:sz w:val="19"/>
          <w:szCs w:val="19"/>
          <w:color w:val="010000"/>
        </w:rPr>
      </w:pPr>
      <w:r>
        <w:rPr>
          <w:rFonts w:ascii="Arial" w:cs="Arial" w:eastAsia="Arial" w:hAnsi="Arial"/>
          <w:sz w:val="19"/>
          <w:szCs w:val="19"/>
          <w:color w:val="auto"/>
        </w:rPr>
        <w:t>Each of the Lenders and the Borrower agrees that the Administrative Agent may, but (except as may be required by applicable law) shall not be obligated to, store notices or other communications on the Approved Electronic Platform in accordance with the Administrative Agent’s generally applicable document retention procedures and policies.</w:t>
      </w:r>
    </w:p>
    <w:p>
      <w:pPr>
        <w:spacing w:after="0" w:line="16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010000"/>
        </w:rPr>
        <w:t xml:space="preserve">SECTION 8.03 </w:t>
      </w:r>
      <w:r>
        <w:rPr>
          <w:rFonts w:ascii="Arial" w:cs="Arial" w:eastAsia="Arial" w:hAnsi="Arial"/>
          <w:sz w:val="22"/>
          <w:szCs w:val="22"/>
          <w:u w:val="single" w:color="auto"/>
          <w:color w:val="000000"/>
        </w:rPr>
        <w:t>No Waiver; Remedies</w:t>
      </w:r>
      <w:r>
        <w:rPr>
          <w:rFonts w:ascii="Arial" w:cs="Arial" w:eastAsia="Arial" w:hAnsi="Arial"/>
          <w:sz w:val="22"/>
          <w:szCs w:val="22"/>
          <w:color w:val="000000"/>
        </w:rPr>
        <w:t>. No failure on the part of any Lender or the Administrative Agent to</w:t>
      </w:r>
      <w:r>
        <w:rPr>
          <w:rFonts w:ascii="Arial" w:cs="Arial" w:eastAsia="Arial" w:hAnsi="Arial"/>
          <w:sz w:val="22"/>
          <w:szCs w:val="22"/>
          <w:color w:val="010000"/>
        </w:rPr>
        <w:t xml:space="preserve"> </w:t>
      </w:r>
      <w:r>
        <w:rPr>
          <w:rFonts w:ascii="Arial" w:cs="Arial" w:eastAsia="Arial" w:hAnsi="Arial"/>
          <w:sz w:val="22"/>
          <w:szCs w:val="22"/>
          <w:color w:val="000000"/>
        </w:rPr>
        <w:t>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21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010000"/>
        </w:rPr>
        <w:t xml:space="preserve">SECTION 8.04 </w:t>
      </w:r>
      <w:r>
        <w:rPr>
          <w:rFonts w:ascii="Arial" w:cs="Arial" w:eastAsia="Arial" w:hAnsi="Arial"/>
          <w:sz w:val="19"/>
          <w:szCs w:val="19"/>
          <w:u w:val="single" w:color="auto"/>
          <w:color w:val="000000"/>
        </w:rPr>
        <w:t>Costs and Expenses</w:t>
      </w:r>
      <w:r>
        <w:rPr>
          <w:rFonts w:ascii="Arial" w:cs="Arial" w:eastAsia="Arial" w:hAnsi="Arial"/>
          <w:sz w:val="19"/>
          <w:szCs w:val="19"/>
          <w:color w:val="000000"/>
        </w:rPr>
        <w:t>. (a) The Borrower agrees to pay, upon demand, all reasonable and</w:t>
      </w:r>
      <w:r>
        <w:rPr>
          <w:rFonts w:ascii="Arial" w:cs="Arial" w:eastAsia="Arial" w:hAnsi="Arial"/>
          <w:sz w:val="19"/>
          <w:szCs w:val="19"/>
          <w:color w:val="010000"/>
        </w:rPr>
        <w:t xml:space="preserve"> </w:t>
      </w:r>
      <w:r>
        <w:rPr>
          <w:rFonts w:ascii="Arial" w:cs="Arial" w:eastAsia="Arial" w:hAnsi="Arial"/>
          <w:sz w:val="19"/>
          <w:szCs w:val="19"/>
          <w:color w:val="000000"/>
        </w:rPr>
        <w:t>documented out-of-pocket costs and expenses of each Agent in connection with the preparation, execution, delivery, administration, modification and amendment of this Agreement and the other documents to be delivered hereunder, including,</w:t>
      </w:r>
    </w:p>
    <w:p>
      <w:pPr>
        <w:spacing w:after="0" w:line="2" w:lineRule="exact"/>
        <w:rPr>
          <w:sz w:val="20"/>
          <w:szCs w:val="20"/>
          <w:color w:val="auto"/>
        </w:rPr>
      </w:pPr>
    </w:p>
    <w:p>
      <w:pPr>
        <w:jc w:val="both"/>
        <w:ind w:firstLine="8"/>
        <w:spacing w:after="0" w:line="243" w:lineRule="auto"/>
        <w:tabs>
          <w:tab w:leader="none" w:pos="270" w:val="left"/>
        </w:tabs>
        <w:numPr>
          <w:ilvl w:val="0"/>
          <w:numId w:val="96"/>
        </w:numPr>
        <w:rPr>
          <w:rFonts w:ascii="Arial" w:cs="Arial" w:eastAsia="Arial" w:hAnsi="Arial"/>
          <w:sz w:val="21"/>
          <w:szCs w:val="21"/>
          <w:color w:val="auto"/>
        </w:rPr>
      </w:pPr>
      <w:r>
        <w:rPr>
          <w:rFonts w:ascii="Arial" w:cs="Arial" w:eastAsia="Arial" w:hAnsi="Arial"/>
          <w:sz w:val="21"/>
          <w:szCs w:val="21"/>
          <w:color w:val="auto"/>
        </w:rPr>
        <w:t>all due diligence, syndication (including printing and distribution), duplication and messenger costs and (ii) the reasonable and documented fees and expenses of a single primary counsel (and a local counsel in each relevant jurisdiction) for the Administrative Agent with respect thereto and with respect to advising the Agents as to their respective rights and responsibilities under this Agreement. The Borrower further agrees to pay, upon demand, all reasonable and documented out-of-pocket costs and expenses of the Agents and the Lenders, if any, in connection with the enforcement (whether through negotiations, legal proceedings or otherwise) of this Agreement and the other documents to be delivered hereunder, including, but limited, in the case of fees and expenses of counsel to reasonable and documented fees and expenses of a single primary counsel and an additional single local counsel in any local jurisdictions for the Agents and the Lenders and, in the case of an actual or perceived conflict of interest where the Administrative Agent notifies the Borrower of the existence of such conflict, one additional counsel, in connection with the enforcement of rights under this Agreement.</w:t>
      </w:r>
    </w:p>
    <w:p>
      <w:pPr>
        <w:spacing w:after="0" w:line="211" w:lineRule="exact"/>
        <w:rPr>
          <w:rFonts w:ascii="Arial" w:cs="Arial" w:eastAsia="Arial" w:hAnsi="Arial"/>
          <w:sz w:val="21"/>
          <w:szCs w:val="21"/>
          <w:color w:val="auto"/>
        </w:rPr>
      </w:pPr>
    </w:p>
    <w:p>
      <w:pPr>
        <w:jc w:val="both"/>
        <w:ind w:firstLine="1305"/>
        <w:spacing w:after="0" w:line="273" w:lineRule="auto"/>
        <w:tabs>
          <w:tab w:leader="none" w:pos="2021"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The Borrower agrees to indemnify and hold harmless each Agent and each Lender and each of their Related Parties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from and against any and all claims, damages, losses, penalties, liabilities and expenses (provided, that, the Borrower’s obligations to the Indemnified Parties in respect of fees and expenses of counsel shall be limited to the reasonable fees and expenses of one counsel for all Indemnified Parties, taken together (and, if reasonably necessary, one local counsel in any relevant jurisdiction), and, solely in the case of an actual or potential conflict of interest, of one additional counsel for all Indemnified Parties, taken together (and, if reasonably necessary, one local counsel in any relevant jurisdiction)) (all such claims, damages, losses, penalties, liabilities and reasonable expenses being, collectively, the “</w:t>
      </w:r>
      <w:r>
        <w:rPr>
          <w:rFonts w:ascii="Arial" w:cs="Arial" w:eastAsia="Arial" w:hAnsi="Arial"/>
          <w:sz w:val="19"/>
          <w:szCs w:val="19"/>
          <w:u w:val="single" w:color="auto"/>
          <w:color w:val="auto"/>
        </w:rPr>
        <w:t>Losses</w:t>
      </w:r>
      <w:r>
        <w:rPr>
          <w:rFonts w:ascii="Arial" w:cs="Arial" w:eastAsia="Arial" w:hAnsi="Arial"/>
          <w:sz w:val="19"/>
          <w:szCs w:val="19"/>
          <w:color w:val="auto"/>
        </w:rPr>
        <w:t>”)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(i) this Agreement, any of the transactions contemplated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hereby or the actual or proposed use of the proceeds of the Advances or (ii) the actual or alleged presence of Hazardous Materials on any property of the Consolidated Group or any Environmental Action relating in any way to the Consolidated Group, in each case whether or not such investigation, litigation or proceeding is brought by the Borrower, its directors, shareholders or creditors or an Indemnified Party or any other Person or whether any Indemnified Party is otherwise a party thereto and whether or not the transactions contemplated hereby are consummated, except to the extent Losses (A) are found in a final, nonappealable judgment by a court of competent jurisdiction to have resulted from the gross negligence, bad faith or willful misconduct of such Indemnified Party or any of its Affiliates (including any breach of its obligations under this Agreement), (B) result from any dispute between an Indemnified Party and one or more other Indemnified Parties (other than against an Agent acting in such a role) or (C) result from the claims of one or more Lenders solely against one or more other Lenders (and not claims by one or more Lenders against any Agent acting in its capacity as such except, in the case of Losses incurred by any Agent or any Lender as a result of such claims, to the extent such Losses are found in a final, nonappealable judgment by a court of competent jurisdiction to have resulted from such Indemnified Party’s gross negligence, bad faith or willful misconduct (including any breach of its obligations under this Agreement)) not attributable to any actions of a member of the Consolidated Group and for which the members of the Consolidated Group otherwise have no liability. The Borrower further agrees that no Indemnified Party shall have any liability (whether direct or indirect, in contract, tort or otherwise) to the Borrower, its Subsidiaries or any of their shareholders or creditors for or in connection with this Agreement or any of the transactions contemplated hereby or the actual or proposed use of the proceeds of the Advances,</w:t>
      </w:r>
    </w:p>
    <w:p>
      <w:pPr>
        <w:sectPr>
          <w:pgSz w:w="11900" w:h="16934" w:orient="portrait"/>
          <w:cols w:equalWidth="0" w:num="1">
            <w:col w:w="11420"/>
          </w:cols>
          <w:pgMar w:left="240" w:top="118" w:right="239" w:bottom="0" w:gutter="0" w:footer="0" w:header="0"/>
        </w:sectPr>
      </w:pPr>
    </w:p>
    <w:bookmarkStart w:id="47" w:name="page48"/>
    <w:bookmarkEnd w:id="47"/>
    <w:p>
      <w:pPr>
        <w:jc w:val="both"/>
        <w:spacing w:after="0" w:line="235" w:lineRule="auto"/>
        <w:rPr>
          <w:sz w:val="20"/>
          <w:szCs w:val="20"/>
          <w:color w:val="auto"/>
        </w:rPr>
      </w:pPr>
      <w:r>
        <w:rPr>
          <w:rFonts w:ascii="Arial" w:cs="Arial" w:eastAsia="Arial" w:hAnsi="Arial"/>
          <w:sz w:val="22"/>
          <w:szCs w:val="22"/>
          <w:color w:val="auto"/>
        </w:rPr>
        <w:t>except to the extent such liability is found in a final nonappealable judgment by a court of competent jurisdiction to have resulted from such Indemnified Party’s gross negligence, bad faith or willful misconduct (including any breach of its obligations under this Agreement). In no event, however, shall any Indemnified Party be liable on any theory of liability for any special, indirect, consequential or punitive damages (including, without limitation, any loss of profits, business or anticipated savings). Notwithstanding the foregoing, this Section 8.04(b) shall not apply with respect to Taxes other than any Taxes that represent losses, claims, damages, etc. arising from any non-Tax claim.</w:t>
      </w:r>
    </w:p>
    <w:p>
      <w:pPr>
        <w:spacing w:after="0" w:line="216" w:lineRule="exact"/>
        <w:rPr>
          <w:sz w:val="20"/>
          <w:szCs w:val="20"/>
          <w:color w:val="auto"/>
        </w:rPr>
      </w:pPr>
    </w:p>
    <w:p>
      <w:pPr>
        <w:jc w:val="both"/>
        <w:ind w:firstLine="1305"/>
        <w:spacing w:after="0" w:line="273" w:lineRule="auto"/>
        <w:tabs>
          <w:tab w:leader="none" w:pos="2063" w:val="left"/>
        </w:tabs>
        <w:numPr>
          <w:ilvl w:val="0"/>
          <w:numId w:val="97"/>
        </w:numPr>
        <w:rPr>
          <w:rFonts w:ascii="Arial" w:cs="Arial" w:eastAsia="Arial" w:hAnsi="Arial"/>
          <w:sz w:val="19"/>
          <w:szCs w:val="19"/>
          <w:color w:val="010000"/>
        </w:rPr>
      </w:pPr>
      <w:r>
        <w:rPr>
          <w:rFonts w:ascii="Arial" w:cs="Arial" w:eastAsia="Arial" w:hAnsi="Arial"/>
          <w:sz w:val="19"/>
          <w:szCs w:val="19"/>
          <w:color w:val="auto"/>
        </w:rPr>
        <w:t>If any payment of principal of, or Conversion of, any Eurocurrency Rate Advance is made by the Borrower to or for the account of a Lender other than on the last day of the Interest Period for such Advance, as a result of (i) a payment or Conversion pursuant to Section 2.06, 2.10 or 2.12, (ii) acceleration of the maturity of the Advances pursuant to Section 6.01, (iii) a payment by an Eligible Assignee to any Lender other than on the last day of the Interest Period for such Advance upon an assignment of the rights and obligations of such Lender under this Agreement pursuant to Section 8.07 as a result of a demand by the Borrower pursuant to Section 8.07(a) or (iv) for any other reason, the Borrower shall, upon demand by such Lender (with a copy of such demand to the Administrative Agent), pay to the Administrative Agent for the account of such Lender any amounts required to compensate such Lender for any additional reasonable losses, costs or expenses that it may reasonably incur as a result of such payment or Conversion or as a result of any inability to Convert or exchange in the case of Section 2.08 or 2.12, including, without limitation, any reasonable loss (excluding loss of anticipated profits), cost or expense incurred by reason of the liquidation or reemployment of deposits or other funds acquired by any Lender to fund or maintain such Advance.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5"/>
        <w:spacing w:after="0"/>
        <w:tabs>
          <w:tab w:leader="none" w:pos="2237" w:val="left"/>
        </w:tabs>
        <w:numPr>
          <w:ilvl w:val="0"/>
          <w:numId w:val="98"/>
        </w:numPr>
        <w:rPr>
          <w:rFonts w:ascii="Arial" w:cs="Arial" w:eastAsia="Arial" w:hAnsi="Arial"/>
          <w:sz w:val="22"/>
          <w:szCs w:val="22"/>
          <w:color w:val="010000"/>
        </w:rPr>
      </w:pPr>
      <w:r>
        <w:rPr>
          <w:rFonts w:ascii="Arial" w:cs="Arial" w:eastAsia="Arial" w:hAnsi="Arial"/>
          <w:sz w:val="22"/>
          <w:szCs w:val="22"/>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w:t>
      </w:r>
    </w:p>
    <w:p>
      <w:pPr>
        <w:spacing w:after="0" w:line="213" w:lineRule="exact"/>
        <w:rPr>
          <w:sz w:val="20"/>
          <w:szCs w:val="20"/>
          <w:color w:val="auto"/>
        </w:rPr>
      </w:pPr>
    </w:p>
    <w:p>
      <w:pPr>
        <w:ind w:left="1300"/>
        <w:spacing w:after="0"/>
        <w:tabs>
          <w:tab w:leader="none" w:pos="2940" w:val="left"/>
        </w:tabs>
        <w:rPr>
          <w:sz w:val="20"/>
          <w:szCs w:val="20"/>
          <w:color w:val="auto"/>
        </w:rPr>
      </w:pPr>
      <w:r>
        <w:rPr>
          <w:rFonts w:ascii="Arial" w:cs="Arial" w:eastAsia="Arial" w:hAnsi="Arial"/>
          <w:sz w:val="22"/>
          <w:szCs w:val="22"/>
          <w:color w:val="010000"/>
        </w:rPr>
        <w:t>SECTION 8.05</w:t>
      </w:r>
      <w:r>
        <w:rPr>
          <w:sz w:val="20"/>
          <w:szCs w:val="20"/>
          <w:color w:val="auto"/>
        </w:rPr>
        <w:tab/>
      </w:r>
      <w:r>
        <w:rPr>
          <w:rFonts w:ascii="Arial" w:cs="Arial" w:eastAsia="Arial" w:hAnsi="Arial"/>
          <w:sz w:val="19"/>
          <w:szCs w:val="19"/>
          <w:u w:val="single" w:color="auto"/>
          <w:color w:val="auto"/>
        </w:rPr>
        <w:t>Right of Setoff</w:t>
      </w:r>
      <w:r>
        <w:rPr>
          <w:rFonts w:ascii="Arial" w:cs="Arial" w:eastAsia="Arial" w:hAnsi="Arial"/>
          <w:sz w:val="19"/>
          <w:szCs w:val="19"/>
          <w:color w:val="auto"/>
        </w:rPr>
        <w:t>. Upon (a) the occurrence and during the continuance of any Event of Default and</w:t>
      </w:r>
    </w:p>
    <w:p>
      <w:pPr>
        <w:spacing w:after="0" w:line="8" w:lineRule="exact"/>
        <w:rPr>
          <w:sz w:val="20"/>
          <w:szCs w:val="20"/>
          <w:color w:val="auto"/>
        </w:rPr>
      </w:pPr>
    </w:p>
    <w:p>
      <w:pPr>
        <w:jc w:val="both"/>
        <w:ind w:firstLine="8"/>
        <w:spacing w:after="0" w:line="271" w:lineRule="auto"/>
        <w:tabs>
          <w:tab w:leader="none" w:pos="331"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making of the request or the granting of the consent specified by Section 6.01 to authorize the Administrative Agent to declare the Advances due and payable pursuant to the provisions of Section 6.01, each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whether or not such Lender shall have made any demand under this Agreement and although such obligations may be unmatured. Each Lender agrees promptly to notify the Borrower after any such setoff and application is made by such Lender; provided that the failure to give such notice shall not affect the validity of such setoff and application. The rights of each Lender and its Affiliates under this Section 8.05 are in addition to other rights and remedies (including, without limitation, other rights of setoff) that such Lender and its Affiliates may have.</w:t>
      </w:r>
    </w:p>
    <w:p>
      <w:pPr>
        <w:spacing w:after="0" w:line="18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010000"/>
        </w:rPr>
        <w:t xml:space="preserve">SECTION 8.06 </w:t>
      </w:r>
      <w:r>
        <w:rPr>
          <w:rFonts w:ascii="Arial" w:cs="Arial" w:eastAsia="Arial" w:hAnsi="Arial"/>
          <w:sz w:val="19"/>
          <w:szCs w:val="19"/>
          <w:u w:val="single" w:color="auto"/>
          <w:color w:val="000000"/>
        </w:rPr>
        <w:t>Binding Effect</w:t>
      </w:r>
      <w:r>
        <w:rPr>
          <w:rFonts w:ascii="Arial" w:cs="Arial" w:eastAsia="Arial" w:hAnsi="Arial"/>
          <w:sz w:val="19"/>
          <w:szCs w:val="19"/>
          <w:color w:val="000000"/>
        </w:rPr>
        <w:t>. This Agreement shall become effective upon the satisfaction (or waiver in</w:t>
      </w:r>
      <w:r>
        <w:rPr>
          <w:rFonts w:ascii="Arial" w:cs="Arial" w:eastAsia="Arial" w:hAnsi="Arial"/>
          <w:sz w:val="19"/>
          <w:szCs w:val="19"/>
          <w:color w:val="010000"/>
        </w:rPr>
        <w:t xml:space="preserve"> </w:t>
      </w:r>
      <w:r>
        <w:rPr>
          <w:rFonts w:ascii="Arial" w:cs="Arial" w:eastAsia="Arial" w:hAnsi="Arial"/>
          <w:sz w:val="19"/>
          <w:szCs w:val="19"/>
          <w:color w:val="000000"/>
        </w:rPr>
        <w:t>accordance with Section 8.01) of the conditions set forth in Section 3.01 and, thereafter, shall be binding upon and inure to the benefit of, and be enforceable by, the Borrower, the Administrative Agent and each Lender and their respective successors and permitted assigns, except that the Borrower shall have no right to assign its rights hereunder or any interest herein without the prior written consent of each Lender, and any purported assignment without such consent shall be null and void.</w:t>
      </w:r>
    </w:p>
    <w:p>
      <w:pPr>
        <w:spacing w:after="0" w:line="17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010000"/>
        </w:rPr>
        <w:t xml:space="preserve">SECTION 8.07 </w:t>
      </w:r>
      <w:r>
        <w:rPr>
          <w:rFonts w:ascii="Arial" w:cs="Arial" w:eastAsia="Arial" w:hAnsi="Arial"/>
          <w:sz w:val="19"/>
          <w:szCs w:val="19"/>
          <w:u w:val="single" w:color="auto"/>
          <w:color w:val="000000"/>
        </w:rPr>
        <w:t>Assignments and Participations</w:t>
      </w:r>
      <w:r>
        <w:rPr>
          <w:rFonts w:ascii="Arial" w:cs="Arial" w:eastAsia="Arial" w:hAnsi="Arial"/>
          <w:sz w:val="19"/>
          <w:szCs w:val="19"/>
          <w:color w:val="000000"/>
        </w:rPr>
        <w:t>. (a) Each Lender may, with the consent of the Borrower and the</w:t>
      </w:r>
      <w:r>
        <w:rPr>
          <w:rFonts w:ascii="Arial" w:cs="Arial" w:eastAsia="Arial" w:hAnsi="Arial"/>
          <w:sz w:val="19"/>
          <w:szCs w:val="19"/>
          <w:color w:val="010000"/>
        </w:rPr>
        <w:t xml:space="preserve"> </w:t>
      </w:r>
      <w:r>
        <w:rPr>
          <w:rFonts w:ascii="Arial" w:cs="Arial" w:eastAsia="Arial" w:hAnsi="Arial"/>
          <w:sz w:val="19"/>
          <w:szCs w:val="19"/>
          <w:color w:val="000000"/>
        </w:rPr>
        <w:t>Administrative Agent, which consents shall not be unreasonably withheld or delayed and, in the case of the Borrower, (A) shall not be required while an Event of Default has occurred and is continuing and (B) shall be deemed given if the Borrower shall not have objected within 10 Business Days following its receipt of notice of such assignment (and, within five days after demand by the Borrower (with a copy of such demand to the Administrative Agent) to (i) any Defaulting Lender, (ii) any Lender that has made a demand for payment pursuant to Section 2.11 or 2.14, (iii) any Lender that has asserted pursuant to Section 2.08(b) or 2.12 that it is impracticable or unlawful for such Lender to make Eurocurrency Rate Advances or (iv) any Lender that fails to consent to an amendment or waiver hereunder for which consent of all Lenders (or all affected Lenders) is required and as to which the Required Lenders shall have given their consent, such Lender will), assign to one or more Persons (other than natural persons) all or a portion of its rights and obligations under this Agreement (including, without limitation, all or a portion of its Commitment and the Advances owing to it); provided, however, that:</w:t>
      </w:r>
    </w:p>
    <w:p>
      <w:pPr>
        <w:spacing w:after="0" w:line="200" w:lineRule="exact"/>
        <w:rPr>
          <w:sz w:val="20"/>
          <w:szCs w:val="20"/>
          <w:color w:val="auto"/>
        </w:rPr>
      </w:pPr>
    </w:p>
    <w:p>
      <w:pPr>
        <w:spacing w:after="0" w:line="232" w:lineRule="exact"/>
        <w:rPr>
          <w:sz w:val="20"/>
          <w:szCs w:val="20"/>
          <w:color w:val="auto"/>
        </w:rPr>
      </w:pPr>
    </w:p>
    <w:p>
      <w:pPr>
        <w:jc w:val="both"/>
        <w:ind w:left="660" w:firstLine="645"/>
        <w:spacing w:after="0"/>
        <w:tabs>
          <w:tab w:leader="none" w:pos="231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such consent shall not be required in the case of an assignment to any other Lender, an Affiliate of any Lender or an Approved Fund; provided that notice thereof shall have been given to the Borrower and the Administrative Agent;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20" w:firstLine="645"/>
        <w:spacing w:after="0" w:line="251" w:lineRule="auto"/>
        <w:tabs>
          <w:tab w:leader="none" w:pos="200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each such assignment shall be of a constant, and not a varying, percentage of all rights and obligations under this Agreement;</w:t>
      </w:r>
    </w:p>
    <w:p>
      <w:pPr>
        <w:sectPr>
          <w:pgSz w:w="11900" w:h="16838" w:orient="portrait"/>
          <w:cols w:equalWidth="0" w:num="1">
            <w:col w:w="11420"/>
          </w:cols>
          <w:pgMar w:left="240" w:top="118" w:right="239" w:bottom="0" w:gutter="0" w:footer="0" w:header="0"/>
        </w:sectPr>
      </w:pPr>
    </w:p>
    <w:bookmarkStart w:id="48" w:name="page49"/>
    <w:bookmarkEnd w:id="48"/>
    <w:p>
      <w:pPr>
        <w:spacing w:after="0" w:line="135" w:lineRule="exact"/>
        <w:rPr>
          <w:sz w:val="20"/>
          <w:szCs w:val="20"/>
          <w:color w:val="auto"/>
        </w:rPr>
      </w:pPr>
    </w:p>
    <w:p>
      <w:pPr>
        <w:jc w:val="both"/>
        <w:ind w:left="660" w:firstLine="645"/>
        <w:spacing w:after="0" w:line="236" w:lineRule="auto"/>
        <w:tabs>
          <w:tab w:leader="none" w:pos="2056"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$25,000,000 or an integral multiple of $5,000,000 in excess thereof;</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each such assignment shall be to an Eligible Assignee;</w:t>
      </w:r>
    </w:p>
    <w:p>
      <w:pPr>
        <w:spacing w:after="0" w:line="233" w:lineRule="exact"/>
        <w:rPr>
          <w:rFonts w:ascii="Arial" w:cs="Arial" w:eastAsia="Arial" w:hAnsi="Arial"/>
          <w:sz w:val="22"/>
          <w:szCs w:val="22"/>
          <w:color w:val="auto"/>
        </w:rPr>
      </w:pPr>
    </w:p>
    <w:p>
      <w:pPr>
        <w:jc w:val="both"/>
        <w:ind w:left="660" w:firstLine="645"/>
        <w:spacing w:after="0" w:line="282" w:lineRule="auto"/>
        <w:tabs>
          <w:tab w:leader="none" w:pos="2003"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each such assignment made as a result of a demand by the Borrower pursuant to this Section 8.07(a) shall be arranged by the Borrower with the approval of the Administrative Agent (which approval shall not be unreasonably withheld) and shall be either an assignment of all of the rights and obligations of the assigning Lender under this Agreement or an assignment of a portion of such rights and obligations made concurrently with another such assignment or other such assignments that, in the aggregate, cover all of the rights and obligations of the assigning Lender under this Agreement;</w:t>
      </w:r>
    </w:p>
    <w:p>
      <w:pPr>
        <w:spacing w:after="0" w:line="174" w:lineRule="exact"/>
        <w:rPr>
          <w:rFonts w:ascii="Arial" w:cs="Arial" w:eastAsia="Arial" w:hAnsi="Arial"/>
          <w:sz w:val="19"/>
          <w:szCs w:val="19"/>
          <w:color w:val="auto"/>
        </w:rPr>
      </w:pPr>
    </w:p>
    <w:p>
      <w:pPr>
        <w:jc w:val="both"/>
        <w:ind w:left="660" w:firstLine="645"/>
        <w:spacing w:after="0" w:line="269" w:lineRule="auto"/>
        <w:tabs>
          <w:tab w:leader="none" w:pos="201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no Lender shall be obligated to make any such assignment as a result of a demand by the Borrower pursuant to this Section 8.07(a), (1) (except in the case of an assignment of the type described in clause (iv) above to the extent such Default would no longer be continuing after giving effect to the relevant amendment or waiver) so long as a Default shall have occurred and be continuing and (2) unless and until such Lender shall have received one or more payments from one or more Eligible Assignees in an aggregate amount at least equal to the aggregate outstanding principal amount of the Advances owing to such Lender, together with accrued interest thereon to the date of payment of such principal amount, and from the Borrower or one or more Eligible Assignees in an aggregate amount equal to all other amounts accrued to such Lender under this Agreement (including, without limitation, any amounts owing under Sections 2.11, 2.14 or 8.04(c)) and</w:t>
      </w:r>
    </w:p>
    <w:p>
      <w:pPr>
        <w:spacing w:after="0" w:line="3" w:lineRule="exact"/>
        <w:rPr>
          <w:rFonts w:ascii="Arial" w:cs="Arial" w:eastAsia="Arial" w:hAnsi="Arial"/>
          <w:sz w:val="19"/>
          <w:szCs w:val="19"/>
          <w:color w:val="auto"/>
        </w:rPr>
      </w:pPr>
    </w:p>
    <w:p>
      <w:pPr>
        <w:jc w:val="both"/>
        <w:ind w:left="660" w:hanging="4"/>
        <w:spacing w:after="0" w:line="233" w:lineRule="auto"/>
        <w:tabs>
          <w:tab w:leader="none" w:pos="99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unless and until the Borrower shall have paid (or caused to be paid) to the Administrative Agent a processing and recordation fee of $3,500; </w:t>
      </w:r>
      <w:r>
        <w:rPr>
          <w:rFonts w:ascii="Arial" w:cs="Arial" w:eastAsia="Arial" w:hAnsi="Arial"/>
          <w:sz w:val="22"/>
          <w:szCs w:val="22"/>
          <w:i w:val="1"/>
          <w:iCs w:val="1"/>
          <w:color w:val="auto"/>
        </w:rPr>
        <w:t>provided</w:t>
      </w:r>
      <w:r>
        <w:rPr>
          <w:rFonts w:ascii="Arial" w:cs="Arial" w:eastAsia="Arial" w:hAnsi="Arial"/>
          <w:sz w:val="22"/>
          <w:szCs w:val="22"/>
          <w:color w:val="auto"/>
        </w:rPr>
        <w:t>, however, that the Administrative Agent may, in its sole discretion, elect to waive such processing and recordation fee in the case of any assignment. The assignee, if it is not a Lender, shall deliver to the Administrative Agent an Administrative Questionnaire; and</w:t>
      </w:r>
    </w:p>
    <w:p>
      <w:pPr>
        <w:spacing w:after="0" w:line="215" w:lineRule="exact"/>
        <w:rPr>
          <w:rFonts w:ascii="Arial" w:cs="Arial" w:eastAsia="Arial" w:hAnsi="Arial"/>
          <w:sz w:val="22"/>
          <w:szCs w:val="22"/>
          <w:color w:val="auto"/>
        </w:rPr>
      </w:pPr>
    </w:p>
    <w:p>
      <w:pPr>
        <w:jc w:val="both"/>
        <w:ind w:left="660" w:firstLine="645"/>
        <w:spacing w:after="0" w:line="246" w:lineRule="auto"/>
        <w:tabs>
          <w:tab w:leader="none" w:pos="2054" w:val="left"/>
        </w:tabs>
        <w:numPr>
          <w:ilvl w:val="1"/>
          <w:numId w:val="103"/>
        </w:numPr>
        <w:rPr>
          <w:rFonts w:ascii="Arial" w:cs="Arial" w:eastAsia="Arial" w:hAnsi="Arial"/>
          <w:sz w:val="21"/>
          <w:szCs w:val="21"/>
          <w:color w:val="auto"/>
        </w:rPr>
      </w:pPr>
      <w:r>
        <w:rPr>
          <w:rFonts w:ascii="Arial" w:cs="Arial" w:eastAsia="Arial" w:hAnsi="Arial"/>
          <w:sz w:val="21"/>
          <w:szCs w:val="21"/>
          <w:color w:val="auto"/>
        </w:rPr>
        <w:t xml:space="preserve">the parties to each such assignment (other than, except in the case of a demand by the Borrower pursuant to this Section 8.07(a), the Borrower) shall execute and deliver to the Administrative Agent, for its acceptance and recording in the Register, an Assignment and Acceptance and, if such assignment does not occur as a result of a demand by the Borrower pursuant to this Section 8.07(a) (in which case the Borrower shall pay the fee required by subclause (F)(3) of this Section 8.07(a)), a processing and recordation fee of $3,500;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however, that the Administrative Agent may, in its sole discretion, elect to waive such processing and recordation fee in the case of any assignment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in the event that, in connection with a demand by the Borrower pursuant to this Section 8.07(a), the assignor shall not execute and deliver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relevant Assignment and Acceptance within one Business Day of the Borrower’s request, such assignor shall be deemed to have executed and delivered such Assignment and Acceptance. The assignee, if it is not a Lender, shall deliver to the Administrative Agent an Administrative Questionnaire.</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except that such assigning Lender shall continue to be entitled to the benefit of Section 8.04(a) and (b) with respect to matters arising out of the prior involvement of such assigning Lender as a Lender hereunder (and, in the case of an Assignment and Acceptance covering all or the remaining portion of an assigning Lender’s rights and obligations under this Agreement, such Lender shall cease to be a party hereto).</w:t>
      </w:r>
    </w:p>
    <w:p>
      <w:pPr>
        <w:spacing w:after="0" w:line="212" w:lineRule="exact"/>
        <w:rPr>
          <w:sz w:val="20"/>
          <w:szCs w:val="20"/>
          <w:color w:val="auto"/>
        </w:rPr>
      </w:pPr>
    </w:p>
    <w:p>
      <w:pPr>
        <w:ind w:firstLine="1305"/>
        <w:spacing w:after="0" w:line="251" w:lineRule="auto"/>
        <w:tabs>
          <w:tab w:leader="none" w:pos="2480" w:val="left"/>
        </w:tabs>
        <w:numPr>
          <w:ilvl w:val="0"/>
          <w:numId w:val="104"/>
        </w:numPr>
        <w:rPr>
          <w:rFonts w:ascii="Arial" w:cs="Arial" w:eastAsia="Arial" w:hAnsi="Arial"/>
          <w:sz w:val="22"/>
          <w:szCs w:val="22"/>
          <w:color w:val="010000"/>
        </w:rPr>
      </w:pPr>
      <w:r>
        <w:rPr>
          <w:rFonts w:ascii="Arial" w:cs="Arial" w:eastAsia="Arial" w:hAnsi="Arial"/>
          <w:sz w:val="22"/>
          <w:szCs w:val="22"/>
          <w:color w:val="auto"/>
        </w:rPr>
        <w:t>By executing and delivering an Assignment and Acceptance, the Lender assignor thereunder and the assignee thereunder confirm to and agree with each other and the other parties hereto as follows:</w:t>
      </w:r>
    </w:p>
    <w:p>
      <w:pPr>
        <w:spacing w:after="0" w:line="200" w:lineRule="exact"/>
        <w:rPr>
          <w:rFonts w:ascii="Arial" w:cs="Arial" w:eastAsia="Arial" w:hAnsi="Arial"/>
          <w:sz w:val="22"/>
          <w:szCs w:val="22"/>
          <w:color w:val="010000"/>
        </w:rPr>
      </w:pPr>
    </w:p>
    <w:p>
      <w:pPr>
        <w:jc w:val="both"/>
        <w:ind w:left="1300" w:firstLine="653"/>
        <w:spacing w:after="0" w:line="287" w:lineRule="auto"/>
        <w:tabs>
          <w:tab w:leader="none" w:pos="3165" w:val="left"/>
        </w:tabs>
        <w:numPr>
          <w:ilvl w:val="1"/>
          <w:numId w:val="104"/>
        </w:numPr>
        <w:rPr>
          <w:rFonts w:ascii="Arial" w:cs="Arial" w:eastAsia="Arial" w:hAnsi="Arial"/>
          <w:sz w:val="19"/>
          <w:szCs w:val="19"/>
          <w:color w:val="010000"/>
        </w:rPr>
      </w:pPr>
      <w:r>
        <w:rPr>
          <w:rFonts w:ascii="Arial" w:cs="Arial" w:eastAsia="Arial" w:hAnsi="Arial"/>
          <w:sz w:val="19"/>
          <w:szCs w:val="19"/>
          <w:color w:val="auto"/>
        </w:rPr>
        <w:t>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w:t>
      </w:r>
    </w:p>
    <w:p>
      <w:pPr>
        <w:spacing w:after="0" w:line="170" w:lineRule="exact"/>
        <w:rPr>
          <w:rFonts w:ascii="Arial" w:cs="Arial" w:eastAsia="Arial" w:hAnsi="Arial"/>
          <w:sz w:val="19"/>
          <w:szCs w:val="19"/>
          <w:color w:val="010000"/>
        </w:rPr>
      </w:pPr>
    </w:p>
    <w:p>
      <w:pPr>
        <w:jc w:val="both"/>
        <w:ind w:left="1300" w:firstLine="653"/>
        <w:spacing w:after="0" w:line="297" w:lineRule="auto"/>
        <w:tabs>
          <w:tab w:leader="none" w:pos="3022" w:val="left"/>
        </w:tabs>
        <w:numPr>
          <w:ilvl w:val="1"/>
          <w:numId w:val="104"/>
        </w:numPr>
        <w:rPr>
          <w:rFonts w:ascii="Arial" w:cs="Arial" w:eastAsia="Arial" w:hAnsi="Arial"/>
          <w:sz w:val="19"/>
          <w:szCs w:val="19"/>
          <w:color w:val="010000"/>
        </w:rPr>
      </w:pPr>
      <w:r>
        <w:rPr>
          <w:rFonts w:ascii="Arial" w:cs="Arial" w:eastAsia="Arial" w:hAnsi="Arial"/>
          <w:sz w:val="19"/>
          <w:szCs w:val="19"/>
          <w:color w:val="auto"/>
        </w:rPr>
        <w:t>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w:t>
      </w:r>
    </w:p>
    <w:p>
      <w:pPr>
        <w:spacing w:after="0" w:line="161" w:lineRule="exact"/>
        <w:rPr>
          <w:rFonts w:ascii="Arial" w:cs="Arial" w:eastAsia="Arial" w:hAnsi="Arial"/>
          <w:sz w:val="19"/>
          <w:szCs w:val="19"/>
          <w:color w:val="010000"/>
        </w:rPr>
      </w:pPr>
    </w:p>
    <w:p>
      <w:pPr>
        <w:jc w:val="both"/>
        <w:ind w:left="1300" w:firstLine="653"/>
        <w:spacing w:after="0" w:line="328" w:lineRule="auto"/>
        <w:tabs>
          <w:tab w:leader="none" w:pos="2893" w:val="left"/>
        </w:tabs>
        <w:numPr>
          <w:ilvl w:val="1"/>
          <w:numId w:val="104"/>
        </w:numPr>
        <w:rPr>
          <w:rFonts w:ascii="Arial" w:cs="Arial" w:eastAsia="Arial" w:hAnsi="Arial"/>
          <w:sz w:val="19"/>
          <w:szCs w:val="19"/>
          <w:color w:val="010000"/>
        </w:rPr>
      </w:pPr>
      <w:r>
        <w:rPr>
          <w:rFonts w:ascii="Arial" w:cs="Arial" w:eastAsia="Arial" w:hAnsi="Arial"/>
          <w:sz w:val="19"/>
          <w:szCs w:val="19"/>
          <w:color w:val="auto"/>
        </w:rPr>
        <w:t>such assignee confirms that it has received a copy of this Agreement, together with copies of the financial statements referred to in Section 4.01(e) and such other documents and information as it has deemed</w:t>
      </w:r>
    </w:p>
    <w:p>
      <w:pPr>
        <w:sectPr>
          <w:pgSz w:w="11900" w:h="16973" w:orient="portrait"/>
          <w:cols w:equalWidth="0" w:num="1">
            <w:col w:w="11420"/>
          </w:cols>
          <w:pgMar w:left="240" w:top="118" w:right="239" w:bottom="0" w:gutter="0" w:footer="0" w:header="0"/>
        </w:sectPr>
      </w:pPr>
    </w:p>
    <w:bookmarkStart w:id="49" w:name="page50"/>
    <w:bookmarkEnd w:id="49"/>
    <w:p>
      <w:pPr>
        <w:ind w:left="1300"/>
        <w:spacing w:after="0"/>
        <w:rPr>
          <w:sz w:val="20"/>
          <w:szCs w:val="20"/>
          <w:color w:val="auto"/>
        </w:rPr>
      </w:pPr>
      <w:r>
        <w:rPr>
          <w:rFonts w:ascii="Arial" w:cs="Arial" w:eastAsia="Arial" w:hAnsi="Arial"/>
          <w:sz w:val="22"/>
          <w:szCs w:val="22"/>
          <w:color w:val="auto"/>
        </w:rPr>
        <w:t>appropriate to make its own credit analysis and decision to enter into such Assignment and Acceptance;</w:t>
      </w:r>
    </w:p>
    <w:p>
      <w:pPr>
        <w:spacing w:after="0" w:line="234" w:lineRule="exact"/>
        <w:rPr>
          <w:sz w:val="20"/>
          <w:szCs w:val="20"/>
          <w:color w:val="auto"/>
        </w:rPr>
      </w:pPr>
    </w:p>
    <w:p>
      <w:pPr>
        <w:jc w:val="both"/>
        <w:ind w:left="1300" w:firstLine="653"/>
        <w:spacing w:after="0" w:line="258" w:lineRule="auto"/>
        <w:tabs>
          <w:tab w:leader="none" w:pos="2611" w:val="left"/>
        </w:tabs>
        <w:numPr>
          <w:ilvl w:val="0"/>
          <w:numId w:val="105"/>
        </w:numPr>
        <w:rPr>
          <w:rFonts w:ascii="Arial" w:cs="Arial" w:eastAsia="Arial" w:hAnsi="Arial"/>
          <w:sz w:val="21"/>
          <w:szCs w:val="21"/>
          <w:color w:val="010000"/>
        </w:rPr>
      </w:pPr>
      <w:r>
        <w:rPr>
          <w:rFonts w:ascii="Arial" w:cs="Arial" w:eastAsia="Arial" w:hAnsi="Arial"/>
          <w:sz w:val="21"/>
          <w:szCs w:val="21"/>
          <w:color w:val="auto"/>
        </w:rPr>
        <w:t>such assignee will, independently and without reliance upon any Agent, such assigning Lender or any other Lender and based on such documents and information as it shall deem appropriate at the time, continue to make its own credit decisions in taking or not taking action under this Agreement;</w:t>
      </w:r>
    </w:p>
    <w:p>
      <w:pPr>
        <w:spacing w:after="0" w:line="193" w:lineRule="exact"/>
        <w:rPr>
          <w:rFonts w:ascii="Arial" w:cs="Arial" w:eastAsia="Arial" w:hAnsi="Arial"/>
          <w:sz w:val="21"/>
          <w:szCs w:val="21"/>
          <w:color w:val="010000"/>
        </w:rPr>
      </w:pPr>
    </w:p>
    <w:p>
      <w:pPr>
        <w:ind w:left="2620" w:hanging="667"/>
        <w:spacing w:after="0"/>
        <w:tabs>
          <w:tab w:leader="none" w:pos="2620"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such assignee confirms that it is an Eligible Assignee;</w:t>
      </w:r>
    </w:p>
    <w:p>
      <w:pPr>
        <w:spacing w:after="0" w:line="233" w:lineRule="exact"/>
        <w:rPr>
          <w:rFonts w:ascii="Arial" w:cs="Arial" w:eastAsia="Arial" w:hAnsi="Arial"/>
          <w:sz w:val="22"/>
          <w:szCs w:val="22"/>
          <w:color w:val="010000"/>
        </w:rPr>
      </w:pPr>
    </w:p>
    <w:p>
      <w:pPr>
        <w:ind w:left="1300" w:firstLine="653"/>
        <w:spacing w:after="0" w:line="251" w:lineRule="auto"/>
        <w:tabs>
          <w:tab w:leader="none" w:pos="2814" w:val="left"/>
        </w:tabs>
        <w:numPr>
          <w:ilvl w:val="0"/>
          <w:numId w:val="105"/>
        </w:numPr>
        <w:rPr>
          <w:rFonts w:ascii="Arial" w:cs="Arial" w:eastAsia="Arial" w:hAnsi="Arial"/>
          <w:sz w:val="22"/>
          <w:szCs w:val="22"/>
          <w:color w:val="010000"/>
        </w:rPr>
      </w:pPr>
      <w:r>
        <w:rPr>
          <w:rFonts w:ascii="Arial" w:cs="Arial" w:eastAsia="Arial" w:hAnsi="Arial"/>
          <w:sz w:val="22"/>
          <w:szCs w:val="22"/>
          <w:color w:val="auto"/>
        </w:rPr>
        <w:t>such assignee appoints and authorizes the Administrative Agent to take such action as agent on its behalf and to exercise such powers and discretion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right="20"/>
        <w:spacing w:after="0" w:line="251" w:lineRule="auto"/>
        <w:rPr>
          <w:sz w:val="20"/>
          <w:szCs w:val="20"/>
          <w:color w:val="auto"/>
        </w:rPr>
      </w:pPr>
      <w:r>
        <w:rPr>
          <w:rFonts w:ascii="Arial" w:cs="Arial" w:eastAsia="Arial" w:hAnsi="Arial"/>
          <w:sz w:val="22"/>
          <w:szCs w:val="22"/>
          <w:color w:val="auto"/>
        </w:rPr>
        <w:t>under this Agreement as are delegated to the Administrative Agent by the terms hereof, together with such powers and discretion as are reasonably incidental thereto; and</w:t>
      </w:r>
    </w:p>
    <w:p>
      <w:pPr>
        <w:spacing w:after="0" w:line="200" w:lineRule="exact"/>
        <w:rPr>
          <w:sz w:val="20"/>
          <w:szCs w:val="20"/>
          <w:color w:val="auto"/>
        </w:rPr>
      </w:pPr>
    </w:p>
    <w:p>
      <w:pPr>
        <w:ind w:left="1300" w:firstLine="653"/>
        <w:spacing w:after="0" w:line="251" w:lineRule="auto"/>
        <w:tabs>
          <w:tab w:leader="none" w:pos="2698" w:val="left"/>
        </w:tabs>
        <w:numPr>
          <w:ilvl w:val="1"/>
          <w:numId w:val="106"/>
        </w:numPr>
        <w:rPr>
          <w:rFonts w:ascii="Arial" w:cs="Arial" w:eastAsia="Arial" w:hAnsi="Arial"/>
          <w:sz w:val="22"/>
          <w:szCs w:val="22"/>
          <w:color w:val="010000"/>
        </w:rPr>
      </w:pPr>
      <w:r>
        <w:rPr>
          <w:rFonts w:ascii="Arial" w:cs="Arial" w:eastAsia="Arial" w:hAnsi="Arial"/>
          <w:sz w:val="22"/>
          <w:szCs w:val="22"/>
          <w:color w:val="auto"/>
        </w:rPr>
        <w:t>such assignee agrees that it will perform in accordance with their terms all of the obligations that by the terms of this Agreement are required to be performed by it as a Lender.</w:t>
      </w:r>
    </w:p>
    <w:p>
      <w:pPr>
        <w:spacing w:after="0" w:line="200" w:lineRule="exact"/>
        <w:rPr>
          <w:rFonts w:ascii="Arial" w:cs="Arial" w:eastAsia="Arial" w:hAnsi="Arial"/>
          <w:sz w:val="22"/>
          <w:szCs w:val="22"/>
          <w:color w:val="010000"/>
        </w:rPr>
      </w:pPr>
    </w:p>
    <w:p>
      <w:pPr>
        <w:jc w:val="both"/>
        <w:ind w:firstLine="1305"/>
        <w:spacing w:after="0" w:line="252" w:lineRule="auto"/>
        <w:tabs>
          <w:tab w:leader="none" w:pos="2468" w:val="left"/>
        </w:tabs>
        <w:numPr>
          <w:ilvl w:val="0"/>
          <w:numId w:val="107"/>
        </w:numPr>
        <w:rPr>
          <w:rFonts w:ascii="Arial" w:cs="Arial" w:eastAsia="Arial" w:hAnsi="Arial"/>
          <w:sz w:val="21"/>
          <w:szCs w:val="21"/>
          <w:color w:val="010000"/>
        </w:rPr>
      </w:pPr>
      <w:r>
        <w:rPr>
          <w:rFonts w:ascii="Arial" w:cs="Arial" w:eastAsia="Arial" w:hAnsi="Arial"/>
          <w:sz w:val="21"/>
          <w:szCs w:val="21"/>
          <w:color w:val="auto"/>
        </w:rPr>
        <w:t>Upon its receipt of an Assignment and Acceptance executed by an assigning Lender and an assignee representing that it is an Eligible Assignee, the Administrative Agent shall, if such Assignment and Acceptance has been completed and is in substantially the form of Exhibit B hereto, (i) accept such Assignment and Acceptance, (ii) record the information contained therein in the Register and (iii) give prompt notice thereof to the Borrower.</w:t>
      </w:r>
    </w:p>
    <w:p>
      <w:pPr>
        <w:spacing w:after="0" w:line="201" w:lineRule="exact"/>
        <w:rPr>
          <w:rFonts w:ascii="Arial" w:cs="Arial" w:eastAsia="Arial" w:hAnsi="Arial"/>
          <w:sz w:val="21"/>
          <w:szCs w:val="21"/>
          <w:color w:val="010000"/>
        </w:rPr>
      </w:pPr>
    </w:p>
    <w:p>
      <w:pPr>
        <w:jc w:val="both"/>
        <w:ind w:firstLine="1305"/>
        <w:spacing w:after="0" w:line="277" w:lineRule="auto"/>
        <w:tabs>
          <w:tab w:leader="none" w:pos="2116"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The Administrative Agent, acting solely for this purpose as the agent of the Borrower, shall maintain at its address referred to in Section 8.02(a) a copy of each Assignment and Acceptance delivered to and accepted by it and a register for the recordation of the names and addresses of the Lenders and the Commitment of, and principal amount (and stated interest) of the Advances owing to, each Lender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binding for all purposes, absent manifest error, and the Borrower, the Agents and the Lenders shall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79" w:lineRule="exact"/>
        <w:rPr>
          <w:rFonts w:ascii="Arial" w:cs="Arial" w:eastAsia="Arial" w:hAnsi="Arial"/>
          <w:sz w:val="19"/>
          <w:szCs w:val="19"/>
          <w:color w:val="010000"/>
        </w:rPr>
      </w:pPr>
    </w:p>
    <w:p>
      <w:pPr>
        <w:jc w:val="both"/>
        <w:ind w:firstLine="1305"/>
        <w:spacing w:after="0" w:line="238" w:lineRule="auto"/>
        <w:tabs>
          <w:tab w:leader="none" w:pos="1968" w:val="left"/>
        </w:tabs>
        <w:numPr>
          <w:ilvl w:val="0"/>
          <w:numId w:val="107"/>
        </w:numPr>
        <w:rPr>
          <w:rFonts w:ascii="Arial" w:cs="Arial" w:eastAsia="Arial" w:hAnsi="Arial"/>
          <w:sz w:val="22"/>
          <w:szCs w:val="22"/>
          <w:color w:val="010000"/>
        </w:rPr>
      </w:pPr>
      <w:r>
        <w:rPr>
          <w:rFonts w:ascii="Arial" w:cs="Arial" w:eastAsia="Arial" w:hAnsi="Arial"/>
          <w:sz w:val="22"/>
          <w:szCs w:val="22"/>
          <w:color w:val="auto"/>
        </w:rPr>
        <w:t>Each Lender may sell participations to one or more banks or other entities (other than the Borrower or any of its Affiliates or any natural person) in or to all or a portion of its rights and obligations under this Agreement (including, without limitation, all or a portion of its Commitment and the Advances owing to it) without the consent of the Administrative Agent or the Borrower; provided, however, that:</w:t>
      </w:r>
    </w:p>
    <w:p>
      <w:pPr>
        <w:spacing w:after="0" w:line="212" w:lineRule="exact"/>
        <w:rPr>
          <w:rFonts w:ascii="Arial" w:cs="Arial" w:eastAsia="Arial" w:hAnsi="Arial"/>
          <w:sz w:val="22"/>
          <w:szCs w:val="22"/>
          <w:color w:val="010000"/>
        </w:rPr>
      </w:pPr>
    </w:p>
    <w:p>
      <w:pPr>
        <w:ind w:left="1300" w:firstLine="653"/>
        <w:spacing w:after="0" w:line="251" w:lineRule="auto"/>
        <w:tabs>
          <w:tab w:leader="none" w:pos="2611"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such Lender’s obligations under this Agreement (including, without limitation, its Commitment) shall remain unchanged;</w:t>
      </w:r>
    </w:p>
    <w:p>
      <w:pPr>
        <w:spacing w:after="0" w:line="200" w:lineRule="exact"/>
        <w:rPr>
          <w:rFonts w:ascii="Arial" w:cs="Arial" w:eastAsia="Arial" w:hAnsi="Arial"/>
          <w:sz w:val="22"/>
          <w:szCs w:val="22"/>
          <w:color w:val="010000"/>
        </w:rPr>
      </w:pPr>
    </w:p>
    <w:p>
      <w:pPr>
        <w:ind w:left="2820" w:hanging="867"/>
        <w:spacing w:after="0"/>
        <w:tabs>
          <w:tab w:leader="none" w:pos="2820"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such Lender shall remain solely responsible to the other parties hereto for the performance of such</w:t>
      </w:r>
    </w:p>
    <w:p>
      <w:pPr>
        <w:spacing w:after="0" w:line="42" w:lineRule="exact"/>
        <w:rPr>
          <w:rFonts w:ascii="Arial" w:cs="Arial" w:eastAsia="Arial" w:hAnsi="Arial"/>
          <w:sz w:val="19"/>
          <w:szCs w:val="19"/>
          <w:color w:val="010000"/>
        </w:rPr>
      </w:pPr>
    </w:p>
    <w:p>
      <w:pPr>
        <w:ind w:left="1300"/>
        <w:spacing w:after="0"/>
        <w:rPr>
          <w:rFonts w:ascii="Arial" w:cs="Arial" w:eastAsia="Arial" w:hAnsi="Arial"/>
          <w:sz w:val="19"/>
          <w:szCs w:val="19"/>
          <w:color w:val="010000"/>
        </w:rPr>
      </w:pPr>
      <w:r>
        <w:rPr>
          <w:rFonts w:ascii="Arial" w:cs="Arial" w:eastAsia="Arial" w:hAnsi="Arial"/>
          <w:sz w:val="22"/>
          <w:szCs w:val="22"/>
          <w:color w:val="auto"/>
        </w:rPr>
        <w:t>obligations;</w:t>
      </w:r>
    </w:p>
    <w:p>
      <w:pPr>
        <w:spacing w:after="0" w:line="215" w:lineRule="exact"/>
        <w:rPr>
          <w:rFonts w:ascii="Arial" w:cs="Arial" w:eastAsia="Arial" w:hAnsi="Arial"/>
          <w:sz w:val="19"/>
          <w:szCs w:val="19"/>
          <w:color w:val="010000"/>
        </w:rPr>
      </w:pPr>
    </w:p>
    <w:p>
      <w:pPr>
        <w:ind w:left="2620" w:hanging="667"/>
        <w:spacing w:after="0"/>
        <w:tabs>
          <w:tab w:leader="none" w:pos="2620" w:val="left"/>
        </w:tabs>
        <w:numPr>
          <w:ilvl w:val="1"/>
          <w:numId w:val="107"/>
        </w:numPr>
        <w:rPr>
          <w:rFonts w:ascii="Arial" w:cs="Arial" w:eastAsia="Arial" w:hAnsi="Arial"/>
          <w:sz w:val="21"/>
          <w:szCs w:val="21"/>
          <w:color w:val="010000"/>
        </w:rPr>
      </w:pPr>
      <w:r>
        <w:rPr>
          <w:rFonts w:ascii="Arial" w:cs="Arial" w:eastAsia="Arial" w:hAnsi="Arial"/>
          <w:sz w:val="21"/>
          <w:szCs w:val="21"/>
          <w:color w:val="auto"/>
        </w:rPr>
        <w:t>such Lender shall remain the Lender of any such Advance for all purposes of this Agreement;</w:t>
      </w:r>
    </w:p>
    <w:p>
      <w:pPr>
        <w:spacing w:after="0" w:line="244" w:lineRule="exact"/>
        <w:rPr>
          <w:rFonts w:ascii="Arial" w:cs="Arial" w:eastAsia="Arial" w:hAnsi="Arial"/>
          <w:sz w:val="21"/>
          <w:szCs w:val="21"/>
          <w:color w:val="010000"/>
        </w:rPr>
      </w:pPr>
    </w:p>
    <w:p>
      <w:pPr>
        <w:ind w:left="1300" w:firstLine="653"/>
        <w:spacing w:after="0" w:line="251" w:lineRule="auto"/>
        <w:tabs>
          <w:tab w:leader="none" w:pos="2773" w:val="left"/>
        </w:tabs>
        <w:numPr>
          <w:ilvl w:val="1"/>
          <w:numId w:val="107"/>
        </w:numPr>
        <w:rPr>
          <w:rFonts w:ascii="Arial" w:cs="Arial" w:eastAsia="Arial" w:hAnsi="Arial"/>
          <w:sz w:val="22"/>
          <w:szCs w:val="22"/>
          <w:color w:val="010000"/>
        </w:rPr>
      </w:pPr>
      <w:r>
        <w:rPr>
          <w:rFonts w:ascii="Arial" w:cs="Arial" w:eastAsia="Arial" w:hAnsi="Arial"/>
          <w:sz w:val="22"/>
          <w:szCs w:val="22"/>
          <w:color w:val="auto"/>
        </w:rPr>
        <w:t>the Borrower, the Agents and the other Lenders shall continue to deal solely and directly with such Lender in connection with such Lender’s rights and obligations under this Agreement; and</w:t>
      </w:r>
    </w:p>
    <w:p>
      <w:pPr>
        <w:spacing w:after="0" w:line="200" w:lineRule="exact"/>
        <w:rPr>
          <w:rFonts w:ascii="Arial" w:cs="Arial" w:eastAsia="Arial" w:hAnsi="Arial"/>
          <w:sz w:val="22"/>
          <w:szCs w:val="22"/>
          <w:color w:val="010000"/>
        </w:rPr>
      </w:pPr>
    </w:p>
    <w:p>
      <w:pPr>
        <w:jc w:val="both"/>
        <w:ind w:left="1300" w:firstLine="653"/>
        <w:spacing w:after="0" w:line="258" w:lineRule="auto"/>
        <w:tabs>
          <w:tab w:leader="none" w:pos="2646" w:val="left"/>
        </w:tabs>
        <w:numPr>
          <w:ilvl w:val="1"/>
          <w:numId w:val="107"/>
        </w:numPr>
        <w:rPr>
          <w:rFonts w:ascii="Arial" w:cs="Arial" w:eastAsia="Arial" w:hAnsi="Arial"/>
          <w:sz w:val="21"/>
          <w:szCs w:val="21"/>
          <w:color w:val="010000"/>
        </w:rPr>
      </w:pPr>
      <w:r>
        <w:rPr>
          <w:rFonts w:ascii="Arial" w:cs="Arial" w:eastAsia="Arial" w:hAnsi="Arial"/>
          <w:sz w:val="21"/>
          <w:szCs w:val="21"/>
          <w:color w:val="auto"/>
        </w:rPr>
        <w:t>no participant under any such participation shall have any right to approve any amendment or waiver of any provision of this Agreement, or any consent to any departure by the Borrower herefrom or therefrom, except to the extent that such amendment, waiver or consent would reduce the principal of, 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300"/>
        <w:spacing w:after="0" w:line="238" w:lineRule="auto"/>
        <w:rPr>
          <w:sz w:val="20"/>
          <w:szCs w:val="20"/>
          <w:color w:val="auto"/>
        </w:rPr>
      </w:pPr>
      <w:r>
        <w:rPr>
          <w:rFonts w:ascii="Arial" w:cs="Arial" w:eastAsia="Arial" w:hAnsi="Arial"/>
          <w:sz w:val="22"/>
          <w:szCs w:val="22"/>
          <w:color w:val="auto"/>
        </w:rPr>
        <w:t>stated rate of interest on, the Advances or the stated rate at which any fees or any other amounts payable hereunder are calculated, in each case to the extent subject to such participation, or postpone any date fixed for any payment of principal of, or interest on, the Advances or any fees or any other amounts payable hereunder, in each case to the extent subject to such participation.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Each Lender shall promptly notify the Borrower after any sale of a participation by such Lender pursuant to this Section 8.07(e);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such Lender to give notice to the Borrower as provided herein shall not affect the validity of such participation or impose any obligations on such Lender or the applicable participant.</w:t>
      </w:r>
    </w:p>
    <w:p>
      <w:pPr>
        <w:sectPr>
          <w:pgSz w:w="11900" w:h="16838" w:orient="portrait"/>
          <w:cols w:equalWidth="0" w:num="1">
            <w:col w:w="11420"/>
          </w:cols>
          <w:pgMar w:left="240" w:top="118" w:right="239" w:bottom="55" w:gutter="0" w:footer="0" w:header="0"/>
        </w:sectPr>
      </w:pPr>
    </w:p>
    <w:bookmarkStart w:id="50" w:name="page51"/>
    <w:bookmarkEnd w:id="50"/>
    <w:p>
      <w:pPr>
        <w:jc w:val="both"/>
        <w:spacing w:after="0" w:line="273"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Advances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32" w:lineRule="exact"/>
        <w:rPr>
          <w:sz w:val="20"/>
          <w:szCs w:val="20"/>
          <w:color w:val="auto"/>
        </w:rPr>
      </w:pPr>
    </w:p>
    <w:p>
      <w:pPr>
        <w:jc w:val="both"/>
        <w:ind w:firstLine="1305"/>
        <w:spacing w:after="0" w:line="249" w:lineRule="auto"/>
        <w:tabs>
          <w:tab w:leader="none" w:pos="1972" w:val="left"/>
        </w:tabs>
        <w:numPr>
          <w:ilvl w:val="0"/>
          <w:numId w:val="108"/>
        </w:numPr>
        <w:rPr>
          <w:rFonts w:ascii="Arial" w:cs="Arial" w:eastAsia="Arial" w:hAnsi="Arial"/>
          <w:sz w:val="21"/>
          <w:szCs w:val="21"/>
          <w:color w:val="010000"/>
        </w:rPr>
      </w:pPr>
      <w:r>
        <w:rPr>
          <w:rFonts w:ascii="Arial" w:cs="Arial" w:eastAsia="Arial" w:hAnsi="Arial"/>
          <w:sz w:val="21"/>
          <w:szCs w:val="21"/>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21"/>
          <w:szCs w:val="21"/>
          <w:u w:val="single" w:color="auto"/>
          <w:color w:val="auto"/>
        </w:rPr>
        <w:t>provided that</w:t>
      </w:r>
      <w:r>
        <w:rPr>
          <w:rFonts w:ascii="Arial" w:cs="Arial" w:eastAsia="Arial" w:hAnsi="Arial"/>
          <w:sz w:val="21"/>
          <w:szCs w:val="21"/>
          <w:color w:val="auto"/>
        </w:rPr>
        <w:t>, prior to any such disclosure, the assignee or participant or proposed assignee or participant shall agree to preserve the confidentiality of any Information relating to the Borrower received by it from such Lender as more fully set forth in Section 8.08.</w:t>
      </w:r>
    </w:p>
    <w:p>
      <w:pPr>
        <w:spacing w:after="0" w:line="205" w:lineRule="exact"/>
        <w:rPr>
          <w:rFonts w:ascii="Arial" w:cs="Arial" w:eastAsia="Arial" w:hAnsi="Arial"/>
          <w:sz w:val="21"/>
          <w:szCs w:val="21"/>
          <w:color w:val="010000"/>
        </w:rPr>
      </w:pPr>
    </w:p>
    <w:p>
      <w:pPr>
        <w:jc w:val="both"/>
        <w:ind w:firstLine="1305"/>
        <w:spacing w:after="0" w:line="236" w:lineRule="auto"/>
        <w:tabs>
          <w:tab w:leader="none" w:pos="2386" w:val="left"/>
        </w:tabs>
        <w:numPr>
          <w:ilvl w:val="0"/>
          <w:numId w:val="108"/>
        </w:numPr>
        <w:rPr>
          <w:rFonts w:ascii="Arial" w:cs="Arial" w:eastAsia="Arial" w:hAnsi="Arial"/>
          <w:sz w:val="22"/>
          <w:szCs w:val="22"/>
          <w:color w:val="010000"/>
        </w:rPr>
      </w:pPr>
      <w:r>
        <w:rPr>
          <w:rFonts w:ascii="Arial" w:cs="Arial" w:eastAsia="Arial" w:hAnsi="Arial"/>
          <w:sz w:val="22"/>
          <w:szCs w:val="22"/>
          <w:color w:val="auto"/>
        </w:rPr>
        <w:t>Notwithstanding any other provision set forth in this Agreement, any Lender may at any time create a security interest in all or any portion of its rights under this Agreement (including, without limitation and the Advances owing to it) to secure obligations of such Lender, including, without limitation, any pledge or assignment to secure obligations in favor of any Federal Reserve Bank in accordance with Regulation A of the Board of Governors of the Federal Reserve System or any central bank having jurisdiction over such Lender.</w:t>
      </w:r>
    </w:p>
    <w:p>
      <w:pPr>
        <w:spacing w:after="0" w:line="21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010000"/>
        </w:rPr>
        <w:t xml:space="preserve">SECTION 8.08 </w:t>
      </w:r>
      <w:r>
        <w:rPr>
          <w:rFonts w:ascii="Arial" w:cs="Arial" w:eastAsia="Arial" w:hAnsi="Arial"/>
          <w:sz w:val="22"/>
          <w:szCs w:val="22"/>
          <w:u w:val="single" w:color="auto"/>
          <w:color w:val="000000"/>
        </w:rPr>
        <w:t>Confidentiality</w:t>
      </w:r>
      <w:r>
        <w:rPr>
          <w:rFonts w:ascii="Arial" w:cs="Arial" w:eastAsia="Arial" w:hAnsi="Arial"/>
          <w:sz w:val="22"/>
          <w:szCs w:val="22"/>
          <w:color w:val="000000"/>
        </w:rPr>
        <w:t>. Each of the Administrative Agent and the Lenders agrees to maintain the</w:t>
      </w:r>
      <w:r>
        <w:rPr>
          <w:rFonts w:ascii="Arial" w:cs="Arial" w:eastAsia="Arial" w:hAnsi="Arial"/>
          <w:sz w:val="22"/>
          <w:szCs w:val="22"/>
          <w:color w:val="010000"/>
        </w:rPr>
        <w:t xml:space="preserve"> </w:t>
      </w:r>
      <w:r>
        <w:rPr>
          <w:rFonts w:ascii="Arial" w:cs="Arial" w:eastAsia="Arial" w:hAnsi="Arial"/>
          <w:sz w:val="22"/>
          <w:szCs w:val="22"/>
          <w:color w:val="000000"/>
        </w:rPr>
        <w:t>confidentiality of the Information (as 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informed of the confidential nature of such Information and instructed to keep such Information confidential),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(provided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Borrower promptly thereof, unless such notification is prohibited by law, rule or regulation), (d) to any other party hereto, (e) in connection with the exercise of any remedies hereunder or any action or proceeding relating to this Agreement or the enforcement of rights hereunder or thereunder,</w:t>
      </w:r>
    </w:p>
    <w:p>
      <w:pPr>
        <w:spacing w:after="0" w:line="4" w:lineRule="exact"/>
        <w:rPr>
          <w:sz w:val="20"/>
          <w:szCs w:val="20"/>
          <w:color w:val="auto"/>
        </w:rPr>
      </w:pPr>
    </w:p>
    <w:p>
      <w:pPr>
        <w:jc w:val="both"/>
        <w:ind w:firstLine="8"/>
        <w:spacing w:after="0" w:line="243" w:lineRule="auto"/>
        <w:tabs>
          <w:tab w:leader="none" w:pos="297" w:val="left"/>
        </w:tabs>
        <w:numPr>
          <w:ilvl w:val="0"/>
          <w:numId w:val="109"/>
        </w:numPr>
        <w:rPr>
          <w:rFonts w:ascii="Arial" w:cs="Arial" w:eastAsia="Arial" w:hAnsi="Arial"/>
          <w:sz w:val="21"/>
          <w:szCs w:val="21"/>
          <w:color w:val="auto"/>
        </w:rPr>
      </w:pPr>
      <w:r>
        <w:rPr>
          <w:rFonts w:ascii="Arial" w:cs="Arial" w:eastAsia="Arial" w:hAnsi="Arial"/>
          <w:sz w:val="21"/>
          <w:szCs w:val="21"/>
          <w:color w:val="auto"/>
        </w:rPr>
        <w:t>subject to an agreement containing provisions substantially the same as those of this Section 8.08,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or derivative or similar transaction under which payments are to be made by reference to the Borrower and its obligations, this Agreement or payments hereunder, (iii) any rating agency, or (iv) the CUSIP Service Bureau or any similar organization, (g) with the consent of the Borrower or (h) to the extent such Information (x) becomes publicly available other than as a result of a breach of this Section 8.08 or (y) becomes available to the Administrative Agent, any Lender or any of their respective Affiliates on a non-confidential basis from a source other than the Borrower. In addition, the Agents may disclose the existence and terms of this Agreement and the identity of the parties hereto (including titles) to market data collectors and service providers to the Agents in connection with the administration of this Agreement, the other Loan Documents, and the Commitments.</w:t>
      </w:r>
    </w:p>
    <w:p>
      <w:pPr>
        <w:spacing w:after="0" w:line="21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For purposes of this Section 8.08, “</w:t>
      </w:r>
      <w:r>
        <w:rPr>
          <w:rFonts w:ascii="Arial" w:cs="Arial" w:eastAsia="Arial" w:hAnsi="Arial"/>
          <w:sz w:val="22"/>
          <w:szCs w:val="22"/>
          <w:u w:val="single" w:color="auto"/>
          <w:color w:val="auto"/>
        </w:rPr>
        <w:t>Information</w:t>
      </w:r>
      <w:r>
        <w:rPr>
          <w:rFonts w:ascii="Arial" w:cs="Arial" w:eastAsia="Arial" w:hAnsi="Arial"/>
          <w:sz w:val="22"/>
          <w:szCs w:val="22"/>
          <w:color w:val="auto"/>
        </w:rPr>
        <w:t>” means this Agreement and the other Loan Documents and all information received from the Consolidated Group relating to the Consolidated Group or any of their respective businesses, other than any such information that is available to the Administrative Agent or any Lender on a non-confidential basis prior to disclosure by the Consolidated Group.</w:t>
      </w:r>
    </w:p>
    <w:p>
      <w:pPr>
        <w:spacing w:after="0" w:line="21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010000"/>
        </w:rPr>
        <w:t xml:space="preserve">SECTION 8.09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shall be governed by, and construed in accordance with, the</w:t>
      </w:r>
      <w:r>
        <w:rPr>
          <w:rFonts w:ascii="Arial" w:cs="Arial" w:eastAsia="Arial" w:hAnsi="Arial"/>
          <w:sz w:val="22"/>
          <w:szCs w:val="22"/>
          <w:color w:val="010000"/>
        </w:rPr>
        <w:t xml:space="preserve"> </w:t>
      </w:r>
      <w:r>
        <w:rPr>
          <w:rFonts w:ascii="Arial" w:cs="Arial" w:eastAsia="Arial" w:hAnsi="Arial"/>
          <w:sz w:val="22"/>
          <w:szCs w:val="22"/>
          <w:color w:val="000000"/>
        </w:rPr>
        <w:t>laws of the State of New York.</w:t>
      </w:r>
    </w:p>
    <w:p>
      <w:pPr>
        <w:spacing w:after="0" w:line="200"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010000"/>
        </w:rPr>
        <w:t xml:space="preserve">SECTION 8.10 </w:t>
      </w:r>
      <w:r>
        <w:rPr>
          <w:rFonts w:ascii="Arial" w:cs="Arial" w:eastAsia="Arial" w:hAnsi="Arial"/>
          <w:sz w:val="22"/>
          <w:szCs w:val="22"/>
          <w:u w:val="single" w:color="auto"/>
          <w:color w:val="000000"/>
        </w:rPr>
        <w:t>Execution in Counterparts</w:t>
      </w:r>
      <w:r>
        <w:rPr>
          <w:rFonts w:ascii="Arial" w:cs="Arial" w:eastAsia="Arial" w:hAnsi="Arial"/>
          <w:sz w:val="22"/>
          <w:szCs w:val="22"/>
          <w:color w:val="000000"/>
        </w:rPr>
        <w:t>. This Agreement may be executed in any number of counterparts and</w:t>
      </w:r>
      <w:r>
        <w:rPr>
          <w:rFonts w:ascii="Arial" w:cs="Arial" w:eastAsia="Arial" w:hAnsi="Arial"/>
          <w:sz w:val="22"/>
          <w:szCs w:val="22"/>
          <w:color w:val="010000"/>
        </w:rPr>
        <w:t xml:space="preserve"> </w:t>
      </w:r>
      <w:r>
        <w:rPr>
          <w:rFonts w:ascii="Arial" w:cs="Arial" w:eastAsia="Arial" w:hAnsi="Arial"/>
          <w:sz w:val="22"/>
          <w:szCs w:val="22"/>
          <w:color w:val="000000"/>
        </w:rPr>
        <w:t>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facsimile or in a .pdf or similar file shall be effective as delivery of a manually executed counterpart of this Agreement.</w:t>
      </w:r>
    </w:p>
    <w:p>
      <w:pPr>
        <w:sectPr>
          <w:pgSz w:w="11900" w:h="16838" w:orient="portrait"/>
          <w:cols w:equalWidth="0" w:num="1">
            <w:col w:w="11420"/>
          </w:cols>
          <w:pgMar w:left="240" w:top="118" w:right="239" w:bottom="69" w:gutter="0" w:footer="0" w:header="0"/>
        </w:sectPr>
      </w:pPr>
    </w:p>
    <w:bookmarkStart w:id="51" w:name="page52"/>
    <w:bookmarkEnd w:id="51"/>
    <w:p>
      <w:pPr>
        <w:spacing w:after="0" w:line="10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010000"/>
        </w:rPr>
        <w:t xml:space="preserve">SECTION 8.11 </w:t>
      </w:r>
      <w:r>
        <w:rPr>
          <w:rFonts w:ascii="Arial" w:cs="Arial" w:eastAsia="Arial" w:hAnsi="Arial"/>
          <w:sz w:val="21"/>
          <w:szCs w:val="21"/>
          <w:u w:val="single" w:color="auto"/>
          <w:color w:val="000000"/>
        </w:rPr>
        <w:t>Jurisdiction, Etc.</w:t>
      </w:r>
      <w:r>
        <w:rPr>
          <w:rFonts w:ascii="Arial" w:cs="Arial" w:eastAsia="Arial" w:hAnsi="Arial"/>
          <w:sz w:val="21"/>
          <w:szCs w:val="21"/>
          <w:color w:val="010000"/>
        </w:rPr>
        <w:t xml:space="preserve"> </w:t>
      </w:r>
      <w:r>
        <w:rPr>
          <w:rFonts w:ascii="Arial" w:cs="Arial" w:eastAsia="Arial" w:hAnsi="Arial"/>
          <w:sz w:val="21"/>
          <w:szCs w:val="21"/>
          <w:color w:val="000000"/>
        </w:rPr>
        <w:t>(a) Each of the parties hereto hereby irrevocably and unconditionally submits,</w:t>
      </w:r>
      <w:r>
        <w:rPr>
          <w:rFonts w:ascii="Arial" w:cs="Arial" w:eastAsia="Arial" w:hAnsi="Arial"/>
          <w:sz w:val="21"/>
          <w:szCs w:val="21"/>
          <w:color w:val="010000"/>
        </w:rPr>
        <w:t xml:space="preserve"> </w:t>
      </w:r>
      <w:r>
        <w:rPr>
          <w:rFonts w:ascii="Arial" w:cs="Arial" w:eastAsia="Arial" w:hAnsi="Arial"/>
          <w:sz w:val="21"/>
          <w:szCs w:val="21"/>
          <w:color w:val="000000"/>
        </w:rPr>
        <w:t>for itself and its property, to the exclusive jurisdiction of any New York State court sitting in New York County or any federal court of the United States of the Southern District of New York, and any appellate court from any thereof, in any action or proceeding arising out of or relating to this Agreement, or for recognition or enforcement of any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judgment, and each of the parties hereto hereby irrevocably and unconditionally agrees that all claims in respect of any such action or proceeding shall be heard and determined in any such New York State court or, to the extent permitted by law, in any such federal court. Each of the parties hereto agrees that a final judgment in any such action or proceeding shall be conclusive and may be enforced in other jurisdictions by suit on the judgment or in any other manner provided by law.</w:t>
      </w:r>
    </w:p>
    <w:p>
      <w:pPr>
        <w:spacing w:after="0" w:line="170" w:lineRule="exact"/>
        <w:rPr>
          <w:sz w:val="20"/>
          <w:szCs w:val="20"/>
          <w:color w:val="auto"/>
        </w:rPr>
      </w:pPr>
    </w:p>
    <w:p>
      <w:pPr>
        <w:jc w:val="both"/>
        <w:ind w:firstLine="1305"/>
        <w:spacing w:after="0" w:line="236" w:lineRule="auto"/>
        <w:tabs>
          <w:tab w:leader="none" w:pos="2210"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214" w:lineRule="exact"/>
        <w:rPr>
          <w:rFonts w:ascii="Arial" w:cs="Arial" w:eastAsia="Arial" w:hAnsi="Arial"/>
          <w:sz w:val="22"/>
          <w:szCs w:val="22"/>
          <w:color w:val="010000"/>
        </w:rPr>
      </w:pPr>
    </w:p>
    <w:p>
      <w:pPr>
        <w:jc w:val="both"/>
        <w:ind w:firstLine="1305"/>
        <w:spacing w:after="0"/>
        <w:tabs>
          <w:tab w:leader="none" w:pos="1955" w:val="left"/>
        </w:tabs>
        <w:numPr>
          <w:ilvl w:val="0"/>
          <w:numId w:val="110"/>
        </w:numPr>
        <w:rPr>
          <w:rFonts w:ascii="Arial" w:cs="Arial" w:eastAsia="Arial" w:hAnsi="Arial"/>
          <w:sz w:val="22"/>
          <w:szCs w:val="22"/>
          <w:color w:val="010000"/>
        </w:rPr>
      </w:pPr>
      <w:r>
        <w:rPr>
          <w:rFonts w:ascii="Arial" w:cs="Arial" w:eastAsia="Arial" w:hAnsi="Arial"/>
          <w:sz w:val="22"/>
          <w:szCs w:val="22"/>
          <w:color w:val="auto"/>
        </w:rPr>
        <w:t>Each party to this Agreement irrevocably consents to service of process in the manner provided for notices in Section 8.02. Nothing in this Agreement will affect the right of any party to this Agreement to serve process in any other manner permitted by law.</w:t>
      </w:r>
    </w:p>
    <w:p>
      <w:pPr>
        <w:spacing w:after="0" w:line="213"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010000"/>
        </w:rPr>
        <w:t xml:space="preserve">SECTION 8.12 </w:t>
      </w:r>
      <w:r>
        <w:rPr>
          <w:rFonts w:ascii="Arial" w:cs="Arial" w:eastAsia="Arial" w:hAnsi="Arial"/>
          <w:sz w:val="22"/>
          <w:szCs w:val="22"/>
          <w:u w:val="single" w:color="auto"/>
          <w:color w:val="000000"/>
        </w:rPr>
        <w:t>Patriot Act Notice</w:t>
      </w:r>
      <w:r>
        <w:rPr>
          <w:rFonts w:ascii="Arial" w:cs="Arial" w:eastAsia="Arial" w:hAnsi="Arial"/>
          <w:sz w:val="22"/>
          <w:szCs w:val="22"/>
          <w:color w:val="000000"/>
        </w:rPr>
        <w:t>. Each Lender and the Administrative Agent (for itself and not on behalf of any</w:t>
      </w:r>
      <w:r>
        <w:rPr>
          <w:rFonts w:ascii="Arial" w:cs="Arial" w:eastAsia="Arial" w:hAnsi="Arial"/>
          <w:sz w:val="22"/>
          <w:szCs w:val="22"/>
          <w:color w:val="010000"/>
        </w:rPr>
        <w:t xml:space="preserve"> </w:t>
      </w:r>
      <w:r>
        <w:rPr>
          <w:rFonts w:ascii="Arial" w:cs="Arial" w:eastAsia="Arial" w:hAnsi="Arial"/>
          <w:sz w:val="22"/>
          <w:szCs w:val="22"/>
          <w:color w:val="000000"/>
        </w:rPr>
        <w:t>Lender)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The Borrower shall provide, to the extent commercially reasonable, such information and take such actions as are reasonably requested by the Administrative Agent or any Lenders in order to assist the Administrative Agent and the Lenders in maintaining compliance with the Patriot Act.</w:t>
      </w:r>
    </w:p>
    <w:p>
      <w:pPr>
        <w:spacing w:after="0" w:line="21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010000"/>
        </w:rPr>
        <w:t xml:space="preserve">SECTION 8.13 </w:t>
      </w:r>
      <w:r>
        <w:rPr>
          <w:rFonts w:ascii="Arial" w:cs="Arial" w:eastAsia="Arial" w:hAnsi="Arial"/>
          <w:sz w:val="22"/>
          <w:szCs w:val="22"/>
          <w:u w:val="single" w:color="auto"/>
          <w:color w:val="000000"/>
        </w:rPr>
        <w:t>No Advisory or Fiduciary Responsibility</w:t>
      </w:r>
      <w:r>
        <w:rPr>
          <w:rFonts w:ascii="Arial" w:cs="Arial" w:eastAsia="Arial" w:hAnsi="Arial"/>
          <w:sz w:val="22"/>
          <w:szCs w:val="22"/>
          <w:color w:val="000000"/>
        </w:rPr>
        <w:t>. In its capacity as an Agent or a Lender, (a) no Agent or</w:t>
      </w:r>
      <w:r>
        <w:rPr>
          <w:rFonts w:ascii="Arial" w:cs="Arial" w:eastAsia="Arial" w:hAnsi="Arial"/>
          <w:sz w:val="22"/>
          <w:szCs w:val="22"/>
          <w:color w:val="010000"/>
        </w:rPr>
        <w:t xml:space="preserve"> </w:t>
      </w:r>
      <w:r>
        <w:rPr>
          <w:rFonts w:ascii="Arial" w:cs="Arial" w:eastAsia="Arial" w:hAnsi="Arial"/>
          <w:sz w:val="22"/>
          <w:szCs w:val="22"/>
          <w:color w:val="000000"/>
        </w:rPr>
        <w:t>Lender has any responsibility except as set forth herein and (b) no Agent or Lender shall be subject to any fiduciary duties or other implied duties (to the extent permitted by law to be waived). The Borrower agrees that it will not take any position or bring any claim against any Agent or any Lender that is contrary to the preceding sentence.</w:t>
      </w:r>
    </w:p>
    <w:p>
      <w:pPr>
        <w:spacing w:after="0" w:line="212"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color w:val="auto"/>
        </w:rPr>
        <w:t>In connection with all aspects of each transaction contemplated hereby (including in connection with any amendment, waiver or other modification hereof), the Borrower acknowledges and agrees that: (i) the arranging and other services regarding this Agreement provided by the Agents and the Lenders are arm’s-length commercial transactions between the Borrower and its Affiliates, on the one hand, and the Agents and the Lenders, on the other hand; (ii) each Agent and each Lender is and has been acting solely as a principal and, except as expressly agreed in writing by the relevant parties, has not been, is not, and will not be acting as an advisor or agent for the Borrower or any of its Affiliates, or any other Person; and (iii) the Agents, the Lenders and each of their respective Affiliates may be engaged in a broad range of transactions that involve interests that differ from those of the Borrower and its Affiliates, and no Agent or Lender has any obligation to disclose any of such interests to the Borrower or its Affiliates.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010000"/>
        </w:rPr>
        <w:t xml:space="preserve">SECTION 8.14 </w:t>
      </w:r>
      <w:r>
        <w:rPr>
          <w:rFonts w:ascii="Arial" w:cs="Arial" w:eastAsia="Arial" w:hAnsi="Arial"/>
          <w:sz w:val="22"/>
          <w:szCs w:val="22"/>
          <w:u w:val="single" w:color="auto"/>
          <w:color w:val="000000"/>
        </w:rPr>
        <w:t>Waiver of Jury Trial</w:t>
      </w:r>
      <w:r>
        <w:rPr>
          <w:rFonts w:ascii="Arial" w:cs="Arial" w:eastAsia="Arial" w:hAnsi="Arial"/>
          <w:sz w:val="22"/>
          <w:szCs w:val="22"/>
          <w:color w:val="000000"/>
        </w:rPr>
        <w:t>. Each of the Borrower, the Administrative Agent and the Lenders hereby</w:t>
      </w:r>
      <w:r>
        <w:rPr>
          <w:rFonts w:ascii="Arial" w:cs="Arial" w:eastAsia="Arial" w:hAnsi="Arial"/>
          <w:sz w:val="22"/>
          <w:szCs w:val="22"/>
          <w:color w:val="010000"/>
        </w:rPr>
        <w:t xml:space="preserve"> </w:t>
      </w:r>
      <w:r>
        <w:rPr>
          <w:rFonts w:ascii="Arial" w:cs="Arial" w:eastAsia="Arial" w:hAnsi="Arial"/>
          <w:sz w:val="22"/>
          <w:szCs w:val="22"/>
          <w:color w:val="000000"/>
        </w:rPr>
        <w:t>irrevocably waives all right to trial by jury in any action, proceeding or counterclaim (whether based on contract, tort or otherwise) arising out of or relating to this Agreement or the actions of the Administrative Agent or any Lender in the negotiation, administration, performance or enforcement thereof.</w:t>
      </w:r>
    </w:p>
    <w:p>
      <w:pPr>
        <w:spacing w:after="0" w:line="212"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010000"/>
        </w:rPr>
        <w:t xml:space="preserve">SECTION 8.15 </w:t>
      </w:r>
      <w:r>
        <w:rPr>
          <w:rFonts w:ascii="Arial" w:cs="Arial" w:eastAsia="Arial" w:hAnsi="Arial"/>
          <w:sz w:val="22"/>
          <w:szCs w:val="22"/>
          <w:u w:val="single" w:color="auto"/>
          <w:color w:val="000000"/>
        </w:rPr>
        <w:t>Conversion of Currencies</w:t>
      </w:r>
      <w:r>
        <w:rPr>
          <w:rFonts w:ascii="Arial" w:cs="Arial" w:eastAsia="Arial" w:hAnsi="Arial"/>
          <w:sz w:val="22"/>
          <w:szCs w:val="22"/>
          <w:color w:val="000000"/>
        </w:rPr>
        <w:t>. If, for the purpose of obtaining judgment in any court, it is necessary</w:t>
      </w:r>
      <w:r>
        <w:rPr>
          <w:rFonts w:ascii="Arial" w:cs="Arial" w:eastAsia="Arial" w:hAnsi="Arial"/>
          <w:sz w:val="22"/>
          <w:szCs w:val="22"/>
          <w:color w:val="010000"/>
        </w:rPr>
        <w:t xml:space="preserve"> </w:t>
      </w:r>
      <w:r>
        <w:rPr>
          <w:rFonts w:ascii="Arial" w:cs="Arial" w:eastAsia="Arial" w:hAnsi="Arial"/>
          <w:sz w:val="22"/>
          <w:szCs w:val="22"/>
          <w:color w:val="000000"/>
        </w:rPr>
        <w:t>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215" w:lineRule="exact"/>
        <w:rPr>
          <w:sz w:val="20"/>
          <w:szCs w:val="20"/>
          <w:color w:val="auto"/>
        </w:rPr>
      </w:pPr>
    </w:p>
    <w:p>
      <w:pPr>
        <w:ind w:right="20" w:firstLine="1297"/>
        <w:spacing w:after="0" w:line="279" w:lineRule="auto"/>
        <w:rPr>
          <w:sz w:val="20"/>
          <w:szCs w:val="20"/>
          <w:color w:val="auto"/>
        </w:rPr>
      </w:pPr>
      <w:r>
        <w:rPr>
          <w:rFonts w:ascii="Arial" w:cs="Arial" w:eastAsia="Arial" w:hAnsi="Arial"/>
          <w:sz w:val="19"/>
          <w:szCs w:val="19"/>
          <w:color w:val="auto"/>
        </w:rPr>
        <w:t>The obligations of the Borrower in respect of any sum due to any party hereto or any holder of the obligations owing hereunder (the “</w:t>
      </w:r>
      <w:r>
        <w:rPr>
          <w:rFonts w:ascii="Arial" w:cs="Arial" w:eastAsia="Arial" w:hAnsi="Arial"/>
          <w:sz w:val="19"/>
          <w:szCs w:val="19"/>
          <w:u w:val="single" w:color="auto"/>
          <w:color w:val="auto"/>
        </w:rPr>
        <w:t>Applicable Creditor</w:t>
      </w:r>
      <w:r>
        <w:rPr>
          <w:rFonts w:ascii="Arial" w:cs="Arial" w:eastAsia="Arial" w:hAnsi="Arial"/>
          <w:sz w:val="19"/>
          <w:szCs w:val="19"/>
          <w:color w:val="auto"/>
        </w:rPr>
        <w:t>”)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the currency in which such sum is stated to be due hereunder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w:t>
      </w:r>
    </w:p>
    <w:p>
      <w:pPr>
        <w:sectPr>
          <w:pgSz w:w="11900" w:h="16941" w:orient="portrait"/>
          <w:cols w:equalWidth="0" w:num="1">
            <w:col w:w="11420"/>
          </w:cols>
          <w:pgMar w:left="240" w:top="118" w:right="239" w:bottom="0" w:gutter="0" w:footer="0" w:header="0"/>
        </w:sectPr>
      </w:pPr>
    </w:p>
    <w:bookmarkStart w:id="52" w:name="page53"/>
    <w:bookmarkEnd w:id="52"/>
    <w:p>
      <w:pPr>
        <w:ind w:right="220"/>
        <w:spacing w:after="0" w:line="258" w:lineRule="auto"/>
        <w:rPr>
          <w:sz w:val="20"/>
          <w:szCs w:val="20"/>
          <w:color w:val="auto"/>
        </w:rPr>
      </w:pPr>
      <w:r>
        <w:rPr>
          <w:rFonts w:ascii="Arial" w:cs="Arial" w:eastAsia="Arial" w:hAnsi="Arial"/>
          <w:sz w:val="21"/>
          <w:szCs w:val="21"/>
          <w:color w:val="auto"/>
        </w:rPr>
        <w:t>the Applicable Creditor in the Agreement Currency, the Borrower agree, as a separate obligation and notwithstanding any such judgment, to indemnify the Applicable Creditor against such loss. The obligations of the Borrower contained in this Section 8.15 shall survive the termination of this Agreement and the payment of all other amounts owing hereunder.</w:t>
      </w:r>
    </w:p>
    <w:p>
      <w:pPr>
        <w:spacing w:after="0" w:line="194"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010000"/>
        </w:rPr>
        <w:t xml:space="preserve">SECTION 8.16 </w:t>
      </w:r>
      <w:r>
        <w:rPr>
          <w:rFonts w:ascii="Arial" w:cs="Arial" w:eastAsia="Arial" w:hAnsi="Arial"/>
          <w:sz w:val="22"/>
          <w:szCs w:val="22"/>
          <w:u w:val="single" w:color="auto"/>
          <w:color w:val="000000"/>
        </w:rPr>
        <w:t>Acknowledgment and Consent to Bail In of EEA Financial Institutions</w:t>
      </w:r>
      <w:r>
        <w:rPr>
          <w:rFonts w:ascii="Arial" w:cs="Arial" w:eastAsia="Arial" w:hAnsi="Arial"/>
          <w:sz w:val="22"/>
          <w:szCs w:val="22"/>
          <w:color w:val="000000"/>
        </w:rPr>
        <w:t>. Notwithstanding</w:t>
      </w:r>
      <w:r>
        <w:rPr>
          <w:rFonts w:ascii="Arial" w:cs="Arial" w:eastAsia="Arial" w:hAnsi="Arial"/>
          <w:sz w:val="22"/>
          <w:szCs w:val="22"/>
          <w:color w:val="010000"/>
        </w:rPr>
        <w:t xml:space="preserve"> </w:t>
      </w:r>
      <w:r>
        <w:rPr>
          <w:rFonts w:ascii="Arial" w:cs="Arial" w:eastAsia="Arial" w:hAnsi="Arial"/>
          <w:sz w:val="22"/>
          <w:szCs w:val="22"/>
          <w:color w:val="000000"/>
        </w:rPr>
        <w:t>anything to the contrary in this Agreement or in any other agreement, arrangement or understanding among the parties hereto, each party hereto acknowledges that any liability of any EEA Financial Institution arising under this Agreement, to the extent such liability is unsecured, may be subject the Write-Down and Conversion Powers of an EEA Resolution Authority and agrees and consents to, and acknowledges and agrees to be bound by:</w:t>
      </w:r>
    </w:p>
    <w:p>
      <w:pPr>
        <w:spacing w:after="0" w:line="215" w:lineRule="exact"/>
        <w:rPr>
          <w:sz w:val="20"/>
          <w:szCs w:val="20"/>
          <w:color w:val="auto"/>
        </w:rPr>
      </w:pPr>
    </w:p>
    <w:p>
      <w:pPr>
        <w:ind w:right="400" w:firstLine="1305"/>
        <w:spacing w:after="0" w:line="328" w:lineRule="auto"/>
        <w:tabs>
          <w:tab w:leader="none" w:pos="1955" w:val="left"/>
        </w:tabs>
        <w:numPr>
          <w:ilvl w:val="0"/>
          <w:numId w:val="111"/>
        </w:numPr>
        <w:rPr>
          <w:rFonts w:ascii="Arial" w:cs="Arial" w:eastAsia="Arial" w:hAnsi="Arial"/>
          <w:sz w:val="19"/>
          <w:szCs w:val="19"/>
          <w:color w:val="010000"/>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32" w:lineRule="exact"/>
        <w:rPr>
          <w:rFonts w:ascii="Arial" w:cs="Arial" w:eastAsia="Arial" w:hAnsi="Arial"/>
          <w:sz w:val="19"/>
          <w:szCs w:val="19"/>
          <w:color w:val="010000"/>
        </w:rPr>
      </w:pPr>
    </w:p>
    <w:p>
      <w:pPr>
        <w:ind w:left="1960" w:hanging="655"/>
        <w:spacing w:after="0"/>
        <w:tabs>
          <w:tab w:leader="none" w:pos="1960" w:val="left"/>
        </w:tabs>
        <w:numPr>
          <w:ilvl w:val="0"/>
          <w:numId w:val="111"/>
        </w:numPr>
        <w:rPr>
          <w:rFonts w:ascii="Arial" w:cs="Arial" w:eastAsia="Arial" w:hAnsi="Arial"/>
          <w:sz w:val="22"/>
          <w:szCs w:val="22"/>
          <w:color w:val="010000"/>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color w:val="010000"/>
        </w:rPr>
      </w:pPr>
    </w:p>
    <w:p>
      <w:pPr>
        <w:ind w:left="2620" w:hanging="667"/>
        <w:spacing w:after="0"/>
        <w:tabs>
          <w:tab w:leader="none" w:pos="2620" w:val="left"/>
        </w:tabs>
        <w:numPr>
          <w:ilvl w:val="1"/>
          <w:numId w:val="111"/>
        </w:numPr>
        <w:rPr>
          <w:rFonts w:ascii="Arial" w:cs="Arial" w:eastAsia="Arial" w:hAnsi="Arial"/>
          <w:sz w:val="22"/>
          <w:szCs w:val="22"/>
          <w:color w:val="010000"/>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010000"/>
        </w:rPr>
      </w:pPr>
    </w:p>
    <w:p>
      <w:pPr>
        <w:ind w:left="1300" w:right="420" w:firstLine="653"/>
        <w:spacing w:after="0"/>
        <w:tabs>
          <w:tab w:leader="none" w:pos="2617" w:val="left"/>
        </w:tabs>
        <w:numPr>
          <w:ilvl w:val="1"/>
          <w:numId w:val="111"/>
        </w:numPr>
        <w:rPr>
          <w:rFonts w:ascii="Arial" w:cs="Arial" w:eastAsia="Arial" w:hAnsi="Arial"/>
          <w:sz w:val="22"/>
          <w:szCs w:val="22"/>
          <w:color w:val="010000"/>
        </w:rPr>
      </w:pPr>
      <w:r>
        <w:rPr>
          <w:rFonts w:ascii="Arial" w:cs="Arial" w:eastAsia="Arial" w:hAnsi="Arial"/>
          <w:sz w:val="22"/>
          <w:szCs w:val="22"/>
          <w:color w:val="auto"/>
        </w:rPr>
        <w:t>a conversion of all, or a portion of, such liability into shares or other instruments of ownership in such EEA Financial Institutions, its parent entity, or a bridge institution that may be issued to it or otherwise conferred on it, and that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300" w:right="360"/>
        <w:spacing w:after="0" w:line="251" w:lineRule="auto"/>
        <w:rPr>
          <w:sz w:val="20"/>
          <w:szCs w:val="20"/>
          <w:color w:val="auto"/>
        </w:rPr>
      </w:pPr>
      <w:r>
        <w:rPr>
          <w:rFonts w:ascii="Arial" w:cs="Arial" w:eastAsia="Arial" w:hAnsi="Arial"/>
          <w:sz w:val="22"/>
          <w:szCs w:val="22"/>
          <w:color w:val="auto"/>
        </w:rPr>
        <w:t>such shares or other instruments of ownership will be accepted by it in lieu of any rights with respect to any such liability under this Agreement; or</w:t>
      </w:r>
    </w:p>
    <w:p>
      <w:pPr>
        <w:spacing w:after="0" w:line="200" w:lineRule="exact"/>
        <w:rPr>
          <w:sz w:val="20"/>
          <w:szCs w:val="20"/>
          <w:color w:val="auto"/>
        </w:rPr>
      </w:pPr>
    </w:p>
    <w:p>
      <w:pPr>
        <w:ind w:left="1300" w:right="420" w:firstLine="653"/>
        <w:spacing w:after="0" w:line="251" w:lineRule="auto"/>
        <w:tabs>
          <w:tab w:leader="none" w:pos="2623" w:val="left"/>
        </w:tabs>
        <w:numPr>
          <w:ilvl w:val="0"/>
          <w:numId w:val="112"/>
        </w:numPr>
        <w:rPr>
          <w:rFonts w:ascii="Arial" w:cs="Arial" w:eastAsia="Arial" w:hAnsi="Arial"/>
          <w:sz w:val="22"/>
          <w:szCs w:val="22"/>
          <w:color w:val="010000"/>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010000"/>
        </w:rPr>
        <w:t xml:space="preserve">SECTION 8.17 </w:t>
      </w:r>
      <w:r>
        <w:rPr>
          <w:rFonts w:ascii="Arial" w:cs="Arial" w:eastAsia="Arial" w:hAnsi="Arial"/>
          <w:sz w:val="22"/>
          <w:szCs w:val="22"/>
          <w:u w:val="single" w:color="auto"/>
          <w:color w:val="000000"/>
        </w:rPr>
        <w:t>Nonreliance</w:t>
      </w:r>
      <w:r>
        <w:rPr>
          <w:rFonts w:ascii="Arial" w:cs="Arial" w:eastAsia="Arial" w:hAnsi="Arial"/>
          <w:sz w:val="22"/>
          <w:szCs w:val="22"/>
          <w:color w:val="000000"/>
        </w:rPr>
        <w:t>. Each of the Lenders hereby represents that it is not relying on or looking to any</w:t>
      </w:r>
      <w:r>
        <w:rPr>
          <w:rFonts w:ascii="Arial" w:cs="Arial" w:eastAsia="Arial" w:hAnsi="Arial"/>
          <w:sz w:val="22"/>
          <w:szCs w:val="22"/>
          <w:color w:val="010000"/>
        </w:rPr>
        <w:t xml:space="preserve"> </w:t>
      </w:r>
      <w:r>
        <w:rPr>
          <w:rFonts w:ascii="Arial" w:cs="Arial" w:eastAsia="Arial" w:hAnsi="Arial"/>
          <w:sz w:val="22"/>
          <w:szCs w:val="22"/>
          <w:color w:val="000000"/>
        </w:rPr>
        <w:t>Margin Stock as collateral in the extension or maintenance of the credit provided for herein.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ABBVIE INC., as Borrower</w:t>
      </w:r>
    </w:p>
    <w:p>
      <w:pPr>
        <w:spacing w:after="0" w:line="200" w:lineRule="exact"/>
        <w:rPr>
          <w:sz w:val="20"/>
          <w:szCs w:val="20"/>
          <w:color w:val="auto"/>
        </w:rPr>
      </w:pPr>
    </w:p>
    <w:p>
      <w:pPr>
        <w:spacing w:after="0" w:line="276"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2"/>
          <w:szCs w:val="22"/>
          <w:color w:val="auto"/>
        </w:rPr>
        <w:t>By:</w:t>
        <w:tab/>
        <w:t>/s/ Tabetha Skarbek</w:t>
      </w:r>
    </w:p>
    <w:p>
      <w:pPr>
        <w:spacing w:after="0" w:line="12" w:lineRule="exact"/>
        <w:rPr>
          <w:sz w:val="20"/>
          <w:szCs w:val="20"/>
          <w:color w:val="auto"/>
        </w:rPr>
      </w:pPr>
    </w:p>
    <w:tbl>
      <w:tblPr>
        <w:tblLayout w:type="fixed"/>
        <w:tblInd w:w="63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Tabetha A. Skarbek</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JPMORGAN CHASE BANK, N.A., as Administrative Agent</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and a Lender</w:t>
      </w:r>
    </w:p>
    <w:p>
      <w:pPr>
        <w:spacing w:after="0" w:line="200" w:lineRule="exact"/>
        <w:rPr>
          <w:sz w:val="20"/>
          <w:szCs w:val="20"/>
          <w:color w:val="auto"/>
        </w:rPr>
      </w:pPr>
    </w:p>
    <w:p>
      <w:pPr>
        <w:spacing w:after="0" w:line="258"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2"/>
          <w:szCs w:val="22"/>
          <w:color w:val="auto"/>
        </w:rPr>
        <w:t>By:</w:t>
        <w:tab/>
        <w:t>/s/ Erik Barragan</w:t>
      </w:r>
    </w:p>
    <w:p>
      <w:pPr>
        <w:spacing w:after="0" w:line="12" w:lineRule="exact"/>
        <w:rPr>
          <w:sz w:val="20"/>
          <w:szCs w:val="20"/>
          <w:color w:val="auto"/>
        </w:rPr>
      </w:pPr>
    </w:p>
    <w:tbl>
      <w:tblPr>
        <w:tblLayout w:type="fixed"/>
        <w:tblInd w:w="63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Erik Barragan</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1420"/>
          </w:cols>
          <w:pgMar w:left="240" w:top="118" w:right="239" w:bottom="255" w:gutter="0" w:footer="0" w:header="0"/>
        </w:sectPr>
      </w:pPr>
    </w:p>
    <w:bookmarkStart w:id="53" w:name="page54"/>
    <w:bookmarkEnd w:id="53"/>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BANK OF AMERICA, N.A., as a Lender</w:t>
      </w:r>
    </w:p>
    <w:p>
      <w:pPr>
        <w:spacing w:after="0" w:line="200" w:lineRule="exact"/>
        <w:rPr>
          <w:sz w:val="20"/>
          <w:szCs w:val="20"/>
          <w:color w:val="auto"/>
        </w:rPr>
      </w:pPr>
    </w:p>
    <w:p>
      <w:pPr>
        <w:spacing w:after="0" w:line="276"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Darren Merten</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Darren Merten</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1420"/>
        <w:spacing w:after="0"/>
        <w:rPr>
          <w:sz w:val="20"/>
          <w:szCs w:val="20"/>
          <w:color w:val="auto"/>
        </w:rPr>
      </w:pPr>
      <w:r>
        <w:rPr>
          <w:rFonts w:ascii="Arial" w:cs="Arial" w:eastAsia="Arial" w:hAnsi="Arial"/>
          <w:sz w:val="22"/>
          <w:szCs w:val="22"/>
          <w:color w:val="auto"/>
        </w:rPr>
        <w:t>MORGAN STANLEY BANK, N.A., as a Lender</w:t>
      </w:r>
    </w:p>
    <w:p>
      <w:pPr>
        <w:spacing w:after="0" w:line="200" w:lineRule="exact"/>
        <w:rPr>
          <w:sz w:val="20"/>
          <w:szCs w:val="20"/>
          <w:color w:val="auto"/>
        </w:rPr>
      </w:pPr>
    </w:p>
    <w:p>
      <w:pPr>
        <w:spacing w:after="0" w:line="276"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Michael King</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Michael King</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BARCLAYS BANK PLC, as a Lender</w:t>
      </w:r>
    </w:p>
    <w:p>
      <w:pPr>
        <w:spacing w:after="0" w:line="200" w:lineRule="exact"/>
        <w:rPr>
          <w:sz w:val="20"/>
          <w:szCs w:val="20"/>
          <w:color w:val="auto"/>
        </w:rPr>
      </w:pPr>
    </w:p>
    <w:p>
      <w:pPr>
        <w:spacing w:after="0" w:line="276"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7620</wp:posOffset>
            </wp:positionV>
            <wp:extent cx="32499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100"/>
        <w:spacing w:after="0"/>
        <w:tabs>
          <w:tab w:leader="none" w:pos="6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Ronnie Glenn</w:t>
      </w:r>
    </w:p>
    <w:p>
      <w:pPr>
        <w:ind w:left="5100"/>
        <w:spacing w:after="0"/>
        <w:tabs>
          <w:tab w:leader="none" w:pos="6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BNP Paribas, as a Lender</w:t>
      </w:r>
    </w:p>
    <w:p>
      <w:pPr>
        <w:spacing w:after="0" w:line="200" w:lineRule="exact"/>
        <w:rPr>
          <w:sz w:val="20"/>
          <w:szCs w:val="20"/>
          <w:color w:val="auto"/>
        </w:rPr>
      </w:pPr>
    </w:p>
    <w:p>
      <w:pPr>
        <w:spacing w:after="0" w:line="276"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Michael Pearce</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Michael Pearce</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Managing Director</w:t>
            </w:r>
          </w:p>
        </w:tc>
      </w:tr>
      <w:tr>
        <w:trPr>
          <w:trHeight w:val="476"/>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Michael Hoffman</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Michael Hoffman</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3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HSBC Bank USA, N.A., as a Lender</w:t>
      </w:r>
    </w:p>
    <w:p>
      <w:pPr>
        <w:sectPr>
          <w:pgSz w:w="11900" w:h="16838" w:orient="portrait"/>
          <w:cols w:equalWidth="0" w:num="1">
            <w:col w:w="10220"/>
          </w:cols>
          <w:pgMar w:left="1440" w:top="132" w:right="239" w:bottom="0" w:gutter="0" w:footer="0" w:header="0"/>
          <w:type w:val="continuous"/>
        </w:sectPr>
      </w:pPr>
    </w:p>
    <w:bookmarkStart w:id="54" w:name="page55"/>
    <w:bookmarkEnd w:id="54"/>
    <w:p>
      <w:pPr>
        <w:ind w:left="4520"/>
        <w:spacing w:after="0"/>
        <w:tabs>
          <w:tab w:leader="none" w:pos="5080" w:val="left"/>
        </w:tabs>
        <w:rPr>
          <w:sz w:val="20"/>
          <w:szCs w:val="20"/>
          <w:color w:val="auto"/>
        </w:rPr>
      </w:pPr>
      <w:r>
        <w:rPr>
          <w:rFonts w:ascii="Arial" w:cs="Arial" w:eastAsia="Arial" w:hAnsi="Arial"/>
          <w:sz w:val="22"/>
          <w:szCs w:val="22"/>
          <w:color w:val="auto"/>
        </w:rPr>
        <w:t>By:</w:t>
        <w:tab/>
        <w:t>/s/ Alan Vitulich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7620</wp:posOffset>
            </wp:positionV>
            <wp:extent cx="32499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100"/>
        <w:spacing w:after="0"/>
        <w:tabs>
          <w:tab w:leader="none" w:pos="6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Alan Vitulich</w:t>
      </w:r>
    </w:p>
    <w:p>
      <w:pPr>
        <w:ind w:left="5100"/>
        <w:spacing w:after="0"/>
        <w:tabs>
          <w:tab w:leader="none" w:pos="6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GOLDMAN SACHS BANK USA, as a Lender</w:t>
      </w:r>
    </w:p>
    <w:p>
      <w:pPr>
        <w:spacing w:after="0" w:line="200" w:lineRule="exact"/>
        <w:rPr>
          <w:sz w:val="20"/>
          <w:szCs w:val="20"/>
          <w:color w:val="auto"/>
        </w:rPr>
      </w:pPr>
    </w:p>
    <w:p>
      <w:pPr>
        <w:spacing w:after="0" w:line="276"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Annie Carr</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Annie Carr</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Citibank N.A., as a Lender</w:t>
      </w:r>
    </w:p>
    <w:p>
      <w:pPr>
        <w:spacing w:after="0" w:line="200" w:lineRule="exact"/>
        <w:rPr>
          <w:sz w:val="20"/>
          <w:szCs w:val="20"/>
          <w:color w:val="auto"/>
        </w:rPr>
      </w:pPr>
    </w:p>
    <w:p>
      <w:pPr>
        <w:spacing w:after="0" w:line="276"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Eugene Yermash</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Eugene Yermash</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260"/>
        <w:spacing w:after="0"/>
        <w:rPr>
          <w:sz w:val="20"/>
          <w:szCs w:val="20"/>
          <w:color w:val="auto"/>
        </w:rPr>
      </w:pPr>
      <w:r>
        <w:rPr>
          <w:rFonts w:ascii="Arial" w:cs="Arial" w:eastAsia="Arial" w:hAnsi="Arial"/>
          <w:sz w:val="22"/>
          <w:szCs w:val="22"/>
          <w:color w:val="auto"/>
        </w:rPr>
        <w:t>DEUTSCHE BANK AG NEW YORK BRANCH, as a Lender</w:t>
      </w:r>
    </w:p>
    <w:p>
      <w:pPr>
        <w:spacing w:after="0" w:line="200" w:lineRule="exact"/>
        <w:rPr>
          <w:sz w:val="20"/>
          <w:szCs w:val="20"/>
          <w:color w:val="auto"/>
        </w:rPr>
      </w:pPr>
    </w:p>
    <w:p>
      <w:pPr>
        <w:spacing w:after="0" w:line="276"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Ming K. Chu</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Ming K. Chu</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Director</w:t>
            </w:r>
          </w:p>
        </w:tc>
      </w:tr>
      <w:tr>
        <w:trPr>
          <w:trHeight w:val="719"/>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Virginia Cosenza</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Virginia Cosenza</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229870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SOCIETE GENERALE, as a Lender</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Joseph Moreno</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Joseph Moreno</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Managing Director</w:t>
            </w:r>
          </w:p>
        </w:tc>
      </w:tr>
    </w:tbl>
    <w:p>
      <w:pPr>
        <w:sectPr>
          <w:pgSz w:w="11900" w:h="16838" w:orient="portrait"/>
          <w:cols w:equalWidth="0" w:num="1">
            <w:col w:w="10220"/>
          </w:cols>
          <w:pgMar w:left="1440" w:top="604" w:right="239" w:bottom="26" w:gutter="0" w:footer="0" w:header="0"/>
        </w:sectPr>
      </w:pPr>
    </w:p>
    <w:bookmarkStart w:id="55" w:name="page56"/>
    <w:bookmarkEnd w:id="55"/>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Mizuho Bank, Ltd., as a Lender</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Donna DeMagistris</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Donna DeMagistris</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6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MUFG Bank, Ltd., as a Lender</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Kevin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7620</wp:posOffset>
            </wp:positionV>
            <wp:extent cx="32499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100"/>
        <w:spacing w:after="0"/>
        <w:tabs>
          <w:tab w:leader="none" w:pos="6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Kevin Wood</w:t>
      </w:r>
    </w:p>
    <w:p>
      <w:pPr>
        <w:ind w:left="5100"/>
        <w:spacing w:after="0"/>
        <w:tabs>
          <w:tab w:leader="none" w:pos="6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Wells Fargo Bank, National Association, as a Lender</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Jordan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7620</wp:posOffset>
            </wp:positionV>
            <wp:extent cx="32499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100"/>
        <w:spacing w:after="0"/>
        <w:tabs>
          <w:tab w:leader="none" w:pos="6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Jordan Harris</w:t>
      </w:r>
    </w:p>
    <w:p>
      <w:pPr>
        <w:ind w:left="5100"/>
        <w:spacing w:after="0"/>
        <w:tabs>
          <w:tab w:leader="none" w:pos="6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right="380"/>
        <w:spacing w:after="0" w:line="251" w:lineRule="auto"/>
        <w:rPr>
          <w:sz w:val="20"/>
          <w:szCs w:val="20"/>
          <w:color w:val="auto"/>
        </w:rPr>
      </w:pPr>
      <w:r>
        <w:rPr>
          <w:rFonts w:ascii="Arial" w:cs="Arial" w:eastAsia="Arial" w:hAnsi="Arial"/>
          <w:sz w:val="22"/>
          <w:szCs w:val="22"/>
          <w:color w:val="auto"/>
        </w:rPr>
        <w:t>CREDIT SUISSE AG, CAYMAN ISLANDS BRANCH, as a Lender</w:t>
      </w:r>
    </w:p>
    <w:p>
      <w:pPr>
        <w:spacing w:after="0" w:line="389"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John Toronto</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John Toronto</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Authorized Signatory</w:t>
            </w:r>
          </w:p>
        </w:tc>
      </w:tr>
      <w:tr>
        <w:trPr>
          <w:trHeight w:val="449"/>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D. Andrew Maletta</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D. Andrew Maletta</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ROYAL BANK OF CANADA, as a Lender</w:t>
      </w:r>
    </w:p>
    <w:p>
      <w:pPr>
        <w:sectPr>
          <w:pgSz w:w="11900" w:h="16838" w:orient="portrait"/>
          <w:cols w:equalWidth="0" w:num="1">
            <w:col w:w="10220"/>
          </w:cols>
          <w:pgMar w:left="1440" w:top="375" w:right="239" w:bottom="0" w:gutter="0" w:footer="0" w:header="0"/>
        </w:sectPr>
      </w:pPr>
    </w:p>
    <w:bookmarkStart w:id="56" w:name="page57"/>
    <w:bookmarkEnd w:id="56"/>
    <w:p>
      <w:pPr>
        <w:ind w:left="4520"/>
        <w:spacing w:after="0"/>
        <w:tabs>
          <w:tab w:leader="none" w:pos="5080" w:val="left"/>
        </w:tabs>
        <w:rPr>
          <w:sz w:val="20"/>
          <w:szCs w:val="20"/>
          <w:color w:val="auto"/>
        </w:rPr>
      </w:pPr>
      <w:r>
        <w:rPr>
          <w:rFonts w:ascii="Arial" w:cs="Arial" w:eastAsia="Arial" w:hAnsi="Arial"/>
          <w:sz w:val="22"/>
          <w:szCs w:val="22"/>
          <w:color w:val="auto"/>
        </w:rPr>
        <w:t>By:</w:t>
        <w:tab/>
        <w:t>/s/ Kevin Bemben</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Kevin Bemben</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SANTANDER BANK, N.A., as a Lender</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Xavier Ruiz Sena</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Xavier Ruiz Sena</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820"/>
        <w:spacing w:after="0"/>
        <w:rPr>
          <w:sz w:val="20"/>
          <w:szCs w:val="20"/>
          <w:color w:val="auto"/>
        </w:rPr>
      </w:pPr>
      <w:r>
        <w:rPr>
          <w:rFonts w:ascii="Arial" w:cs="Arial" w:eastAsia="Arial" w:hAnsi="Arial"/>
          <w:sz w:val="22"/>
          <w:szCs w:val="22"/>
          <w:color w:val="auto"/>
        </w:rPr>
        <w:t>U.S. Bank National Association, as a Lender</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David C. Mruk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7620</wp:posOffset>
            </wp:positionV>
            <wp:extent cx="32499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100"/>
        <w:spacing w:after="0"/>
        <w:tabs>
          <w:tab w:leader="none" w:pos="6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David C. Mruk</w:t>
      </w:r>
    </w:p>
    <w:p>
      <w:pPr>
        <w:ind w:left="5100"/>
        <w:spacing w:after="0"/>
        <w:tabs>
          <w:tab w:leader="none" w:pos="6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SVP</w:t>
      </w:r>
    </w:p>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DNB Capital LLC, as a Lender</w:t>
      </w:r>
    </w:p>
    <w:p>
      <w:pPr>
        <w:spacing w:after="0" w:line="200" w:lineRule="exact"/>
        <w:rPr>
          <w:sz w:val="20"/>
          <w:szCs w:val="20"/>
          <w:color w:val="auto"/>
        </w:rPr>
      </w:pPr>
    </w:p>
    <w:p>
      <w:pPr>
        <w:spacing w:after="0" w:line="222"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Philip F. Kurpiewski</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Philip F. Kurpiewski</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Senior Vice President</w:t>
            </w:r>
          </w:p>
        </w:tc>
      </w:tr>
      <w:tr>
        <w:trPr>
          <w:trHeight w:val="449"/>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Kristi Birkeland Sorenson</w:t>
            </w:r>
          </w:p>
        </w:tc>
      </w:tr>
      <w:tr>
        <w:trPr>
          <w:trHeight w:val="215"/>
        </w:trPr>
        <w:tc>
          <w:tcPr>
            <w:tcW w:w="580" w:type="dxa"/>
            <w:vAlign w:val="bottom"/>
          </w:tcPr>
          <w:p>
            <w:pPr>
              <w:spacing w:after="0"/>
              <w:rPr>
                <w:sz w:val="18"/>
                <w:szCs w:val="18"/>
                <w:color w:val="auto"/>
              </w:rPr>
            </w:pPr>
          </w:p>
        </w:tc>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ind w:left="180"/>
              <w:spacing w:after="0" w:line="216" w:lineRule="exact"/>
              <w:rPr>
                <w:sz w:val="20"/>
                <w:szCs w:val="20"/>
                <w:color w:val="auto"/>
              </w:rPr>
            </w:pPr>
            <w:r>
              <w:rPr>
                <w:rFonts w:ascii="Arial" w:cs="Arial" w:eastAsia="Arial" w:hAnsi="Arial"/>
                <w:sz w:val="22"/>
                <w:szCs w:val="22"/>
                <w:color w:val="auto"/>
              </w:rPr>
              <w:t>Kristi Birkeland Sorenson</w:t>
            </w:r>
          </w:p>
        </w:tc>
      </w:tr>
      <w:tr>
        <w:trPr>
          <w:trHeight w:val="243"/>
        </w:trPr>
        <w:tc>
          <w:tcPr>
            <w:tcW w:w="580" w:type="dxa"/>
            <w:vAlign w:val="bottom"/>
          </w:tcPr>
          <w:p>
            <w:pPr>
              <w:spacing w:after="0"/>
              <w:rPr>
                <w:sz w:val="21"/>
                <w:szCs w:val="21"/>
                <w:color w:val="auto"/>
              </w:rPr>
            </w:pPr>
          </w:p>
        </w:tc>
        <w:tc>
          <w:tcPr>
            <w:tcW w:w="7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line="243" w:lineRule="exact"/>
              <w:rPr>
                <w:sz w:val="20"/>
                <w:szCs w:val="20"/>
                <w:color w:val="auto"/>
              </w:rPr>
            </w:pPr>
            <w:r>
              <w:rPr>
                <w:rFonts w:ascii="Arial" w:cs="Arial" w:eastAsia="Arial" w:hAnsi="Arial"/>
                <w:sz w:val="22"/>
                <w:szCs w:val="22"/>
                <w:color w:val="auto"/>
              </w:rPr>
              <w:t>Senior Vice President</w:t>
            </w:r>
          </w:p>
        </w:tc>
      </w:tr>
      <w:tr>
        <w:trPr>
          <w:trHeight w:val="275"/>
        </w:trPr>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360" w:type="dxa"/>
            <w:vAlign w:val="bottom"/>
          </w:tcPr>
          <w:p>
            <w:pPr>
              <w:ind w:left="180"/>
              <w:spacing w:after="0"/>
              <w:rPr>
                <w:sz w:val="20"/>
                <w:szCs w:val="20"/>
                <w:color w:val="auto"/>
              </w:rPr>
            </w:pPr>
            <w:r>
              <w:rPr>
                <w:rFonts w:ascii="Arial" w:cs="Arial" w:eastAsia="Arial" w:hAnsi="Arial"/>
                <w:sz w:val="22"/>
                <w:szCs w:val="22"/>
                <w:color w:val="auto"/>
              </w:rPr>
              <w:t>Head of Corporate Banking</w:t>
            </w:r>
          </w:p>
        </w:tc>
      </w:tr>
    </w:tbl>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212725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Lloyds Bank plc, as a Lender</w:t>
      </w:r>
    </w:p>
    <w:p>
      <w:pPr>
        <w:spacing w:after="0" w:line="200" w:lineRule="exact"/>
        <w:rPr>
          <w:sz w:val="20"/>
          <w:szCs w:val="20"/>
          <w:color w:val="auto"/>
        </w:rPr>
      </w:pPr>
    </w:p>
    <w:p>
      <w:pPr>
        <w:spacing w:after="0" w:line="222"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22"/>
          <w:szCs w:val="22"/>
          <w:color w:val="auto"/>
        </w:rPr>
        <w:t>By:</w:t>
        <w:tab/>
        <w:t>/s/ Tina Wong</w:t>
      </w:r>
    </w:p>
    <w:p>
      <w:pPr>
        <w:spacing w:after="0" w:line="12" w:lineRule="exact"/>
        <w:rPr>
          <w:sz w:val="20"/>
          <w:szCs w:val="20"/>
          <w:color w:val="auto"/>
        </w:rPr>
      </w:pPr>
    </w:p>
    <w:tbl>
      <w:tblPr>
        <w:tblLayout w:type="fixed"/>
        <w:tblInd w:w="51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Tina Wong</w:t>
            </w:r>
          </w:p>
        </w:tc>
      </w:tr>
      <w:tr>
        <w:trPr>
          <w:trHeight w:val="243"/>
        </w:trPr>
        <w:tc>
          <w:tcPr>
            <w:tcW w:w="7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line="243" w:lineRule="exact"/>
              <w:rPr>
                <w:sz w:val="20"/>
                <w:szCs w:val="20"/>
                <w:color w:val="auto"/>
              </w:rPr>
            </w:pPr>
            <w:r>
              <w:rPr>
                <w:rFonts w:ascii="Arial" w:cs="Arial" w:eastAsia="Arial" w:hAnsi="Arial"/>
                <w:sz w:val="22"/>
                <w:szCs w:val="22"/>
                <w:color w:val="auto"/>
              </w:rPr>
              <w:t>Assistant Manager</w:t>
            </w:r>
          </w:p>
        </w:tc>
      </w:tr>
      <w:tr>
        <w:trPr>
          <w:trHeight w:val="243"/>
        </w:trPr>
        <w:tc>
          <w:tcPr>
            <w:tcW w:w="760" w:type="dxa"/>
            <w:vAlign w:val="bottom"/>
          </w:tcPr>
          <w:p>
            <w:pPr>
              <w:spacing w:after="0"/>
              <w:rPr>
                <w:sz w:val="21"/>
                <w:szCs w:val="21"/>
                <w:color w:val="auto"/>
              </w:rPr>
            </w:pPr>
          </w:p>
        </w:tc>
        <w:tc>
          <w:tcPr>
            <w:tcW w:w="4360" w:type="dxa"/>
            <w:vAlign w:val="bottom"/>
          </w:tcPr>
          <w:p>
            <w:pPr>
              <w:ind w:left="180"/>
              <w:spacing w:after="0" w:line="243" w:lineRule="exact"/>
              <w:rPr>
                <w:sz w:val="20"/>
                <w:szCs w:val="20"/>
                <w:color w:val="auto"/>
              </w:rPr>
            </w:pPr>
            <w:r>
              <w:rPr>
                <w:rFonts w:ascii="Arial" w:cs="Arial" w:eastAsia="Arial" w:hAnsi="Arial"/>
                <w:sz w:val="22"/>
                <w:szCs w:val="22"/>
                <w:color w:val="auto"/>
              </w:rPr>
              <w:t>Transaction Execution</w:t>
            </w:r>
          </w:p>
        </w:tc>
      </w:tr>
      <w:tr>
        <w:trPr>
          <w:trHeight w:val="243"/>
        </w:trPr>
        <w:tc>
          <w:tcPr>
            <w:tcW w:w="760" w:type="dxa"/>
            <w:vAlign w:val="bottom"/>
          </w:tcPr>
          <w:p>
            <w:pPr>
              <w:spacing w:after="0"/>
              <w:rPr>
                <w:sz w:val="21"/>
                <w:szCs w:val="21"/>
                <w:color w:val="auto"/>
              </w:rPr>
            </w:pPr>
          </w:p>
        </w:tc>
        <w:tc>
          <w:tcPr>
            <w:tcW w:w="4360" w:type="dxa"/>
            <w:vAlign w:val="bottom"/>
          </w:tcPr>
          <w:p>
            <w:pPr>
              <w:ind w:left="180"/>
              <w:spacing w:after="0" w:line="243" w:lineRule="exact"/>
              <w:rPr>
                <w:sz w:val="20"/>
                <w:szCs w:val="20"/>
                <w:color w:val="auto"/>
              </w:rPr>
            </w:pPr>
            <w:r>
              <w:rPr>
                <w:rFonts w:ascii="Arial" w:cs="Arial" w:eastAsia="Arial" w:hAnsi="Arial"/>
                <w:sz w:val="22"/>
                <w:szCs w:val="22"/>
                <w:color w:val="auto"/>
              </w:rPr>
              <w:t>Category A</w:t>
            </w:r>
          </w:p>
        </w:tc>
      </w:tr>
      <w:tr>
        <w:trPr>
          <w:trHeight w:val="275"/>
        </w:trPr>
        <w:tc>
          <w:tcPr>
            <w:tcW w:w="760" w:type="dxa"/>
            <w:vAlign w:val="bottom"/>
          </w:tcPr>
          <w:p>
            <w:pPr>
              <w:spacing w:after="0"/>
              <w:rPr>
                <w:sz w:val="23"/>
                <w:szCs w:val="23"/>
                <w:color w:val="auto"/>
              </w:rPr>
            </w:pPr>
          </w:p>
        </w:tc>
        <w:tc>
          <w:tcPr>
            <w:tcW w:w="4360" w:type="dxa"/>
            <w:vAlign w:val="bottom"/>
          </w:tcPr>
          <w:p>
            <w:pPr>
              <w:ind w:left="180"/>
              <w:spacing w:after="0"/>
              <w:rPr>
                <w:sz w:val="20"/>
                <w:szCs w:val="20"/>
                <w:color w:val="auto"/>
              </w:rPr>
            </w:pPr>
            <w:r>
              <w:rPr>
                <w:rFonts w:ascii="Arial" w:cs="Arial" w:eastAsia="Arial" w:hAnsi="Arial"/>
                <w:sz w:val="22"/>
                <w:szCs w:val="22"/>
                <w:color w:val="auto"/>
              </w:rPr>
              <w:t>W011</w:t>
            </w:r>
          </w:p>
        </w:tc>
      </w:tr>
    </w:tbl>
    <w:p>
      <w:pPr>
        <w:sectPr>
          <w:pgSz w:w="11900" w:h="16838" w:orient="portrait"/>
          <w:cols w:equalWidth="0" w:num="1">
            <w:col w:w="10220"/>
          </w:cols>
          <w:pgMar w:left="1440" w:top="334" w:right="239" w:bottom="107" w:gutter="0" w:footer="0" w:header="0"/>
        </w:sectPr>
      </w:pPr>
    </w:p>
    <w:bookmarkStart w:id="57" w:name="page58"/>
    <w:bookmarkEnd w:id="57"/>
    <w:p>
      <w:pPr>
        <w:ind w:left="5720"/>
        <w:spacing w:after="0"/>
        <w:tabs>
          <w:tab w:leader="none" w:pos="6280" w:val="left"/>
        </w:tabs>
        <w:rPr>
          <w:sz w:val="20"/>
          <w:szCs w:val="20"/>
          <w:color w:val="auto"/>
        </w:rPr>
      </w:pPr>
      <w:r>
        <w:rPr>
          <w:rFonts w:ascii="Arial" w:cs="Arial" w:eastAsia="Arial" w:hAnsi="Arial"/>
          <w:sz w:val="22"/>
          <w:szCs w:val="22"/>
          <w:color w:val="auto"/>
        </w:rPr>
        <w:t>By:</w:t>
        <w:tab/>
        <w:t>/s/ Jennifer Larrow</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8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20" w:type="dxa"/>
            <w:vAlign w:val="bottom"/>
            <w:tcBorders>
              <w:top w:val="single" w:sz="8" w:color="auto"/>
            </w:tcBorders>
          </w:tcPr>
          <w:p>
            <w:pPr>
              <w:ind w:left="140"/>
              <w:spacing w:after="0" w:line="216" w:lineRule="exact"/>
              <w:rPr>
                <w:sz w:val="20"/>
                <w:szCs w:val="20"/>
                <w:color w:val="auto"/>
              </w:rPr>
            </w:pPr>
            <w:r>
              <w:rPr>
                <w:rFonts w:ascii="Arial" w:cs="Arial" w:eastAsia="Arial" w:hAnsi="Arial"/>
                <w:sz w:val="22"/>
                <w:szCs w:val="22"/>
                <w:color w:val="auto"/>
              </w:rPr>
              <w:t>Jennifer Larrow</w:t>
            </w:r>
          </w:p>
        </w:tc>
        <w:tc>
          <w:tcPr>
            <w:tcW w:w="40" w:type="dxa"/>
            <w:vAlign w:val="bottom"/>
          </w:tcPr>
          <w:p>
            <w:pPr>
              <w:spacing w:after="0"/>
              <w:rPr>
                <w:sz w:val="18"/>
                <w:szCs w:val="18"/>
                <w:color w:val="auto"/>
              </w:rPr>
            </w:pPr>
          </w:p>
        </w:tc>
      </w:tr>
      <w:tr>
        <w:trPr>
          <w:trHeight w:val="243"/>
        </w:trPr>
        <w:tc>
          <w:tcPr>
            <w:tcW w:w="6300" w:type="dxa"/>
            <w:vAlign w:val="bottom"/>
          </w:tcPr>
          <w:p>
            <w:pPr>
              <w:spacing w:after="0"/>
              <w:rPr>
                <w:sz w:val="21"/>
                <w:szCs w:val="21"/>
                <w:color w:val="auto"/>
              </w:rPr>
            </w:pPr>
          </w:p>
        </w:tc>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320" w:type="dxa"/>
            <w:vAlign w:val="bottom"/>
          </w:tcPr>
          <w:p>
            <w:pPr>
              <w:ind w:left="140"/>
              <w:spacing w:after="0" w:line="243" w:lineRule="exact"/>
              <w:rPr>
                <w:sz w:val="20"/>
                <w:szCs w:val="20"/>
                <w:color w:val="auto"/>
              </w:rPr>
            </w:pPr>
            <w:r>
              <w:rPr>
                <w:rFonts w:ascii="Arial" w:cs="Arial" w:eastAsia="Arial" w:hAnsi="Arial"/>
                <w:sz w:val="22"/>
                <w:szCs w:val="22"/>
                <w:color w:val="auto"/>
              </w:rPr>
              <w:t>Assistant Manager</w:t>
            </w:r>
          </w:p>
        </w:tc>
        <w:tc>
          <w:tcPr>
            <w:tcW w:w="40" w:type="dxa"/>
            <w:vAlign w:val="bottom"/>
          </w:tcPr>
          <w:p>
            <w:pPr>
              <w:spacing w:after="0"/>
              <w:rPr>
                <w:sz w:val="21"/>
                <w:szCs w:val="21"/>
                <w:color w:val="auto"/>
              </w:rPr>
            </w:pPr>
          </w:p>
        </w:tc>
      </w:tr>
      <w:tr>
        <w:trPr>
          <w:trHeight w:val="243"/>
        </w:trPr>
        <w:tc>
          <w:tcPr>
            <w:tcW w:w="6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320" w:type="dxa"/>
            <w:vAlign w:val="bottom"/>
          </w:tcPr>
          <w:p>
            <w:pPr>
              <w:ind w:left="140"/>
              <w:spacing w:after="0" w:line="243" w:lineRule="exact"/>
              <w:rPr>
                <w:sz w:val="20"/>
                <w:szCs w:val="20"/>
                <w:color w:val="auto"/>
              </w:rPr>
            </w:pPr>
            <w:r>
              <w:rPr>
                <w:rFonts w:ascii="Arial" w:cs="Arial" w:eastAsia="Arial" w:hAnsi="Arial"/>
                <w:sz w:val="22"/>
                <w:szCs w:val="22"/>
                <w:color w:val="auto"/>
              </w:rPr>
              <w:t>Transaction Execution</w:t>
            </w:r>
          </w:p>
        </w:tc>
        <w:tc>
          <w:tcPr>
            <w:tcW w:w="40" w:type="dxa"/>
            <w:vAlign w:val="bottom"/>
          </w:tcPr>
          <w:p>
            <w:pPr>
              <w:spacing w:after="0"/>
              <w:rPr>
                <w:sz w:val="21"/>
                <w:szCs w:val="21"/>
                <w:color w:val="auto"/>
              </w:rPr>
            </w:pPr>
          </w:p>
        </w:tc>
      </w:tr>
      <w:tr>
        <w:trPr>
          <w:trHeight w:val="243"/>
        </w:trPr>
        <w:tc>
          <w:tcPr>
            <w:tcW w:w="6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320" w:type="dxa"/>
            <w:vAlign w:val="bottom"/>
          </w:tcPr>
          <w:p>
            <w:pPr>
              <w:ind w:left="140"/>
              <w:spacing w:after="0" w:line="243" w:lineRule="exact"/>
              <w:rPr>
                <w:sz w:val="20"/>
                <w:szCs w:val="20"/>
                <w:color w:val="auto"/>
              </w:rPr>
            </w:pPr>
            <w:r>
              <w:rPr>
                <w:rFonts w:ascii="Arial" w:cs="Arial" w:eastAsia="Arial" w:hAnsi="Arial"/>
                <w:sz w:val="22"/>
                <w:szCs w:val="22"/>
                <w:color w:val="auto"/>
              </w:rPr>
              <w:t>Category A</w:t>
            </w:r>
          </w:p>
        </w:tc>
        <w:tc>
          <w:tcPr>
            <w:tcW w:w="40" w:type="dxa"/>
            <w:vAlign w:val="bottom"/>
          </w:tcPr>
          <w:p>
            <w:pPr>
              <w:spacing w:after="0"/>
              <w:rPr>
                <w:sz w:val="21"/>
                <w:szCs w:val="21"/>
                <w:color w:val="auto"/>
              </w:rPr>
            </w:pPr>
          </w:p>
        </w:tc>
      </w:tr>
      <w:tr>
        <w:trPr>
          <w:trHeight w:val="275"/>
        </w:trPr>
        <w:tc>
          <w:tcPr>
            <w:tcW w:w="6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320" w:type="dxa"/>
            <w:vAlign w:val="bottom"/>
          </w:tcPr>
          <w:p>
            <w:pPr>
              <w:ind w:left="140"/>
              <w:spacing w:after="0"/>
              <w:rPr>
                <w:sz w:val="20"/>
                <w:szCs w:val="20"/>
                <w:color w:val="auto"/>
              </w:rPr>
            </w:pPr>
            <w:r>
              <w:rPr>
                <w:rFonts w:ascii="Arial" w:cs="Arial" w:eastAsia="Arial" w:hAnsi="Arial"/>
                <w:sz w:val="22"/>
                <w:szCs w:val="22"/>
                <w:color w:val="auto"/>
              </w:rPr>
              <w:t>L003</w:t>
            </w:r>
          </w:p>
        </w:tc>
        <w:tc>
          <w:tcPr>
            <w:tcW w:w="40" w:type="dxa"/>
            <w:vAlign w:val="bottom"/>
          </w:tcPr>
          <w:p>
            <w:pPr>
              <w:spacing w:after="0"/>
              <w:rPr>
                <w:sz w:val="23"/>
                <w:szCs w:val="23"/>
                <w:color w:val="auto"/>
              </w:rPr>
            </w:pPr>
          </w:p>
        </w:tc>
      </w:tr>
      <w:tr>
        <w:trPr>
          <w:trHeight w:val="657"/>
        </w:trPr>
        <w:tc>
          <w:tcPr>
            <w:tcW w:w="7100" w:type="dxa"/>
            <w:vAlign w:val="bottom"/>
            <w:gridSpan w:val="2"/>
          </w:tcPr>
          <w:p>
            <w:pPr>
              <w:jc w:val="center"/>
              <w:ind w:left="4232"/>
              <w:spacing w:after="0"/>
              <w:rPr>
                <w:sz w:val="20"/>
                <w:szCs w:val="20"/>
                <w:color w:val="auto"/>
              </w:rPr>
            </w:pPr>
            <w:r>
              <w:rPr>
                <w:rFonts w:ascii="Arial" w:cs="Arial" w:eastAsia="Arial" w:hAnsi="Arial"/>
                <w:sz w:val="22"/>
                <w:szCs w:val="22"/>
                <w:color w:val="auto"/>
                <w:w w:val="86"/>
              </w:rPr>
              <w:t>Signature Page to</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7100" w:type="dxa"/>
            <w:vAlign w:val="bottom"/>
            <w:gridSpan w:val="2"/>
          </w:tcPr>
          <w:p>
            <w:pPr>
              <w:jc w:val="center"/>
              <w:ind w:left="4212"/>
              <w:spacing w:after="0"/>
              <w:rPr>
                <w:sz w:val="20"/>
                <w:szCs w:val="20"/>
                <w:color w:val="auto"/>
              </w:rPr>
            </w:pPr>
            <w:r>
              <w:rPr>
                <w:rFonts w:ascii="Arial" w:cs="Arial" w:eastAsia="Arial" w:hAnsi="Arial"/>
                <w:sz w:val="22"/>
                <w:szCs w:val="22"/>
                <w:color w:val="auto"/>
                <w:w w:val="90"/>
              </w:rPr>
              <w:t>Revolving Credit Agreement</w:t>
            </w:r>
          </w:p>
        </w:tc>
        <w:tc>
          <w:tcPr>
            <w:tcW w:w="43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24"/>
        </w:trPr>
        <w:tc>
          <w:tcPr>
            <w:tcW w:w="6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THE NORTHEAST TRUST COMPANY, as a Lender</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2"/>
          <w:szCs w:val="22"/>
          <w:color w:val="auto"/>
        </w:rPr>
        <w:t>By:</w:t>
        <w:tab/>
        <w:t>/s/ John Lascody</w:t>
      </w:r>
    </w:p>
    <w:p>
      <w:pPr>
        <w:spacing w:after="0" w:line="12" w:lineRule="exact"/>
        <w:rPr>
          <w:sz w:val="20"/>
          <w:szCs w:val="20"/>
          <w:color w:val="auto"/>
        </w:rPr>
      </w:pPr>
    </w:p>
    <w:tbl>
      <w:tblPr>
        <w:tblLayout w:type="fixed"/>
        <w:tblInd w:w="630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John Lascody</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18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7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This FIRST AMENDMENT, dated as of August 31, 2018 (this “</w:t>
      </w:r>
      <w:r>
        <w:rPr>
          <w:rFonts w:ascii="Arial" w:cs="Arial" w:eastAsia="Arial" w:hAnsi="Arial"/>
          <w:sz w:val="19"/>
          <w:szCs w:val="19"/>
          <w:u w:val="single" w:color="auto"/>
          <w:color w:val="auto"/>
        </w:rPr>
        <w:t>Amendment Agreement</w:t>
      </w:r>
      <w:r>
        <w:rPr>
          <w:rFonts w:ascii="Arial" w:cs="Arial" w:eastAsia="Arial" w:hAnsi="Arial"/>
          <w:sz w:val="19"/>
          <w:szCs w:val="19"/>
          <w:color w:val="auto"/>
        </w:rPr>
        <w:t>”), to that certain 364-Day Term Loan Credit Agreement, dated as of May 17, 2018 (as amended from time to time prior to the date hereof, the “</w:t>
      </w:r>
      <w:r>
        <w:rPr>
          <w:rFonts w:ascii="Arial" w:cs="Arial" w:eastAsia="Arial" w:hAnsi="Arial"/>
          <w:sz w:val="19"/>
          <w:szCs w:val="19"/>
          <w:u w:val="single" w:color="auto"/>
          <w:color w:val="auto"/>
        </w:rPr>
        <w:t>Existing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the Existing Credit Agreement as amended by the Amendments (as defined below), the “</w:t>
      </w:r>
      <w:r>
        <w:rPr>
          <w:rFonts w:ascii="Arial" w:cs="Arial" w:eastAsia="Arial" w:hAnsi="Arial"/>
          <w:sz w:val="19"/>
          <w:szCs w:val="19"/>
          <w:u w:val="single" w:color="auto"/>
          <w:color w:val="auto"/>
        </w:rPr>
        <w:t>Amended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AbbVie Inc., as Borrower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Bank of America,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is made by and among the Borrower, the Lenders and the Administrative Agent. Unless otherwise defined herein, terms defined in the Amended Credit Agreement and used herein shall have the meanings given to them in the Amended Credit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Borrower has requested certain amendments to the Existing Credit Agreement;</w:t>
      </w:r>
    </w:p>
    <w:p>
      <w:pPr>
        <w:spacing w:after="0" w:line="233"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WHEREAS, in order to effect the requested amendments, the Borrower and the Lenders desire to amend, as of the Amendment Effective Date (as defined below), the Existing Credit Agreement, subject to the terms and conditions set forth herein;</w:t>
      </w:r>
    </w:p>
    <w:p>
      <w:pPr>
        <w:spacing w:after="0" w:line="132"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200"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b w:val="1"/>
          <w:bCs w:val="1"/>
          <w:i w:val="1"/>
          <w:iCs w:val="1"/>
          <w:color w:val="auto"/>
        </w:rPr>
        <w:t>Section 1</w:t>
      </w:r>
      <w:r>
        <w:rPr>
          <w:rFonts w:ascii="Arial" w:cs="Arial" w:eastAsia="Arial" w:hAnsi="Arial"/>
          <w:sz w:val="21"/>
          <w:szCs w:val="21"/>
          <w:i w:val="1"/>
          <w:iCs w:val="1"/>
          <w:color w:val="auto"/>
        </w:rPr>
        <w:t>. Amendment of the Existing Credit Agreement.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Each of the parties hereto agrees that, subject to the satisfaction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of the conditions set forth in Section 3 below, the Existing Credit Agreement shall be amended to delete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 xml:space="preserve">) and to add the double-underlined text (indicated textually in the same manner as the following example: </w:t>
      </w:r>
      <w:r>
        <w:rPr>
          <w:rFonts w:ascii="Arial" w:cs="Arial" w:eastAsia="Arial" w:hAnsi="Arial"/>
          <w:sz w:val="21"/>
          <w:szCs w:val="21"/>
          <w:u w:val="single" w:color="auto"/>
          <w:color w:val="0000FF"/>
        </w:rPr>
        <w:t>double-underlined text</w:t>
      </w:r>
      <w:r>
        <w:rPr>
          <w:rFonts w:ascii="Arial" w:cs="Arial" w:eastAsia="Arial" w:hAnsi="Arial"/>
          <w:sz w:val="21"/>
          <w:szCs w:val="21"/>
          <w:color w:val="auto"/>
        </w:rPr>
        <w:t>) as set forth in the pages of the Existing Credit Agreement attached as Exhibit A hereto (collectively, the “</w:t>
      </w:r>
      <w:r>
        <w:rPr>
          <w:rFonts w:ascii="Arial" w:cs="Arial" w:eastAsia="Arial" w:hAnsi="Arial"/>
          <w:sz w:val="21"/>
          <w:szCs w:val="21"/>
          <w:u w:val="single" w:color="auto"/>
          <w:color w:val="auto"/>
        </w:rPr>
        <w:t>Amendments</w:t>
      </w:r>
      <w:r>
        <w:rPr>
          <w:rFonts w:ascii="Arial" w:cs="Arial" w:eastAsia="Arial" w:hAnsi="Arial"/>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b w:val="1"/>
          <w:bCs w:val="1"/>
          <w:i w:val="1"/>
          <w:iCs w:val="1"/>
          <w:color w:val="auto"/>
        </w:rPr>
        <w:t>Section 2</w:t>
      </w:r>
      <w:r>
        <w:rPr>
          <w:rFonts w:ascii="Arial" w:cs="Arial" w:eastAsia="Arial" w:hAnsi="Arial"/>
          <w:sz w:val="21"/>
          <w:szCs w:val="21"/>
          <w:i w:val="1"/>
          <w:iCs w:val="1"/>
          <w:color w:val="auto"/>
        </w:rPr>
        <w:t>. Representations and Warranties.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induce the Administrative Agent and the Lenders to enter into this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Amendment Agreement, the Borrower hereby represents and warrants to the Administrative Agent and the Lenders that:</w:t>
      </w:r>
    </w:p>
    <w:p>
      <w:pPr>
        <w:spacing w:after="0" w:line="227" w:lineRule="exact"/>
        <w:rPr>
          <w:sz w:val="20"/>
          <w:szCs w:val="20"/>
          <w:color w:val="auto"/>
        </w:rPr>
      </w:pPr>
    </w:p>
    <w:p>
      <w:pPr>
        <w:ind w:right="740" w:firstLine="656"/>
        <w:spacing w:after="0" w:line="251" w:lineRule="auto"/>
        <w:tabs>
          <w:tab w:leader="none" w:pos="115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As of the Amendment Effective Date, no event has occurred and is continuing, or shall occur as a result of the occurrence of the Amendment Effective Date, that constitutes a Default.</w:t>
      </w:r>
    </w:p>
    <w:p>
      <w:pPr>
        <w:spacing w:after="0" w:line="200" w:lineRule="exact"/>
        <w:rPr>
          <w:rFonts w:ascii="Arial" w:cs="Arial" w:eastAsia="Arial" w:hAnsi="Arial"/>
          <w:sz w:val="22"/>
          <w:szCs w:val="22"/>
          <w:color w:val="auto"/>
        </w:rPr>
      </w:pPr>
    </w:p>
    <w:p>
      <w:pPr>
        <w:ind w:right="80" w:firstLine="656"/>
        <w:spacing w:after="0" w:line="246" w:lineRule="auto"/>
        <w:tabs>
          <w:tab w:leader="none" w:pos="117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Each of the representations and warranties of the Borrower set forth in Section 4.01 of the Amended Credit Agreement (other than the representations and warranties set forth in Section 4.01(f)) are true and correct in all material respects (except to the extent such representations and warranties are qualified with “materiality” or “Material Adverse Effect” or similar terms, in which case such representations and warranties are true and correct in all respects) on and as of the Amendment Effective Date, except to the extent any such representation or warranty is stated to relate solely to an earlier date, in which case such representation or warranty is true and correct in all material respects (except to the extent such representations and warranties are qualified with “materiality” or “Material Adverse Effect” or similar terms, in which case such representations and warranties are true and correct in all respects) on and as of such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40" w:firstLine="648"/>
        <w:spacing w:after="0" w:line="234" w:lineRule="auto"/>
        <w:rPr>
          <w:sz w:val="20"/>
          <w:szCs w:val="20"/>
          <w:color w:val="auto"/>
        </w:rPr>
      </w:pPr>
      <w:r>
        <w:rPr>
          <w:rFonts w:ascii="Arial" w:cs="Arial" w:eastAsia="Arial" w:hAnsi="Arial"/>
          <w:sz w:val="22"/>
          <w:szCs w:val="22"/>
          <w:b w:val="1"/>
          <w:bCs w:val="1"/>
          <w:i w:val="1"/>
          <w:iCs w:val="1"/>
          <w:color w:val="auto"/>
        </w:rPr>
        <w:t>Section 3</w:t>
      </w:r>
      <w:r>
        <w:rPr>
          <w:rFonts w:ascii="Arial" w:cs="Arial" w:eastAsia="Arial" w:hAnsi="Arial"/>
          <w:sz w:val="22"/>
          <w:szCs w:val="22"/>
          <w:i w:val="1"/>
          <w:iCs w:val="1"/>
          <w:color w:val="auto"/>
        </w:rPr>
        <w:t>. Effectiveness of this Amendment Agreement and the Amended Credit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effectiveness of this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Amendment Agreement and the amendment of the Existing Credit Agreement set forth herein are all subject to the Administrative Agent’s (or its counsel’s) receipt of either (x) a counterpart of this Amendment Agreement signed on behalf of the Borrower, the Administrative Agent and each Lender or (y) customary written evidence reasonably satisfactory to the Administrative Agent (which may include telecopy or electronic transmission of a signed signature page of this Amendment Agreement) that each such party has signed a counterpart of this Amendment Agreement (the date on which such condition shall first be satisfied,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Section 4</w:t>
      </w:r>
      <w:r>
        <w:rPr>
          <w:rFonts w:ascii="Arial" w:cs="Arial" w:eastAsia="Arial" w:hAnsi="Arial"/>
          <w:sz w:val="22"/>
          <w:szCs w:val="22"/>
          <w:i w:val="1"/>
          <w:iCs w:val="1"/>
          <w:color w:val="auto"/>
        </w:rPr>
        <w:t>. Effect of Amendment.</w:t>
      </w:r>
    </w:p>
    <w:p>
      <w:pPr>
        <w:spacing w:after="0" w:line="233" w:lineRule="exact"/>
        <w:rPr>
          <w:sz w:val="20"/>
          <w:szCs w:val="20"/>
          <w:color w:val="auto"/>
        </w:rPr>
      </w:pPr>
    </w:p>
    <w:p>
      <w:pPr>
        <w:ind w:right="100" w:firstLine="656"/>
        <w:spacing w:after="0" w:line="245" w:lineRule="auto"/>
        <w:tabs>
          <w:tab w:leader="none" w:pos="115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Except as expressly set forth herein or in the Amended Credit Agreement, this Amendment Agreement shall not by implication or otherwise limit, impair, constitute a waiver of or otherwise affect the rights and remedies of the Lenders or the Administrative Agent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of any other Loan Document, all of which, subject to the terms of the Amended Credit Agreement, are ratified and affirmed in all respects and shall continue in full force and effect. Nothing herein shall be deemed to entitle the Borrower to a consent to, or a waiver, amendment, modification or other change of, any of the terms, conditions, obligations, covenants or agreements contained in the Existing Credit Agreement, Amended Credit Agreement or any other Loan Document in similar or different circumstances.</w:t>
      </w:r>
    </w:p>
    <w:p>
      <w:pPr>
        <w:spacing w:after="0" w:line="212" w:lineRule="exact"/>
        <w:rPr>
          <w:rFonts w:ascii="Arial" w:cs="Arial" w:eastAsia="Arial" w:hAnsi="Arial"/>
          <w:sz w:val="21"/>
          <w:szCs w:val="21"/>
          <w:color w:val="auto"/>
        </w:rPr>
      </w:pPr>
    </w:p>
    <w:p>
      <w:pPr>
        <w:jc w:val="both"/>
        <w:ind w:right="140" w:firstLine="656"/>
        <w:spacing w:after="0"/>
        <w:tabs>
          <w:tab w:leader="none" w:pos="117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On and after the Amendment Effective Date, each reference to the “Credit Agreement” in any other Loan Document shall be deemed a reference to the Amended Credit Agreement. This Amendment Agreement shall constitute a “</w:t>
      </w:r>
      <w:r>
        <w:rPr>
          <w:rFonts w:ascii="Arial" w:cs="Arial" w:eastAsia="Arial" w:hAnsi="Arial"/>
          <w:sz w:val="22"/>
          <w:szCs w:val="22"/>
          <w:u w:val="single" w:color="auto"/>
          <w:color w:val="auto"/>
        </w:rPr>
        <w:t>Loan Document</w:t>
      </w:r>
      <w:r>
        <w:rPr>
          <w:rFonts w:ascii="Arial" w:cs="Arial" w:eastAsia="Arial" w:hAnsi="Arial"/>
          <w:sz w:val="22"/>
          <w:szCs w:val="22"/>
          <w:color w:val="auto"/>
        </w:rPr>
        <w:t>” for all purposes of the Amended Credit Agreement and the other Loan Documents.</w:t>
      </w:r>
    </w:p>
    <w:p>
      <w:pPr>
        <w:sectPr>
          <w:pgSz w:w="11900" w:h="16838" w:orient="portrait"/>
          <w:cols w:equalWidth="0" w:num="1">
            <w:col w:w="11420"/>
          </w:cols>
          <w:pgMar w:left="240" w:top="118" w:right="239" w:bottom="68" w:gutter="0" w:footer="0" w:header="0"/>
        </w:sectPr>
      </w:pPr>
    </w:p>
    <w:bookmarkStart w:id="59" w:name="page60"/>
    <w:bookmarkEnd w:id="59"/>
    <w:p>
      <w:pPr>
        <w:ind w:right="100" w:firstLine="648"/>
        <w:spacing w:after="0" w:line="251" w:lineRule="auto"/>
        <w:rPr>
          <w:sz w:val="20"/>
          <w:szCs w:val="20"/>
          <w:color w:val="auto"/>
        </w:rPr>
      </w:pPr>
      <w:r>
        <w:rPr>
          <w:rFonts w:ascii="Arial" w:cs="Arial" w:eastAsia="Arial" w:hAnsi="Arial"/>
          <w:sz w:val="22"/>
          <w:szCs w:val="22"/>
          <w:b w:val="1"/>
          <w:bCs w:val="1"/>
          <w:i w:val="1"/>
          <w:iCs w:val="1"/>
          <w:color w:val="auto"/>
        </w:rPr>
        <w:t>Section 5</w:t>
      </w:r>
      <w:r>
        <w:rPr>
          <w:rFonts w:ascii="Arial" w:cs="Arial" w:eastAsia="Arial" w:hAnsi="Arial"/>
          <w:sz w:val="22"/>
          <w:szCs w:val="22"/>
          <w:i w:val="1"/>
          <w:iCs w:val="1"/>
          <w:color w:val="auto"/>
        </w:rPr>
        <w:t>. Governing Law.</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AMENDMENT AGREEMENT SHALL BE GOVERNED BY, AND CONSTRUED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ACCORDANCE WITH, THE LAWS OF THE STATE OF NEW YORK.</w:t>
      </w:r>
    </w:p>
    <w:p>
      <w:pPr>
        <w:spacing w:after="0" w:line="20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b w:val="1"/>
          <w:bCs w:val="1"/>
          <w:i w:val="1"/>
          <w:iCs w:val="1"/>
          <w:color w:val="auto"/>
        </w:rPr>
        <w:t>Section 6</w:t>
      </w:r>
      <w:r>
        <w:rPr>
          <w:rFonts w:ascii="Arial" w:cs="Arial" w:eastAsia="Arial" w:hAnsi="Arial"/>
          <w:sz w:val="19"/>
          <w:szCs w:val="19"/>
          <w:i w:val="1"/>
          <w:iCs w:val="1"/>
          <w:color w:val="auto"/>
        </w:rPr>
        <w:t>. Counterparts.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Amendment Agreement may be executed in any number of counterparts (and by different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parties hereto in separate counterparts), each of which shall constitute an original, but all of which when taken together shall constitute a single contract. Delivery of an executed counterpart of a signature page of this Amendment Agreement by telecopy or electronic transmission shall be as effective as delivery of a manually executed counterpart hereof.</w:t>
      </w:r>
    </w:p>
    <w:p>
      <w:pPr>
        <w:spacing w:after="0" w:line="170"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b w:val="1"/>
          <w:bCs w:val="1"/>
          <w:i w:val="1"/>
          <w:iCs w:val="1"/>
          <w:color w:val="auto"/>
        </w:rPr>
        <w:t>Section 7</w:t>
      </w:r>
      <w:r>
        <w:rPr>
          <w:rFonts w:ascii="Arial" w:cs="Arial" w:eastAsia="Arial" w:hAnsi="Arial"/>
          <w:sz w:val="22"/>
          <w:szCs w:val="22"/>
          <w:i w:val="1"/>
          <w:iCs w:val="1"/>
          <w:color w:val="auto"/>
        </w:rPr>
        <w:t>. Headings</w:t>
      </w:r>
      <w:r>
        <w:rPr>
          <w:rFonts w:ascii="Arial" w:cs="Arial" w:eastAsia="Arial" w:hAnsi="Arial"/>
          <w:sz w:val="22"/>
          <w:szCs w:val="22"/>
          <w:color w:val="auto"/>
        </w:rPr>
        <w:t>. Section headings in this Amendment Agreement are for convenience of reference only, and shall not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govern the interpretation of any of the provisions of this Amendment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blank; signature pages follow]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executed this Amendment Agreement as of the date first written above.</w:t>
      </w:r>
    </w:p>
    <w:p>
      <w:pPr>
        <w:spacing w:after="0" w:line="200" w:lineRule="exact"/>
        <w:rPr>
          <w:sz w:val="20"/>
          <w:szCs w:val="20"/>
          <w:color w:val="auto"/>
        </w:rPr>
      </w:pPr>
    </w:p>
    <w:p>
      <w:pPr>
        <w:spacing w:after="0" w:line="311" w:lineRule="exact"/>
        <w:rPr>
          <w:sz w:val="20"/>
          <w:szCs w:val="20"/>
          <w:color w:val="auto"/>
        </w:rPr>
      </w:pPr>
    </w:p>
    <w:tbl>
      <w:tblPr>
        <w:tblLayout w:type="fixed"/>
        <w:tblInd w:w="5720" w:type="dxa"/>
        <w:tblCellMar>
          <w:top w:w="0" w:type="dxa"/>
          <w:left w:w="0" w:type="dxa"/>
          <w:bottom w:w="0" w:type="dxa"/>
          <w:right w:w="0" w:type="dxa"/>
        </w:tblCellMar>
      </w:tblPr>
      <w:tr>
        <w:trPr>
          <w:trHeight w:val="275"/>
        </w:trPr>
        <w:tc>
          <w:tcPr>
            <w:tcW w:w="1400" w:type="dxa"/>
            <w:vAlign w:val="bottom"/>
            <w:gridSpan w:val="3"/>
          </w:tcPr>
          <w:p>
            <w:pPr>
              <w:spacing w:after="0"/>
              <w:rPr>
                <w:sz w:val="20"/>
                <w:szCs w:val="20"/>
                <w:color w:val="auto"/>
              </w:rPr>
            </w:pPr>
            <w:r>
              <w:rPr>
                <w:rFonts w:ascii="Arial" w:cs="Arial" w:eastAsia="Arial" w:hAnsi="Arial"/>
                <w:sz w:val="22"/>
                <w:szCs w:val="22"/>
                <w:color w:val="auto"/>
              </w:rPr>
              <w:t>ABBVIE INC.</w:t>
            </w:r>
          </w:p>
        </w:tc>
        <w:tc>
          <w:tcPr>
            <w:tcW w:w="4300" w:type="dxa"/>
            <w:vAlign w:val="bottom"/>
          </w:tcPr>
          <w:p>
            <w:pPr>
              <w:spacing w:after="0"/>
              <w:rPr>
                <w:sz w:val="23"/>
                <w:szCs w:val="23"/>
                <w:color w:val="auto"/>
              </w:rPr>
            </w:pPr>
          </w:p>
        </w:tc>
      </w:tr>
      <w:tr>
        <w:trPr>
          <w:trHeight w:val="719"/>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180" w:type="dxa"/>
            <w:vAlign w:val="bottom"/>
          </w:tcPr>
          <w:p>
            <w:pPr>
              <w:spacing w:after="0"/>
              <w:rPr>
                <w:sz w:val="24"/>
                <w:szCs w:val="24"/>
                <w:color w:val="auto"/>
              </w:rPr>
            </w:pPr>
          </w:p>
        </w:tc>
        <w:tc>
          <w:tcPr>
            <w:tcW w:w="502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Tabetha A. Skarbek</w:t>
            </w:r>
          </w:p>
        </w:tc>
      </w:tr>
      <w:tr>
        <w:trPr>
          <w:trHeight w:val="215"/>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00" w:type="dxa"/>
            <w:vAlign w:val="bottom"/>
          </w:tcPr>
          <w:p>
            <w:pPr>
              <w:ind w:left="120"/>
              <w:spacing w:after="0" w:line="216" w:lineRule="exact"/>
              <w:rPr>
                <w:sz w:val="20"/>
                <w:szCs w:val="20"/>
                <w:color w:val="auto"/>
              </w:rPr>
            </w:pPr>
            <w:r>
              <w:rPr>
                <w:rFonts w:ascii="Arial" w:cs="Arial" w:eastAsia="Arial" w:hAnsi="Arial"/>
                <w:sz w:val="22"/>
                <w:szCs w:val="22"/>
                <w:color w:val="auto"/>
              </w:rPr>
              <w:t>Tabetha A. Skarbek</w:t>
            </w:r>
          </w:p>
        </w:tc>
      </w:tr>
      <w:tr>
        <w:trPr>
          <w:trHeight w:val="275"/>
        </w:trPr>
        <w:tc>
          <w:tcPr>
            <w:tcW w:w="500" w:type="dxa"/>
            <w:vAlign w:val="bottom"/>
          </w:tcPr>
          <w:p>
            <w:pPr>
              <w:spacing w:after="0"/>
              <w:rPr>
                <w:sz w:val="23"/>
                <w:szCs w:val="23"/>
                <w:color w:val="auto"/>
              </w:rPr>
            </w:pPr>
          </w:p>
        </w:tc>
        <w:tc>
          <w:tcPr>
            <w:tcW w:w="900" w:type="dxa"/>
            <w:vAlign w:val="bottom"/>
            <w:gridSpan w:val="2"/>
          </w:tcPr>
          <w:p>
            <w:pPr>
              <w:ind w:left="180"/>
              <w:spacing w:after="0"/>
              <w:rPr>
                <w:sz w:val="20"/>
                <w:szCs w:val="20"/>
                <w:color w:val="auto"/>
              </w:rPr>
            </w:pPr>
            <w:r>
              <w:rPr>
                <w:rFonts w:ascii="Arial" w:cs="Arial" w:eastAsia="Arial" w:hAnsi="Arial"/>
                <w:sz w:val="22"/>
                <w:szCs w:val="22"/>
                <w:color w:val="auto"/>
              </w:rPr>
              <w:t>Title:</w:t>
            </w:r>
          </w:p>
        </w:tc>
        <w:tc>
          <w:tcPr>
            <w:tcW w:w="4300" w:type="dxa"/>
            <w:vAlign w:val="bottom"/>
          </w:tcPr>
          <w:p>
            <w:pPr>
              <w:ind w:left="1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First Amendment to 364-Day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BANK OF AMERICA, N.A.,</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58"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180" w:type="dxa"/>
            <w:vAlign w:val="bottom"/>
          </w:tcPr>
          <w:p>
            <w:pPr>
              <w:spacing w:after="0"/>
              <w:rPr>
                <w:sz w:val="23"/>
                <w:szCs w:val="23"/>
                <w:color w:val="auto"/>
              </w:rPr>
            </w:pPr>
          </w:p>
        </w:tc>
        <w:tc>
          <w:tcPr>
            <w:tcW w:w="502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Denise Jones</w:t>
            </w:r>
          </w:p>
        </w:tc>
      </w:tr>
      <w:tr>
        <w:trPr>
          <w:trHeight w:val="215"/>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20" w:type="dxa"/>
            <w:vAlign w:val="bottom"/>
          </w:tcPr>
          <w:p>
            <w:pPr>
              <w:ind w:left="140"/>
              <w:spacing w:after="0" w:line="216" w:lineRule="exact"/>
              <w:rPr>
                <w:sz w:val="20"/>
                <w:szCs w:val="20"/>
                <w:color w:val="auto"/>
              </w:rPr>
            </w:pPr>
            <w:r>
              <w:rPr>
                <w:rFonts w:ascii="Arial" w:cs="Arial" w:eastAsia="Arial" w:hAnsi="Arial"/>
                <w:sz w:val="22"/>
                <w:szCs w:val="22"/>
                <w:color w:val="auto"/>
              </w:rPr>
              <w:t>Denise Jones</w:t>
            </w:r>
          </w:p>
        </w:tc>
      </w:tr>
      <w:tr>
        <w:trPr>
          <w:trHeight w:val="275"/>
        </w:trPr>
        <w:tc>
          <w:tcPr>
            <w:tcW w:w="500" w:type="dxa"/>
            <w:vAlign w:val="bottom"/>
          </w:tcPr>
          <w:p>
            <w:pPr>
              <w:spacing w:after="0"/>
              <w:rPr>
                <w:sz w:val="23"/>
                <w:szCs w:val="23"/>
                <w:color w:val="auto"/>
              </w:rPr>
            </w:pPr>
          </w:p>
        </w:tc>
        <w:tc>
          <w:tcPr>
            <w:tcW w:w="880" w:type="dxa"/>
            <w:vAlign w:val="bottom"/>
            <w:gridSpan w:val="2"/>
          </w:tcPr>
          <w:p>
            <w:pPr>
              <w:ind w:left="180"/>
              <w:spacing w:after="0"/>
              <w:rPr>
                <w:sz w:val="20"/>
                <w:szCs w:val="20"/>
                <w:color w:val="auto"/>
              </w:rPr>
            </w:pPr>
            <w:r>
              <w:rPr>
                <w:rFonts w:ascii="Arial" w:cs="Arial" w:eastAsia="Arial" w:hAnsi="Arial"/>
                <w:sz w:val="22"/>
                <w:szCs w:val="22"/>
                <w:color w:val="auto"/>
              </w:rPr>
              <w:t>Title:</w:t>
            </w:r>
          </w:p>
        </w:tc>
        <w:tc>
          <w:tcPr>
            <w:tcW w:w="4320" w:type="dxa"/>
            <w:vAlign w:val="bottom"/>
          </w:tcPr>
          <w:p>
            <w:pPr>
              <w:ind w:left="1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First Amendment to 364-Day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BANK OF AMERICA, N.A.,</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180" w:type="dxa"/>
            <w:vAlign w:val="bottom"/>
          </w:tcPr>
          <w:p>
            <w:pPr>
              <w:spacing w:after="0"/>
              <w:rPr>
                <w:sz w:val="23"/>
                <w:szCs w:val="23"/>
                <w:color w:val="auto"/>
              </w:rPr>
            </w:pPr>
          </w:p>
        </w:tc>
        <w:tc>
          <w:tcPr>
            <w:tcW w:w="5020" w:type="dxa"/>
            <w:vAlign w:val="bottom"/>
            <w:tcBorders>
              <w:bottom w:val="single" w:sz="8" w:color="auto"/>
            </w:tcBorders>
            <w:gridSpan w:val="2"/>
          </w:tcPr>
          <w:p>
            <w:pPr>
              <w:ind w:left="60"/>
              <w:spacing w:after="0"/>
              <w:rPr>
                <w:sz w:val="20"/>
                <w:szCs w:val="20"/>
                <w:color w:val="auto"/>
              </w:rPr>
            </w:pPr>
            <w:r>
              <w:rPr>
                <w:rFonts w:ascii="Arial" w:cs="Arial" w:eastAsia="Arial" w:hAnsi="Arial"/>
                <w:sz w:val="22"/>
                <w:szCs w:val="22"/>
                <w:color w:val="auto"/>
              </w:rPr>
              <w:t>/s/ Darren Merten</w:t>
            </w:r>
          </w:p>
        </w:tc>
      </w:tr>
      <w:tr>
        <w:trPr>
          <w:trHeight w:val="215"/>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20" w:type="dxa"/>
            <w:vAlign w:val="bottom"/>
          </w:tcPr>
          <w:p>
            <w:pPr>
              <w:ind w:left="140"/>
              <w:spacing w:after="0" w:line="216" w:lineRule="exact"/>
              <w:rPr>
                <w:sz w:val="20"/>
                <w:szCs w:val="20"/>
                <w:color w:val="auto"/>
              </w:rPr>
            </w:pPr>
            <w:r>
              <w:rPr>
                <w:rFonts w:ascii="Arial" w:cs="Arial" w:eastAsia="Arial" w:hAnsi="Arial"/>
                <w:sz w:val="22"/>
                <w:szCs w:val="22"/>
                <w:color w:val="auto"/>
              </w:rPr>
              <w:t>Darren Merten</w:t>
            </w:r>
          </w:p>
        </w:tc>
      </w:tr>
      <w:tr>
        <w:trPr>
          <w:trHeight w:val="275"/>
        </w:trPr>
        <w:tc>
          <w:tcPr>
            <w:tcW w:w="500" w:type="dxa"/>
            <w:vAlign w:val="bottom"/>
          </w:tcPr>
          <w:p>
            <w:pPr>
              <w:spacing w:after="0"/>
              <w:rPr>
                <w:sz w:val="23"/>
                <w:szCs w:val="23"/>
                <w:color w:val="auto"/>
              </w:rPr>
            </w:pPr>
          </w:p>
        </w:tc>
        <w:tc>
          <w:tcPr>
            <w:tcW w:w="880" w:type="dxa"/>
            <w:vAlign w:val="bottom"/>
            <w:gridSpan w:val="2"/>
          </w:tcPr>
          <w:p>
            <w:pPr>
              <w:ind w:left="180"/>
              <w:spacing w:after="0"/>
              <w:rPr>
                <w:sz w:val="20"/>
                <w:szCs w:val="20"/>
                <w:color w:val="auto"/>
              </w:rPr>
            </w:pPr>
            <w:r>
              <w:rPr>
                <w:rFonts w:ascii="Arial" w:cs="Arial" w:eastAsia="Arial" w:hAnsi="Arial"/>
                <w:sz w:val="22"/>
                <w:szCs w:val="22"/>
                <w:color w:val="auto"/>
              </w:rPr>
              <w:t>Title:</w:t>
            </w:r>
          </w:p>
        </w:tc>
        <w:tc>
          <w:tcPr>
            <w:tcW w:w="4320" w:type="dxa"/>
            <w:vAlign w:val="bottom"/>
          </w:tcPr>
          <w:p>
            <w:pPr>
              <w:ind w:left="1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First Amendment to 364-Day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180" w:type="dxa"/>
            <w:vAlign w:val="bottom"/>
          </w:tcPr>
          <w:p>
            <w:pPr>
              <w:spacing w:after="0"/>
              <w:rPr>
                <w:sz w:val="23"/>
                <w:szCs w:val="23"/>
                <w:color w:val="auto"/>
              </w:rPr>
            </w:pPr>
          </w:p>
        </w:tc>
        <w:tc>
          <w:tcPr>
            <w:tcW w:w="502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Erik Barragan</w:t>
            </w:r>
          </w:p>
        </w:tc>
      </w:tr>
      <w:tr>
        <w:trPr>
          <w:trHeight w:val="268"/>
        </w:trPr>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Name:   Erik Barragan</w:t>
            </w:r>
          </w:p>
        </w:tc>
      </w:tr>
    </w:tbl>
    <w:p>
      <w:pPr>
        <w:sectPr>
          <w:pgSz w:w="11900" w:h="16838" w:orient="portrait"/>
          <w:cols w:equalWidth="0" w:num="1">
            <w:col w:w="11420"/>
          </w:cols>
          <w:pgMar w:left="240" w:top="118" w:right="239" w:bottom="0" w:gutter="0" w:footer="0" w:header="0"/>
        </w:sectPr>
      </w:pPr>
    </w:p>
    <w:bookmarkStart w:id="60" w:name="page61"/>
    <w:bookmarkEnd w:id="60"/>
    <w:p>
      <w:pPr>
        <w:spacing w:after="0" w:line="69" w:lineRule="exact"/>
        <w:rPr>
          <w:sz w:val="20"/>
          <w:szCs w:val="20"/>
          <w:color w:val="auto"/>
        </w:rPr>
      </w:pPr>
    </w:p>
    <w:p>
      <w:pPr>
        <w:ind w:left="6400"/>
        <w:spacing w:after="0"/>
        <w:tabs>
          <w:tab w:leader="none" w:pos="7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 First Amendment to 364-Day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080"/>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$3,000,000,000</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364-DAY TERM LOAN CREDIT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May 17,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ABBVIE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VARIOUS FINANCIAL INSTITUTIONS,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Lenders,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BANK OF AMERICA,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Administrative Agent</w:t>
      </w: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680085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80" w:type="dxa"/>
            <w:vAlign w:val="bottom"/>
          </w:tcPr>
          <w:p>
            <w:pPr>
              <w:spacing w:after="0"/>
              <w:rPr>
                <w:sz w:val="24"/>
                <w:szCs w:val="24"/>
                <w:color w:val="auto"/>
              </w:rPr>
            </w:pPr>
          </w:p>
        </w:tc>
        <w:tc>
          <w:tcPr>
            <w:tcW w:w="6600" w:type="dxa"/>
            <w:vAlign w:val="bottom"/>
            <w:gridSpan w:val="2"/>
          </w:tcPr>
          <w:p>
            <w:pPr>
              <w:jc w:val="center"/>
              <w:ind w:right="3720"/>
              <w:spacing w:after="0"/>
              <w:rPr>
                <w:sz w:val="20"/>
                <w:szCs w:val="20"/>
                <w:color w:val="auto"/>
              </w:rPr>
            </w:pPr>
            <w:r>
              <w:rPr>
                <w:rFonts w:ascii="Arial" w:cs="Arial" w:eastAsia="Arial" w:hAnsi="Arial"/>
                <w:sz w:val="22"/>
                <w:szCs w:val="22"/>
                <w:b w:val="1"/>
                <w:bCs w:val="1"/>
                <w:color w:val="auto"/>
                <w:w w:val="97"/>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8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372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22"/>
                <w:szCs w:val="22"/>
                <w:color w:val="auto"/>
                <w:w w:val="84"/>
              </w:rPr>
              <w:t>PAGE</w:t>
            </w:r>
          </w:p>
        </w:tc>
        <w:tc>
          <w:tcPr>
            <w:tcW w:w="0" w:type="dxa"/>
            <w:vAlign w:val="bottom"/>
          </w:tcPr>
          <w:p>
            <w:pPr>
              <w:spacing w:after="0"/>
              <w:rPr>
                <w:sz w:val="1"/>
                <w:szCs w:val="1"/>
                <w:color w:val="auto"/>
              </w:rPr>
            </w:pPr>
          </w:p>
        </w:tc>
      </w:tr>
      <w:tr>
        <w:trPr>
          <w:trHeight w:val="552"/>
        </w:trPr>
        <w:tc>
          <w:tcPr>
            <w:tcW w:w="4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280" w:type="dxa"/>
            <w:vAlign w:val="bottom"/>
          </w:tcPr>
          <w:p>
            <w:pPr>
              <w:spacing w:after="0"/>
              <w:rPr>
                <w:sz w:val="24"/>
                <w:szCs w:val="24"/>
                <w:color w:val="auto"/>
              </w:rPr>
            </w:pPr>
          </w:p>
        </w:tc>
        <w:tc>
          <w:tcPr>
            <w:tcW w:w="6600" w:type="dxa"/>
            <w:vAlign w:val="bottom"/>
            <w:gridSpan w:val="2"/>
          </w:tcPr>
          <w:p>
            <w:pPr>
              <w:jc w:val="center"/>
              <w:ind w:right="3740"/>
              <w:spacing w:after="0"/>
              <w:rPr>
                <w:sz w:val="20"/>
                <w:szCs w:val="20"/>
                <w:color w:val="auto"/>
              </w:rPr>
            </w:pPr>
            <w:r>
              <w:rPr>
                <w:rFonts w:ascii="Arial" w:cs="Arial" w:eastAsia="Arial" w:hAnsi="Arial"/>
                <w:sz w:val="22"/>
                <w:szCs w:val="22"/>
                <w:color w:val="auto"/>
                <w:w w:val="95"/>
              </w:rPr>
              <w:t>ARTICLE 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0880" w:type="dxa"/>
            <w:vAlign w:val="bottom"/>
            <w:gridSpan w:val="3"/>
          </w:tcPr>
          <w:p>
            <w:pPr>
              <w:jc w:val="center"/>
              <w:ind w:left="452"/>
              <w:spacing w:after="0"/>
              <w:rPr>
                <w:sz w:val="20"/>
                <w:szCs w:val="20"/>
                <w:color w:val="auto"/>
              </w:rPr>
            </w:pPr>
            <w:r>
              <w:rPr>
                <w:rFonts w:ascii="Arial" w:cs="Arial" w:eastAsia="Arial" w:hAnsi="Arial"/>
                <w:sz w:val="22"/>
                <w:szCs w:val="22"/>
                <w:color w:val="auto"/>
                <w:w w:val="96"/>
              </w:rPr>
              <w:t>DEFINITIONS AND ACCOUNTING TERMS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10880" w:type="dxa"/>
            <w:vAlign w:val="bottom"/>
            <w:gridSpan w:val="3"/>
          </w:tcPr>
          <w:p>
            <w:pPr>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Certain Defined Terms</w:t>
            </w:r>
          </w:p>
        </w:tc>
        <w:tc>
          <w:tcPr>
            <w:tcW w:w="54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1088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Computation of Time Periods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088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Accounting Terms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75"/>
        </w:trPr>
        <w:tc>
          <w:tcPr>
            <w:tcW w:w="10880" w:type="dxa"/>
            <w:vAlign w:val="bottom"/>
            <w:gridSpan w:val="3"/>
          </w:tcPr>
          <w:p>
            <w:pPr>
              <w:spacing w:after="0"/>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Terms Generally</w:t>
            </w:r>
          </w:p>
        </w:tc>
        <w:tc>
          <w:tcPr>
            <w:tcW w:w="540" w:type="dxa"/>
            <w:vAlign w:val="bottom"/>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455"/>
        </w:trPr>
        <w:tc>
          <w:tcPr>
            <w:tcW w:w="4280" w:type="dxa"/>
            <w:vAlign w:val="bottom"/>
          </w:tcPr>
          <w:p>
            <w:pPr>
              <w:spacing w:after="0"/>
              <w:rPr>
                <w:sz w:val="24"/>
                <w:szCs w:val="24"/>
                <w:color w:val="auto"/>
              </w:rPr>
            </w:pPr>
          </w:p>
        </w:tc>
        <w:tc>
          <w:tcPr>
            <w:tcW w:w="6600" w:type="dxa"/>
            <w:vAlign w:val="bottom"/>
            <w:gridSpan w:val="2"/>
          </w:tcPr>
          <w:p>
            <w:pPr>
              <w:jc w:val="center"/>
              <w:ind w:right="3740"/>
              <w:spacing w:after="0"/>
              <w:rPr>
                <w:sz w:val="20"/>
                <w:szCs w:val="20"/>
                <w:color w:val="auto"/>
              </w:rPr>
            </w:pPr>
            <w:r>
              <w:rPr>
                <w:rFonts w:ascii="Arial" w:cs="Arial" w:eastAsia="Arial" w:hAnsi="Arial"/>
                <w:sz w:val="22"/>
                <w:szCs w:val="22"/>
                <w:color w:val="auto"/>
                <w:w w:val="95"/>
              </w:rPr>
              <w:t>ARTICLE 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0880" w:type="dxa"/>
            <w:vAlign w:val="bottom"/>
            <w:gridSpan w:val="3"/>
          </w:tcPr>
          <w:p>
            <w:pPr>
              <w:jc w:val="center"/>
              <w:ind w:left="432"/>
              <w:spacing w:after="0"/>
              <w:rPr>
                <w:sz w:val="20"/>
                <w:szCs w:val="20"/>
                <w:color w:val="auto"/>
              </w:rPr>
            </w:pPr>
            <w:r>
              <w:rPr>
                <w:rFonts w:ascii="Arial" w:cs="Arial" w:eastAsia="Arial" w:hAnsi="Arial"/>
                <w:sz w:val="22"/>
                <w:szCs w:val="22"/>
                <w:color w:val="auto"/>
                <w:w w:val="95"/>
              </w:rPr>
              <w:t>AMOUNTS AND TERMS OF THE ADVANCES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10880" w:type="dxa"/>
            <w:vAlign w:val="bottom"/>
            <w:gridSpan w:val="3"/>
          </w:tcPr>
          <w:p>
            <w:pPr>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The Advances</w:t>
            </w:r>
          </w:p>
        </w:tc>
        <w:tc>
          <w:tcPr>
            <w:tcW w:w="540" w:type="dxa"/>
            <w:vAlign w:val="bottom"/>
          </w:tcPr>
          <w:p>
            <w:pPr>
              <w:jc w:val="right"/>
              <w:spacing w:after="0"/>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1088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Making the Advances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1088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Fees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43"/>
        </w:trPr>
        <w:tc>
          <w:tcPr>
            <w:tcW w:w="1088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Termination or Reduction of the Commitments</w:t>
            </w:r>
          </w:p>
        </w:tc>
        <w:tc>
          <w:tcPr>
            <w:tcW w:w="54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75"/>
        </w:trPr>
        <w:tc>
          <w:tcPr>
            <w:tcW w:w="10880" w:type="dxa"/>
            <w:vAlign w:val="bottom"/>
            <w:gridSpan w:val="3"/>
          </w:tcPr>
          <w:p>
            <w:pPr>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Repayment of Advances</w:t>
            </w:r>
          </w:p>
        </w:tc>
        <w:tc>
          <w:tcPr>
            <w:tcW w:w="5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bl>
    <w:p>
      <w:pPr>
        <w:sectPr>
          <w:pgSz w:w="11900" w:h="16907" w:orient="portrait"/>
          <w:cols w:equalWidth="0" w:num="1">
            <w:col w:w="11420"/>
          </w:cols>
          <w:pgMar w:left="240" w:top="118" w:right="239" w:bottom="0" w:gutter="0" w:footer="0" w:header="0"/>
        </w:sectPr>
      </w:pPr>
    </w:p>
    <w:bookmarkStart w:id="61" w:name="page62"/>
    <w:bookmarkEnd w:id="61"/>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80" w:type="dxa"/>
            <w:vAlign w:val="bottom"/>
          </w:tcPr>
          <w:p>
            <w:pPr>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Interest on Advances</w:t>
            </w:r>
          </w:p>
        </w:tc>
        <w:tc>
          <w:tcPr>
            <w:tcW w:w="17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Interest Rate Determination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Optional Conversion of Advances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Optional Prepayments of Advances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Increased Costs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i w:val="1"/>
                <w:iCs w:val="1"/>
                <w:color w:val="auto"/>
              </w:rPr>
              <w:t>Illegality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Payments and Computations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i w:val="1"/>
                <w:iCs w:val="1"/>
                <w:color w:val="auto"/>
              </w:rPr>
              <w:t>Taxes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i w:val="1"/>
                <w:iCs w:val="1"/>
                <w:color w:val="auto"/>
              </w:rPr>
              <w:t>Sharing of Payments, Etc.</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i w:val="1"/>
                <w:iCs w:val="1"/>
                <w:color w:val="auto"/>
              </w:rPr>
              <w:t>Use of Proceeds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i w:val="1"/>
                <w:iCs w:val="1"/>
                <w:color w:val="auto"/>
              </w:rPr>
              <w:t>Evidence of Debt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9680" w:type="dxa"/>
            <w:vAlign w:val="bottom"/>
          </w:tcPr>
          <w:p>
            <w:pPr>
              <w:spacing w:after="0" w:line="243" w:lineRule="exact"/>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i w:val="1"/>
                <w:iCs w:val="1"/>
                <w:color w:val="auto"/>
              </w:rPr>
              <w:t>Defaulting Lenders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75"/>
        </w:trPr>
        <w:tc>
          <w:tcPr>
            <w:tcW w:w="9680" w:type="dxa"/>
            <w:vAlign w:val="bottom"/>
          </w:tcPr>
          <w:p>
            <w:pPr>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i w:val="1"/>
                <w:iCs w:val="1"/>
                <w:color w:val="auto"/>
              </w:rPr>
              <w:t>Mitigation</w:t>
            </w:r>
          </w:p>
        </w:tc>
        <w:tc>
          <w:tcPr>
            <w:tcW w:w="17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55"/>
        </w:trPr>
        <w:tc>
          <w:tcPr>
            <w:tcW w:w="9680" w:type="dxa"/>
            <w:vAlign w:val="bottom"/>
          </w:tcPr>
          <w:p>
            <w:pPr>
              <w:jc w:val="center"/>
              <w:ind w:left="1632"/>
              <w:spacing w:after="0"/>
              <w:rPr>
                <w:sz w:val="20"/>
                <w:szCs w:val="20"/>
                <w:color w:val="auto"/>
              </w:rPr>
            </w:pPr>
            <w:r>
              <w:rPr>
                <w:rFonts w:ascii="Arial" w:cs="Arial" w:eastAsia="Arial" w:hAnsi="Arial"/>
                <w:sz w:val="22"/>
                <w:szCs w:val="22"/>
                <w:color w:val="auto"/>
                <w:w w:val="95"/>
              </w:rPr>
              <w:t>ARTICLE 3</w:t>
            </w:r>
          </w:p>
        </w:tc>
        <w:tc>
          <w:tcPr>
            <w:tcW w:w="1780" w:type="dxa"/>
            <w:vAlign w:val="bottom"/>
          </w:tcPr>
          <w:p>
            <w:pPr>
              <w:spacing w:after="0"/>
              <w:rPr>
                <w:sz w:val="24"/>
                <w:szCs w:val="24"/>
                <w:color w:val="auto"/>
              </w:rPr>
            </w:pPr>
          </w:p>
        </w:tc>
      </w:tr>
      <w:tr>
        <w:trPr>
          <w:trHeight w:val="275"/>
        </w:trPr>
        <w:tc>
          <w:tcPr>
            <w:tcW w:w="9680" w:type="dxa"/>
            <w:vAlign w:val="bottom"/>
          </w:tcPr>
          <w:p>
            <w:pPr>
              <w:jc w:val="center"/>
              <w:ind w:left="1652"/>
              <w:spacing w:after="0"/>
              <w:rPr>
                <w:sz w:val="20"/>
                <w:szCs w:val="20"/>
                <w:color w:val="auto"/>
              </w:rPr>
            </w:pPr>
            <w:r>
              <w:rPr>
                <w:rFonts w:ascii="Arial" w:cs="Arial" w:eastAsia="Arial" w:hAnsi="Arial"/>
                <w:sz w:val="22"/>
                <w:szCs w:val="22"/>
                <w:color w:val="auto"/>
                <w:w w:val="94"/>
              </w:rPr>
              <w:t>CONDITIONS TO EFFECTIVENESS AND LENDING</w:t>
            </w:r>
          </w:p>
        </w:tc>
        <w:tc>
          <w:tcPr>
            <w:tcW w:w="1780" w:type="dxa"/>
            <w:vAlign w:val="bottom"/>
          </w:tcPr>
          <w:p>
            <w:pPr>
              <w:spacing w:after="0"/>
              <w:rPr>
                <w:sz w:val="23"/>
                <w:szCs w:val="23"/>
                <w:color w:val="auto"/>
              </w:rPr>
            </w:pPr>
          </w:p>
        </w:tc>
      </w:tr>
      <w:tr>
        <w:trPr>
          <w:trHeight w:val="455"/>
        </w:trPr>
        <w:tc>
          <w:tcPr>
            <w:tcW w:w="9680" w:type="dxa"/>
            <w:vAlign w:val="bottom"/>
          </w:tcPr>
          <w:p>
            <w:pPr>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Conditions Precedent to Effective Date</w:t>
            </w:r>
          </w:p>
        </w:tc>
        <w:tc>
          <w:tcPr>
            <w:tcW w:w="17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5"/>
        </w:trPr>
        <w:tc>
          <w:tcPr>
            <w:tcW w:w="9680" w:type="dxa"/>
            <w:vAlign w:val="bottom"/>
          </w:tcPr>
          <w:p>
            <w:pPr>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Conditions Precedent to Closing Date</w:t>
            </w:r>
          </w:p>
        </w:tc>
        <w:tc>
          <w:tcPr>
            <w:tcW w:w="17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55"/>
        </w:trPr>
        <w:tc>
          <w:tcPr>
            <w:tcW w:w="9680" w:type="dxa"/>
            <w:vAlign w:val="bottom"/>
          </w:tcPr>
          <w:p>
            <w:pPr>
              <w:jc w:val="center"/>
              <w:ind w:left="1632"/>
              <w:spacing w:after="0"/>
              <w:rPr>
                <w:sz w:val="20"/>
                <w:szCs w:val="20"/>
                <w:color w:val="auto"/>
              </w:rPr>
            </w:pPr>
            <w:r>
              <w:rPr>
                <w:rFonts w:ascii="Arial" w:cs="Arial" w:eastAsia="Arial" w:hAnsi="Arial"/>
                <w:sz w:val="22"/>
                <w:szCs w:val="22"/>
                <w:color w:val="auto"/>
                <w:w w:val="95"/>
              </w:rPr>
              <w:t>ARTICLE 4</w:t>
            </w:r>
          </w:p>
        </w:tc>
        <w:tc>
          <w:tcPr>
            <w:tcW w:w="1780" w:type="dxa"/>
            <w:vAlign w:val="bottom"/>
          </w:tcPr>
          <w:p>
            <w:pPr>
              <w:spacing w:after="0"/>
              <w:rPr>
                <w:sz w:val="24"/>
                <w:szCs w:val="24"/>
                <w:color w:val="auto"/>
              </w:rPr>
            </w:pPr>
          </w:p>
        </w:tc>
      </w:tr>
      <w:tr>
        <w:trPr>
          <w:trHeight w:val="275"/>
        </w:trPr>
        <w:tc>
          <w:tcPr>
            <w:tcW w:w="9680" w:type="dxa"/>
            <w:vAlign w:val="bottom"/>
          </w:tcPr>
          <w:p>
            <w:pPr>
              <w:jc w:val="center"/>
              <w:ind w:left="1632"/>
              <w:spacing w:after="0"/>
              <w:rPr>
                <w:sz w:val="20"/>
                <w:szCs w:val="20"/>
                <w:color w:val="auto"/>
              </w:rPr>
            </w:pPr>
            <w:r>
              <w:rPr>
                <w:rFonts w:ascii="Arial" w:cs="Arial" w:eastAsia="Arial" w:hAnsi="Arial"/>
                <w:sz w:val="22"/>
                <w:szCs w:val="22"/>
                <w:color w:val="auto"/>
                <w:w w:val="93"/>
              </w:rPr>
              <w:t>REPRESENTATIONS AND WARRANTIES</w:t>
            </w:r>
          </w:p>
        </w:tc>
        <w:tc>
          <w:tcPr>
            <w:tcW w:w="1780" w:type="dxa"/>
            <w:vAlign w:val="bottom"/>
          </w:tcPr>
          <w:p>
            <w:pPr>
              <w:spacing w:after="0"/>
              <w:rPr>
                <w:sz w:val="23"/>
                <w:szCs w:val="23"/>
                <w:color w:val="auto"/>
              </w:rPr>
            </w:pPr>
          </w:p>
        </w:tc>
      </w:tr>
      <w:tr>
        <w:trPr>
          <w:trHeight w:val="486"/>
        </w:trPr>
        <w:tc>
          <w:tcPr>
            <w:tcW w:w="9680" w:type="dxa"/>
            <w:vAlign w:val="bottom"/>
          </w:tcPr>
          <w:p>
            <w:pPr>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Representations and Warranties</w:t>
            </w:r>
          </w:p>
        </w:tc>
        <w:tc>
          <w:tcPr>
            <w:tcW w:w="17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65"/>
        </w:trPr>
        <w:tc>
          <w:tcPr>
            <w:tcW w:w="968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0" w:type="dxa"/>
            <w:vAlign w:val="bottom"/>
          </w:tcPr>
          <w:p>
            <w:pPr>
              <w:jc w:val="center"/>
              <w:ind w:left="2312"/>
              <w:spacing w:after="0"/>
              <w:rPr>
                <w:sz w:val="20"/>
                <w:szCs w:val="20"/>
                <w:color w:val="auto"/>
              </w:rPr>
            </w:pPr>
            <w:r>
              <w:rPr>
                <w:rFonts w:ascii="Arial" w:cs="Arial" w:eastAsia="Arial" w:hAnsi="Arial"/>
                <w:sz w:val="22"/>
                <w:szCs w:val="22"/>
                <w:color w:val="auto"/>
                <w:w w:val="95"/>
              </w:rPr>
              <w:t>ARTICLE 5</w:t>
            </w:r>
          </w:p>
        </w:tc>
        <w:tc>
          <w:tcPr>
            <w:tcW w:w="2420" w:type="dxa"/>
            <w:vAlign w:val="bottom"/>
          </w:tcPr>
          <w:p>
            <w:pPr>
              <w:spacing w:after="0"/>
              <w:rPr>
                <w:sz w:val="21"/>
                <w:szCs w:val="21"/>
                <w:color w:val="auto"/>
              </w:rPr>
            </w:pPr>
          </w:p>
        </w:tc>
      </w:tr>
      <w:tr>
        <w:trPr>
          <w:trHeight w:val="275"/>
        </w:trPr>
        <w:tc>
          <w:tcPr>
            <w:tcW w:w="9000" w:type="dxa"/>
            <w:vAlign w:val="bottom"/>
          </w:tcPr>
          <w:p>
            <w:pPr>
              <w:jc w:val="center"/>
              <w:ind w:left="2312"/>
              <w:spacing w:after="0"/>
              <w:rPr>
                <w:sz w:val="20"/>
                <w:szCs w:val="20"/>
                <w:color w:val="auto"/>
              </w:rPr>
            </w:pPr>
            <w:r>
              <w:rPr>
                <w:rFonts w:ascii="Arial" w:cs="Arial" w:eastAsia="Arial" w:hAnsi="Arial"/>
                <w:sz w:val="22"/>
                <w:szCs w:val="22"/>
                <w:color w:val="auto"/>
                <w:w w:val="94"/>
              </w:rPr>
              <w:t>COVENANTS</w:t>
            </w:r>
          </w:p>
        </w:tc>
        <w:tc>
          <w:tcPr>
            <w:tcW w:w="2420" w:type="dxa"/>
            <w:vAlign w:val="bottom"/>
          </w:tcPr>
          <w:p>
            <w:pPr>
              <w:spacing w:after="0"/>
              <w:rPr>
                <w:sz w:val="23"/>
                <w:szCs w:val="23"/>
                <w:color w:val="auto"/>
              </w:rPr>
            </w:pPr>
          </w:p>
        </w:tc>
      </w:tr>
      <w:tr>
        <w:trPr>
          <w:trHeight w:val="455"/>
        </w:trPr>
        <w:tc>
          <w:tcPr>
            <w:tcW w:w="9000" w:type="dxa"/>
            <w:vAlign w:val="bottom"/>
          </w:tcPr>
          <w:p>
            <w:pPr>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Affirmative Covenants</w:t>
            </w:r>
          </w:p>
        </w:tc>
        <w:tc>
          <w:tcPr>
            <w:tcW w:w="24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Negative Covenants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75"/>
        </w:trPr>
        <w:tc>
          <w:tcPr>
            <w:tcW w:w="9000" w:type="dxa"/>
            <w:vAlign w:val="bottom"/>
          </w:tcPr>
          <w:p>
            <w:pPr>
              <w:spacing w:after="0"/>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Financial Covenant</w:t>
            </w:r>
          </w:p>
        </w:tc>
        <w:tc>
          <w:tcPr>
            <w:tcW w:w="24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455"/>
        </w:trPr>
        <w:tc>
          <w:tcPr>
            <w:tcW w:w="9000" w:type="dxa"/>
            <w:vAlign w:val="bottom"/>
          </w:tcPr>
          <w:p>
            <w:pPr>
              <w:jc w:val="center"/>
              <w:ind w:left="2312"/>
              <w:spacing w:after="0"/>
              <w:rPr>
                <w:sz w:val="20"/>
                <w:szCs w:val="20"/>
                <w:color w:val="auto"/>
              </w:rPr>
            </w:pPr>
            <w:r>
              <w:rPr>
                <w:rFonts w:ascii="Arial" w:cs="Arial" w:eastAsia="Arial" w:hAnsi="Arial"/>
                <w:sz w:val="22"/>
                <w:szCs w:val="22"/>
                <w:color w:val="auto"/>
                <w:w w:val="95"/>
              </w:rPr>
              <w:t>ARTICLE 6</w:t>
            </w:r>
          </w:p>
        </w:tc>
        <w:tc>
          <w:tcPr>
            <w:tcW w:w="2420" w:type="dxa"/>
            <w:vAlign w:val="bottom"/>
          </w:tcPr>
          <w:p>
            <w:pPr>
              <w:spacing w:after="0"/>
              <w:rPr>
                <w:sz w:val="24"/>
                <w:szCs w:val="24"/>
                <w:color w:val="auto"/>
              </w:rPr>
            </w:pPr>
          </w:p>
        </w:tc>
      </w:tr>
      <w:tr>
        <w:trPr>
          <w:trHeight w:val="275"/>
        </w:trPr>
        <w:tc>
          <w:tcPr>
            <w:tcW w:w="9000" w:type="dxa"/>
            <w:vAlign w:val="bottom"/>
          </w:tcPr>
          <w:p>
            <w:pPr>
              <w:jc w:val="center"/>
              <w:ind w:left="2332"/>
              <w:spacing w:after="0"/>
              <w:rPr>
                <w:sz w:val="20"/>
                <w:szCs w:val="20"/>
                <w:color w:val="auto"/>
              </w:rPr>
            </w:pPr>
            <w:r>
              <w:rPr>
                <w:rFonts w:ascii="Arial" w:cs="Arial" w:eastAsia="Arial" w:hAnsi="Arial"/>
                <w:sz w:val="22"/>
                <w:szCs w:val="22"/>
                <w:color w:val="auto"/>
                <w:w w:val="93"/>
              </w:rPr>
              <w:t>EVENTS OF DEFAULT</w:t>
            </w:r>
          </w:p>
        </w:tc>
        <w:tc>
          <w:tcPr>
            <w:tcW w:w="2420" w:type="dxa"/>
            <w:vAlign w:val="bottom"/>
          </w:tcPr>
          <w:p>
            <w:pPr>
              <w:spacing w:after="0"/>
              <w:rPr>
                <w:sz w:val="23"/>
                <w:szCs w:val="23"/>
                <w:color w:val="auto"/>
              </w:rPr>
            </w:pPr>
          </w:p>
        </w:tc>
      </w:tr>
      <w:tr>
        <w:trPr>
          <w:trHeight w:val="486"/>
        </w:trPr>
        <w:tc>
          <w:tcPr>
            <w:tcW w:w="9000" w:type="dxa"/>
            <w:vAlign w:val="bottom"/>
          </w:tcPr>
          <w:p>
            <w:pPr>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Events of Default</w:t>
            </w:r>
          </w:p>
        </w:tc>
        <w:tc>
          <w:tcPr>
            <w:tcW w:w="242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455"/>
        </w:trPr>
        <w:tc>
          <w:tcPr>
            <w:tcW w:w="9000" w:type="dxa"/>
            <w:vAlign w:val="bottom"/>
          </w:tcPr>
          <w:p>
            <w:pPr>
              <w:jc w:val="center"/>
              <w:ind w:left="2312"/>
              <w:spacing w:after="0"/>
              <w:rPr>
                <w:sz w:val="20"/>
                <w:szCs w:val="20"/>
                <w:color w:val="auto"/>
              </w:rPr>
            </w:pPr>
            <w:r>
              <w:rPr>
                <w:rFonts w:ascii="Arial" w:cs="Arial" w:eastAsia="Arial" w:hAnsi="Arial"/>
                <w:sz w:val="22"/>
                <w:szCs w:val="22"/>
                <w:color w:val="auto"/>
                <w:w w:val="95"/>
              </w:rPr>
              <w:t>ARTICLE 7</w:t>
            </w:r>
          </w:p>
        </w:tc>
        <w:tc>
          <w:tcPr>
            <w:tcW w:w="2420" w:type="dxa"/>
            <w:vAlign w:val="bottom"/>
          </w:tcPr>
          <w:p>
            <w:pPr>
              <w:spacing w:after="0"/>
              <w:rPr>
                <w:sz w:val="24"/>
                <w:szCs w:val="24"/>
                <w:color w:val="auto"/>
              </w:rPr>
            </w:pPr>
          </w:p>
        </w:tc>
      </w:tr>
      <w:tr>
        <w:trPr>
          <w:trHeight w:val="275"/>
        </w:trPr>
        <w:tc>
          <w:tcPr>
            <w:tcW w:w="9000" w:type="dxa"/>
            <w:vAlign w:val="bottom"/>
          </w:tcPr>
          <w:p>
            <w:pPr>
              <w:jc w:val="center"/>
              <w:ind w:left="2332"/>
              <w:spacing w:after="0"/>
              <w:rPr>
                <w:sz w:val="20"/>
                <w:szCs w:val="20"/>
                <w:color w:val="auto"/>
              </w:rPr>
            </w:pPr>
            <w:r>
              <w:rPr>
                <w:rFonts w:ascii="Arial" w:cs="Arial" w:eastAsia="Arial" w:hAnsi="Arial"/>
                <w:sz w:val="22"/>
                <w:szCs w:val="22"/>
                <w:color w:val="auto"/>
                <w:w w:val="93"/>
              </w:rPr>
              <w:t>THE AGENTS</w:t>
            </w:r>
          </w:p>
        </w:tc>
        <w:tc>
          <w:tcPr>
            <w:tcW w:w="2420" w:type="dxa"/>
            <w:vAlign w:val="bottom"/>
          </w:tcPr>
          <w:p>
            <w:pPr>
              <w:spacing w:after="0"/>
              <w:rPr>
                <w:sz w:val="23"/>
                <w:szCs w:val="23"/>
                <w:color w:val="auto"/>
              </w:rPr>
            </w:pPr>
          </w:p>
        </w:tc>
      </w:tr>
      <w:tr>
        <w:trPr>
          <w:trHeight w:val="455"/>
        </w:trPr>
        <w:tc>
          <w:tcPr>
            <w:tcW w:w="9000" w:type="dxa"/>
            <w:vAlign w:val="bottom"/>
          </w:tcPr>
          <w:p>
            <w:pPr>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Authorization and Action</w:t>
            </w:r>
          </w:p>
        </w:tc>
        <w:tc>
          <w:tcPr>
            <w:tcW w:w="24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Administrative Agent Individually</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Duties of Administrative Agent; Exculpatory Provisions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Reliance by Administrative Agent</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Delegation of Duties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i w:val="1"/>
                <w:iCs w:val="1"/>
                <w:color w:val="auto"/>
              </w:rPr>
              <w:t>Resignation of Administrative Agent</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i w:val="1"/>
                <w:iCs w:val="1"/>
                <w:color w:val="auto"/>
              </w:rPr>
              <w:t>Non-Reliance on Administrative Agent and Other Lenders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i w:val="1"/>
                <w:iCs w:val="1"/>
                <w:color w:val="auto"/>
              </w:rPr>
              <w:t>Indemnification</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i w:val="1"/>
                <w:iCs w:val="1"/>
                <w:color w:val="auto"/>
              </w:rPr>
              <w:t>Other Agents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75"/>
        </w:trPr>
        <w:tc>
          <w:tcPr>
            <w:tcW w:w="9000" w:type="dxa"/>
            <w:vAlign w:val="bottom"/>
          </w:tcPr>
          <w:p>
            <w:pPr>
              <w:spacing w:after="0"/>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i w:val="1"/>
                <w:iCs w:val="1"/>
                <w:color w:val="auto"/>
              </w:rPr>
              <w:t>ERISA</w:t>
            </w:r>
          </w:p>
        </w:tc>
        <w:tc>
          <w:tcPr>
            <w:tcW w:w="24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455"/>
        </w:trPr>
        <w:tc>
          <w:tcPr>
            <w:tcW w:w="9000" w:type="dxa"/>
            <w:vAlign w:val="bottom"/>
          </w:tcPr>
          <w:p>
            <w:pPr>
              <w:jc w:val="center"/>
              <w:ind w:left="2312"/>
              <w:spacing w:after="0"/>
              <w:rPr>
                <w:sz w:val="20"/>
                <w:szCs w:val="20"/>
                <w:color w:val="auto"/>
              </w:rPr>
            </w:pPr>
            <w:r>
              <w:rPr>
                <w:rFonts w:ascii="Arial" w:cs="Arial" w:eastAsia="Arial" w:hAnsi="Arial"/>
                <w:sz w:val="22"/>
                <w:szCs w:val="22"/>
                <w:color w:val="auto"/>
                <w:w w:val="95"/>
              </w:rPr>
              <w:t>ARTICLE 8</w:t>
            </w:r>
          </w:p>
        </w:tc>
        <w:tc>
          <w:tcPr>
            <w:tcW w:w="2420" w:type="dxa"/>
            <w:vAlign w:val="bottom"/>
          </w:tcPr>
          <w:p>
            <w:pPr>
              <w:spacing w:after="0"/>
              <w:rPr>
                <w:sz w:val="24"/>
                <w:szCs w:val="24"/>
                <w:color w:val="auto"/>
              </w:rPr>
            </w:pPr>
          </w:p>
        </w:tc>
      </w:tr>
      <w:tr>
        <w:trPr>
          <w:trHeight w:val="275"/>
        </w:trPr>
        <w:tc>
          <w:tcPr>
            <w:tcW w:w="9000" w:type="dxa"/>
            <w:vAlign w:val="bottom"/>
          </w:tcPr>
          <w:p>
            <w:pPr>
              <w:jc w:val="center"/>
              <w:ind w:left="2332"/>
              <w:spacing w:after="0"/>
              <w:rPr>
                <w:sz w:val="20"/>
                <w:szCs w:val="20"/>
                <w:color w:val="auto"/>
              </w:rPr>
            </w:pPr>
            <w:r>
              <w:rPr>
                <w:rFonts w:ascii="Arial" w:cs="Arial" w:eastAsia="Arial" w:hAnsi="Arial"/>
                <w:sz w:val="22"/>
                <w:szCs w:val="22"/>
                <w:color w:val="auto"/>
                <w:w w:val="96"/>
              </w:rPr>
              <w:t>MISCELLANEOUS</w:t>
            </w:r>
          </w:p>
        </w:tc>
        <w:tc>
          <w:tcPr>
            <w:tcW w:w="2420" w:type="dxa"/>
            <w:vAlign w:val="bottom"/>
          </w:tcPr>
          <w:p>
            <w:pPr>
              <w:spacing w:after="0"/>
              <w:rPr>
                <w:sz w:val="23"/>
                <w:szCs w:val="23"/>
                <w:color w:val="auto"/>
              </w:rPr>
            </w:pPr>
          </w:p>
        </w:tc>
      </w:tr>
      <w:tr>
        <w:trPr>
          <w:trHeight w:val="455"/>
        </w:trPr>
        <w:tc>
          <w:tcPr>
            <w:tcW w:w="9000" w:type="dxa"/>
            <w:vAlign w:val="bottom"/>
          </w:tcPr>
          <w:p>
            <w:pPr>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Amendments, Etc.</w:t>
            </w:r>
          </w:p>
        </w:tc>
        <w:tc>
          <w:tcPr>
            <w:tcW w:w="24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Notices, Etc.</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No Waiver; Remedies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i w:val="1"/>
                <w:iCs w:val="1"/>
                <w:color w:val="auto"/>
              </w:rPr>
              <w:t>Costs and Expenses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i w:val="1"/>
                <w:iCs w:val="1"/>
                <w:color w:val="auto"/>
              </w:rPr>
              <w:t>Right of Setoff</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i w:val="1"/>
                <w:iCs w:val="1"/>
                <w:color w:val="auto"/>
              </w:rPr>
              <w:t>Binding Effect</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i w:val="1"/>
                <w:iCs w:val="1"/>
                <w:color w:val="auto"/>
              </w:rPr>
              <w:t>Assignments and Participations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i w:val="1"/>
                <w:iCs w:val="1"/>
                <w:color w:val="auto"/>
              </w:rPr>
              <w:t>Confidentiality</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i w:val="1"/>
                <w:iCs w:val="1"/>
                <w:color w:val="auto"/>
              </w:rPr>
              <w:t>Governing Law</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9000" w:type="dxa"/>
            <w:vAlign w:val="bottom"/>
          </w:tcPr>
          <w:p>
            <w:pPr>
              <w:spacing w:after="0" w:line="243" w:lineRule="exact"/>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i w:val="1"/>
                <w:iCs w:val="1"/>
                <w:color w:val="auto"/>
              </w:rPr>
              <w:t>Execution in Counterparts</w:t>
            </w:r>
          </w:p>
        </w:tc>
        <w:tc>
          <w:tcPr>
            <w:tcW w:w="24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75"/>
        </w:trPr>
        <w:tc>
          <w:tcPr>
            <w:tcW w:w="9000" w:type="dxa"/>
            <w:vAlign w:val="bottom"/>
          </w:tcPr>
          <w:p>
            <w:pPr>
              <w:spacing w:after="0"/>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i w:val="1"/>
                <w:iCs w:val="1"/>
                <w:color w:val="auto"/>
              </w:rPr>
              <w:t>Jurisdiction, Etc.</w:t>
            </w:r>
          </w:p>
        </w:tc>
        <w:tc>
          <w:tcPr>
            <w:tcW w:w="2420" w:type="dxa"/>
            <w:vAlign w:val="bottom"/>
          </w:tcPr>
          <w:p>
            <w:pPr>
              <w:jc w:val="right"/>
              <w:spacing w:after="0"/>
              <w:rPr>
                <w:sz w:val="20"/>
                <w:szCs w:val="20"/>
                <w:color w:val="auto"/>
              </w:rPr>
            </w:pPr>
            <w:r>
              <w:rPr>
                <w:rFonts w:ascii="Arial" w:cs="Arial" w:eastAsia="Arial" w:hAnsi="Arial"/>
                <w:sz w:val="22"/>
                <w:szCs w:val="22"/>
                <w:color w:val="auto"/>
              </w:rPr>
              <w:t>70</w:t>
            </w:r>
          </w:p>
        </w:tc>
      </w:tr>
    </w:tbl>
    <w:p>
      <w:pPr>
        <w:sectPr>
          <w:pgSz w:w="11900" w:h="16894" w:orient="portrait"/>
          <w:cols w:equalWidth="0" w:num="1">
            <w:col w:w="11460"/>
          </w:cols>
          <w:pgMar w:left="240" w:top="108" w:right="19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60" w:type="dxa"/>
            <w:vAlign w:val="bottom"/>
            <w:gridSpan w:val="3"/>
          </w:tcPr>
          <w:p>
            <w:pPr>
              <w:spacing w:after="0"/>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i w:val="1"/>
                <w:iCs w:val="1"/>
                <w:color w:val="auto"/>
              </w:rPr>
              <w:t>Patriot Act Notice</w:t>
            </w:r>
          </w:p>
        </w:tc>
        <w:tc>
          <w:tcPr>
            <w:tcW w:w="180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43"/>
        </w:trPr>
        <w:tc>
          <w:tcPr>
            <w:tcW w:w="966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i w:val="1"/>
                <w:iCs w:val="1"/>
                <w:color w:val="auto"/>
              </w:rPr>
              <w:t>No Advisory or Fiduciary Responsibility</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966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8.14. </w:t>
            </w:r>
            <w:r>
              <w:rPr>
                <w:rFonts w:ascii="Arial" w:cs="Arial" w:eastAsia="Arial" w:hAnsi="Arial"/>
                <w:sz w:val="22"/>
                <w:szCs w:val="22"/>
                <w:i w:val="1"/>
                <w:iCs w:val="1"/>
                <w:color w:val="auto"/>
              </w:rPr>
              <w:t>Waiver of Jury Trial</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9660" w:type="dxa"/>
            <w:vAlign w:val="bottom"/>
            <w:gridSpan w:val="3"/>
          </w:tcPr>
          <w:p>
            <w:pPr>
              <w:spacing w:after="0" w:line="243" w:lineRule="exact"/>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i w:val="1"/>
                <w:iCs w:val="1"/>
                <w:color w:val="auto"/>
              </w:rPr>
              <w:t>Acknowledgment and Consent to Bail-In of EEA Financial Institutions</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75"/>
        </w:trPr>
        <w:tc>
          <w:tcPr>
            <w:tcW w:w="2540" w:type="dxa"/>
            <w:vAlign w:val="bottom"/>
            <w:gridSpan w:val="2"/>
          </w:tcPr>
          <w:p>
            <w:pPr>
              <w:spacing w:after="0"/>
              <w:rPr>
                <w:sz w:val="20"/>
                <w:szCs w:val="20"/>
                <w:color w:val="auto"/>
              </w:rPr>
            </w:pPr>
            <w:r>
              <w:rPr>
                <w:rFonts w:ascii="Arial" w:cs="Arial" w:eastAsia="Arial" w:hAnsi="Arial"/>
                <w:sz w:val="22"/>
                <w:szCs w:val="22"/>
                <w:color w:val="auto"/>
              </w:rPr>
              <w:t xml:space="preserve">Section 8.16. </w:t>
            </w:r>
            <w:r>
              <w:rPr>
                <w:rFonts w:ascii="Arial" w:cs="Arial" w:eastAsia="Arial" w:hAnsi="Arial"/>
                <w:sz w:val="22"/>
                <w:szCs w:val="22"/>
                <w:i w:val="1"/>
                <w:iCs w:val="1"/>
                <w:color w:val="auto"/>
              </w:rPr>
              <w:t>Nonreliance</w:t>
            </w:r>
          </w:p>
        </w:tc>
        <w:tc>
          <w:tcPr>
            <w:tcW w:w="7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486"/>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20" w:type="dxa"/>
            <w:vAlign w:val="bottom"/>
          </w:tcPr>
          <w:p>
            <w:pPr>
              <w:ind w:left="3120"/>
              <w:spacing w:after="0"/>
              <w:rPr>
                <w:sz w:val="20"/>
                <w:szCs w:val="20"/>
                <w:color w:val="auto"/>
              </w:rPr>
            </w:pPr>
            <w:r>
              <w:rPr>
                <w:rFonts w:ascii="Arial" w:cs="Arial" w:eastAsia="Arial" w:hAnsi="Arial"/>
                <w:sz w:val="22"/>
                <w:szCs w:val="22"/>
                <w:color w:val="auto"/>
              </w:rPr>
              <w:t>3</w:t>
            </w:r>
          </w:p>
        </w:tc>
        <w:tc>
          <w:tcPr>
            <w:tcW w:w="1800" w:type="dxa"/>
            <w:vAlign w:val="bottom"/>
          </w:tcPr>
          <w:p>
            <w:pPr>
              <w:spacing w:after="0"/>
              <w:rPr>
                <w:sz w:val="24"/>
                <w:szCs w:val="24"/>
                <w:color w:val="auto"/>
              </w:rPr>
            </w:pPr>
          </w:p>
        </w:tc>
      </w:tr>
      <w:tr>
        <w:trPr>
          <w:trHeight w:val="122"/>
        </w:trPr>
        <w:tc>
          <w:tcPr>
            <w:tcW w:w="17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71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r>
        <w:trPr>
          <w:trHeight w:val="844"/>
        </w:trPr>
        <w:tc>
          <w:tcPr>
            <w:tcW w:w="1740" w:type="dxa"/>
            <w:vAlign w:val="bottom"/>
          </w:tcPr>
          <w:p>
            <w:pPr>
              <w:spacing w:after="0"/>
              <w:rPr>
                <w:sz w:val="20"/>
                <w:szCs w:val="20"/>
                <w:color w:val="auto"/>
              </w:rPr>
            </w:pPr>
            <w:r>
              <w:rPr>
                <w:rFonts w:ascii="Arial" w:cs="Arial" w:eastAsia="Arial" w:hAnsi="Arial"/>
                <w:sz w:val="22"/>
                <w:szCs w:val="22"/>
                <w:b w:val="1"/>
                <w:bCs w:val="1"/>
                <w:color w:val="auto"/>
              </w:rPr>
              <w:t>SCHEDULES</w:t>
            </w:r>
          </w:p>
        </w:tc>
        <w:tc>
          <w:tcPr>
            <w:tcW w:w="8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55"/>
        </w:trPr>
        <w:tc>
          <w:tcPr>
            <w:tcW w:w="1740" w:type="dxa"/>
            <w:vAlign w:val="bottom"/>
          </w:tcPr>
          <w:p>
            <w:pPr>
              <w:spacing w:after="0"/>
              <w:rPr>
                <w:sz w:val="20"/>
                <w:szCs w:val="20"/>
                <w:color w:val="auto"/>
              </w:rPr>
            </w:pPr>
            <w:r>
              <w:rPr>
                <w:rFonts w:ascii="Arial" w:cs="Arial" w:eastAsia="Arial" w:hAnsi="Arial"/>
                <w:sz w:val="22"/>
                <w:szCs w:val="22"/>
                <w:color w:val="auto"/>
              </w:rPr>
              <w:t>Schedule I</w:t>
            </w:r>
          </w:p>
        </w:tc>
        <w:tc>
          <w:tcPr>
            <w:tcW w:w="8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20" w:type="dxa"/>
            <w:vAlign w:val="bottom"/>
          </w:tcPr>
          <w:p>
            <w:pPr>
              <w:ind w:left="240"/>
              <w:spacing w:after="0"/>
              <w:rPr>
                <w:sz w:val="20"/>
                <w:szCs w:val="20"/>
                <w:color w:val="auto"/>
              </w:rPr>
            </w:pPr>
            <w:r>
              <w:rPr>
                <w:rFonts w:ascii="Arial" w:cs="Arial" w:eastAsia="Arial" w:hAnsi="Arial"/>
                <w:sz w:val="22"/>
                <w:szCs w:val="22"/>
                <w:color w:val="auto"/>
              </w:rPr>
              <w:t>Commitments</w:t>
            </w:r>
          </w:p>
        </w:tc>
        <w:tc>
          <w:tcPr>
            <w:tcW w:w="1800" w:type="dxa"/>
            <w:vAlign w:val="bottom"/>
          </w:tcPr>
          <w:p>
            <w:pPr>
              <w:spacing w:after="0"/>
              <w:rPr>
                <w:sz w:val="24"/>
                <w:szCs w:val="24"/>
                <w:color w:val="auto"/>
              </w:rPr>
            </w:pPr>
          </w:p>
        </w:tc>
      </w:tr>
      <w:tr>
        <w:trPr>
          <w:trHeight w:val="243"/>
        </w:trPr>
        <w:tc>
          <w:tcPr>
            <w:tcW w:w="1740" w:type="dxa"/>
            <w:vAlign w:val="bottom"/>
          </w:tcPr>
          <w:p>
            <w:pPr>
              <w:spacing w:after="0" w:line="243" w:lineRule="exact"/>
              <w:rPr>
                <w:sz w:val="20"/>
                <w:szCs w:val="20"/>
                <w:color w:val="auto"/>
              </w:rPr>
            </w:pPr>
            <w:r>
              <w:rPr>
                <w:rFonts w:ascii="Arial" w:cs="Arial" w:eastAsia="Arial" w:hAnsi="Arial"/>
                <w:sz w:val="22"/>
                <w:szCs w:val="22"/>
                <w:color w:val="auto"/>
              </w:rPr>
              <w:t>Schedule II</w:t>
            </w:r>
          </w:p>
        </w:tc>
        <w:tc>
          <w:tcPr>
            <w:tcW w:w="80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Administrative Agent’s Office; Certain Addresses for Notices</w:t>
            </w:r>
          </w:p>
        </w:tc>
        <w:tc>
          <w:tcPr>
            <w:tcW w:w="1800" w:type="dxa"/>
            <w:vAlign w:val="bottom"/>
          </w:tcPr>
          <w:p>
            <w:pPr>
              <w:spacing w:after="0"/>
              <w:rPr>
                <w:sz w:val="21"/>
                <w:szCs w:val="21"/>
                <w:color w:val="auto"/>
              </w:rPr>
            </w:pPr>
          </w:p>
        </w:tc>
      </w:tr>
      <w:tr>
        <w:trPr>
          <w:trHeight w:val="243"/>
        </w:trPr>
        <w:tc>
          <w:tcPr>
            <w:tcW w:w="1740" w:type="dxa"/>
            <w:vAlign w:val="bottom"/>
          </w:tcPr>
          <w:p>
            <w:pPr>
              <w:spacing w:after="0" w:line="243" w:lineRule="exact"/>
              <w:rPr>
                <w:sz w:val="20"/>
                <w:szCs w:val="20"/>
                <w:color w:val="auto"/>
              </w:rPr>
            </w:pPr>
            <w:r>
              <w:rPr>
                <w:rFonts w:ascii="Arial" w:cs="Arial" w:eastAsia="Arial" w:hAnsi="Arial"/>
                <w:sz w:val="22"/>
                <w:szCs w:val="22"/>
                <w:color w:val="auto"/>
              </w:rPr>
              <w:t>Schedule 4.01(f)</w:t>
            </w:r>
          </w:p>
        </w:tc>
        <w:tc>
          <w:tcPr>
            <w:tcW w:w="80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Legal Proceedings</w:t>
            </w:r>
          </w:p>
        </w:tc>
        <w:tc>
          <w:tcPr>
            <w:tcW w:w="1800" w:type="dxa"/>
            <w:vAlign w:val="bottom"/>
          </w:tcPr>
          <w:p>
            <w:pPr>
              <w:spacing w:after="0"/>
              <w:rPr>
                <w:sz w:val="21"/>
                <w:szCs w:val="21"/>
                <w:color w:val="auto"/>
              </w:rPr>
            </w:pP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Schedule 5.01(h)</w:t>
            </w:r>
          </w:p>
        </w:tc>
        <w:tc>
          <w:tcPr>
            <w:tcW w:w="8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20" w:type="dxa"/>
            <w:vAlign w:val="bottom"/>
          </w:tcPr>
          <w:p>
            <w:pPr>
              <w:ind w:left="240"/>
              <w:spacing w:after="0"/>
              <w:rPr>
                <w:sz w:val="20"/>
                <w:szCs w:val="20"/>
                <w:color w:val="auto"/>
              </w:rPr>
            </w:pPr>
            <w:r>
              <w:rPr>
                <w:rFonts w:ascii="Arial" w:cs="Arial" w:eastAsia="Arial" w:hAnsi="Arial"/>
                <w:sz w:val="22"/>
                <w:szCs w:val="22"/>
                <w:color w:val="auto"/>
              </w:rPr>
              <w:t>Affiliate Transactions</w:t>
            </w:r>
          </w:p>
        </w:tc>
        <w:tc>
          <w:tcPr>
            <w:tcW w:w="1800" w:type="dxa"/>
            <w:vAlign w:val="bottom"/>
          </w:tcPr>
          <w:p>
            <w:pPr>
              <w:spacing w:after="0"/>
              <w:rPr>
                <w:sz w:val="23"/>
                <w:szCs w:val="23"/>
                <w:color w:val="auto"/>
              </w:rPr>
            </w:pPr>
          </w:p>
        </w:tc>
      </w:tr>
      <w:tr>
        <w:trPr>
          <w:trHeight w:val="486"/>
        </w:trPr>
        <w:tc>
          <w:tcPr>
            <w:tcW w:w="174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8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55"/>
        </w:trPr>
        <w:tc>
          <w:tcPr>
            <w:tcW w:w="1740" w:type="dxa"/>
            <w:vAlign w:val="bottom"/>
          </w:tcPr>
          <w:p>
            <w:pPr>
              <w:spacing w:after="0"/>
              <w:rPr>
                <w:sz w:val="20"/>
                <w:szCs w:val="20"/>
                <w:color w:val="auto"/>
              </w:rPr>
            </w:pPr>
            <w:r>
              <w:rPr>
                <w:rFonts w:ascii="Arial" w:cs="Arial" w:eastAsia="Arial" w:hAnsi="Arial"/>
                <w:sz w:val="22"/>
                <w:szCs w:val="22"/>
                <w:color w:val="auto"/>
              </w:rPr>
              <w:t>Exhibit A</w:t>
            </w:r>
          </w:p>
        </w:tc>
        <w:tc>
          <w:tcPr>
            <w:tcW w:w="8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20" w:type="dxa"/>
            <w:vAlign w:val="bottom"/>
          </w:tcPr>
          <w:p>
            <w:pPr>
              <w:ind w:left="240"/>
              <w:spacing w:after="0"/>
              <w:rPr>
                <w:sz w:val="20"/>
                <w:szCs w:val="20"/>
                <w:color w:val="auto"/>
              </w:rPr>
            </w:pPr>
            <w:r>
              <w:rPr>
                <w:rFonts w:ascii="Arial" w:cs="Arial" w:eastAsia="Arial" w:hAnsi="Arial"/>
                <w:sz w:val="22"/>
                <w:szCs w:val="22"/>
                <w:color w:val="auto"/>
              </w:rPr>
              <w:t>Form of Notice of Borrowing</w:t>
            </w:r>
          </w:p>
        </w:tc>
        <w:tc>
          <w:tcPr>
            <w:tcW w:w="1800" w:type="dxa"/>
            <w:vAlign w:val="bottom"/>
          </w:tcPr>
          <w:p>
            <w:pPr>
              <w:spacing w:after="0"/>
              <w:rPr>
                <w:sz w:val="24"/>
                <w:szCs w:val="24"/>
                <w:color w:val="auto"/>
              </w:rPr>
            </w:pPr>
          </w:p>
        </w:tc>
      </w:t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Exhibit B</w:t>
            </w:r>
          </w:p>
        </w:tc>
        <w:tc>
          <w:tcPr>
            <w:tcW w:w="80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20" w:type="dxa"/>
            <w:vAlign w:val="bottom"/>
          </w:tcPr>
          <w:p>
            <w:pPr>
              <w:ind w:left="240"/>
              <w:spacing w:after="0"/>
              <w:rPr>
                <w:sz w:val="20"/>
                <w:szCs w:val="20"/>
                <w:color w:val="auto"/>
              </w:rPr>
            </w:pPr>
            <w:r>
              <w:rPr>
                <w:rFonts w:ascii="Arial" w:cs="Arial" w:eastAsia="Arial" w:hAnsi="Arial"/>
                <w:sz w:val="22"/>
                <w:szCs w:val="22"/>
                <w:color w:val="auto"/>
              </w:rPr>
              <w:t>Form of Assignment and Acceptance</w:t>
            </w:r>
          </w:p>
        </w:tc>
        <w:tc>
          <w:tcPr>
            <w:tcW w:w="1800" w:type="dxa"/>
            <w:vAlign w:val="bottom"/>
          </w:tcPr>
          <w:p>
            <w:pPr>
              <w:spacing w:after="0"/>
              <w:rPr>
                <w:sz w:val="23"/>
                <w:szCs w:val="23"/>
                <w:color w:val="auto"/>
              </w:rPr>
            </w:pPr>
          </w:p>
        </w:tc>
      </w:tr>
      <w:tr>
        <w:trPr>
          <w:trHeight w:val="486"/>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120" w:type="dxa"/>
            <w:vAlign w:val="bottom"/>
          </w:tcPr>
          <w:p>
            <w:pPr>
              <w:ind w:left="3120"/>
              <w:spacing w:after="0"/>
              <w:rPr>
                <w:sz w:val="20"/>
                <w:szCs w:val="20"/>
                <w:color w:val="auto"/>
              </w:rPr>
            </w:pPr>
            <w:r>
              <w:rPr>
                <w:rFonts w:ascii="Arial" w:cs="Arial" w:eastAsia="Arial" w:hAnsi="Arial"/>
                <w:sz w:val="22"/>
                <w:szCs w:val="22"/>
                <w:color w:val="auto"/>
              </w:rPr>
              <w:t>4</w:t>
            </w:r>
          </w:p>
        </w:tc>
        <w:tc>
          <w:tcPr>
            <w:tcW w:w="1800" w:type="dxa"/>
            <w:vAlign w:val="bottom"/>
          </w:tcPr>
          <w:p>
            <w:pPr>
              <w:spacing w:after="0"/>
              <w:rPr>
                <w:sz w:val="24"/>
                <w:szCs w:val="24"/>
                <w:color w:val="auto"/>
              </w:rPr>
            </w:pPr>
          </w:p>
        </w:tc>
      </w:tr>
      <w:tr>
        <w:trPr>
          <w:trHeight w:val="122"/>
        </w:trPr>
        <w:tc>
          <w:tcPr>
            <w:tcW w:w="17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712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-2507615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-2507615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364-DAY TERM LOAN CREDIT AGREEMENT</w:t>
      </w:r>
    </w:p>
    <w:p>
      <w:pPr>
        <w:spacing w:after="0" w:line="233" w:lineRule="exact"/>
        <w:rPr>
          <w:sz w:val="20"/>
          <w:szCs w:val="20"/>
          <w:color w:val="auto"/>
        </w:rPr>
      </w:pPr>
    </w:p>
    <w:p>
      <w:pPr>
        <w:ind w:right="360" w:firstLine="648"/>
        <w:spacing w:after="0" w:line="239" w:lineRule="auto"/>
        <w:rPr>
          <w:sz w:val="20"/>
          <w:szCs w:val="20"/>
          <w:color w:val="auto"/>
        </w:rPr>
      </w:pPr>
      <w:r>
        <w:rPr>
          <w:rFonts w:ascii="Arial" w:cs="Arial" w:eastAsia="Arial" w:hAnsi="Arial"/>
          <w:sz w:val="22"/>
          <w:szCs w:val="22"/>
          <w:color w:val="auto"/>
        </w:rPr>
        <w:t>This 364-Day Term Loan Credit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May 17, 2018 is among AbbVie Inc., a corporation existing under the laws of the State of Delaware (the “</w:t>
      </w:r>
      <w:r>
        <w:rPr>
          <w:rFonts w:ascii="Arial" w:cs="Arial" w:eastAsia="Arial" w:hAnsi="Arial"/>
          <w:sz w:val="22"/>
          <w:szCs w:val="22"/>
          <w:b w:val="1"/>
          <w:bCs w:val="1"/>
          <w:color w:val="auto"/>
        </w:rPr>
        <w:t>Borrower</w:t>
      </w:r>
      <w:r>
        <w:rPr>
          <w:rFonts w:ascii="Arial" w:cs="Arial" w:eastAsia="Arial" w:hAnsi="Arial"/>
          <w:sz w:val="22"/>
          <w:szCs w:val="22"/>
          <w:color w:val="auto"/>
        </w:rPr>
        <w:t>”), the Lenders (as defined below) that are parties hereto, and Bank of America, N.A., as administrative agent (together with any successor thereto appointed pursuant to Article 7, the “</w:t>
      </w:r>
      <w:r>
        <w:rPr>
          <w:rFonts w:ascii="Arial" w:cs="Arial" w:eastAsia="Arial" w:hAnsi="Arial"/>
          <w:sz w:val="22"/>
          <w:szCs w:val="22"/>
          <w:b w:val="1"/>
          <w:bCs w:val="1"/>
          <w:color w:val="auto"/>
        </w:rPr>
        <w:t>Administrative Agent</w:t>
      </w:r>
      <w:r>
        <w:rPr>
          <w:rFonts w:ascii="Arial" w:cs="Arial" w:eastAsia="Arial" w:hAnsi="Arial"/>
          <w:sz w:val="22"/>
          <w:szCs w:val="22"/>
          <w:color w:val="auto"/>
        </w:rPr>
        <w:t>”) for the Lenders.</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DEFINITIONS AND ACCOUNTING TERMS</w:t>
      </w:r>
    </w:p>
    <w:p>
      <w:pPr>
        <w:spacing w:after="0" w:line="233" w:lineRule="exact"/>
        <w:rPr>
          <w:sz w:val="20"/>
          <w:szCs w:val="20"/>
          <w:color w:val="auto"/>
        </w:rPr>
      </w:pPr>
    </w:p>
    <w:p>
      <w:pPr>
        <w:ind w:right="260" w:firstLine="648"/>
        <w:spacing w:after="0" w:line="251"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Certain Defined Terms</w:t>
      </w:r>
      <w:r>
        <w:rPr>
          <w:rFonts w:ascii="Arial" w:cs="Arial" w:eastAsia="Arial" w:hAnsi="Arial"/>
          <w:sz w:val="22"/>
          <w:szCs w:val="22"/>
          <w:color w:val="auto"/>
        </w:rPr>
        <w:t>. As used in this Agreement, the following terms shall have the following meanings (such meanings to be equally applicable to both the singular and plural forms of the terms defined):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AbbVie</w:t>
      </w:r>
      <w:r>
        <w:rPr>
          <w:rFonts w:ascii="Arial" w:cs="Arial" w:eastAsia="Arial" w:hAnsi="Arial"/>
          <w:sz w:val="22"/>
          <w:szCs w:val="22"/>
          <w:color w:val="auto"/>
        </w:rPr>
        <w:t>” means AbbVie Inc.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0000FF"/>
        </w:rPr>
        <w:t>Acquisition</w:t>
      </w:r>
      <w:r>
        <w:rPr>
          <w:rFonts w:ascii="Arial" w:cs="Arial" w:eastAsia="Arial" w:hAnsi="Arial"/>
          <w:sz w:val="19"/>
          <w:szCs w:val="19"/>
          <w:u w:val="single" w:color="auto"/>
          <w:color w:val="0000FF"/>
        </w:rPr>
        <w:t>” means any transaction or series of related transactions for the purpose of or resulting, directly or indirectly, in</w:t>
      </w:r>
    </w:p>
    <w:p>
      <w:pPr>
        <w:spacing w:after="0" w:line="49" w:lineRule="exact"/>
        <w:rPr>
          <w:sz w:val="20"/>
          <w:szCs w:val="20"/>
          <w:color w:val="auto"/>
        </w:rPr>
      </w:pPr>
    </w:p>
    <w:p>
      <w:pPr>
        <w:ind w:right="80" w:firstLine="8"/>
        <w:spacing w:after="0" w:line="271" w:lineRule="auto"/>
        <w:tabs>
          <w:tab w:leader="none" w:pos="294" w:val="left"/>
        </w:tabs>
        <w:numPr>
          <w:ilvl w:val="0"/>
          <w:numId w:val="115"/>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the acquisition by the Borrower or any of its Subsidiaries of all or substantially all of the assets of a Person, or of any business or division of a Person, (b) the acquisition by the Borrower or any of its Subsidiaries of in excess of 50% of the capital stock, partnership interests, membership interests or equity of any Person (other than a Person that is a Subsidiary), or otherwise causing any Person to become a Subsidiary of the Borrower or (c) a merger or consolidation or any other combination by the Borrower or any of its Subsidiaries with another Person (other than a Person that is a Subsidiary) provided that the Borrower (or a Person that succeeds to the Borrower pursuant to Section 5.02(b) in connection with such transaction or series of related transactions) or a Subsidiary of the Borrower (or a Person that becomes a Subsidiary of the Borrower as a result of such transaction) is the surviving entity;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xml:space="preserve"> that any Person that is a Subsidiary at the time of execution of the definitive agreement related to any such transaction or series of related transactions (or, in the case of a tender offer or similar transaction, at the time of filing of the definitive offer document) shall constitute a Subsidiary for purposes of this definition even if in connection with such transaction or series of related transactions, such Person becomes a direct or indirect holding company of the Borrower.</w:t>
      </w:r>
    </w:p>
    <w:p>
      <w:pPr>
        <w:spacing w:after="0" w:line="179" w:lineRule="exact"/>
        <w:rPr>
          <w:sz w:val="20"/>
          <w:szCs w:val="20"/>
          <w:color w:val="auto"/>
        </w:rPr>
      </w:pPr>
    </w:p>
    <w:p>
      <w:pPr>
        <w:ind w:right="80" w:firstLine="648"/>
        <w:spacing w:after="0" w:line="239" w:lineRule="auto"/>
        <w:rPr>
          <w:sz w:val="20"/>
          <w:szCs w:val="20"/>
          <w:color w:val="auto"/>
        </w:rPr>
      </w:pPr>
      <w:r>
        <w:rPr>
          <w:rFonts w:ascii="Arial" w:cs="Arial" w:eastAsia="Arial" w:hAnsi="Arial"/>
          <w:sz w:val="22"/>
          <w:szCs w:val="22"/>
          <w:u w:val="single" w:color="auto"/>
          <w:color w:val="0000FF"/>
        </w:rPr>
        <w:t>“</w:t>
      </w:r>
      <w:r>
        <w:rPr>
          <w:rFonts w:ascii="Arial" w:cs="Arial" w:eastAsia="Arial" w:hAnsi="Arial"/>
          <w:sz w:val="22"/>
          <w:szCs w:val="22"/>
          <w:b w:val="1"/>
          <w:bCs w:val="1"/>
          <w:u w:val="single" w:color="auto"/>
          <w:color w:val="0000FF"/>
        </w:rPr>
        <w:t>Acquisition Debt</w:t>
      </w:r>
      <w:r>
        <w:rPr>
          <w:rFonts w:ascii="Arial" w:cs="Arial" w:eastAsia="Arial" w:hAnsi="Arial"/>
          <w:sz w:val="22"/>
          <w:szCs w:val="22"/>
          <w:u w:val="single" w:color="auto"/>
          <w:color w:val="0000FF"/>
        </w:rPr>
        <w:t>” means any Borrowed Debt of the Borrower or any of its Subsidiaries that has been issued or incurred for the purpose of financing, in whole or in part, a Material Acquisition and any related transactions or series of related transactions (including for the purpose of refinancing or replacing all or a portion of any pre-existing Borrowed Debt of the Borrower, any of its Subsidiaries or the Person(s) or assets to be acquired).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w:t>
      </w:r>
      <w:r>
        <w:rPr>
          <w:rFonts w:ascii="Arial" w:cs="Arial" w:eastAsia="Arial" w:hAnsi="Arial"/>
          <w:sz w:val="22"/>
          <w:szCs w:val="22"/>
          <w:b w:val="1"/>
          <w:bCs w:val="1"/>
          <w:color w:val="000000"/>
        </w:rPr>
        <w:t>Administrative Agent</w:t>
      </w:r>
      <w:r>
        <w:rPr>
          <w:rFonts w:ascii="Arial" w:cs="Arial" w:eastAsia="Arial" w:hAnsi="Arial"/>
          <w:sz w:val="22"/>
          <w:szCs w:val="22"/>
          <w:color w:val="000000"/>
        </w:rPr>
        <w:t>” has the meaning specified in the introduction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8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 Fee Letter</w:t>
      </w:r>
      <w:r>
        <w:rPr>
          <w:rFonts w:ascii="Arial" w:cs="Arial" w:eastAsia="Arial" w:hAnsi="Arial"/>
          <w:sz w:val="19"/>
          <w:szCs w:val="19"/>
          <w:color w:val="auto"/>
        </w:rPr>
        <w:t>” means that certain fee letter, dated as of the date hereof, among Bank of America, N.A., JPMorgan Chase Bank, N.A. and the Borrower, as it may be amended, supplement or otherwise modified from time to time.</w:t>
      </w:r>
    </w:p>
    <w:p>
      <w:pPr>
        <w:sectPr>
          <w:pgSz w:w="11900" w:h="16838" w:orient="portrait"/>
          <w:cols w:equalWidth="0" w:num="1">
            <w:col w:w="11460"/>
          </w:cols>
          <w:pgMar w:left="240" w:top="108" w:right="199" w:bottom="0" w:gutter="0" w:footer="0" w:header="0"/>
        </w:sectPr>
      </w:pPr>
    </w:p>
    <w:bookmarkStart w:id="63" w:name="page64"/>
    <w:bookmarkEnd w:id="63"/>
    <w:p>
      <w:pPr>
        <w:jc w:val="both"/>
        <w:ind w:right="34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Agent’s Office</w:t>
      </w:r>
      <w:r>
        <w:rPr>
          <w:rFonts w:ascii="Arial" w:cs="Arial" w:eastAsia="Arial" w:hAnsi="Arial"/>
          <w:sz w:val="22"/>
          <w:szCs w:val="22"/>
          <w:color w:val="auto"/>
        </w:rPr>
        <w:t xml:space="preserve">” means the Administrative Agent’s address and, as appropriate, account as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or such other address or account as the Administrative Agent may from time to time notify to the Borrower and the Lenders.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Questionnaire</w:t>
      </w:r>
      <w:r>
        <w:rPr>
          <w:rFonts w:ascii="Arial" w:cs="Arial" w:eastAsia="Arial" w:hAnsi="Arial"/>
          <w:sz w:val="19"/>
          <w:szCs w:val="19"/>
          <w:color w:val="auto"/>
        </w:rPr>
        <w:t>” means an administrative questionnaire in the form supplied by the Administrative Agent.</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Advance</w:t>
      </w:r>
      <w:r>
        <w:rPr>
          <w:rFonts w:ascii="Arial" w:cs="Arial" w:eastAsia="Arial" w:hAnsi="Arial"/>
          <w:sz w:val="21"/>
          <w:szCs w:val="21"/>
          <w:color w:val="auto"/>
        </w:rPr>
        <w:t>” means an advance by a Lender pursuant to its Commitment to the Borrower as part of a Borrowing.</w:t>
      </w:r>
    </w:p>
    <w:p>
      <w:pPr>
        <w:spacing w:after="0" w:line="245" w:lineRule="exact"/>
        <w:rPr>
          <w:sz w:val="20"/>
          <w:szCs w:val="20"/>
          <w:color w:val="auto"/>
        </w:rPr>
      </w:pPr>
    </w:p>
    <w:p>
      <w:pPr>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Parties</w:t>
      </w:r>
      <w:r>
        <w:rPr>
          <w:rFonts w:ascii="Arial" w:cs="Arial" w:eastAsia="Arial" w:hAnsi="Arial"/>
          <w:sz w:val="22"/>
          <w:szCs w:val="22"/>
          <w:color w:val="auto"/>
        </w:rPr>
        <w:t>” has the meaning set forth in Section 8.02(c).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Agents</w:t>
      </w:r>
      <w:r>
        <w:rPr>
          <w:rFonts w:ascii="Arial" w:cs="Arial" w:eastAsia="Arial" w:hAnsi="Arial"/>
          <w:sz w:val="22"/>
          <w:szCs w:val="22"/>
          <w:color w:val="auto"/>
        </w:rPr>
        <w:t>” means, collectively, the Administrative Agent and the Syndication Agent.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introduction hereto.</w:t>
      </w:r>
    </w:p>
    <w:p>
      <w:pPr>
        <w:spacing w:after="0" w:line="233" w:lineRule="exact"/>
        <w:rPr>
          <w:sz w:val="20"/>
          <w:szCs w:val="20"/>
          <w:color w:val="auto"/>
        </w:rPr>
      </w:pPr>
    </w:p>
    <w:p>
      <w:pPr>
        <w:ind w:right="16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 Value</w:t>
      </w:r>
      <w:r>
        <w:rPr>
          <w:rFonts w:ascii="Arial" w:cs="Arial" w:eastAsia="Arial" w:hAnsi="Arial"/>
          <w:sz w:val="22"/>
          <w:szCs w:val="22"/>
          <w:color w:val="auto"/>
        </w:rPr>
        <w:t>” means, with respect to any Hedge Agreement at any date of determination, the amount, if any, that would be payable to any counterparty thereunder in respect of the “agreement value” under such Hedge Agreement if such Hedge Agreement were terminated on such date, calculated as provided in the International Swap Dealers Association, Inc. Code of Standard Wording, Assumptions and Provisions for Swaps, 1986 Edition.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has the meaning set forth in Section 4.01(c).</w:t>
      </w:r>
    </w:p>
    <w:p>
      <w:pPr>
        <w:spacing w:after="0" w:line="233" w:lineRule="exact"/>
        <w:rPr>
          <w:sz w:val="20"/>
          <w:szCs w:val="20"/>
          <w:color w:val="auto"/>
        </w:rPr>
      </w:pPr>
    </w:p>
    <w:p>
      <w:pPr>
        <w:ind w:right="8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Lending Office</w:t>
      </w:r>
      <w:r>
        <w:rPr>
          <w:rFonts w:ascii="Arial" w:cs="Arial" w:eastAsia="Arial" w:hAnsi="Arial"/>
          <w:sz w:val="22"/>
          <w:szCs w:val="22"/>
          <w:color w:val="auto"/>
        </w:rPr>
        <w:t>” means, with respect to any Lender, the office of such Lender specified as its “Applicable Lending Office” or similar concept in its Administrative Questionnaire or in the Assignment and Acceptance pursuant to which it became a Lender, or such other office, branch, Subsidiary or affiliate of such Lender as such Lender may from time to time specify to the Borrower and the Administrative Agent.</w:t>
      </w:r>
    </w:p>
    <w:p>
      <w:pPr>
        <w:spacing w:after="0" w:line="208" w:lineRule="exact"/>
        <w:rPr>
          <w:sz w:val="20"/>
          <w:szCs w:val="20"/>
          <w:color w:val="auto"/>
        </w:rPr>
      </w:pPr>
    </w:p>
    <w:p>
      <w:pPr>
        <w:ind w:right="3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Margin</w:t>
      </w:r>
      <w:r>
        <w:rPr>
          <w:rFonts w:ascii="Arial" w:cs="Arial" w:eastAsia="Arial" w:hAnsi="Arial"/>
          <w:sz w:val="22"/>
          <w:szCs w:val="22"/>
          <w:color w:val="auto"/>
        </w:rPr>
        <w:t xml:space="preserve">” means, at any date, with respect to each Advance that is a (i) Eurocurrency Advance, 0.875% </w:t>
      </w:r>
      <w:r>
        <w:rPr>
          <w:rFonts w:ascii="Arial" w:cs="Arial" w:eastAsia="Arial" w:hAnsi="Arial"/>
          <w:sz w:val="22"/>
          <w:szCs w:val="22"/>
          <w:i w:val="1"/>
          <w:iCs w:val="1"/>
          <w:color w:val="auto"/>
        </w:rPr>
        <w:t>per</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annum </w:t>
      </w:r>
      <w:r>
        <w:rPr>
          <w:rFonts w:ascii="Arial" w:cs="Arial" w:eastAsia="Arial" w:hAnsi="Arial"/>
          <w:sz w:val="22"/>
          <w:szCs w:val="22"/>
          <w:color w:val="auto"/>
        </w:rPr>
        <w:t>and (ii) Base Rate Advance, 0.000%</w:t>
      </w:r>
      <w:r>
        <w:rPr>
          <w:rFonts w:ascii="Arial" w:cs="Arial" w:eastAsia="Arial" w:hAnsi="Arial"/>
          <w:sz w:val="22"/>
          <w:szCs w:val="22"/>
          <w:i w:val="1"/>
          <w:iCs w:val="1"/>
          <w:color w:val="auto"/>
        </w:rPr>
        <w:t xml:space="preserve"> per annum</w:t>
      </w:r>
      <w:r>
        <w:rPr>
          <w:rFonts w:ascii="Arial" w:cs="Arial" w:eastAsia="Arial" w:hAnsi="Arial"/>
          <w:sz w:val="22"/>
          <w:szCs w:val="22"/>
          <w:color w:val="auto"/>
        </w:rPr>
        <w: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and Acceptance</w:t>
      </w:r>
      <w:r>
        <w:rPr>
          <w:rFonts w:ascii="Arial" w:cs="Arial" w:eastAsia="Arial" w:hAnsi="Arial"/>
          <w:sz w:val="22"/>
          <w:szCs w:val="22"/>
          <w:color w:val="auto"/>
        </w:rPr>
        <w:t>” means an assignment and acceptance entered into by a Lender and an Eligible Assignee, and accepted by the Administrative Agent, in substantially the form of Exhibit B hereto.</w:t>
      </w:r>
    </w:p>
    <w:p>
      <w:pPr>
        <w:spacing w:after="0" w:line="190" w:lineRule="exact"/>
        <w:rPr>
          <w:sz w:val="20"/>
          <w:szCs w:val="20"/>
          <w:color w:val="auto"/>
        </w:rPr>
      </w:pPr>
    </w:p>
    <w:p>
      <w:pPr>
        <w:ind w:right="7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90" w:lineRule="exact"/>
        <w:rPr>
          <w:sz w:val="20"/>
          <w:szCs w:val="20"/>
          <w:color w:val="auto"/>
        </w:rPr>
      </w:pPr>
    </w:p>
    <w:p>
      <w:pPr>
        <w:jc w:val="both"/>
        <w:ind w:right="8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204" w:lineRule="exact"/>
        <w:rPr>
          <w:sz w:val="20"/>
          <w:szCs w:val="20"/>
          <w:color w:val="auto"/>
        </w:rPr>
      </w:pPr>
    </w:p>
    <w:p>
      <w:pPr>
        <w:ind w:right="14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Rate</w:t>
      </w:r>
      <w:r>
        <w:rPr>
          <w:rFonts w:ascii="Arial" w:cs="Arial" w:eastAsia="Arial" w:hAnsi="Arial"/>
          <w:sz w:val="21"/>
          <w:szCs w:val="21"/>
          <w:color w:val="auto"/>
        </w:rPr>
        <w:t>” means for any day a fluctuating rate per annum equal to the highest of (a) the Federal Funds Rate plus 1/2 of 1%, (b) the rate of interest in effect for such day as publicly announced from time to time by Bank of America, N.A. as its “prime rate,” and (c) the Eurocurrency Rate on such day (or, if such day is not a Business Day, the next preceding Business Day) for a deposit with a maturity of one month plus 1%. The “prime rate” is a rate set by Bank of America, N.A. based upon various factors including Bank of America, N.A.’s costs and desired return, general economic conditions and other factors, and is used as a reference point for pricing some loans, which may be priced at, above, or below such announced rate. Any change in such prime rate announced by Bank of America, N.A. shall take effect at the opening of business on the day specified in the public announcement of such change.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Rate Advance</w:t>
      </w:r>
      <w:r>
        <w:rPr>
          <w:rFonts w:ascii="Arial" w:cs="Arial" w:eastAsia="Arial" w:hAnsi="Arial"/>
          <w:sz w:val="22"/>
          <w:szCs w:val="22"/>
          <w:color w:val="auto"/>
        </w:rPr>
        <w:t>” means an Advance that bears interest as provided in Section 2.06(a)(i).</w:t>
      </w:r>
    </w:p>
    <w:p>
      <w:pPr>
        <w:spacing w:after="0" w:line="233" w:lineRule="exact"/>
        <w:rPr>
          <w:sz w:val="20"/>
          <w:szCs w:val="20"/>
          <w:color w:val="auto"/>
        </w:rPr>
      </w:pPr>
    </w:p>
    <w:p>
      <w:pPr>
        <w:ind w:right="40"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Persons whose assets include (for purposes of ERISA Section 3(42) or otherwise for purposes of Title I of ERISA or Section 4975 of the Code) the assets of any such “employee benefit plan” or “plan”.</w:t>
      </w:r>
    </w:p>
    <w:p>
      <w:pPr>
        <w:spacing w:after="0" w:line="150" w:lineRule="exact"/>
        <w:rPr>
          <w:sz w:val="20"/>
          <w:szCs w:val="20"/>
          <w:color w:val="auto"/>
        </w:rPr>
      </w:pPr>
    </w:p>
    <w:p>
      <w:pPr>
        <w:ind w:right="18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Borrowed Debt</w:t>
      </w:r>
      <w:r>
        <w:rPr>
          <w:rFonts w:ascii="Arial" w:cs="Arial" w:eastAsia="Arial" w:hAnsi="Arial"/>
          <w:sz w:val="22"/>
          <w:szCs w:val="22"/>
          <w:color w:val="auto"/>
        </w:rPr>
        <w:t>” means any Debt for money borrowed, including loans, hybrid securities, debt convertible into Equity Interests and any Debt for money borrowed represented by notes, bonds, debentures or other similar evidences of Debt for money borrowed.</w:t>
      </w:r>
    </w:p>
    <w:p>
      <w:pPr>
        <w:sectPr>
          <w:pgSz w:w="11900" w:h="16838" w:orient="portrait"/>
          <w:cols w:equalWidth="0" w:num="1">
            <w:col w:w="11400"/>
          </w:cols>
          <w:pgMar w:left="240" w:top="112" w:right="259" w:bottom="0" w:gutter="0" w:footer="0" w:header="0"/>
        </w:sectPr>
      </w:pPr>
    </w:p>
    <w:bookmarkStart w:id="64" w:name="page65"/>
    <w:bookmarkEnd w:id="6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w:t>
      </w:r>
      <w:r>
        <w:rPr>
          <w:rFonts w:ascii="Arial" w:cs="Arial" w:eastAsia="Arial" w:hAnsi="Arial"/>
          <w:sz w:val="22"/>
          <w:szCs w:val="22"/>
          <w:color w:val="auto"/>
        </w:rPr>
        <w:t>” has the meaning set forth in the introduction hereto.</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Materials</w:t>
      </w:r>
      <w:r>
        <w:rPr>
          <w:rFonts w:ascii="Arial" w:cs="Arial" w:eastAsia="Arial" w:hAnsi="Arial"/>
          <w:sz w:val="22"/>
          <w:szCs w:val="22"/>
          <w:color w:val="auto"/>
        </w:rPr>
        <w:t>” has the meaning specified in Section 5.01.</w:t>
      </w:r>
    </w:p>
    <w:p>
      <w:pPr>
        <w:spacing w:after="0" w:line="233" w:lineRule="exact"/>
        <w:rPr>
          <w:sz w:val="20"/>
          <w:szCs w:val="20"/>
          <w:color w:val="auto"/>
        </w:rPr>
      </w:pPr>
    </w:p>
    <w:p>
      <w:pPr>
        <w:ind w:right="2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w:t>
      </w:r>
      <w:r>
        <w:rPr>
          <w:rFonts w:ascii="Arial" w:cs="Arial" w:eastAsia="Arial" w:hAnsi="Arial"/>
          <w:sz w:val="22"/>
          <w:szCs w:val="22"/>
          <w:color w:val="auto"/>
        </w:rPr>
        <w:t>” means a borrowing consisting of simultaneous Advances of the same Type made by each of the Lenders to the Borrower pursuant to Section 2.01.</w:t>
      </w:r>
    </w:p>
    <w:p>
      <w:pPr>
        <w:spacing w:after="0" w:line="190"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Sunday or other day on which commercial banks are authorized to close under the laws of, or are in fact closed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in, New York City, Chicago or London and any day on which dealings in Dollar deposits are conducted by and between banks in the London interbank eurocurrency market.</w:t>
      </w:r>
    </w:p>
    <w:p>
      <w:pPr>
        <w:spacing w:after="0" w:line="194" w:lineRule="exact"/>
        <w:rPr>
          <w:sz w:val="20"/>
          <w:szCs w:val="20"/>
          <w:color w:val="auto"/>
        </w:rPr>
      </w:pPr>
    </w:p>
    <w:p>
      <w:pPr>
        <w:ind w:right="7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CERCLIS</w:t>
      </w:r>
      <w:r>
        <w:rPr>
          <w:rFonts w:ascii="Arial" w:cs="Arial" w:eastAsia="Arial" w:hAnsi="Arial"/>
          <w:sz w:val="22"/>
          <w:szCs w:val="22"/>
          <w:color w:val="auto"/>
        </w:rPr>
        <w:t>” means the Comprehensive Environmental Response, Compensation and Liability Information System maintained by the U.S. Environmental Protection Agency.</w:t>
      </w:r>
    </w:p>
    <w:p>
      <w:pPr>
        <w:spacing w:after="0" w:line="190" w:lineRule="exact"/>
        <w:rPr>
          <w:sz w:val="20"/>
          <w:szCs w:val="20"/>
          <w:color w:val="auto"/>
        </w:rPr>
      </w:pPr>
    </w:p>
    <w:p>
      <w:pPr>
        <w:ind w:right="3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xml:space="preserve">” means the date on which each of the conditions set forth in Section 3.02 has been satisfied (or waived in accordance with Section 8.01);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date shall be on or before June 30, 2018.</w:t>
      </w:r>
    </w:p>
    <w:p>
      <w:pPr>
        <w:spacing w:after="0" w:line="190"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w:t>
      </w:r>
      <w:r>
        <w:rPr>
          <w:rFonts w:ascii="Arial" w:cs="Arial" w:eastAsia="Arial" w:hAnsi="Arial"/>
          <w:sz w:val="22"/>
          <w:szCs w:val="22"/>
          <w:color w:val="auto"/>
        </w:rPr>
        <w:t>” means as to any Lender, the commitment of such Lender to make an Advance pursuant to Section 2.01, as such commitment may be reduced from time to time pursuant to the terms hereof. The initial amount of each Lender’s Commitment is (a) the amount set forth in the column labeled “</w:t>
      </w:r>
      <w:r>
        <w:rPr>
          <w:rFonts w:ascii="Arial" w:cs="Arial" w:eastAsia="Arial" w:hAnsi="Arial"/>
          <w:sz w:val="22"/>
          <w:szCs w:val="22"/>
          <w:b w:val="1"/>
          <w:bCs w:val="1"/>
          <w:color w:val="auto"/>
        </w:rPr>
        <w:t>Commitment</w:t>
      </w:r>
      <w:r>
        <w:rPr>
          <w:rFonts w:ascii="Arial" w:cs="Arial" w:eastAsia="Arial" w:hAnsi="Arial"/>
          <w:sz w:val="22"/>
          <w:szCs w:val="22"/>
          <w:color w:val="auto"/>
        </w:rPr>
        <w:t>” opposite such Lender’s name on Schedule I hereto, or (b) if such Lender has entered into any Assignment and Acceptance, the amount set forth for such Lender in the Register maintained by the Administrative Agent pursuant to Section 8.07(d), as such amount may be reduced pursuant to Section 2.04. As of the Effective Date, the aggregate amount of the Commitments is $3,000,000,000, as such amount may be reduced in accordance with Section 2.04 or 6.01.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w:t>
      </w:r>
      <w:r>
        <w:rPr>
          <w:rFonts w:ascii="Arial" w:cs="Arial" w:eastAsia="Arial" w:hAnsi="Arial"/>
          <w:sz w:val="22"/>
          <w:szCs w:val="22"/>
          <w:color w:val="auto"/>
        </w:rPr>
        <w:t>” refers to the consolidation of accounts in accordance with GAAP.</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EBITDA</w:t>
      </w:r>
      <w:r>
        <w:rPr>
          <w:rFonts w:ascii="Arial" w:cs="Arial" w:eastAsia="Arial" w:hAnsi="Arial"/>
          <w:sz w:val="19"/>
          <w:szCs w:val="19"/>
          <w:color w:val="auto"/>
        </w:rPr>
        <w:t xml:space="preserve">” means, for any fiscal period, the Consolidated net income of the Borrower and its Subsidiaries for such period determined in accordance with GAAP plus the following, to the extent deducted in calculating such Consolidated net income: (a) Consolidated Interest Expense, (b) the provision for Federal, state, local and foreign taxes based on income, profits, revenue, business activities, capital </w:t>
      </w:r>
      <w:r>
        <w:rPr>
          <w:rFonts w:ascii="Arial" w:cs="Arial" w:eastAsia="Arial" w:hAnsi="Arial"/>
          <w:sz w:val="19"/>
          <w:szCs w:val="19"/>
          <w:u w:val="single" w:color="auto"/>
          <w:color w:val="0000FF"/>
        </w:rPr>
        <w:t>(other than capital gain or loss)</w:t>
      </w:r>
      <w:r>
        <w:rPr>
          <w:rFonts w:ascii="Arial" w:cs="Arial" w:eastAsia="Arial" w:hAnsi="Arial"/>
          <w:sz w:val="19"/>
          <w:szCs w:val="19"/>
          <w:color w:val="auto"/>
        </w:rPr>
        <w:t xml:space="preserve"> or similar measures payable by the Borrower and its Subsidiaries in each case, as set forth on the financial statements of the Consolidated Group, (c) depreciation and amortization expense, (d) any extraordinary or unusual charges, expenses or losses, (e) net after-tax losses (including all fees and expenses or charges relating thereto) on sales of assets outside of the ordinary course of business and net after-tax losses from discontinued operations, (f) any net after-tax losses (including all fees and expenses or charges relating thereto) on the retirement of debt, (g) any other nonrecurring or non-cash charges, expenses or losses (including charges, fees and expenses incurred in connection with the Transactions or any issuance of Debt or equity, acquisitions, investments, restructuring activities, asset sales or divestitures permitted hereunder, whether or not successful), (h) minority interest expense, and (i) non-cash stock option expenses, non-cash equity-based compensation and/or non-cash expenses related to stock-based compensation, and minus, to the extent included in calculating such Consolidated net income for such period, the sum of (i) any extraordinary or unusual income or gains, (ii) net after-tax gains (less all fees and expenses or charges relating thereto) on the sales of assets outside of the ordinary course of business and net after-tax gains from discontinued operations (without duplication of any amounts added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spacing w:after="0" w:line="244" w:lineRule="auto"/>
        <w:rPr>
          <w:sz w:val="20"/>
          <w:szCs w:val="20"/>
          <w:color w:val="auto"/>
        </w:rPr>
      </w:pPr>
      <w:r>
        <w:rPr>
          <w:rFonts w:ascii="Arial" w:cs="Arial" w:eastAsia="Arial" w:hAnsi="Arial"/>
          <w:sz w:val="21"/>
          <w:szCs w:val="21"/>
          <w:color w:val="auto"/>
        </w:rPr>
        <w:t xml:space="preserve">back in clause (b) of this definition), (iii) any net after-tax gains (less all fees and expenses or charges relating thereto) on the retirement of debt, (iv) any other nonrecurring or non-cash income and (v) minority interest income, all as determined on a Consolidated basis. In addition, in the event that the Borrower or any of its Subsidiaries acquired or disposed of any Person, business unit or line of business or made any investment during the relevant period, </w:t>
      </w:r>
      <w:r>
        <w:rPr>
          <w:rFonts w:ascii="Arial" w:cs="Arial" w:eastAsia="Arial" w:hAnsi="Arial"/>
          <w:sz w:val="21"/>
          <w:szCs w:val="21"/>
          <w:u w:val="single" w:color="auto"/>
          <w:color w:val="0000FF"/>
        </w:rPr>
        <w:t>in each case involving the payment or receipt</w:t>
      </w:r>
      <w:r>
        <w:rPr>
          <w:rFonts w:ascii="Arial" w:cs="Arial" w:eastAsia="Arial" w:hAnsi="Arial"/>
          <w:sz w:val="21"/>
          <w:szCs w:val="21"/>
          <w:color w:val="auto"/>
        </w:rPr>
        <w:t xml:space="preserve"> </w:t>
      </w:r>
      <w:r>
        <w:rPr>
          <w:rFonts w:ascii="Arial" w:cs="Arial" w:eastAsia="Arial" w:hAnsi="Arial"/>
          <w:sz w:val="21"/>
          <w:szCs w:val="21"/>
          <w:u w:val="single" w:color="auto"/>
          <w:color w:val="0000FF"/>
        </w:rPr>
        <w:t>of consideration (including non-cash, contingent and deferred consideration) by the Borrower or any of its Subsidiaries with a fair market value in excess of $5,000,000,000 (as determined by the Borrower in good faith upon the consummation of such acquisition, disposition or investment),</w:t>
      </w:r>
      <w:r>
        <w:rPr>
          <w:rFonts w:ascii="Arial" w:cs="Arial" w:eastAsia="Arial" w:hAnsi="Arial"/>
          <w:sz w:val="21"/>
          <w:szCs w:val="21"/>
          <w:color w:val="0000FF"/>
        </w:rPr>
        <w:t xml:space="preserve"> </w:t>
      </w:r>
      <w:r>
        <w:rPr>
          <w:rFonts w:ascii="Arial" w:cs="Arial" w:eastAsia="Arial" w:hAnsi="Arial"/>
          <w:sz w:val="21"/>
          <w:szCs w:val="21"/>
          <w:color w:val="000000"/>
        </w:rPr>
        <w:t>Consolidated EBITDA will be determined giving pro forma effect to such acquisition,</w:t>
      </w:r>
      <w:r>
        <w:rPr>
          <w:rFonts w:ascii="Arial" w:cs="Arial" w:eastAsia="Arial" w:hAnsi="Arial"/>
          <w:sz w:val="21"/>
          <w:szCs w:val="21"/>
          <w:color w:val="0000FF"/>
        </w:rPr>
        <w:t xml:space="preserve"> </w:t>
      </w:r>
      <w:r>
        <w:rPr>
          <w:rFonts w:ascii="Arial" w:cs="Arial" w:eastAsia="Arial" w:hAnsi="Arial"/>
          <w:sz w:val="21"/>
          <w:szCs w:val="21"/>
          <w:color w:val="000000"/>
        </w:rPr>
        <w:t>disposition or investment as if such acquisition, disposition or investment and any related incurrence or repayment of Debt had occurred on the first day of the relevant period, but shall not take into account any cost savings projected to be realized as a result of such acquisition, disposition or investment other than cost savings permitted to be included under Regulation S-X of the Securities and Exchange Commission.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Group</w:t>
      </w:r>
      <w:r>
        <w:rPr>
          <w:rFonts w:ascii="Arial" w:cs="Arial" w:eastAsia="Arial" w:hAnsi="Arial"/>
          <w:sz w:val="22"/>
          <w:szCs w:val="22"/>
          <w:color w:val="auto"/>
        </w:rPr>
        <w:t>” means the Borrower and its Subsidiaries.</w:t>
      </w:r>
    </w:p>
    <w:p>
      <w:pPr>
        <w:sectPr>
          <w:pgSz w:w="11900" w:h="16838" w:orient="portrait"/>
          <w:cols w:equalWidth="0" w:num="1">
            <w:col w:w="11380"/>
          </w:cols>
          <w:pgMar w:left="240" w:top="112" w:right="279" w:bottom="80" w:gutter="0" w:footer="0" w:header="0"/>
        </w:sectPr>
      </w:pPr>
    </w:p>
    <w:bookmarkStart w:id="65" w:name="page66"/>
    <w:bookmarkEnd w:id="65"/>
    <w:p>
      <w:pPr>
        <w:spacing w:after="0" w:line="112" w:lineRule="exact"/>
        <w:rPr>
          <w:sz w:val="20"/>
          <w:szCs w:val="20"/>
          <w:color w:val="auto"/>
        </w:rPr>
      </w:pPr>
    </w:p>
    <w:p>
      <w:pPr>
        <w:ind w:right="140"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Interest Expense</w:t>
      </w:r>
      <w:r>
        <w:rPr>
          <w:rFonts w:ascii="Arial" w:cs="Arial" w:eastAsia="Arial" w:hAnsi="Arial"/>
          <w:sz w:val="19"/>
          <w:szCs w:val="19"/>
          <w:color w:val="auto"/>
        </w:rPr>
        <w:t xml:space="preserve">” means, for any fiscal period, the total interest expense of the Borrower and its Subsidiaries on a Consolidated basis determined in accordance with GAAP, including the imputed interest component of capitalized lease obligations during such period, and all commissions, discounts and other fees and charges owed with respect to letters of credit, if any, and net costs under Hedge Agreements;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Borrower or any of its Subsidiaries acquired or disposed of any Person or line of business </w:t>
      </w:r>
      <w:r>
        <w:rPr>
          <w:rFonts w:ascii="Arial" w:cs="Arial" w:eastAsia="Arial" w:hAnsi="Arial"/>
          <w:sz w:val="19"/>
          <w:szCs w:val="19"/>
          <w:u w:val="single" w:color="auto"/>
          <w:color w:val="0000FF"/>
        </w:rPr>
        <w:t>or made any investment</w:t>
      </w:r>
      <w:r>
        <w:rPr>
          <w:rFonts w:ascii="Arial" w:cs="Arial" w:eastAsia="Arial" w:hAnsi="Arial"/>
          <w:sz w:val="19"/>
          <w:szCs w:val="19"/>
          <w:color w:val="auto"/>
        </w:rPr>
        <w:t xml:space="preserve"> during the relevant period, Consolidated Interest Expense will be determined giving pro forma effect to any incurrence or repayment of Debt related to such acquisition </w:t>
      </w:r>
      <w:r>
        <w:rPr>
          <w:rFonts w:ascii="Arial" w:cs="Arial" w:eastAsia="Arial" w:hAnsi="Arial"/>
          <w:sz w:val="19"/>
          <w:szCs w:val="19"/>
          <w:color w:val="FF0000"/>
        </w:rPr>
        <w:t>or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disposition </w:t>
      </w:r>
      <w:r>
        <w:rPr>
          <w:rFonts w:ascii="Arial" w:cs="Arial" w:eastAsia="Arial" w:hAnsi="Arial"/>
          <w:sz w:val="19"/>
          <w:szCs w:val="19"/>
          <w:color w:val="0000FF"/>
        </w:rPr>
        <w:t>or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investment</w:t>
      </w:r>
      <w:r>
        <w:rPr>
          <w:rFonts w:ascii="Arial" w:cs="Arial" w:eastAsia="Arial" w:hAnsi="Arial"/>
          <w:sz w:val="19"/>
          <w:szCs w:val="19"/>
          <w:color w:val="0000FF"/>
        </w:rPr>
        <w:t xml:space="preserve"> </w:t>
      </w:r>
      <w:r>
        <w:rPr>
          <w:rFonts w:ascii="Arial" w:cs="Arial" w:eastAsia="Arial" w:hAnsi="Arial"/>
          <w:sz w:val="19"/>
          <w:szCs w:val="19"/>
          <w:color w:val="000000"/>
        </w:rPr>
        <w:t>as if such incurrence or repayment of Debt had occurred on the first day of the relevant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-257810</wp:posOffset>
            </wp:positionV>
            <wp:extent cx="1485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8590" cy="8890"/>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-206375</wp:posOffset>
            </wp:positionV>
            <wp:extent cx="1485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154"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Net Assets</w:t>
      </w:r>
      <w:r>
        <w:rPr>
          <w:rFonts w:ascii="Arial" w:cs="Arial" w:eastAsia="Arial" w:hAnsi="Arial"/>
          <w:sz w:val="19"/>
          <w:szCs w:val="19"/>
          <w:color w:val="auto"/>
        </w:rPr>
        <w:t xml:space="preserve">” means the aggregate amount of assets (less applicable reserves and other properly deductible items) after deducting therefrom all current liabilities, as set forth on the Consolidated balance sheet of the Consolidated Group most recently furnished to the Lenders pursuant to Section 5.01(i)(ii) prior to the time as of which Consolidated Net Assets shall be determined </w:t>
      </w:r>
      <w:r>
        <w:rPr>
          <w:rFonts w:ascii="Arial" w:cs="Arial" w:eastAsia="Arial" w:hAnsi="Arial"/>
          <w:sz w:val="19"/>
          <w:szCs w:val="19"/>
          <w:u w:val="single" w:color="auto"/>
          <w:color w:val="0000FF"/>
        </w:rPr>
        <w:t>(giving pro forma effect to any acquisition, disposition or investment by the Borrower or any of its Subsidiaries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involving the payment or receipt of consideration (including non-cash, contingent and deferred consideration) by the Borrower or any of its Subsidiaries with a fair market value in excess of $5,000,000,000 (as determined by the Borrower in good faith upon the consummation of such acquisition, disposition or investment), and any related incurrence or repayment of Debt, that has occurred since the end of the most recent fiscal quarter included in such balance sheet as if such acquisition, disposition or investment, and any such incurrence or repayment of Debt, had occurred on the last day of such fiscal quarter)</w:t>
      </w:r>
      <w:r>
        <w:rPr>
          <w:rFonts w:ascii="Arial" w:cs="Arial" w:eastAsia="Arial" w:hAnsi="Arial"/>
          <w:sz w:val="19"/>
          <w:szCs w:val="19"/>
          <w:color w:val="000000"/>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7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Total Debt</w:t>
      </w:r>
      <w:r>
        <w:rPr>
          <w:rFonts w:ascii="Arial" w:cs="Arial" w:eastAsia="Arial" w:hAnsi="Arial"/>
          <w:sz w:val="22"/>
          <w:szCs w:val="22"/>
          <w:color w:val="auto"/>
        </w:rPr>
        <w:t>” means, as of any date of determination, the aggregate amount of Borrowed Debt of the Borrower and its Subsidiaries determined on a Consolidated basis as of such date.</w:t>
      </w:r>
    </w:p>
    <w:p>
      <w:pPr>
        <w:spacing w:after="0" w:line="190" w:lineRule="exact"/>
        <w:rPr>
          <w:sz w:val="20"/>
          <w:szCs w:val="20"/>
          <w:color w:val="auto"/>
        </w:rPr>
      </w:pPr>
    </w:p>
    <w:p>
      <w:pPr>
        <w:ind w:right="1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Continuing Director</w:t>
      </w:r>
      <w:r>
        <w:rPr>
          <w:rFonts w:ascii="Arial" w:cs="Arial" w:eastAsia="Arial" w:hAnsi="Arial"/>
          <w:sz w:val="22"/>
          <w:szCs w:val="22"/>
          <w:color w:val="auto"/>
        </w:rPr>
        <w:t>” means, for any period, an individual who is a member of the board of directors of the Borrower on the first day of such period or whose election to the board of directors of the Borrower is approved by a majority of the other Continuing Directors.</w:t>
      </w:r>
    </w:p>
    <w:p>
      <w:pPr>
        <w:spacing w:after="0" w:line="204"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w:t>
      </w:r>
      <w:r>
        <w:rPr>
          <w:rFonts w:ascii="Arial" w:cs="Arial" w:eastAsia="Arial" w:hAnsi="Arial"/>
          <w:sz w:val="22"/>
          <w:szCs w:val="22"/>
          <w:color w:val="auto"/>
        </w:rPr>
        <w:t>”, “</w:t>
      </w:r>
      <w:r>
        <w:rPr>
          <w:rFonts w:ascii="Arial" w:cs="Arial" w:eastAsia="Arial" w:hAnsi="Arial"/>
          <w:sz w:val="22"/>
          <w:szCs w:val="22"/>
          <w:b w:val="1"/>
          <w:bCs w:val="1"/>
          <w:color w:val="auto"/>
        </w:rPr>
        <w:t>Convert</w:t>
      </w:r>
      <w:r>
        <w:rPr>
          <w:rFonts w:ascii="Arial" w:cs="Arial" w:eastAsia="Arial" w:hAnsi="Arial"/>
          <w:sz w:val="22"/>
          <w:szCs w:val="22"/>
          <w:color w:val="auto"/>
        </w:rPr>
        <w:t>”, or “</w:t>
      </w:r>
      <w:r>
        <w:rPr>
          <w:rFonts w:ascii="Arial" w:cs="Arial" w:eastAsia="Arial" w:hAnsi="Arial"/>
          <w:sz w:val="22"/>
          <w:szCs w:val="22"/>
          <w:b w:val="1"/>
          <w:bCs w:val="1"/>
          <w:color w:val="auto"/>
        </w:rPr>
        <w:t>Converted</w:t>
      </w:r>
      <w:r>
        <w:rPr>
          <w:rFonts w:ascii="Arial" w:cs="Arial" w:eastAsia="Arial" w:hAnsi="Arial"/>
          <w:sz w:val="22"/>
          <w:szCs w:val="22"/>
          <w:color w:val="auto"/>
        </w:rPr>
        <w:t>” each refers to a conversion of Advances of one Type into Advances of the other Type pursuant to Section 2.07 or 2.08.</w:t>
      </w:r>
    </w:p>
    <w:p>
      <w:pPr>
        <w:spacing w:after="0" w:line="19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w:t>
      </w:r>
      <w:r>
        <w:rPr>
          <w:rFonts w:ascii="Arial" w:cs="Arial" w:eastAsia="Arial" w:hAnsi="Arial"/>
          <w:sz w:val="19"/>
          <w:szCs w:val="19"/>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w:t>
      </w:r>
      <w:r>
        <w:rPr>
          <w:rFonts w:ascii="Arial" w:cs="Arial" w:eastAsia="Arial" w:hAnsi="Arial"/>
          <w:sz w:val="19"/>
          <w:szCs w:val="19"/>
          <w:u w:val="single" w:color="auto"/>
          <w:color w:val="0000FF"/>
        </w:rPr>
        <w:t>; provided that all obligations of any Person that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are or would be characterized as operating lease obligations in accordance with GAAP on the Effective Date (whether or not such operating lease obligations were in effect on such date) shall, if so elected by the Borrower, continue to be accounted for as operating lease obligations (and not as capital leases) for purposes of this Agreement regardless of any change in GAAP following the Effective Date that would otherwise require such obligations to be recharacterized (on a prospective or retroactive basis or otherwise) as capital leases</w:t>
      </w:r>
      <w:r>
        <w:rPr>
          <w:rFonts w:ascii="Arial" w:cs="Arial" w:eastAsia="Arial" w:hAnsi="Arial"/>
          <w:sz w:val="19"/>
          <w:szCs w:val="19"/>
          <w:color w:val="000000"/>
        </w:rPr>
        <w:t>, (f) all obligations, contingent or otherwise, of such Person in respect of acceptances, letters of credit or</w:t>
      </w:r>
      <w:r>
        <w:rPr>
          <w:rFonts w:ascii="Arial" w:cs="Arial" w:eastAsia="Arial" w:hAnsi="Arial"/>
          <w:sz w:val="19"/>
          <w:szCs w:val="19"/>
          <w:color w:val="0000FF"/>
        </w:rPr>
        <w:t xml:space="preserve"> </w:t>
      </w:r>
      <w:r>
        <w:rPr>
          <w:rFonts w:ascii="Arial" w:cs="Arial" w:eastAsia="Arial" w:hAnsi="Arial"/>
          <w:sz w:val="19"/>
          <w:szCs w:val="19"/>
          <w:color w:val="000000"/>
        </w:rPr>
        <w:t>similar extensions of credit, (g) all obligations of such Person in respect of Hedge Agreements, (h) all Debt of others referred to in clauses (a) through (g) above or clause (i) below directly guaranteed in any manner by such Person, or the payment of which is otherwise provided for by such Person,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200" w:lineRule="exact"/>
        <w:rPr>
          <w:sz w:val="20"/>
          <w:szCs w:val="20"/>
          <w:color w:val="auto"/>
        </w:rPr>
      </w:pPr>
    </w:p>
    <w:p>
      <w:pPr>
        <w:spacing w:after="0" w:line="225" w:lineRule="exact"/>
        <w:rPr>
          <w:sz w:val="20"/>
          <w:szCs w:val="20"/>
          <w:color w:val="auto"/>
        </w:rPr>
      </w:pPr>
    </w:p>
    <w:p>
      <w:pPr>
        <w:ind w:right="680"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Debtor Relief Laws</w:t>
      </w:r>
      <w:r>
        <w:rPr>
          <w:rFonts w:ascii="Arial" w:cs="Arial" w:eastAsia="Arial" w:hAnsi="Arial"/>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any Event of Default or any event that would constitute an Event of Default but for the requirement specified in Article 6 that notice be given or time elapse or both.</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Interest</w:t>
      </w:r>
      <w:r>
        <w:rPr>
          <w:rFonts w:ascii="Arial" w:cs="Arial" w:eastAsia="Arial" w:hAnsi="Arial"/>
          <w:sz w:val="22"/>
          <w:szCs w:val="22"/>
          <w:color w:val="auto"/>
        </w:rPr>
        <w:t>” has the meaning specified in Section 2.06(b).</w:t>
      </w:r>
    </w:p>
    <w:p>
      <w:pPr>
        <w:spacing w:after="0" w:line="23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Defaulting Lender</w:t>
      </w:r>
      <w:r>
        <w:rPr>
          <w:rFonts w:ascii="Arial" w:cs="Arial" w:eastAsia="Arial" w:hAnsi="Arial"/>
          <w:sz w:val="19"/>
          <w:szCs w:val="19"/>
          <w:color w:val="auto"/>
        </w:rPr>
        <w:t>” means, subject to Section 2.17(b), any Lender that (a) has failed to (i) fund all or any portion of its Advances within two Business Days of the date such Advances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w:t>
      </w:r>
    </w:p>
    <w:p>
      <w:pPr>
        <w:sectPr>
          <w:pgSz w:w="11900" w:h="16950" w:orient="portrait"/>
          <w:cols w:equalWidth="0" w:num="1">
            <w:col w:w="11400"/>
          </w:cols>
          <w:pgMar w:left="240" w:top="112" w:right="259" w:bottom="0" w:gutter="0" w:footer="0" w:header="0"/>
        </w:sectPr>
      </w:pPr>
    </w:p>
    <w:bookmarkStart w:id="66" w:name="page67"/>
    <w:bookmarkEnd w:id="66"/>
    <w:p>
      <w:pPr>
        <w:ind w:right="140"/>
        <w:spacing w:after="0" w:line="269" w:lineRule="auto"/>
        <w:rPr>
          <w:sz w:val="20"/>
          <w:szCs w:val="20"/>
          <w:color w:val="auto"/>
        </w:rPr>
      </w:pPr>
      <w:r>
        <w:rPr>
          <w:rFonts w:ascii="Arial" w:cs="Arial" w:eastAsia="Arial" w:hAnsi="Arial"/>
          <w:sz w:val="19"/>
          <w:szCs w:val="19"/>
          <w:color w:val="auto"/>
        </w:rPr>
        <w:t>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w:t>
      </w:r>
    </w:p>
    <w:p>
      <w:pPr>
        <w:spacing w:after="0" w:line="1" w:lineRule="exact"/>
        <w:rPr>
          <w:sz w:val="20"/>
          <w:szCs w:val="20"/>
          <w:color w:val="auto"/>
        </w:rPr>
      </w:pPr>
    </w:p>
    <w:p>
      <w:pPr>
        <w:ind w:right="20" w:firstLine="8"/>
        <w:spacing w:after="0" w:line="270" w:lineRule="auto"/>
        <w:tabs>
          <w:tab w:leader="none" w:pos="258"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a Lender shall not be a Defaulting Lender solely by virtue of (A) the ownership or acquisition of any Equity Interest in that Lender or any direct or indirect parent company thereof by a governmental authority or (B) in the case of a solvent Person, the precautionary appointment of an administrator, guardian or custodian or similar official by a governmental authority under or based on the law of the country where such Person is organized if the applicable law of such jurisdiction requires that such appointment not be publicly disclosed, in any such case, where such ownership or action, as applicable,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as to such Lender absent manifest error, and such Lender shall be deemed to be a Defaulting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Lender (subject to Section 2.17(b)) upon delivery of written notice of such determination to the Borrower and each Lender.</w:t>
      </w:r>
    </w:p>
    <w:p>
      <w:pPr>
        <w:spacing w:after="0" w:line="239" w:lineRule="exact"/>
        <w:rPr>
          <w:sz w:val="20"/>
          <w:szCs w:val="20"/>
          <w:color w:val="auto"/>
        </w:rPr>
      </w:pPr>
    </w:p>
    <w:p>
      <w:pPr>
        <w:ind w:right="36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Disinterested Director</w:t>
      </w:r>
      <w:r>
        <w:rPr>
          <w:rFonts w:ascii="Arial" w:cs="Arial" w:eastAsia="Arial" w:hAnsi="Arial"/>
          <w:sz w:val="19"/>
          <w:szCs w:val="19"/>
          <w:color w:val="auto"/>
        </w:rPr>
        <w:t>” means, with respect to any Person and transaction, a member of the board of directors of such Person who does not have any material direct or indirect financial interest in or with respect to such transaction.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and the “</w:t>
      </w:r>
      <w:r>
        <w:rPr>
          <w:rFonts w:ascii="Arial" w:cs="Arial" w:eastAsia="Arial" w:hAnsi="Arial"/>
          <w:sz w:val="22"/>
          <w:szCs w:val="22"/>
          <w:b w:val="1"/>
          <w:bCs w:val="1"/>
          <w:color w:val="auto"/>
        </w:rPr>
        <w:t>$</w:t>
      </w:r>
      <w:r>
        <w:rPr>
          <w:rFonts w:ascii="Arial" w:cs="Arial" w:eastAsia="Arial" w:hAnsi="Arial"/>
          <w:sz w:val="22"/>
          <w:szCs w:val="22"/>
          <w:color w:val="auto"/>
        </w:rPr>
        <w:t>” sign each means lawful currency of the United States.</w:t>
      </w:r>
    </w:p>
    <w:p>
      <w:pPr>
        <w:spacing w:after="0" w:line="233" w:lineRule="exact"/>
        <w:rPr>
          <w:sz w:val="20"/>
          <w:szCs w:val="20"/>
          <w:color w:val="auto"/>
        </w:rPr>
      </w:pPr>
    </w:p>
    <w:p>
      <w:pPr>
        <w:ind w:right="20"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Domestic Subsidiary</w:t>
      </w:r>
      <w:r>
        <w:rPr>
          <w:rFonts w:ascii="Arial" w:cs="Arial" w:eastAsia="Arial" w:hAnsi="Arial"/>
          <w:sz w:val="22"/>
          <w:szCs w:val="22"/>
          <w:color w:val="auto"/>
        </w:rPr>
        <w:t xml:space="preserve">” means any Subsidiary of the Borrower substantially all the property of which is located, or substantially all of the business of which is carried on, within the United States (excluding its territories and possessions and Puerto Rico),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term shall not include any Subsidiary of the Borrower which (i) is engaged principally in the financing of operations outside of the United States or in leasing personal property or financing inventory, receivables or other property or (ii) does not own a Principal Domestic Property.</w:t>
      </w:r>
    </w:p>
    <w:p>
      <w:pPr>
        <w:spacing w:after="0" w:line="210" w:lineRule="exact"/>
        <w:rPr>
          <w:sz w:val="20"/>
          <w:szCs w:val="20"/>
          <w:color w:val="auto"/>
        </w:rPr>
      </w:pPr>
    </w:p>
    <w:p>
      <w:pPr>
        <w:ind w:right="140"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Financial Institution</w:t>
      </w:r>
      <w:r>
        <w:rPr>
          <w:rFonts w:ascii="Arial" w:cs="Arial" w:eastAsia="Arial" w:hAnsi="Arial"/>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 (a) or (b) of this definition and is subject to consolidated supervision with its parent.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68"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4" w:lineRule="exact"/>
        <w:rPr>
          <w:sz w:val="20"/>
          <w:szCs w:val="20"/>
          <w:color w:val="auto"/>
        </w:rPr>
      </w:pPr>
    </w:p>
    <w:p>
      <w:pPr>
        <w:ind w:right="7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the date the conditions set forth in Section 3.01 are satisfied (or waived in accordance with Section 8.01).</w:t>
      </w:r>
    </w:p>
    <w:p>
      <w:pPr>
        <w:spacing w:after="0" w:line="19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Assignee</w:t>
      </w:r>
      <w:r>
        <w:rPr>
          <w:rFonts w:ascii="Arial" w:cs="Arial" w:eastAsia="Arial" w:hAnsi="Arial"/>
          <w:sz w:val="19"/>
          <w:szCs w:val="19"/>
          <w:color w:val="auto"/>
        </w:rPr>
        <w:t xml:space="preserve">” means (a) a Lender; (b) an Affiliate of a Lender; (c) a commercial bank organized under the laws of the United States, or any State thereof, and having total assets in excess of $10,000,000,000; </w:t>
      </w:r>
      <w:r>
        <w:rPr>
          <w:rFonts w:ascii="Arial" w:cs="Arial" w:eastAsia="Arial" w:hAnsi="Arial"/>
          <w:sz w:val="19"/>
          <w:szCs w:val="19"/>
          <w:color w:val="0000FF"/>
        </w:rPr>
        <w:t>(d)</w:t>
      </w:r>
      <w:r>
        <w:rPr>
          <w:rFonts w:ascii="Arial" w:cs="Arial" w:eastAsia="Arial" w:hAnsi="Arial"/>
          <w:sz w:val="19"/>
          <w:szCs w:val="19"/>
          <w:color w:val="auto"/>
        </w:rPr>
        <w:t xml:space="preserve">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a political subdivision of any such country, and having total assets in excess of $10,000,000,000, so long as such bank is acting through a branch or agency located in the country in which it is organized or another country that is described in this clause (d);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-638810</wp:posOffset>
            </wp:positionV>
            <wp:extent cx="1943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4310" cy="8890"/>
                    </a:xfrm>
                    <a:prstGeom prst="rect">
                      <a:avLst/>
                    </a:prstGeom>
                    <a:noFill/>
                  </pic:spPr>
                </pic:pic>
              </a:graphicData>
            </a:graphic>
          </wp:anchor>
        </w:drawing>
      </w:r>
    </w:p>
    <w:p>
      <w:pPr>
        <w:ind w:right="140" w:firstLine="8"/>
        <w:spacing w:after="0" w:line="308" w:lineRule="auto"/>
        <w:tabs>
          <w:tab w:leader="none" w:pos="294" w:val="left"/>
        </w:tabs>
        <w:numPr>
          <w:ilvl w:val="0"/>
          <w:numId w:val="117"/>
        </w:numPr>
        <w:rPr>
          <w:rFonts w:ascii="Arial" w:cs="Arial" w:eastAsia="Arial" w:hAnsi="Arial"/>
          <w:sz w:val="19"/>
          <w:szCs w:val="19"/>
          <w:u w:val="single" w:color="auto"/>
          <w:color w:val="0000FF"/>
        </w:rPr>
      </w:pPr>
      <w:r>
        <w:rPr>
          <w:rFonts w:ascii="Arial" w:cs="Arial" w:eastAsia="Arial" w:hAnsi="Arial"/>
          <w:sz w:val="19"/>
          <w:szCs w:val="19"/>
          <w:color w:val="auto"/>
        </w:rPr>
        <w:t xml:space="preserve">any other Person approved by the Administrative Agent and, so long as no Event of Default has occurred and is continuing, by the Borrower, such approval not to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Defaulting Lender (or</w:t>
      </w:r>
    </w:p>
    <w:p>
      <w:pPr>
        <w:sectPr>
          <w:pgSz w:w="11900" w:h="16838" w:orient="portrait"/>
          <w:cols w:equalWidth="0" w:num="1">
            <w:col w:w="11400"/>
          </w:cols>
          <w:pgMar w:left="240" w:top="118" w:right="259" w:bottom="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67" w:name="page68"/>
    <w:bookmarkEnd w:id="67"/>
    <w:p>
      <w:pPr>
        <w:spacing w:after="0" w:line="52"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Person who would be a Defaulting Lender upon becoming a Lender) nor the Borrower nor any Affiliate of the Borrower shall qualify as an Eligible Assignee.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Embargoed Person</w:t>
      </w:r>
      <w:r>
        <w:rPr>
          <w:rFonts w:ascii="Arial" w:cs="Arial" w:eastAsia="Arial" w:hAnsi="Arial"/>
          <w:sz w:val="19"/>
          <w:szCs w:val="19"/>
          <w:color w:val="auto"/>
        </w:rPr>
        <w:t>” means (a) any country or territory that is the target of a sanctions program administered by OFAC or</w:t>
      </w:r>
    </w:p>
    <w:p>
      <w:pPr>
        <w:spacing w:after="0" w:line="49" w:lineRule="exact"/>
        <w:rPr>
          <w:sz w:val="20"/>
          <w:szCs w:val="20"/>
          <w:color w:val="auto"/>
        </w:rPr>
      </w:pPr>
    </w:p>
    <w:p>
      <w:pPr>
        <w:ind w:right="120" w:firstLine="8"/>
        <w:spacing w:after="0" w:line="267" w:lineRule="auto"/>
        <w:tabs>
          <w:tab w:leader="none" w:pos="30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any Person that (i) is or is owned or controlled by one or more Persons publicly identified on the most current list of “Specially Designated Nationals and Blocked Persons” published by OFAC, (ii) is the target of a sanctions program or sanctions list</w:t>
      </w:r>
    </w:p>
    <w:p>
      <w:pPr>
        <w:ind w:right="100"/>
        <w:spacing w:after="0" w:line="267" w:lineRule="auto"/>
        <w:rPr>
          <w:rFonts w:ascii="Arial" w:cs="Arial" w:eastAsia="Arial" w:hAnsi="Arial"/>
          <w:sz w:val="19"/>
          <w:szCs w:val="19"/>
          <w:color w:val="auto"/>
        </w:rPr>
      </w:pPr>
      <w:r>
        <w:rPr>
          <w:rFonts w:ascii="Arial" w:cs="Arial" w:eastAsia="Arial" w:hAnsi="Arial"/>
          <w:sz w:val="19"/>
          <w:szCs w:val="19"/>
          <w:color w:val="auto"/>
        </w:rPr>
        <w:t>(A) administered by OFAC, the European Union or Her Majesty’s Treasury, or (B) under the International Emergency Economic Powers Act, the Trading with the Enemy Act, the Iran Sanctions Act, the Comprehensive Iran Sanctions, Accountability and Divestment Act, and the Iran Threat Reduction and Syria Human Rights Act, each as amended, section 1245 of the National Defense Authorization Act for Fiscal Year 2012 or any Executive Order promulgated pursuant to any of the foregoing ((ii) (A) and</w:t>
      </w:r>
    </w:p>
    <w:p>
      <w:pPr>
        <w:ind w:right="20"/>
        <w:spacing w:after="0" w:line="280" w:lineRule="auto"/>
        <w:rPr>
          <w:rFonts w:ascii="Arial" w:cs="Arial" w:eastAsia="Arial" w:hAnsi="Arial"/>
          <w:sz w:val="19"/>
          <w:szCs w:val="19"/>
          <w:color w:val="auto"/>
        </w:rPr>
      </w:pPr>
      <w:r>
        <w:rPr>
          <w:rFonts w:ascii="Arial" w:cs="Arial" w:eastAsia="Arial" w:hAnsi="Arial"/>
          <w:sz w:val="19"/>
          <w:szCs w:val="19"/>
          <w:color w:val="auto"/>
        </w:rPr>
        <w:t>(B) collectively, “</w:t>
      </w:r>
      <w:r>
        <w:rPr>
          <w:rFonts w:ascii="Arial" w:cs="Arial" w:eastAsia="Arial" w:hAnsi="Arial"/>
          <w:sz w:val="19"/>
          <w:szCs w:val="19"/>
          <w:b w:val="1"/>
          <w:bCs w:val="1"/>
          <w:color w:val="auto"/>
        </w:rPr>
        <w:t>Sanctions</w:t>
      </w:r>
      <w:r>
        <w:rPr>
          <w:rFonts w:ascii="Arial" w:cs="Arial" w:eastAsia="Arial" w:hAnsi="Arial"/>
          <w:sz w:val="19"/>
          <w:szCs w:val="19"/>
          <w:color w:val="auto"/>
        </w:rPr>
        <w:t>”) or (iii) resides, is organized or chartered, or has a place of business in a country or territory that is the subject of a Sanctions program administered by OFAC that prohibits dealing with the government of such country or territory (unless such Person has an appropriate license to transact business in such country or territory or otherwise is permitted to reside, be organized or chartered or maintain a place of business in such country or territory without violating any Sanctions).</w:t>
      </w:r>
    </w:p>
    <w:p>
      <w:pPr>
        <w:spacing w:after="0" w:line="172" w:lineRule="exact"/>
        <w:rPr>
          <w:sz w:val="20"/>
          <w:szCs w:val="20"/>
          <w:color w:val="auto"/>
        </w:rPr>
      </w:pPr>
    </w:p>
    <w:p>
      <w:pPr>
        <w:ind w:right="100"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Action</w:t>
      </w:r>
      <w:r>
        <w:rPr>
          <w:rFonts w:ascii="Arial" w:cs="Arial" w:eastAsia="Arial" w:hAnsi="Arial"/>
          <w:sz w:val="19"/>
          <w:szCs w:val="19"/>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72" w:lineRule="exact"/>
        <w:rPr>
          <w:sz w:val="20"/>
          <w:szCs w:val="20"/>
          <w:color w:val="auto"/>
        </w:rPr>
      </w:pPr>
    </w:p>
    <w:p>
      <w:pPr>
        <w:ind w:right="46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w:t>
      </w:r>
      <w:r>
        <w:rPr>
          <w:rFonts w:ascii="Arial" w:cs="Arial" w:eastAsia="Arial" w:hAnsi="Arial"/>
          <w:sz w:val="22"/>
          <w:szCs w:val="22"/>
          <w:color w:val="auto"/>
        </w:rPr>
        <w:t>” means any federal, state, local or foreign statute, law, ordinance, rule, regulation, code, order, judgment,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208" w:lineRule="exact"/>
        <w:rPr>
          <w:sz w:val="20"/>
          <w:szCs w:val="20"/>
          <w:color w:val="auto"/>
        </w:rPr>
      </w:pPr>
    </w:p>
    <w:p>
      <w:pPr>
        <w:ind w:right="1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90" w:lineRule="exact"/>
        <w:rPr>
          <w:sz w:val="20"/>
          <w:szCs w:val="20"/>
          <w:color w:val="auto"/>
        </w:rPr>
      </w:pPr>
    </w:p>
    <w:p>
      <w:pPr>
        <w:ind w:right="6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Interests</w:t>
      </w:r>
      <w:r>
        <w:rPr>
          <w:rFonts w:ascii="Arial" w:cs="Arial" w:eastAsia="Arial" w:hAnsi="Arial"/>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means the Employee Retirement Income Security Act of 1974, as amended from time to time, and the regulations promulgated and rulings issued thereunder.</w:t>
      </w:r>
    </w:p>
    <w:p>
      <w:pPr>
        <w:spacing w:after="0" w:line="190" w:lineRule="exact"/>
        <w:rPr>
          <w:sz w:val="20"/>
          <w:szCs w:val="20"/>
          <w:color w:val="auto"/>
        </w:rPr>
      </w:pPr>
    </w:p>
    <w:p>
      <w:pPr>
        <w:ind w:right="2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ERISA Affiliate</w:t>
      </w:r>
      <w:r>
        <w:rPr>
          <w:rFonts w:ascii="Arial" w:cs="Arial" w:eastAsia="Arial" w:hAnsi="Arial"/>
          <w:sz w:val="19"/>
          <w:szCs w:val="19"/>
          <w:color w:val="auto"/>
        </w:rPr>
        <w:t>” means any trade or business (whether or not incorporated) that is a member of the Borrower’s controlled group, or under common control with the Borrower, within the meaning of Section 414 of the Internal Revenue Code.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 Event</w:t>
      </w:r>
      <w:r>
        <w:rPr>
          <w:rFonts w:ascii="Arial" w:cs="Arial" w:eastAsia="Arial" w:hAnsi="Arial"/>
          <w:sz w:val="22"/>
          <w:szCs w:val="22"/>
          <w:color w:val="auto"/>
        </w:rPr>
        <w:t>” means:</w:t>
      </w:r>
    </w:p>
    <w:p>
      <w:pPr>
        <w:spacing w:after="0" w:line="239" w:lineRule="exact"/>
        <w:rPr>
          <w:sz w:val="20"/>
          <w:szCs w:val="20"/>
          <w:color w:val="auto"/>
        </w:rPr>
      </w:pPr>
    </w:p>
    <w:p>
      <w:pPr>
        <w:ind w:left="660" w:right="40" w:firstLine="645"/>
        <w:spacing w:after="0" w:line="249" w:lineRule="auto"/>
        <w:tabs>
          <w:tab w:leader="none" w:pos="19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(i) the occurrence of a reportable event, within the meaning of Section 4043 of ERISA, with respect to any Plan unless the 30-day notice requirement with respect to such event has been waived by the PBGC, or (ii) the requirements of subsection (1) of Section 4043(b) of ERISA are being met with a contributing sponsor, as defined in Section 4001(a)(13) of ERISA, of a Plan, and an event described in paragraph (9), (10), (11), (12) or (13) of Section 4043(c) of ERISA is reasonably expected to occur with respect to such Plan within the following 30 days;</w:t>
      </w:r>
    </w:p>
    <w:p>
      <w:pPr>
        <w:spacing w:after="0" w:line="205" w:lineRule="exact"/>
        <w:rPr>
          <w:rFonts w:ascii="Arial" w:cs="Arial" w:eastAsia="Arial" w:hAnsi="Arial"/>
          <w:sz w:val="21"/>
          <w:szCs w:val="21"/>
          <w:color w:val="auto"/>
        </w:rPr>
      </w:pPr>
    </w:p>
    <w:p>
      <w:pPr>
        <w:ind w:left="1980" w:hanging="675"/>
        <w:spacing w:after="0"/>
        <w:tabs>
          <w:tab w:leader="none" w:pos="19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application for a minimum funding waiver with respect to a Plan;</w:t>
      </w:r>
    </w:p>
    <w:p>
      <w:pPr>
        <w:spacing w:after="0" w:line="233" w:lineRule="exact"/>
        <w:rPr>
          <w:rFonts w:ascii="Arial" w:cs="Arial" w:eastAsia="Arial" w:hAnsi="Arial"/>
          <w:sz w:val="22"/>
          <w:szCs w:val="22"/>
          <w:color w:val="auto"/>
        </w:rPr>
      </w:pPr>
    </w:p>
    <w:p>
      <w:pPr>
        <w:ind w:left="660" w:right="80" w:firstLine="645"/>
        <w:spacing w:after="0"/>
        <w:tabs>
          <w:tab w:leader="none" w:pos="19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provision by the administrator of any Plan of a notice of intent to terminate such Plan pursuant to Section 4041(a)(2) of ERISA (including any such notice with respect to a plan amendment referred to in Section 4041(e) of ERISA);</w:t>
      </w:r>
    </w:p>
    <w:p>
      <w:pPr>
        <w:spacing w:after="0" w:line="213" w:lineRule="exact"/>
        <w:rPr>
          <w:rFonts w:ascii="Arial" w:cs="Arial" w:eastAsia="Arial" w:hAnsi="Arial"/>
          <w:sz w:val="22"/>
          <w:szCs w:val="22"/>
          <w:color w:val="auto"/>
        </w:rPr>
      </w:pPr>
    </w:p>
    <w:p>
      <w:pPr>
        <w:ind w:left="660" w:right="840" w:firstLine="645"/>
        <w:spacing w:after="0" w:line="251" w:lineRule="auto"/>
        <w:tabs>
          <w:tab w:leader="none" w:pos="193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cessation of operations at a facility of the Borrower or any ERISA Affiliate in the circumstances described in Section 4062(e) of ERISA;</w:t>
      </w:r>
    </w:p>
    <w:p>
      <w:pPr>
        <w:spacing w:after="0" w:line="200" w:lineRule="exact"/>
        <w:rPr>
          <w:rFonts w:ascii="Arial" w:cs="Arial" w:eastAsia="Arial" w:hAnsi="Arial"/>
          <w:sz w:val="22"/>
          <w:szCs w:val="22"/>
          <w:color w:val="auto"/>
        </w:rPr>
      </w:pPr>
    </w:p>
    <w:p>
      <w:pPr>
        <w:ind w:left="660" w:right="240" w:firstLine="645"/>
        <w:spacing w:after="0" w:line="251" w:lineRule="auto"/>
        <w:tabs>
          <w:tab w:leader="none" w:pos="19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withdrawal by the Borrower or any ERISA Affiliate from a Multiple Employer Plan during a plan year for which it was a substantial employer, as defined in Section 4001(a)(2) of ERISA;</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conditions for the imposition of a lien under Section 303(k) of ERISA shall have been met with respect to</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any Plan; or</w:t>
      </w:r>
    </w:p>
    <w:p>
      <w:pPr>
        <w:sectPr>
          <w:pgSz w:w="11900" w:h="16890" w:orient="portrait"/>
          <w:cols w:equalWidth="0" w:num="1">
            <w:col w:w="11420"/>
          </w:cols>
          <w:pgMar w:left="240" w:top="604" w:right="239" w:bottom="0" w:gutter="0" w:footer="0" w:header="0"/>
        </w:sectPr>
      </w:pPr>
    </w:p>
    <w:bookmarkStart w:id="68" w:name="page69"/>
    <w:bookmarkEnd w:id="68"/>
    <w:p>
      <w:pPr>
        <w:spacing w:after="0" w:line="155" w:lineRule="exact"/>
        <w:rPr>
          <w:sz w:val="20"/>
          <w:szCs w:val="20"/>
          <w:color w:val="auto"/>
        </w:rPr>
      </w:pPr>
    </w:p>
    <w:p>
      <w:pPr>
        <w:ind w:left="660" w:right="220" w:firstLine="645"/>
        <w:spacing w:after="0"/>
        <w:tabs>
          <w:tab w:leader="none" w:pos="199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institution by the PBGC of proceedings to terminate a Plan pursuant to Section 4042 of ERISA, or the occurrence of any event or condition described in Section 4042 of ERISA that could reasonably constitute grounds for the termination of, or the appointment of a trustee to administer, a Plan.</w:t>
      </w:r>
    </w:p>
    <w:p>
      <w:pPr>
        <w:spacing w:after="0" w:line="207"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90"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Eurocurrency Liabilities</w:t>
      </w:r>
      <w:r>
        <w:rPr>
          <w:rFonts w:ascii="Arial" w:cs="Arial" w:eastAsia="Arial" w:hAnsi="Arial"/>
          <w:sz w:val="22"/>
          <w:szCs w:val="22"/>
          <w:color w:val="auto"/>
        </w:rPr>
        <w:t>” has the meaning specified in Regulation D of the Board of Governors of the Federal Reserve System, as in effect from time to time.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Eurocurrency Rate</w:t>
      </w:r>
      <w:r>
        <w:rPr>
          <w:rFonts w:ascii="Arial" w:cs="Arial" w:eastAsia="Arial" w:hAnsi="Arial"/>
          <w:sz w:val="21"/>
          <w:szCs w:val="21"/>
          <w:color w:val="auto"/>
        </w:rPr>
        <w:t>” means, with respect to any Eurocurrency Rate Advance for any Interest Period, subject to the implementation of a LIBOR Successor Rate pursuant to the terms of this Agreement, the London interbank offered rate (“</w:t>
      </w:r>
      <w:r>
        <w:rPr>
          <w:rFonts w:ascii="Arial" w:cs="Arial" w:eastAsia="Arial" w:hAnsi="Arial"/>
          <w:sz w:val="21"/>
          <w:szCs w:val="21"/>
          <w:b w:val="1"/>
          <w:bCs w:val="1"/>
          <w:color w:val="auto"/>
        </w:rPr>
        <w:t>LIBOR</w:t>
      </w:r>
      <w:r>
        <w:rPr>
          <w:rFonts w:ascii="Arial" w:cs="Arial" w:eastAsia="Arial" w:hAnsi="Arial"/>
          <w:sz w:val="21"/>
          <w:szCs w:val="21"/>
          <w:color w:val="auto"/>
        </w:rPr>
        <w:t>”) as administered by the ICE Benchmark Administration (or any other Person that takes over the administration of such rate) for Dollars for a period equal in length to such Interest Period as published on the applicable Bloomberg screen page (or such other commercially available source providing such quotations as may be designated by the Administrative Agent from time to time) (such rate, as so published, the “</w:t>
      </w:r>
      <w:r>
        <w:rPr>
          <w:rFonts w:ascii="Arial" w:cs="Arial" w:eastAsia="Arial" w:hAnsi="Arial"/>
          <w:sz w:val="21"/>
          <w:szCs w:val="21"/>
          <w:b w:val="1"/>
          <w:bCs w:val="1"/>
          <w:color w:val="auto"/>
        </w:rPr>
        <w:t>LIBOR Screen Rate</w:t>
      </w:r>
      <w:r>
        <w:rPr>
          <w:rFonts w:ascii="Arial" w:cs="Arial" w:eastAsia="Arial" w:hAnsi="Arial"/>
          <w:sz w:val="21"/>
          <w:szCs w:val="21"/>
          <w:color w:val="auto"/>
        </w:rPr>
        <w:t xml:space="preserve">”) at approximately 11:00 A.M., London time, two Business Days prior to the commencement of such Interest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Eurocurrency Rate shall be less than zero, such rate shall be deemed to be zero for the purposes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rate is not available, the Eurocurrency Rate shall be the arithmetic mean (rounded up to four decimal places) of the rates quoted by the Reference Banks to leading banks in the London interbank market for the offering of deposits in the applicable currency for such Interest Period, in each case as of 11:00 A.M., London time on the Quotation Day.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Eurocurrency Rate Advance</w:t>
      </w:r>
      <w:r>
        <w:rPr>
          <w:rFonts w:ascii="Arial" w:cs="Arial" w:eastAsia="Arial" w:hAnsi="Arial"/>
          <w:sz w:val="22"/>
          <w:szCs w:val="22"/>
          <w:color w:val="auto"/>
        </w:rPr>
        <w:t>” means an Advance that bears interest as provided in Section 2.06(a)(ii).</w:t>
      </w:r>
    </w:p>
    <w:p>
      <w:pPr>
        <w:spacing w:after="0" w:line="23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Eurocurrency Rate Reserve Percentage</w:t>
      </w:r>
      <w:r>
        <w:rPr>
          <w:rFonts w:ascii="Arial" w:cs="Arial" w:eastAsia="Arial" w:hAnsi="Arial"/>
          <w:sz w:val="22"/>
          <w:szCs w:val="22"/>
          <w:color w:val="auto"/>
        </w:rPr>
        <w:t>” means, with respect to any Lender for any Interest Period for any Eurocurrency Rate Advance, the reserve percentage applicable at any time during such Interest Period under regulations issued from time to time by the Board of Governors of the Federal Reserve System (or any successor thereto) for determining the actual reserve requirement (including, without limitation, any emergency, supplemental or other marginal reserve requirement) for such Lender with respect to liabilities or assets consisting of or including Eurocurrency Liabilities (or with respect to any other category of liabilities that includes deposits by reference to which the interest rate on Eurocurrency Rate Advances is determined) having a term equal to such Interest Period.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Events of Default</w:t>
      </w:r>
      <w:r>
        <w:rPr>
          <w:rFonts w:ascii="Arial" w:cs="Arial" w:eastAsia="Arial" w:hAnsi="Arial"/>
          <w:sz w:val="22"/>
          <w:szCs w:val="22"/>
          <w:color w:val="auto"/>
        </w:rPr>
        <w:t>” has the meaning specified in Section 6.01.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Taxes</w:t>
      </w:r>
      <w:r>
        <w:rPr>
          <w:rFonts w:ascii="Arial" w:cs="Arial" w:eastAsia="Arial" w:hAnsi="Arial"/>
          <w:sz w:val="22"/>
          <w:szCs w:val="22"/>
          <w:color w:val="auto"/>
        </w:rPr>
        <w:t>” has the meaning specified in Section 2.13(a).</w:t>
      </w:r>
    </w:p>
    <w:p>
      <w:pPr>
        <w:spacing w:after="0" w:line="233"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w:t>
      </w:r>
      <w:r>
        <w:rPr>
          <w:rFonts w:ascii="Arial" w:cs="Arial" w:eastAsia="Arial" w:hAnsi="Arial"/>
          <w:sz w:val="21"/>
          <w:szCs w:val="21"/>
          <w:color w:val="auto"/>
        </w:rPr>
        <w:t>” means Sections 1471 through 1474 of the Internal Revenue Code, as of the date of this Agreement (or any amended or successor version of such Sections that is substantively comparable and not materially more onerous to comply with), any current or future regulations or official interpretations thereof, any agreements entered into pursuant to Section 1471(b)(1) of the Internal Revenue Code and any intergovernmental agreements between the United States and any other jurisdiction entered into in connection with the foregoing (including any treaty, law, regulation or other official guidance enacted in any other jurisdiction pursuant to any such intergovernmental agreement).</w:t>
      </w:r>
    </w:p>
    <w:p>
      <w:pPr>
        <w:spacing w:after="0" w:line="198" w:lineRule="exact"/>
        <w:rPr>
          <w:sz w:val="20"/>
          <w:szCs w:val="20"/>
          <w:color w:val="auto"/>
        </w:rPr>
      </w:pPr>
    </w:p>
    <w:p>
      <w:pPr>
        <w:ind w:right="5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Federal Funds Rate</w:t>
      </w:r>
      <w:r>
        <w:rPr>
          <w:rFonts w:ascii="Arial" w:cs="Arial" w:eastAsia="Arial" w:hAnsi="Arial"/>
          <w:sz w:val="22"/>
          <w:szCs w:val="22"/>
          <w:color w:val="auto"/>
        </w:rPr>
        <w:t>” means, for any day, the rate per annum equal to the weighted average of the rates on overnight Federal funds transactions with members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the Federal Reserve System, as published by the Federal Reserve Bank of New York on the Business Day next succeeding such day;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N.A. on such day on such transactions as determined by the Administrative Agent.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Lender</w:t>
      </w:r>
      <w:r>
        <w:rPr>
          <w:rFonts w:ascii="Arial" w:cs="Arial" w:eastAsia="Arial" w:hAnsi="Arial"/>
          <w:sz w:val="22"/>
          <w:szCs w:val="22"/>
          <w:color w:val="auto"/>
        </w:rPr>
        <w:t>” means any Lender that is not a U.S. Person.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has the meaning specified in Section 1.03.</w:t>
      </w:r>
    </w:p>
    <w:p>
      <w:pPr>
        <w:spacing w:after="0" w:line="233" w:lineRule="exact"/>
        <w:rPr>
          <w:sz w:val="20"/>
          <w:szCs w:val="20"/>
          <w:color w:val="auto"/>
        </w:rPr>
      </w:pPr>
    </w:p>
    <w:p>
      <w:pPr>
        <w:ind w:right="52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Materials</w:t>
      </w:r>
      <w:r>
        <w:rPr>
          <w:rFonts w:ascii="Arial" w:cs="Arial" w:eastAsia="Arial" w:hAnsi="Arial"/>
          <w:sz w:val="19"/>
          <w:szCs w:val="19"/>
          <w:color w:val="auto"/>
        </w:rPr>
        <w:t xml:space="preserve">” means (a) petroleum and petroleum products, byproducts or breakdown products, radioactive materials, asbestos-containing materials, polychlorinated biphenyls and radon gas and </w:t>
      </w:r>
      <w:r>
        <w:rPr>
          <w:rFonts w:ascii="Arial" w:cs="Arial" w:eastAsia="Arial" w:hAnsi="Arial"/>
          <w:sz w:val="19"/>
          <w:szCs w:val="19"/>
          <w:color w:val="0000FF"/>
        </w:rPr>
        <w:t>(b)</w:t>
      </w:r>
      <w:r>
        <w:rPr>
          <w:rFonts w:ascii="Arial" w:cs="Arial" w:eastAsia="Arial" w:hAnsi="Arial"/>
          <w:sz w:val="19"/>
          <w:szCs w:val="19"/>
          <w:color w:val="auto"/>
        </w:rPr>
        <w:t xml:space="preserve"> any other chemicals, materials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-86360</wp:posOffset>
            </wp:positionV>
            <wp:extent cx="194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4310" cy="8890"/>
                    </a:xfrm>
                    <a:prstGeom prst="rect">
                      <a:avLst/>
                    </a:prstGeom>
                    <a:noFill/>
                  </pic:spPr>
                </pic:pic>
              </a:graphicData>
            </a:graphic>
          </wp:anchor>
        </w:drawing>
      </w:r>
    </w:p>
    <w:p>
      <w:pPr>
        <w:sectPr>
          <w:pgSz w:w="11900" w:h="16994" w:orient="portrait"/>
          <w:cols w:equalWidth="0" w:num="1">
            <w:col w:w="11420"/>
          </w:cols>
          <w:pgMar w:left="240" w:top="361" w:right="239" w:bottom="0" w:gutter="0" w:footer="0" w:header="0"/>
        </w:sectPr>
      </w:pPr>
    </w:p>
    <w:bookmarkStart w:id="69" w:name="page70"/>
    <w:bookmarkEnd w:id="69"/>
    <w:p>
      <w:pPr>
        <w:spacing w:after="0" w:line="28" w:lineRule="exact"/>
        <w:rPr>
          <w:sz w:val="20"/>
          <w:szCs w:val="20"/>
          <w:color w:val="auto"/>
        </w:rPr>
      </w:pPr>
    </w:p>
    <w:p>
      <w:pPr>
        <w:ind w:right="1100"/>
        <w:spacing w:after="0" w:line="251" w:lineRule="auto"/>
        <w:rPr>
          <w:sz w:val="20"/>
          <w:szCs w:val="20"/>
          <w:color w:val="auto"/>
        </w:rPr>
      </w:pPr>
      <w:r>
        <w:rPr>
          <w:rFonts w:ascii="Arial" w:cs="Arial" w:eastAsia="Arial" w:hAnsi="Arial"/>
          <w:sz w:val="22"/>
          <w:szCs w:val="22"/>
          <w:color w:val="auto"/>
        </w:rPr>
        <w:t>substances designated, classified or regulated as “hazardous” or “toxic” or as a “pollutant” or “contaminant” under any Environmental Law.</w:t>
      </w:r>
    </w:p>
    <w:p>
      <w:pPr>
        <w:spacing w:after="0" w:line="195"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Hedge Agreements</w:t>
      </w:r>
      <w:r>
        <w:rPr>
          <w:rFonts w:ascii="Arial" w:cs="Arial" w:eastAsia="Arial" w:hAnsi="Arial"/>
          <w:sz w:val="22"/>
          <w:szCs w:val="22"/>
          <w:color w:val="auto"/>
        </w:rPr>
        <w:t>” means interest rate swap, cap or collar agreements, interest rate future or option contracts, currency swap agreements, currency future or option contracts and other similar agreements.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has the meaning specified in Section 8.04(b).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has the meaning specified in Section 8.08.</w:t>
      </w:r>
    </w:p>
    <w:p>
      <w:pPr>
        <w:spacing w:after="0" w:line="233"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Period</w:t>
      </w:r>
      <w:r>
        <w:rPr>
          <w:rFonts w:ascii="Arial" w:cs="Arial" w:eastAsia="Arial" w:hAnsi="Arial"/>
          <w:sz w:val="21"/>
          <w:szCs w:val="21"/>
          <w:color w:val="auto"/>
        </w:rPr>
        <w:t xml:space="preserve">” means, for each Eurocurrency Rate Advance comprising part of the same Borrowing, the period commencing on the date of such Eurocurrency Rate Advance or the date of the Conversion of any Base Rate Advance into such Eurocurrency Rate Advance and ending on the last day of the period selected by the Borrower pursuant to the provisions below and, thereafter, with respect to Eurocurrency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as the Borrower may, upon written notice received by the Administrative Agent not later than 11:00 A.M. (Chicago time) on the third Business Day prior to the first day of such Interest Period (or, at such later time as the Administrative Agent, in its reasonable discretion, may agree to), select;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w:t>
      </w:r>
    </w:p>
    <w:p>
      <w:pPr>
        <w:spacing w:after="0" w:line="209" w:lineRule="exact"/>
        <w:rPr>
          <w:sz w:val="20"/>
          <w:szCs w:val="20"/>
          <w:color w:val="auto"/>
        </w:rPr>
      </w:pPr>
    </w:p>
    <w:p>
      <w:pPr>
        <w:ind w:left="1980" w:hanging="675"/>
        <w:spacing w:after="0"/>
        <w:tabs>
          <w:tab w:leader="none" w:pos="19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Borrower may not select any Interest Period that ends after the Maturity Date;</w:t>
      </w:r>
    </w:p>
    <w:p>
      <w:pPr>
        <w:spacing w:after="0" w:line="233" w:lineRule="exact"/>
        <w:rPr>
          <w:rFonts w:ascii="Arial" w:cs="Arial" w:eastAsia="Arial" w:hAnsi="Arial"/>
          <w:sz w:val="22"/>
          <w:szCs w:val="22"/>
          <w:color w:val="auto"/>
        </w:rPr>
      </w:pPr>
    </w:p>
    <w:p>
      <w:pPr>
        <w:ind w:left="660" w:right="20" w:firstLine="645"/>
        <w:spacing w:after="0" w:line="297" w:lineRule="auto"/>
        <w:tabs>
          <w:tab w:leader="none" w:pos="199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Interest Periods commencing on the same date for Eurocurrency Rate Advances comprising part of the same Borrowing shall be of the same duration (it being understood that the Borrower shall be permitted to make multiple Borrowings consisting of Eurocurrency Rate Advances on the same date, each of which may be of different durations);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right="60" w:firstLine="645"/>
        <w:spacing w:after="0" w:line="287" w:lineRule="auto"/>
        <w:tabs>
          <w:tab w:leader="none" w:pos="19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such extension would cause the last day of such Interest Period to occur in the next succeeding calendar month, the last day of such Interest Period shall occur on the immediately preceding Business Day; and</w:t>
      </w:r>
    </w:p>
    <w:p>
      <w:pPr>
        <w:spacing w:after="0" w:line="170" w:lineRule="exact"/>
        <w:rPr>
          <w:rFonts w:ascii="Arial" w:cs="Arial" w:eastAsia="Arial" w:hAnsi="Arial"/>
          <w:sz w:val="19"/>
          <w:szCs w:val="19"/>
          <w:color w:val="auto"/>
        </w:rPr>
      </w:pPr>
    </w:p>
    <w:p>
      <w:pPr>
        <w:ind w:left="660" w:firstLine="645"/>
        <w:spacing w:after="0" w:line="238" w:lineRule="auto"/>
        <w:tabs>
          <w:tab w:leader="none" w:pos="193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206" w:lineRule="exact"/>
        <w:rPr>
          <w:sz w:val="20"/>
          <w:szCs w:val="20"/>
          <w:color w:val="auto"/>
        </w:rPr>
      </w:pPr>
    </w:p>
    <w:p>
      <w:pPr>
        <w:ind w:right="8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Internal Revenue Code</w:t>
      </w:r>
      <w:r>
        <w:rPr>
          <w:rFonts w:ascii="Arial" w:cs="Arial" w:eastAsia="Arial" w:hAnsi="Arial"/>
          <w:sz w:val="22"/>
          <w:szCs w:val="22"/>
          <w:color w:val="auto"/>
        </w:rPr>
        <w:t>” means the U.S. Internal Revenue Code of 1986, as amended from time to time, and the regulations promulgated and the rulings issued thereunder.</w:t>
      </w:r>
    </w:p>
    <w:p>
      <w:pPr>
        <w:spacing w:after="0" w:line="190" w:lineRule="exact"/>
        <w:rPr>
          <w:sz w:val="20"/>
          <w:szCs w:val="20"/>
          <w:color w:val="auto"/>
        </w:rPr>
      </w:pPr>
    </w:p>
    <w:p>
      <w:pPr>
        <w:ind w:right="50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w:t>
      </w:r>
      <w:r>
        <w:rPr>
          <w:rFonts w:ascii="Arial" w:cs="Arial" w:eastAsia="Arial" w:hAnsi="Arial"/>
          <w:sz w:val="19"/>
          <w:szCs w:val="19"/>
          <w:color w:val="auto"/>
        </w:rPr>
        <w:t>” means, collectively, (a) each bank, financial institution and other institutional lender listed on the signature pages hereof and (b) each Eligible Assignee that shall become a party hereto pursuant to Section 8.07(a), (b) and (c).</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w:t>
      </w:r>
      <w:r>
        <w:rPr>
          <w:rFonts w:ascii="Arial" w:cs="Arial" w:eastAsia="Arial" w:hAnsi="Arial"/>
          <w:sz w:val="22"/>
          <w:szCs w:val="22"/>
          <w:color w:val="auto"/>
        </w:rPr>
        <w:t>” has the meaning specified in the definition of Eurocurrency Rate.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 Successor Rate</w:t>
      </w:r>
      <w:r>
        <w:rPr>
          <w:rFonts w:ascii="Arial" w:cs="Arial" w:eastAsia="Arial" w:hAnsi="Arial"/>
          <w:sz w:val="22"/>
          <w:szCs w:val="22"/>
          <w:color w:val="auto"/>
        </w:rPr>
        <w:t>” has the meaning specified in Section 2.07(e).</w:t>
      </w:r>
    </w:p>
    <w:p>
      <w:pPr>
        <w:spacing w:after="0" w:line="233"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 Successor Rate Conforming Changes</w:t>
      </w:r>
      <w:r>
        <w:rPr>
          <w:rFonts w:ascii="Arial" w:cs="Arial" w:eastAsia="Arial" w:hAnsi="Arial"/>
          <w:sz w:val="22"/>
          <w:szCs w:val="22"/>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206" w:lineRule="exact"/>
        <w:rPr>
          <w:sz w:val="20"/>
          <w:szCs w:val="20"/>
          <w:color w:val="auto"/>
        </w:rPr>
      </w:pPr>
    </w:p>
    <w:p>
      <w:pPr>
        <w:ind w:right="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Documents</w:t>
      </w:r>
      <w:r>
        <w:rPr>
          <w:rFonts w:ascii="Arial" w:cs="Arial" w:eastAsia="Arial" w:hAnsi="Arial"/>
          <w:sz w:val="21"/>
          <w:szCs w:val="21"/>
          <w:color w:val="auto"/>
        </w:rPr>
        <w:t>” means this Agreement and any amendments or notes entered into in connection herewith.</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has the meaning specified in Section 8.04(b).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 Stock</w:t>
      </w:r>
      <w:r>
        <w:rPr>
          <w:rFonts w:ascii="Arial" w:cs="Arial" w:eastAsia="Arial" w:hAnsi="Arial"/>
          <w:sz w:val="22"/>
          <w:szCs w:val="22"/>
          <w:color w:val="auto"/>
        </w:rPr>
        <w:t>” has the meaning provided in Regulation U.</w:t>
      </w:r>
    </w:p>
    <w:p>
      <w:pPr>
        <w:sectPr>
          <w:pgSz w:w="11900" w:h="16866" w:orient="portrait"/>
          <w:cols w:equalWidth="0" w:num="1">
            <w:col w:w="11380"/>
          </w:cols>
          <w:pgMar w:left="240" w:top="118" w:right="279" w:bottom="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0000FF"/>
        </w:rPr>
        <w:t>Material Acquisition</w:t>
      </w:r>
      <w:r>
        <w:rPr>
          <w:rFonts w:ascii="Arial" w:cs="Arial" w:eastAsia="Arial" w:hAnsi="Arial"/>
          <w:sz w:val="22"/>
          <w:szCs w:val="22"/>
          <w:u w:val="single" w:color="auto"/>
          <w:color w:val="0000FF"/>
        </w:rPr>
        <w:t>” shall mean any Acquisition involving the payment of consideration (including non-cash,</w:t>
      </w:r>
      <w:r>
        <w:rPr>
          <w:rFonts w:ascii="Arial" w:cs="Arial" w:eastAsia="Arial" w:hAnsi="Arial"/>
          <w:sz w:val="22"/>
          <w:szCs w:val="22"/>
          <w:color w:val="auto"/>
        </w:rPr>
        <w:t xml:space="preserve"> </w:t>
      </w:r>
      <w:r>
        <w:rPr>
          <w:rFonts w:ascii="Arial" w:cs="Arial" w:eastAsia="Arial" w:hAnsi="Arial"/>
          <w:sz w:val="22"/>
          <w:szCs w:val="22"/>
          <w:u w:val="single" w:color="auto"/>
          <w:color w:val="0000FF"/>
        </w:rPr>
        <w:t>contingent and deferred consideration (including obligations under any purchase price adjustment but excluding earnout or similar payments)) by the Borrower or any of its Subsidiaries with a fair market value in excess of $5,000,000,000 (as determined by the Borrower in good faith upon consummation thereof).</w:t>
      </w:r>
    </w:p>
    <w:p>
      <w:pPr>
        <w:spacing w:after="0" w:line="208"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color w:val="000000"/>
        </w:rPr>
        <w:t>Material Adverse Effect</w:t>
      </w:r>
      <w:r>
        <w:rPr>
          <w:rFonts w:ascii="Arial" w:cs="Arial" w:eastAsia="Arial" w:hAnsi="Arial"/>
          <w:sz w:val="21"/>
          <w:szCs w:val="21"/>
          <w:color w:val="000000"/>
        </w:rPr>
        <w:t>” means a material adverse effect on (a) the financial condition or results of operations of the</w:t>
      </w:r>
      <w:r>
        <w:rPr>
          <w:rFonts w:ascii="Arial" w:cs="Arial" w:eastAsia="Arial" w:hAnsi="Arial"/>
          <w:sz w:val="21"/>
          <w:szCs w:val="21"/>
          <w:color w:val="0000FF"/>
        </w:rPr>
        <w:t xml:space="preserve"> </w:t>
      </w:r>
      <w:r>
        <w:rPr>
          <w:rFonts w:ascii="Arial" w:cs="Arial" w:eastAsia="Arial" w:hAnsi="Arial"/>
          <w:sz w:val="21"/>
          <w:szCs w:val="21"/>
          <w:color w:val="000000"/>
        </w:rPr>
        <w:t>Consolidated Group taken as a whole, (b) the rights and remedies of the Administrative Agent or any Lender under this Agreement, taken as a whole, or (c) the ability of the Borrower to perform its payment obligations under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the date that is 364 calendar days following the Closing Date.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 (or any successor thereof).</w:t>
      </w:r>
    </w:p>
    <w:p>
      <w:pPr>
        <w:spacing w:after="0" w:line="233" w:lineRule="exact"/>
        <w:rPr>
          <w:sz w:val="20"/>
          <w:szCs w:val="20"/>
          <w:color w:val="auto"/>
        </w:rPr>
      </w:pPr>
    </w:p>
    <w:p>
      <w:pPr>
        <w:jc w:val="both"/>
        <w:ind w:right="10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204" w:lineRule="exact"/>
        <w:rPr>
          <w:sz w:val="20"/>
          <w:szCs w:val="20"/>
          <w:color w:val="auto"/>
        </w:rPr>
      </w:pPr>
    </w:p>
    <w:p>
      <w:pPr>
        <w:ind w:right="18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Multiple Employer Plan</w:t>
      </w:r>
      <w:r>
        <w:rPr>
          <w:rFonts w:ascii="Arial" w:cs="Arial" w:eastAsia="Arial" w:hAnsi="Arial"/>
          <w:sz w:val="19"/>
          <w:szCs w:val="19"/>
          <w:color w:val="auto"/>
        </w:rPr>
        <w:t>” means a single employer plan, as defined in Section 4001(a)(15) of ERISA, that (a) is maintained for employees of the Borrower or any ERISA Affiliate and employees of at least one Person other than the Borrower and the ERISA Affiliates or (b) was so maintained and in respect of which the Borrower or any ERISA Affiliate could reasonably have liability under Section 4064 or 4069 of ERISA in the event such plan has been or were to be terminated.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Non-Defaulting Lender</w:t>
      </w:r>
      <w:r>
        <w:rPr>
          <w:rFonts w:ascii="Arial" w:cs="Arial" w:eastAsia="Arial" w:hAnsi="Arial"/>
          <w:sz w:val="22"/>
          <w:szCs w:val="22"/>
          <w:color w:val="auto"/>
        </w:rPr>
        <w:t>” means, at any time, a Lender that is not a Defaulting Lender.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w:t>
      </w:r>
      <w:r>
        <w:rPr>
          <w:rFonts w:ascii="Arial" w:cs="Arial" w:eastAsia="Arial" w:hAnsi="Arial"/>
          <w:sz w:val="22"/>
          <w:szCs w:val="22"/>
          <w:color w:val="auto"/>
        </w:rPr>
        <w:t>” has the meaning specified in Section 8.02(d).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Borrowing</w:t>
      </w:r>
      <w:r>
        <w:rPr>
          <w:rFonts w:ascii="Arial" w:cs="Arial" w:eastAsia="Arial" w:hAnsi="Arial"/>
          <w:sz w:val="22"/>
          <w:szCs w:val="22"/>
          <w:color w:val="auto"/>
        </w:rPr>
        <w:t>” has the meaning specified in Section 2.02(a).</w:t>
      </w:r>
    </w:p>
    <w:p>
      <w:pPr>
        <w:spacing w:after="0" w:line="233"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NPL</w:t>
      </w:r>
      <w:r>
        <w:rPr>
          <w:rFonts w:ascii="Arial" w:cs="Arial" w:eastAsia="Arial" w:hAnsi="Arial"/>
          <w:sz w:val="22"/>
          <w:szCs w:val="22"/>
          <w:color w:val="auto"/>
        </w:rPr>
        <w:t>” means the National Priorities List under the Comprehensive Environmental Response, Compensation and Liability Act of 1980, as amended from time to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means the U.S. Treasury Department’s Office of Foreign Assets Control.</w:t>
      </w:r>
    </w:p>
    <w:p>
      <w:pPr>
        <w:spacing w:after="0" w:line="233"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Connection Taxes</w:t>
      </w:r>
      <w:r>
        <w:rPr>
          <w:rFonts w:ascii="Arial" w:cs="Arial" w:eastAsia="Arial" w:hAnsi="Arial"/>
          <w:sz w:val="21"/>
          <w:szCs w:val="21"/>
          <w:color w:val="auto"/>
        </w:rPr>
        <w:t>” means, with respect to any Lender, Taxes imposed as a result of a present or former connection between such Lender and the jurisdiction imposing such Tax (other than connections arising from such Lender’s having executed, delivered, become a party to, performed its obligations under, received payments under,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received or perfected a security interest under, engaged in any other transaction pursuant to, or enforced, any Loan Document, or sold or assigned an interest in any Loan Document).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Taxes</w:t>
      </w:r>
      <w:r>
        <w:rPr>
          <w:rFonts w:ascii="Arial" w:cs="Arial" w:eastAsia="Arial" w:hAnsi="Arial"/>
          <w:sz w:val="22"/>
          <w:szCs w:val="22"/>
          <w:color w:val="auto"/>
        </w:rPr>
        <w:t>” has the meaning specified in Section 2.13(b).</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 Register</w:t>
      </w:r>
      <w:r>
        <w:rPr>
          <w:rFonts w:ascii="Arial" w:cs="Arial" w:eastAsia="Arial" w:hAnsi="Arial"/>
          <w:sz w:val="22"/>
          <w:szCs w:val="22"/>
          <w:color w:val="auto"/>
        </w:rPr>
        <w:t>” has the meaning specified in Section 8.07(e).</w:t>
      </w:r>
    </w:p>
    <w:p>
      <w:pPr>
        <w:spacing w:after="0" w:line="233" w:lineRule="exact"/>
        <w:rPr>
          <w:sz w:val="20"/>
          <w:szCs w:val="20"/>
          <w:color w:val="auto"/>
        </w:rPr>
      </w:pPr>
    </w:p>
    <w:p>
      <w:pPr>
        <w:ind w:right="4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Patriot Act</w:t>
      </w:r>
      <w:r>
        <w:rPr>
          <w:rFonts w:ascii="Arial" w:cs="Arial" w:eastAsia="Arial" w:hAnsi="Arial"/>
          <w:sz w:val="22"/>
          <w:szCs w:val="22"/>
          <w:color w:val="auto"/>
        </w:rPr>
        <w:t>” means the Uniting and Strengthening America by Providing Appropriate Tools Required to Intercept and Obstruct Terrorism Act of 2001, Pub. L. 107-56, signed into law October 26, 2001.</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means the Pension Benefit Guaranty Corporation (or any successor thereto).</w:t>
      </w:r>
    </w:p>
    <w:p>
      <w:pPr>
        <w:spacing w:after="0" w:line="233" w:lineRule="exact"/>
        <w:rPr>
          <w:sz w:val="20"/>
          <w:szCs w:val="20"/>
          <w:color w:val="auto"/>
        </w:rPr>
      </w:pPr>
    </w:p>
    <w:p>
      <w:pPr>
        <w:ind w:right="14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a Single Employer Plan or a Multiple Employer Plan.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Platform</w:t>
      </w:r>
      <w:r>
        <w:rPr>
          <w:rFonts w:ascii="Arial" w:cs="Arial" w:eastAsia="Arial" w:hAnsi="Arial"/>
          <w:sz w:val="22"/>
          <w:szCs w:val="22"/>
          <w:color w:val="auto"/>
        </w:rPr>
        <w:t>” has the meaning specified in Section 5.01.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Prepayment Minimum</w:t>
      </w:r>
      <w:r>
        <w:rPr>
          <w:rFonts w:ascii="Arial" w:cs="Arial" w:eastAsia="Arial" w:hAnsi="Arial"/>
          <w:sz w:val="22"/>
          <w:szCs w:val="22"/>
          <w:color w:val="auto"/>
        </w:rPr>
        <w:t>” means $50,000,000.</w:t>
      </w:r>
    </w:p>
    <w:p>
      <w:pPr>
        <w:sectPr>
          <w:pgSz w:w="11900" w:h="16838" w:orient="portrait"/>
          <w:cols w:equalWidth="0" w:num="1">
            <w:col w:w="11400"/>
          </w:cols>
          <w:pgMar w:left="240" w:top="361" w:right="259" w:bottom="0" w:gutter="0" w:footer="0" w:header="0"/>
        </w:sectPr>
      </w:pPr>
    </w:p>
    <w:bookmarkStart w:id="71" w:name="page72"/>
    <w:bookmarkEnd w:id="7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Prepayment Multiple</w:t>
      </w:r>
      <w:r>
        <w:rPr>
          <w:rFonts w:ascii="Arial" w:cs="Arial" w:eastAsia="Arial" w:hAnsi="Arial"/>
          <w:sz w:val="22"/>
          <w:szCs w:val="22"/>
          <w:color w:val="auto"/>
        </w:rPr>
        <w:t>” means $5,000,000.</w:t>
      </w:r>
    </w:p>
    <w:p>
      <w:pPr>
        <w:spacing w:after="0" w:line="234" w:lineRule="exact"/>
        <w:rPr>
          <w:sz w:val="20"/>
          <w:szCs w:val="20"/>
          <w:color w:val="auto"/>
        </w:rPr>
      </w:pPr>
    </w:p>
    <w:p>
      <w:pPr>
        <w:ind w:right="42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Previously Delivered Financial Statements</w:t>
      </w:r>
      <w:r>
        <w:rPr>
          <w:rFonts w:ascii="Arial" w:cs="Arial" w:eastAsia="Arial" w:hAnsi="Arial"/>
          <w:sz w:val="19"/>
          <w:szCs w:val="19"/>
          <w:color w:val="auto"/>
        </w:rPr>
        <w:t>” means (a) audited consolidated balance sheets and related statements of earnings, equity and cash flows of the Borrower and its Subsidiaries for the fiscal years ended on December 31, 2015, December 31, 2016 and December 31, 2017 and (b) unaudited consolidated balance sheets and related statements of earnings, equity and cash flows of the Borrower and its Subsidiaries for the fiscal quarter ended March 31, 2018.</w:t>
      </w:r>
    </w:p>
    <w:p>
      <w:pPr>
        <w:spacing w:after="0" w:line="163" w:lineRule="exact"/>
        <w:rPr>
          <w:sz w:val="20"/>
          <w:szCs w:val="20"/>
          <w:color w:val="auto"/>
        </w:rPr>
      </w:pPr>
    </w:p>
    <w:p>
      <w:pPr>
        <w:ind w:right="12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Principal Domestic Property</w:t>
      </w:r>
      <w:r>
        <w:rPr>
          <w:rFonts w:ascii="Arial" w:cs="Arial" w:eastAsia="Arial" w:hAnsi="Arial"/>
          <w:sz w:val="19"/>
          <w:szCs w:val="19"/>
          <w:color w:val="auto"/>
        </w:rPr>
        <w:t>” means any building, structure or other facility, together with the land upon which it is erected and fixtures comprising a part thereof, used primarily for manufacturing, processing, research, warehousing or distribution located in the United States (excluding its territories and possessions and Puerto Rico) owned or leased by any member of the Consolidated Group the net book value of which on the date as of which the determination is being made exceeds 2% of Consolidated Net Assets, other than any such building structure or other facility or portion of any thereof (a) which is an air or water pollution control facility financed by obligations issued by a State or local governmental unit or (b) which the Chief Executive Officer, any President, the Chief Financial Officer, the Controller or the Treasurer of the Borrower determines in good faith is not of material importance to the total business conducted, or assets owned, by the Consolidated Group taken as a whole.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Projections</w:t>
      </w:r>
      <w:r>
        <w:rPr>
          <w:rFonts w:ascii="Arial" w:cs="Arial" w:eastAsia="Arial" w:hAnsi="Arial"/>
          <w:sz w:val="22"/>
          <w:szCs w:val="22"/>
          <w:color w:val="auto"/>
        </w:rPr>
        <w:t>” means any projections and any forward looking statements (including statements with respect to booked business) of the Consolidated Group furnished to the Lenders or the Administrative Agent by or on behalf of the Borrower prior to the Effective Date.</w:t>
      </w:r>
    </w:p>
    <w:p>
      <w:pPr>
        <w:spacing w:after="0" w:line="204"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Public Lender</w:t>
      </w:r>
      <w:r>
        <w:rPr>
          <w:rFonts w:ascii="Arial" w:cs="Arial" w:eastAsia="Arial" w:hAnsi="Arial"/>
          <w:sz w:val="22"/>
          <w:szCs w:val="22"/>
          <w:color w:val="auto"/>
        </w:rPr>
        <w:t>” has the meaning set forth in Section 5.01.</w:t>
      </w:r>
    </w:p>
    <w:p>
      <w:pPr>
        <w:spacing w:after="0" w:line="233" w:lineRule="exact"/>
        <w:rPr>
          <w:sz w:val="20"/>
          <w:szCs w:val="20"/>
          <w:color w:val="auto"/>
        </w:rPr>
      </w:pPr>
    </w:p>
    <w:p>
      <w:pPr>
        <w:ind w:right="260"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Quotation Day</w:t>
      </w:r>
      <w:r>
        <w:rPr>
          <w:rFonts w:ascii="Arial" w:cs="Arial" w:eastAsia="Arial" w:hAnsi="Arial"/>
          <w:sz w:val="22"/>
          <w:szCs w:val="22"/>
          <w:color w:val="auto"/>
        </w:rPr>
        <w:t>” means with respect to any Interest Period, two Business Days prior to the first day of such Interest Period, unless market practice differs in the London interbank market for the Dollar, in which case the Quotation Day shall be determined by the Administrative Agent in accordance with market practice in the London interbank market (and if quotations would normally be given by leading banks in the London interbank market on more than one day, the Quotation Day shall be the last of those days).</w:t>
      </w:r>
    </w:p>
    <w:p>
      <w:pPr>
        <w:spacing w:after="0" w:line="210" w:lineRule="exact"/>
        <w:rPr>
          <w:sz w:val="20"/>
          <w:szCs w:val="20"/>
          <w:color w:val="auto"/>
        </w:rPr>
      </w:pPr>
    </w:p>
    <w:p>
      <w:pPr>
        <w:ind w:right="16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Banks</w:t>
      </w:r>
      <w:r>
        <w:rPr>
          <w:rFonts w:ascii="Arial" w:cs="Arial" w:eastAsia="Arial" w:hAnsi="Arial"/>
          <w:sz w:val="19"/>
          <w:szCs w:val="19"/>
          <w:color w:val="auto"/>
        </w:rPr>
        <w:t>” means such banks (which shall not be less than two nor more than four) that are leading dealers in the relevant market as may be appointed by the Administrative Agent (and agreed by such bank) in consultation with the Borrower.</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has the meaning specified in Section 8.07(d).</w:t>
      </w:r>
    </w:p>
    <w:p>
      <w:pPr>
        <w:spacing w:after="0" w:line="233" w:lineRule="exact"/>
        <w:rPr>
          <w:sz w:val="20"/>
          <w:szCs w:val="20"/>
          <w:color w:val="auto"/>
        </w:rPr>
      </w:pPr>
    </w:p>
    <w:p>
      <w:pPr>
        <w:ind w:right="8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Parties</w:t>
      </w:r>
      <w:r>
        <w:rPr>
          <w:rFonts w:ascii="Arial" w:cs="Arial" w:eastAsia="Arial" w:hAnsi="Arial"/>
          <w:sz w:val="22"/>
          <w:szCs w:val="22"/>
          <w:color w:val="auto"/>
        </w:rPr>
        <w:t>” means, with respect to any Person, such Person’s Affiliates and the partners, directors, officers, employees, agents, trustees and advisors of such Person and of such Person’s Affiliates.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Removal Effective Date</w:t>
      </w:r>
      <w:r>
        <w:rPr>
          <w:rFonts w:ascii="Arial" w:cs="Arial" w:eastAsia="Arial" w:hAnsi="Arial"/>
          <w:sz w:val="22"/>
          <w:szCs w:val="22"/>
          <w:color w:val="auto"/>
        </w:rPr>
        <w:t>” has the meaning provided in Section 7.06(b).</w:t>
      </w:r>
    </w:p>
    <w:p>
      <w:pPr>
        <w:spacing w:after="0" w:line="233" w:lineRule="exact"/>
        <w:rPr>
          <w:sz w:val="20"/>
          <w:szCs w:val="20"/>
          <w:color w:val="auto"/>
        </w:rPr>
      </w:pPr>
    </w:p>
    <w:p>
      <w:pPr>
        <w:ind w:right="30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Lenders</w:t>
      </w:r>
      <w:r>
        <w:rPr>
          <w:rFonts w:ascii="Arial" w:cs="Arial" w:eastAsia="Arial" w:hAnsi="Arial"/>
          <w:sz w:val="22"/>
          <w:szCs w:val="22"/>
          <w:color w:val="auto"/>
        </w:rPr>
        <w:t xml:space="preserve">” means, at any time, at least two Lenders holding, in the aggregate, more than 50% of the unused Commitments and aggregate outstanding principal amount of Advances at such time;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Commitment of, and the Advances held or deemed held by, any Defaulting Lender shall be excluded for purposes of making a determination of Required Lenders.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Resignation Effective Date</w:t>
      </w:r>
      <w:r>
        <w:rPr>
          <w:rFonts w:ascii="Arial" w:cs="Arial" w:eastAsia="Arial" w:hAnsi="Arial"/>
          <w:sz w:val="22"/>
          <w:szCs w:val="22"/>
          <w:color w:val="auto"/>
        </w:rPr>
        <w:t>” has the meaning provided in Section 7.06(a).</w:t>
      </w:r>
    </w:p>
    <w:p>
      <w:pPr>
        <w:spacing w:after="0" w:line="233" w:lineRule="exact"/>
        <w:rPr>
          <w:sz w:val="20"/>
          <w:szCs w:val="20"/>
          <w:color w:val="auto"/>
        </w:rPr>
      </w:pPr>
    </w:p>
    <w:p>
      <w:pPr>
        <w:ind w:right="26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means, with respect to the Borrower, the Chief Executive Officer, the Chief Financial Officer, the Treasurer, the Controller, any Assistant Treasurer, the Director, Capital Markets and Global Treasury Operations and the General Counsel of the Borrower (or other executive officer of the Borrower performing similar functions) or any other officer of the Borrower responsible for overseeing or reviewing compliance with this Agreement.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&amp; Poor’s Financial Services LLC (or any successor thereof).</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has the meaning specified in the definition of Embargoed Person.</w:t>
      </w:r>
    </w:p>
    <w:p>
      <w:pPr>
        <w:spacing w:after="0" w:line="233" w:lineRule="exact"/>
        <w:rPr>
          <w:sz w:val="20"/>
          <w:szCs w:val="20"/>
          <w:color w:val="auto"/>
        </w:rPr>
      </w:pPr>
    </w:p>
    <w:p>
      <w:pPr>
        <w:ind w:right="84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Significant Subsidiary</w:t>
      </w:r>
      <w:r>
        <w:rPr>
          <w:rFonts w:ascii="Arial" w:cs="Arial" w:eastAsia="Arial" w:hAnsi="Arial"/>
          <w:sz w:val="19"/>
          <w:szCs w:val="19"/>
          <w:color w:val="auto"/>
        </w:rPr>
        <w:t>” means any Subsidiary of the Borrower that constitutes a “</w:t>
      </w:r>
      <w:r>
        <w:rPr>
          <w:rFonts w:ascii="Arial" w:cs="Arial" w:eastAsia="Arial" w:hAnsi="Arial"/>
          <w:sz w:val="19"/>
          <w:szCs w:val="19"/>
          <w:b w:val="1"/>
          <w:bCs w:val="1"/>
          <w:color w:val="auto"/>
        </w:rPr>
        <w:t>significant subsidiary</w:t>
      </w:r>
      <w:r>
        <w:rPr>
          <w:rFonts w:ascii="Arial" w:cs="Arial" w:eastAsia="Arial" w:hAnsi="Arial"/>
          <w:sz w:val="19"/>
          <w:szCs w:val="19"/>
          <w:color w:val="auto"/>
        </w:rPr>
        <w:t>” under Regulation S-X promulgated by the Securities and Exchange Commission, as in effect from time to time.</w:t>
      </w:r>
    </w:p>
    <w:p>
      <w:pPr>
        <w:sectPr>
          <w:pgSz w:w="11900" w:h="16838" w:orient="portrait"/>
          <w:cols w:equalWidth="0" w:num="1">
            <w:col w:w="11400"/>
          </w:cols>
          <w:pgMar w:left="240" w:top="112" w:right="259" w:bottom="0" w:gutter="0" w:footer="0" w:header="0"/>
        </w:sectPr>
      </w:pPr>
    </w:p>
    <w:bookmarkStart w:id="72" w:name="page73"/>
    <w:bookmarkEnd w:id="72"/>
    <w:p>
      <w:pPr>
        <w:spacing w:after="0" w:line="82" w:lineRule="exact"/>
        <w:rPr>
          <w:sz w:val="20"/>
          <w:szCs w:val="20"/>
          <w:color w:val="auto"/>
        </w:rPr>
      </w:pPr>
    </w:p>
    <w:p>
      <w:pPr>
        <w:ind w:right="60"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Single Employer Plan</w:t>
      </w:r>
      <w:r>
        <w:rPr>
          <w:rFonts w:ascii="Arial" w:cs="Arial" w:eastAsia="Arial" w:hAnsi="Arial"/>
          <w:sz w:val="22"/>
          <w:szCs w:val="22"/>
          <w:color w:val="auto"/>
        </w:rPr>
        <w:t>” means a single employer plan, as defined in Section 4001(a)(15) of ERISA, that (a) is maintained for employees of the Borrower or any ERISA Affiliate or (b) was so maintained and in respect of which the Borrower or any ERISA Affiliate could reasonably have liability under Section 4069 of ERISA in the event such plan has been or were to be terminated.</w:t>
      </w:r>
    </w:p>
    <w:p>
      <w:pPr>
        <w:spacing w:after="0" w:line="208"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any Person,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Syndication Agent</w:t>
      </w:r>
      <w:r>
        <w:rPr>
          <w:rFonts w:ascii="Arial" w:cs="Arial" w:eastAsia="Arial" w:hAnsi="Arial"/>
          <w:sz w:val="22"/>
          <w:szCs w:val="22"/>
          <w:color w:val="auto"/>
        </w:rPr>
        <w:t>” means JPMorgan Chase Bank, N.A.</w:t>
      </w:r>
    </w:p>
    <w:p>
      <w:pPr>
        <w:spacing w:after="0" w:line="233" w:lineRule="exact"/>
        <w:rPr>
          <w:sz w:val="20"/>
          <w:szCs w:val="20"/>
          <w:color w:val="auto"/>
        </w:rPr>
      </w:pPr>
    </w:p>
    <w:p>
      <w:pPr>
        <w:ind w:right="16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 means any and all present or future taxes, levies, imposts, duties, deductions, withholdings (including back-up withholdings), assessments, fees or other like charges imposed by any governmental authority, including any interest, additions to tax or penalties applicable thereto.</w:t>
      </w:r>
    </w:p>
    <w:p>
      <w:pPr>
        <w:spacing w:after="0" w:line="204" w:lineRule="exact"/>
        <w:rPr>
          <w:sz w:val="20"/>
          <w:szCs w:val="20"/>
          <w:color w:val="auto"/>
        </w:rPr>
      </w:pPr>
    </w:p>
    <w:p>
      <w:pPr>
        <w:ind w:right="24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Ticking Fee Letter</w:t>
      </w:r>
      <w:r>
        <w:rPr>
          <w:rFonts w:ascii="Arial" w:cs="Arial" w:eastAsia="Arial" w:hAnsi="Arial"/>
          <w:sz w:val="19"/>
          <w:szCs w:val="19"/>
          <w:color w:val="auto"/>
        </w:rPr>
        <w:t>” means that certain fee letter, dated as of the date hereof, among Bank of America, N.A., JPMorgan Chase Bank, N.A. and the Borrower, as it may be amended, supplement or otherwise modified from time to time.</w:t>
      </w:r>
    </w:p>
    <w:p>
      <w:pPr>
        <w:spacing w:after="0" w:line="119" w:lineRule="exact"/>
        <w:rPr>
          <w:sz w:val="20"/>
          <w:szCs w:val="20"/>
          <w:color w:val="auto"/>
        </w:rPr>
      </w:pPr>
    </w:p>
    <w:p>
      <w:pPr>
        <w:ind w:right="2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Transactions</w:t>
      </w:r>
      <w:r>
        <w:rPr>
          <w:rFonts w:ascii="Arial" w:cs="Arial" w:eastAsia="Arial" w:hAnsi="Arial"/>
          <w:sz w:val="22"/>
          <w:szCs w:val="22"/>
          <w:color w:val="auto"/>
        </w:rPr>
        <w:t>” means the execution, delivery and performance by the Borrower of this Agreement and the borrowing of the Advances.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Type</w:t>
      </w:r>
      <w:r>
        <w:rPr>
          <w:rFonts w:ascii="Arial" w:cs="Arial" w:eastAsia="Arial" w:hAnsi="Arial"/>
          <w:sz w:val="22"/>
          <w:szCs w:val="22"/>
          <w:color w:val="auto"/>
        </w:rPr>
        <w:t>” refers to a Base Rate Advance or a Eurocurrency Rate Advance.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and “</w:t>
      </w:r>
      <w:r>
        <w:rPr>
          <w:rFonts w:ascii="Arial" w:cs="Arial" w:eastAsia="Arial" w:hAnsi="Arial"/>
          <w:sz w:val="22"/>
          <w:szCs w:val="22"/>
          <w:b w:val="1"/>
          <w:bCs w:val="1"/>
          <w:color w:val="auto"/>
        </w:rPr>
        <w:t>U.S.</w:t>
      </w:r>
      <w:r>
        <w:rPr>
          <w:rFonts w:ascii="Arial" w:cs="Arial" w:eastAsia="Arial" w:hAnsi="Arial"/>
          <w:sz w:val="22"/>
          <w:szCs w:val="22"/>
          <w:color w:val="auto"/>
        </w:rPr>
        <w:t>” each means the United States of America.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Person</w:t>
      </w:r>
      <w:r>
        <w:rPr>
          <w:rFonts w:ascii="Arial" w:cs="Arial" w:eastAsia="Arial" w:hAnsi="Arial"/>
          <w:sz w:val="19"/>
          <w:szCs w:val="19"/>
          <w:color w:val="auto"/>
        </w:rPr>
        <w:t>” means any Person that is a “United States person” as defined in Section 7701(a)(30) of the Internal Revenue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09" w:lineRule="exact"/>
        <w:rPr>
          <w:sz w:val="20"/>
          <w:szCs w:val="20"/>
          <w:color w:val="auto"/>
        </w:rPr>
      </w:pPr>
    </w:p>
    <w:p>
      <w:pPr>
        <w:ind w:right="60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Voting Stock</w:t>
      </w:r>
      <w:r>
        <w:rPr>
          <w:rFonts w:ascii="Arial" w:cs="Arial" w:eastAsia="Arial" w:hAnsi="Arial"/>
          <w:sz w:val="19"/>
          <w:szCs w:val="19"/>
          <w:color w:val="auto"/>
        </w:rPr>
        <w:t>” means shares of capital stock issued by a corporation, or equivalent interests in any other Person, the holders of which are ordinarily, in the absence of contingencies, entitled to vote for the election of directors (or persons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980"/>
        <w:spacing w:after="0" w:line="251" w:lineRule="auto"/>
        <w:rPr>
          <w:sz w:val="20"/>
          <w:szCs w:val="20"/>
          <w:color w:val="auto"/>
        </w:rPr>
      </w:pPr>
      <w:r>
        <w:rPr>
          <w:rFonts w:ascii="Arial" w:cs="Arial" w:eastAsia="Arial" w:hAnsi="Arial"/>
          <w:sz w:val="22"/>
          <w:szCs w:val="22"/>
          <w:color w:val="auto"/>
        </w:rPr>
        <w:t>performing similar functions) of such Person, even if the right so to vote has been suspended by the happening of such a contingency.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Withdrawal Liability</w:t>
      </w:r>
      <w:r>
        <w:rPr>
          <w:rFonts w:ascii="Arial" w:cs="Arial" w:eastAsia="Arial" w:hAnsi="Arial"/>
          <w:sz w:val="22"/>
          <w:szCs w:val="22"/>
          <w:color w:val="auto"/>
        </w:rPr>
        <w:t>” has the meaning specified in Part I of Subtitle E of Title IV of ERISA.</w:t>
      </w:r>
    </w:p>
    <w:p>
      <w:pPr>
        <w:spacing w:after="0" w:line="233" w:lineRule="exact"/>
        <w:rPr>
          <w:sz w:val="20"/>
          <w:szCs w:val="20"/>
          <w:color w:val="auto"/>
        </w:rPr>
      </w:pPr>
    </w:p>
    <w:p>
      <w:pPr>
        <w:ind w:right="540" w:firstLine="648"/>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6"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Computation of Time Periods</w:t>
      </w:r>
      <w:r>
        <w:rPr>
          <w:rFonts w:ascii="Arial" w:cs="Arial" w:eastAsia="Arial" w:hAnsi="Arial"/>
          <w:sz w:val="22"/>
          <w:szCs w:val="22"/>
          <w:color w:val="auto"/>
        </w:rPr>
        <w:t>. In this Agreement, in the computation of periods of time from a specified date to a later specified date, the word “from” means “from and including”, the word “through” means “through and including” and each of the words “to” and “until” mean “to but excluding”.</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Accounting Terms</w:t>
      </w:r>
      <w:r>
        <w:rPr>
          <w:rFonts w:ascii="Arial" w:cs="Arial" w:eastAsia="Arial" w:hAnsi="Arial"/>
          <w:sz w:val="19"/>
          <w:szCs w:val="19"/>
          <w:color w:val="auto"/>
        </w:rPr>
        <w:t>. Except as otherwise expressly provided herein, all accounting terms not specifically defined herein shall be construed in accordance with, and all financial data (including financial calculations) required to be submitted pursuant to this Agreement shall be prepared in conformity with, generally accepted accounting principles as in effect in the United States from time to time (“</w:t>
      </w:r>
      <w:r>
        <w:rPr>
          <w:rFonts w:ascii="Arial" w:cs="Arial" w:eastAsia="Arial" w:hAnsi="Arial"/>
          <w:sz w:val="19"/>
          <w:szCs w:val="19"/>
          <w:b w:val="1"/>
          <w:bCs w:val="1"/>
          <w:color w:val="auto"/>
        </w:rPr>
        <w:t>GAAP</w:t>
      </w:r>
      <w:r>
        <w:rPr>
          <w:rFonts w:ascii="Arial" w:cs="Arial" w:eastAsia="Arial" w:hAnsi="Arial"/>
          <w:sz w:val="19"/>
          <w:szCs w:val="19"/>
          <w:color w:val="auto"/>
        </w:rPr>
        <w:t xml:space="preserve">”) (it being agreed that </w:t>
      </w:r>
      <w:r>
        <w:rPr>
          <w:rFonts w:ascii="Arial" w:cs="Arial" w:eastAsia="Arial" w:hAnsi="Arial"/>
          <w:sz w:val="19"/>
          <w:szCs w:val="19"/>
          <w:color w:val="0000FF"/>
        </w:rPr>
        <w:t>(A)</w:t>
      </w:r>
      <w:r>
        <w:rPr>
          <w:rFonts w:ascii="Arial" w:cs="Arial" w:eastAsia="Arial" w:hAnsi="Arial"/>
          <w:sz w:val="19"/>
          <w:szCs w:val="19"/>
          <w:color w:val="auto"/>
        </w:rPr>
        <w:t xml:space="preserve">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Debt or other liabilities of a member of the Consolidated Group at “fair value”, as defined therein and (ii) any treatment of Debt in respect of convertible debt instruments under Accounting Standards Codification 470-20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w:t>
      </w:r>
      <w:r>
        <w:rPr>
          <w:rFonts w:ascii="Arial" w:cs="Arial" w:eastAsia="Arial" w:hAnsi="Arial"/>
          <w:sz w:val="19"/>
          <w:szCs w:val="19"/>
          <w:color w:val="0000FF"/>
        </w:rPr>
        <w:t>and (B) notwithstanding anything to the contrary in this Section 1.03 or in any classification under GAAP of any Person,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w:t>
      </w:r>
      <w:r>
        <w:rPr>
          <w:rFonts w:ascii="Arial" w:cs="Arial" w:eastAsia="Arial" w:hAnsi="Arial"/>
          <w:sz w:val="19"/>
          <w:szCs w:val="19"/>
          <w:color w:val="000000"/>
        </w:rPr>
        <w:t>. If at any time any change in GAAP would affect the calculation of any covenant set forth herein and either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-1900555</wp:posOffset>
            </wp:positionV>
            <wp:extent cx="2247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479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-665480</wp:posOffset>
            </wp:positionV>
            <wp:extent cx="66687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68770" cy="8890"/>
                    </a:xfrm>
                    <a:prstGeom prst="rect">
                      <a:avLst/>
                    </a:prstGeom>
                    <a:noFill/>
                  </pic:spPr>
                </pic:pic>
              </a:graphicData>
            </a:graphic>
          </wp:anchor>
        </w:drawing>
      </w:r>
    </w:p>
    <w:p>
      <w:pPr>
        <w:sectPr>
          <w:pgSz w:w="11900" w:h="16920" w:orient="portrait"/>
          <w:cols w:equalWidth="0" w:num="1">
            <w:col w:w="11380"/>
          </w:cols>
          <w:pgMar w:left="240" w:top="112" w:right="279" w:bottom="0" w:gutter="0" w:footer="0" w:header="0"/>
        </w:sectPr>
      </w:pPr>
    </w:p>
    <w:bookmarkStart w:id="73" w:name="page74"/>
    <w:bookmarkEnd w:id="73"/>
    <w:p>
      <w:pPr>
        <w:ind w:right="40"/>
        <w:spacing w:after="0" w:line="236" w:lineRule="auto"/>
        <w:rPr>
          <w:sz w:val="20"/>
          <w:szCs w:val="20"/>
          <w:color w:val="auto"/>
        </w:rPr>
      </w:pPr>
      <w:r>
        <w:rPr>
          <w:rFonts w:ascii="Arial" w:cs="Arial" w:eastAsia="Arial" w:hAnsi="Arial"/>
          <w:sz w:val="22"/>
          <w:szCs w:val="22"/>
          <w:color w:val="auto"/>
        </w:rPr>
        <w:t xml:space="preserve">Borrower or the Required Lenders shall so request, the Administrative Agent, the Lenders and the Borrower shall negotiate in good faith to amend such covenant to preserve the original intent thereof in light of such change in GAAP (subject to the approval of the Required Lenders);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until so amended, (i) such covenant shall continue to be calculated in accordance with GAAP prior to such change and (ii) the Borrower shall provide to the Administrative Agent and the Lenders, concurrently with the delivery of any financial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statements or reports with respect to such covenant, statements setting forth a reconciliation between calculations of such covenant made before and after giving effect to such change in GAAP.</w:t>
      </w:r>
    </w:p>
    <w:p>
      <w:pPr>
        <w:spacing w:after="0" w:line="200" w:lineRule="exact"/>
        <w:rPr>
          <w:sz w:val="20"/>
          <w:szCs w:val="20"/>
          <w:color w:val="auto"/>
        </w:rPr>
      </w:pPr>
    </w:p>
    <w:p>
      <w:pPr>
        <w:ind w:right="180" w:firstLine="648"/>
        <w:spacing w:after="0" w:line="271"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i w:val="1"/>
          <w:iCs w:val="1"/>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w:t>
      </w:r>
    </w:p>
    <w:p>
      <w:pPr>
        <w:spacing w:after="0" w:line="4" w:lineRule="exact"/>
        <w:rPr>
          <w:sz w:val="20"/>
          <w:szCs w:val="20"/>
          <w:color w:val="auto"/>
        </w:rPr>
      </w:pPr>
    </w:p>
    <w:p>
      <w:pPr>
        <w:ind w:right="100" w:firstLine="8"/>
        <w:spacing w:after="0" w:line="243" w:lineRule="auto"/>
        <w:tabs>
          <w:tab w:leader="none" w:pos="29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w:t>
      </w:r>
      <w:r>
        <w:rPr>
          <w:rFonts w:ascii="Arial" w:cs="Arial" w:eastAsia="Arial" w:hAnsi="Arial"/>
          <w:sz w:val="21"/>
          <w:szCs w:val="21"/>
          <w:color w:val="0000FF"/>
        </w:rPr>
        <w:t>(d)</w:t>
      </w:r>
      <w:r>
        <w:rPr>
          <w:rFonts w:ascii="Arial" w:cs="Arial" w:eastAsia="Arial" w:hAnsi="Arial"/>
          <w:sz w:val="21"/>
          <w:szCs w:val="21"/>
          <w:color w:val="auto"/>
        </w:rPr>
        <w:t xml:space="preserve"> the words “herein”, “hereof” and “hereunder”, and words of similar import, shall be construed to refer to this Agreement in its entirety and not to any particular provision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-338455</wp:posOffset>
            </wp:positionV>
            <wp:extent cx="1943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4310" cy="8890"/>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2</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AMOUNTS AND TERMS OF THE ADVANCES</w:t>
      </w:r>
    </w:p>
    <w:p>
      <w:pPr>
        <w:spacing w:after="0" w:line="233"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The Advances</w:t>
      </w:r>
      <w:r>
        <w:rPr>
          <w:rFonts w:ascii="Arial" w:cs="Arial" w:eastAsia="Arial" w:hAnsi="Arial"/>
          <w:sz w:val="21"/>
          <w:szCs w:val="21"/>
          <w:color w:val="auto"/>
        </w:rPr>
        <w:t xml:space="preserve">. Each Lender severally and not jointly agrees, on the terms and conditions hereinafter set forth, to make Advances on the Closing Date to the Borrower in an amount equal to (or, to the extent so requested by the Borrower in its Notice of Borrowing, less than) such Lender’s Commitment immediately prior to the making of the Advance. Each Lender’s Commitment shall expire upon the making of the Advances on the Closing Date. The Borrower may prepay Advances pursuant to Section 2.09,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Advances may not be reborrowed once repaid.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i w:val="1"/>
          <w:iCs w:val="1"/>
          <w:color w:val="auto"/>
        </w:rPr>
        <w:t>Making the Advances</w:t>
      </w:r>
      <w:r>
        <w:rPr>
          <w:rFonts w:ascii="Arial" w:cs="Arial" w:eastAsia="Arial" w:hAnsi="Arial"/>
          <w:sz w:val="19"/>
          <w:szCs w:val="19"/>
          <w:color w:val="auto"/>
        </w:rPr>
        <w:t>. (a) Each Borrowing shall be made on notice by the Borrower, given not later than</w:t>
      </w:r>
    </w:p>
    <w:p>
      <w:pPr>
        <w:spacing w:after="0" w:line="43" w:lineRule="exact"/>
        <w:rPr>
          <w:sz w:val="20"/>
          <w:szCs w:val="20"/>
          <w:color w:val="auto"/>
        </w:rPr>
      </w:pPr>
    </w:p>
    <w:p>
      <w:pPr>
        <w:ind w:firstLine="8"/>
        <w:spacing w:after="0" w:line="267" w:lineRule="auto"/>
        <w:tabs>
          <w:tab w:leader="none" w:pos="30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9:00 A.M. (Chicago time) on the second Business Day prior to the Closing Date (or, at such later time as the Administrative Agent, in its reasonable discretion, may agree to) in the case of a Borrowing consisting of Eurocurrency Rate Advances or (y) 9:00 A.M. (Chicago time) on the Closing Date in the case of a Borrowing consisting of Base Rate Advances, to the Administrative Agent, which shall give to each Lender prompt notice thereof by telecopier or other electronic communication. The notice of a Borrowing (the “</w:t>
      </w:r>
      <w:r>
        <w:rPr>
          <w:rFonts w:ascii="Arial" w:cs="Arial" w:eastAsia="Arial" w:hAnsi="Arial"/>
          <w:sz w:val="19"/>
          <w:szCs w:val="19"/>
          <w:b w:val="1"/>
          <w:bCs w:val="1"/>
          <w:color w:val="auto"/>
        </w:rPr>
        <w:t>Notice of Borrowing</w:t>
      </w:r>
      <w:r>
        <w:rPr>
          <w:rFonts w:ascii="Arial" w:cs="Arial" w:eastAsia="Arial" w:hAnsi="Arial"/>
          <w:sz w:val="19"/>
          <w:szCs w:val="19"/>
          <w:color w:val="auto"/>
        </w:rPr>
        <w:t>”) shall be by telephone, confirmed immediately in writing, including by telecopier (or other electronic communication) in substantially the form of Exhibit A hereto, specifying therein the requested (i) date of such Borrowing (which shall be a Business Day), (ii) Type of Advances comprising such Borrowing, (iii) aggregate amount of such Borrowing,</w:t>
      </w:r>
    </w:p>
    <w:p>
      <w:pPr>
        <w:ind w:right="380" w:firstLine="8"/>
        <w:spacing w:after="0" w:line="237" w:lineRule="auto"/>
        <w:tabs>
          <w:tab w:leader="none" w:pos="36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initial Interest Period for such Advance, if such Borrowing is to consist of Eurocurrency Rate Advances, and (v) account or accounts in which the proceeds of the Borrowing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should be credited. Each Lender shall, before 10:00 A.M. (Chicago time) on the Closing Date make available for the account of its Applicable Lending Office to the Administrative Agent at the applicable Administrative Agent’s Office, in same day funds, such Lender’s ratable portion of such Borrowing. After the Administrative Agent’s receipt of such funds and upon fulfillment of the applicable conditions set forth in Article 3, the Administrative Agent will make such funds available to the Borrower in immediately available funds to the account or accounts specified by the Borrower to the Administrative Agent in the Notice of Borrowing relating to the applicable Borrowing.</w:t>
      </w:r>
    </w:p>
    <w:p>
      <w:pPr>
        <w:spacing w:after="0" w:line="215" w:lineRule="exact"/>
        <w:rPr>
          <w:sz w:val="20"/>
          <w:szCs w:val="20"/>
          <w:color w:val="auto"/>
        </w:rPr>
      </w:pPr>
    </w:p>
    <w:p>
      <w:pPr>
        <w:ind w:firstLine="656"/>
        <w:spacing w:after="0" w:line="297" w:lineRule="auto"/>
        <w:tabs>
          <w:tab w:leader="none" w:pos="117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Anything in Section 2.02(a) to the contrary notwithstanding, (i) the Borrower may not select Eurocurrency Rate Advances if the obligation of the Lenders to make Eurocurrency Rate Advances shall then be suspended pursuant to Section 2.07 or 2.11 and (ii) the Eurocurrency Rate Advances may not be outstanding as part of more than ten separate Borrowings.</w:t>
      </w:r>
    </w:p>
    <w:p>
      <w:pPr>
        <w:spacing w:after="0" w:line="161" w:lineRule="exact"/>
        <w:rPr>
          <w:rFonts w:ascii="Arial" w:cs="Arial" w:eastAsia="Arial" w:hAnsi="Arial"/>
          <w:sz w:val="19"/>
          <w:szCs w:val="19"/>
          <w:color w:val="auto"/>
        </w:rPr>
      </w:pPr>
    </w:p>
    <w:p>
      <w:pPr>
        <w:ind w:right="260" w:firstLine="656"/>
        <w:spacing w:after="0" w:line="282" w:lineRule="auto"/>
        <w:tabs>
          <w:tab w:leader="none" w:pos="121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Notice of Borrowing shall be irrevocable and binding on the Borrower. In the case of any Borrowing that the related Notice of Borrowing specifies is to be comprised of Eurocurrency Rate Advances, the Borrower shall indemnify each Lender against any reasonable loss, cost or expense incurred by such Lender as a result of any failure to fulfill on or before the Closing Date the applicable conditions set forth in Article 3, including, without limitation, any reasonable loss (excluding loss of anticipated profits), cost or expense incurred by reason of the liquidation or reemployment of deposits or other funds acquired by</w:t>
      </w:r>
    </w:p>
    <w:p>
      <w:pPr>
        <w:sectPr>
          <w:pgSz w:w="11900" w:h="16838" w:orient="portrait"/>
          <w:cols w:equalWidth="0" w:num="1">
            <w:col w:w="11420"/>
          </w:cols>
          <w:pgMar w:left="240" w:top="118" w:right="239" w:bottom="0" w:gutter="0" w:footer="0" w:header="0"/>
        </w:sectPr>
      </w:pPr>
    </w:p>
    <w:bookmarkStart w:id="74" w:name="page75"/>
    <w:bookmarkEnd w:id="74"/>
    <w:p>
      <w:pPr>
        <w:ind w:right="400"/>
        <w:spacing w:after="0" w:line="251" w:lineRule="auto"/>
        <w:rPr>
          <w:sz w:val="20"/>
          <w:szCs w:val="20"/>
          <w:color w:val="auto"/>
        </w:rPr>
      </w:pPr>
      <w:r>
        <w:rPr>
          <w:rFonts w:ascii="Arial" w:cs="Arial" w:eastAsia="Arial" w:hAnsi="Arial"/>
          <w:sz w:val="22"/>
          <w:szCs w:val="22"/>
          <w:color w:val="auto"/>
        </w:rPr>
        <w:t>such Lender to fund the Advance to be made by such Lender as part of such Borrowing when such Advance, as a result of such failure, is not made on such date.</w:t>
      </w:r>
    </w:p>
    <w:p>
      <w:pPr>
        <w:spacing w:after="0" w:line="201" w:lineRule="exact"/>
        <w:rPr>
          <w:sz w:val="20"/>
          <w:szCs w:val="20"/>
          <w:color w:val="auto"/>
        </w:rPr>
      </w:pPr>
    </w:p>
    <w:p>
      <w:pPr>
        <w:ind w:right="40" w:firstLine="656"/>
        <w:spacing w:after="0" w:line="271" w:lineRule="auto"/>
        <w:tabs>
          <w:tab w:leader="none" w:pos="117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time of any Borrowing that such Lender will not make available to the Administrative Agent such Lender’s ratable portion of such Borrowing, the Administrative Agent may assume that such Lender has made such portion available to the Administrative Agent on the Closing Date in accordance with Section 2.02(a) and the Administrative Agent may, in reliance upon such assumption, make available to the Borrower on such date a corresponding amount. If and to the extent that any Lender shall not have so made such ratable portion available to the Administrative Agent, such Lender and the Borrower severally agree to pay or to repay to the Administrative Agent forthwith on demand such corresponding amount and to pay interest thereon, for each day from the date such amount is made available to the Borrower until the date such amount is paid or repaid to the Administrative Agent, at (i) in the case of the Borrower, the higher of (A) the interest rate applicable at the time to Advances comprising such Borrowing and (B) the cost of funds incurred by the Administrative Agent in respect of such amount and (ii) in the case of such Lender, the greater of the Federal Funds Rate and a rate determined by the Administrative Agent in accordance with banking industry rules on interbank compensation. If the Borrower and such Lender shall pay such interest to the Administrative Agent for the same or an overlapping period, the Administrative Agent shall promptly remit to the Borrower the amount of such interest paid by the Borrower for such period. If such Lender shall pay to the Administrative Agent such corresponding principal amount, such amount so paid shall constitute such Lender’s Advance as part of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color w:val="auto"/>
        </w:rPr>
        <w:t>such Borrowing for all purposes of this Agreement. Any payment by the Borrower shall be without prejudice to any claim the Borrower may have against a Lender that shall have failed to make such payment to the Administrative Agent.</w:t>
      </w:r>
    </w:p>
    <w:p>
      <w:pPr>
        <w:spacing w:after="0" w:line="132" w:lineRule="exact"/>
        <w:rPr>
          <w:sz w:val="20"/>
          <w:szCs w:val="20"/>
          <w:color w:val="auto"/>
        </w:rPr>
      </w:pPr>
    </w:p>
    <w:p>
      <w:pPr>
        <w:ind w:right="140" w:firstLine="656"/>
        <w:spacing w:after="0" w:line="297" w:lineRule="auto"/>
        <w:tabs>
          <w:tab w:leader="none" w:pos="121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failure of any Lender to make the Advance to be made by it as part of any Borrowing shall not relieve any other Lender of its obligation, if any, hereunder to make its Advance on the Closing Date, but no Lender shall be responsible for the failure of any other Lender to make the Advance to be made by such other Lender on the Closing Date.</w:t>
      </w:r>
    </w:p>
    <w:p>
      <w:pPr>
        <w:spacing w:after="0" w:line="161" w:lineRule="exact"/>
        <w:rPr>
          <w:rFonts w:ascii="Arial" w:cs="Arial" w:eastAsia="Arial" w:hAnsi="Arial"/>
          <w:sz w:val="19"/>
          <w:szCs w:val="19"/>
          <w:color w:val="auto"/>
        </w:rPr>
      </w:pPr>
    </w:p>
    <w:p>
      <w:pPr>
        <w:ind w:right="20" w:firstLine="656"/>
        <w:spacing w:after="0" w:line="252" w:lineRule="auto"/>
        <w:tabs>
          <w:tab w:leader="none" w:pos="118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any Lender makes available to the Administrative Agent funds for any Advance to be made by such Lender as provided herein, and such funds are not made available to the Borrower by the Administrative Agent because the conditions to such Borrowing are not satisfied or waived in accordance with the terms hereof, the Administrative Agent shall promptly return such funds (in like funds as received from such Lender) to such Lender, without interest.</w:t>
      </w:r>
    </w:p>
    <w:p>
      <w:pPr>
        <w:spacing w:after="0" w:line="201" w:lineRule="exact"/>
        <w:rPr>
          <w:sz w:val="20"/>
          <w:szCs w:val="20"/>
          <w:color w:val="auto"/>
        </w:rPr>
      </w:pPr>
    </w:p>
    <w:p>
      <w:pPr>
        <w:jc w:val="both"/>
        <w:ind w:right="240" w:firstLine="648"/>
        <w:spacing w:after="0" w:line="297"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Fees</w:t>
      </w:r>
      <w:r>
        <w:rPr>
          <w:rFonts w:ascii="Arial" w:cs="Arial" w:eastAsia="Arial" w:hAnsi="Arial"/>
          <w:sz w:val="19"/>
          <w:szCs w:val="19"/>
          <w:color w:val="auto"/>
        </w:rPr>
        <w:t>. The Borrower shall pay to the Administrative Agent and each Arranger for their respective accounts (or that of their applicable Affiliate) such fees as may from time to time be agreed between the Borrower and the Administrative Agent and/or such Arranger, including pursuant to the Ticking Fee Letter and the Administrative Agent Fee Letter.</w:t>
      </w:r>
    </w:p>
    <w:p>
      <w:pPr>
        <w:spacing w:after="0" w:line="161" w:lineRule="exact"/>
        <w:rPr>
          <w:sz w:val="20"/>
          <w:szCs w:val="20"/>
          <w:color w:val="auto"/>
        </w:rPr>
      </w:pPr>
    </w:p>
    <w:p>
      <w:pPr>
        <w:ind w:right="200" w:firstLine="648"/>
        <w:spacing w:after="0" w:line="274"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i w:val="1"/>
          <w:iCs w:val="1"/>
          <w:color w:val="auto"/>
        </w:rPr>
        <w:t>Termination or Reduction of the Commitments</w:t>
      </w:r>
      <w:r>
        <w:rPr>
          <w:rFonts w:ascii="Arial" w:cs="Arial" w:eastAsia="Arial" w:hAnsi="Arial"/>
          <w:sz w:val="19"/>
          <w:szCs w:val="19"/>
          <w:color w:val="auto"/>
        </w:rPr>
        <w:t xml:space="preserve">. (a) </w:t>
      </w:r>
      <w:r>
        <w:rPr>
          <w:rFonts w:ascii="Arial" w:cs="Arial" w:eastAsia="Arial" w:hAnsi="Arial"/>
          <w:sz w:val="19"/>
          <w:szCs w:val="19"/>
          <w:i w:val="1"/>
          <w:iCs w:val="1"/>
          <w:color w:val="auto"/>
        </w:rPr>
        <w:t>Ratable Reduction or Termination</w:t>
      </w:r>
      <w:r>
        <w:rPr>
          <w:rFonts w:ascii="Arial" w:cs="Arial" w:eastAsia="Arial" w:hAnsi="Arial"/>
          <w:sz w:val="19"/>
          <w:szCs w:val="19"/>
          <w:color w:val="auto"/>
        </w:rPr>
        <w:t xml:space="preserve">. The Borrower shall have the right, upon at least three Business Days’ notice (or, if later, upon notice provided substantially concurrently with the delivery of a Notice of Borrowing pursuant to Section 2.02(a)(x)) to the Administrative Agent, to terminate in whole or permanently reduce ratably in part the unused portions of Commitments of the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partial reduction shall be in an aggregate amount of not less than $50,000,000 and an integral multiple of $5,000,000 in excess thereof;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any such notice may state that such notice is conditioned upon the effectiveness of other credit facilities or the consummation of a specific transaction, in which case such notice may be revoked by the Borrower if such condition is not satisfied;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for the avoidance of doubt and for purposes of the Ticking Fee Letter, the Commitments shall, if not yet drawn upon,</w:t>
      </w:r>
      <w:r>
        <w:rPr>
          <w:rFonts w:ascii="Arial" w:cs="Arial" w:eastAsia="Arial" w:hAnsi="Arial"/>
          <w:sz w:val="19"/>
          <w:szCs w:val="19"/>
          <w:i w:val="1"/>
          <w:iCs w:val="1"/>
          <w:color w:val="auto"/>
        </w:rPr>
        <w:t xml:space="preserve"> </w:t>
      </w:r>
      <w:r>
        <w:rPr>
          <w:rFonts w:ascii="Arial" w:cs="Arial" w:eastAsia="Arial" w:hAnsi="Arial"/>
          <w:sz w:val="19"/>
          <w:szCs w:val="19"/>
          <w:color w:val="auto"/>
        </w:rPr>
        <w:t>expire and terminate at 11:59 p.m. (Chicago time) on June 30, 2018.</w:t>
      </w:r>
    </w:p>
    <w:p>
      <w:pPr>
        <w:spacing w:after="0" w:line="186" w:lineRule="exact"/>
        <w:rPr>
          <w:sz w:val="20"/>
          <w:szCs w:val="20"/>
          <w:color w:val="auto"/>
        </w:rPr>
      </w:pPr>
    </w:p>
    <w:p>
      <w:pPr>
        <w:ind w:right="60" w:firstLine="656"/>
        <w:spacing w:after="0" w:line="234" w:lineRule="auto"/>
        <w:tabs>
          <w:tab w:leader="none" w:pos="1170" w:val="left"/>
        </w:tabs>
        <w:numPr>
          <w:ilvl w:val="0"/>
          <w:numId w:val="129"/>
        </w:numPr>
        <w:rPr>
          <w:rFonts w:ascii="Arial" w:cs="Arial" w:eastAsia="Arial" w:hAnsi="Arial"/>
          <w:sz w:val="22"/>
          <w:szCs w:val="22"/>
          <w:color w:val="auto"/>
        </w:rPr>
      </w:pPr>
      <w:r>
        <w:rPr>
          <w:rFonts w:ascii="Arial" w:cs="Arial" w:eastAsia="Arial" w:hAnsi="Arial"/>
          <w:sz w:val="22"/>
          <w:szCs w:val="22"/>
          <w:i w:val="1"/>
          <w:iCs w:val="1"/>
          <w:color w:val="auto"/>
        </w:rPr>
        <w:t>Defaulting Lender Commitment Reductions</w:t>
      </w:r>
      <w:r>
        <w:rPr>
          <w:rFonts w:ascii="Arial" w:cs="Arial" w:eastAsia="Arial" w:hAnsi="Arial"/>
          <w:sz w:val="22"/>
          <w:szCs w:val="22"/>
          <w:color w:val="auto"/>
        </w:rPr>
        <w:t>. The Borrower may terminate the unused amount of the Commitments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Lender that is a Defaulting Lender upon not less than three Business Days’ prior notice to the Administrative Agent (which shall promptly notify the Lenders thereof), it being understood that notwithstanding such Commitment termination, the provisions of Section 2.17(c) will continue to apply to all amounts thereafter paid by the Borrower for the account of such Defaulting Lender under this Agreement (whether on account of principal, interest, fees, indemnity or other amounts);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termination shall not be deemed to be a waiver or release of any claim the Borrower, the Administrative Agent or any Lender may have against such Defaulting Lender.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firstLine="648"/>
        <w:spacing w:after="0" w:line="328"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i w:val="1"/>
          <w:iCs w:val="1"/>
          <w:color w:val="auto"/>
        </w:rPr>
        <w:t>Repayment of Advances</w:t>
      </w:r>
      <w:r>
        <w:rPr>
          <w:rFonts w:ascii="Arial" w:cs="Arial" w:eastAsia="Arial" w:hAnsi="Arial"/>
          <w:sz w:val="19"/>
          <w:szCs w:val="19"/>
          <w:color w:val="auto"/>
        </w:rPr>
        <w:t>. The Borrower shall repay on the Maturity Date to the Administrative Agent for the ratable account of the Lenders the aggregate principal amount of all Advances made to the Borrower outstanding on such date.</w:t>
      </w:r>
    </w:p>
    <w:p>
      <w:pPr>
        <w:spacing w:after="0" w:line="132"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Interest on Advances</w:t>
      </w:r>
      <w:r>
        <w:rPr>
          <w:rFonts w:ascii="Arial" w:cs="Arial" w:eastAsia="Arial" w:hAnsi="Arial"/>
          <w:sz w:val="22"/>
          <w:szCs w:val="22"/>
          <w:color w:val="auto"/>
        </w:rPr>
        <w:t xml:space="preserve">. (a) </w:t>
      </w:r>
      <w:r>
        <w:rPr>
          <w:rFonts w:ascii="Arial" w:cs="Arial" w:eastAsia="Arial" w:hAnsi="Arial"/>
          <w:sz w:val="22"/>
          <w:szCs w:val="22"/>
          <w:i w:val="1"/>
          <w:iCs w:val="1"/>
          <w:color w:val="auto"/>
        </w:rPr>
        <w:t>Scheduled Interest</w:t>
      </w:r>
      <w:r>
        <w:rPr>
          <w:rFonts w:ascii="Arial" w:cs="Arial" w:eastAsia="Arial" w:hAnsi="Arial"/>
          <w:sz w:val="22"/>
          <w:szCs w:val="22"/>
          <w:color w:val="auto"/>
        </w:rPr>
        <w:t>. The Borrower shall pay interest on the unpaid principal amount of each Advance made to it from the date of such Advance until such principal amount shall be paid in full, at the following rates per annum:</w:t>
      </w:r>
    </w:p>
    <w:p>
      <w:pPr>
        <w:sectPr>
          <w:pgSz w:w="11900" w:h="16838" w:orient="portrait"/>
          <w:cols w:equalWidth="0" w:num="1">
            <w:col w:w="11420"/>
          </w:cols>
          <w:pgMar w:left="240" w:top="118" w:right="239" w:bottom="0" w:gutter="0" w:footer="0" w:header="0"/>
        </w:sectPr>
      </w:pPr>
    </w:p>
    <w:bookmarkStart w:id="75" w:name="page76"/>
    <w:bookmarkEnd w:id="75"/>
    <w:p>
      <w:pPr>
        <w:ind w:left="660" w:right="60" w:firstLine="645"/>
        <w:spacing w:after="0" w:line="238" w:lineRule="auto"/>
        <w:tabs>
          <w:tab w:leader="none" w:pos="1998" w:val="left"/>
        </w:tabs>
        <w:numPr>
          <w:ilvl w:val="1"/>
          <w:numId w:val="130"/>
        </w:numPr>
        <w:rPr>
          <w:rFonts w:ascii="Arial" w:cs="Arial" w:eastAsia="Arial" w:hAnsi="Arial"/>
          <w:sz w:val="22"/>
          <w:szCs w:val="22"/>
          <w:color w:val="auto"/>
        </w:rPr>
      </w:pPr>
      <w:r>
        <w:rPr>
          <w:rFonts w:ascii="Arial" w:cs="Arial" w:eastAsia="Arial" w:hAnsi="Arial"/>
          <w:sz w:val="22"/>
          <w:szCs w:val="22"/>
          <w:i w:val="1"/>
          <w:iCs w:val="1"/>
          <w:color w:val="auto"/>
        </w:rPr>
        <w:t>Base Rate Advances</w:t>
      </w:r>
      <w:r>
        <w:rPr>
          <w:rFonts w:ascii="Arial" w:cs="Arial" w:eastAsia="Arial" w:hAnsi="Arial"/>
          <w:sz w:val="22"/>
          <w:szCs w:val="22"/>
          <w:color w:val="auto"/>
        </w:rPr>
        <w:t>. During such periods as such Advance is a Base Rate Advance, a rate per annum equal</w:t>
      </w:r>
      <w:r>
        <w:rPr>
          <w:rFonts w:ascii="Arial" w:cs="Arial" w:eastAsia="Arial" w:hAnsi="Arial"/>
          <w:sz w:val="22"/>
          <w:szCs w:val="22"/>
          <w:i w:val="1"/>
          <w:iCs w:val="1"/>
          <w:color w:val="auto"/>
        </w:rPr>
        <w:t xml:space="preserve"> </w:t>
      </w:r>
      <w:r>
        <w:rPr>
          <w:rFonts w:ascii="Arial" w:cs="Arial" w:eastAsia="Arial" w:hAnsi="Arial"/>
          <w:sz w:val="22"/>
          <w:szCs w:val="22"/>
          <w:color w:val="auto"/>
        </w:rPr>
        <w:t>at all times to the sum of (A) the Base Rate in effect from time to time and (B) the Applicable Margin, payable in arrears quarterly on the last Business Day of each March, June, September and December, during such periods and on the date the Advances are paid in full.</w:t>
      </w:r>
    </w:p>
    <w:p>
      <w:pPr>
        <w:spacing w:after="0" w:line="212" w:lineRule="exact"/>
        <w:rPr>
          <w:rFonts w:ascii="Arial" w:cs="Arial" w:eastAsia="Arial" w:hAnsi="Arial"/>
          <w:sz w:val="22"/>
          <w:szCs w:val="22"/>
          <w:color w:val="auto"/>
        </w:rPr>
      </w:pPr>
    </w:p>
    <w:p>
      <w:pPr>
        <w:ind w:left="660" w:right="40" w:firstLine="645"/>
        <w:spacing w:after="0" w:line="235" w:lineRule="auto"/>
        <w:tabs>
          <w:tab w:leader="none" w:pos="2004" w:val="left"/>
        </w:tabs>
        <w:numPr>
          <w:ilvl w:val="1"/>
          <w:numId w:val="130"/>
        </w:numPr>
        <w:rPr>
          <w:rFonts w:ascii="Arial" w:cs="Arial" w:eastAsia="Arial" w:hAnsi="Arial"/>
          <w:sz w:val="22"/>
          <w:szCs w:val="22"/>
          <w:color w:val="auto"/>
        </w:rPr>
      </w:pPr>
      <w:r>
        <w:rPr>
          <w:rFonts w:ascii="Arial" w:cs="Arial" w:eastAsia="Arial" w:hAnsi="Arial"/>
          <w:sz w:val="22"/>
          <w:szCs w:val="22"/>
          <w:i w:val="1"/>
          <w:iCs w:val="1"/>
          <w:color w:val="auto"/>
        </w:rPr>
        <w:t>Eurocurrency Rate Advances</w:t>
      </w:r>
      <w:r>
        <w:rPr>
          <w:rFonts w:ascii="Arial" w:cs="Arial" w:eastAsia="Arial" w:hAnsi="Arial"/>
          <w:sz w:val="22"/>
          <w:szCs w:val="22"/>
          <w:color w:val="auto"/>
        </w:rPr>
        <w:t>. During such periods as such Advance is a Eurocurrency Rate Advance, a rate</w:t>
      </w:r>
      <w:r>
        <w:rPr>
          <w:rFonts w:ascii="Arial" w:cs="Arial" w:eastAsia="Arial" w:hAnsi="Arial"/>
          <w:sz w:val="22"/>
          <w:szCs w:val="22"/>
          <w:i w:val="1"/>
          <w:iCs w:val="1"/>
          <w:color w:val="auto"/>
        </w:rPr>
        <w:t xml:space="preserve"> </w:t>
      </w:r>
      <w:r>
        <w:rPr>
          <w:rFonts w:ascii="Arial" w:cs="Arial" w:eastAsia="Arial" w:hAnsi="Arial"/>
          <w:sz w:val="22"/>
          <w:szCs w:val="22"/>
          <w:color w:val="auto"/>
        </w:rPr>
        <w:t>per annum equal at all times during each Interest Period for such Advance to the sum of (A) the Eurocurrency Rate for such Interest Period for such Advance, and (B) the Applicable Margin, payable in arrears on the last day of such Interest Period and, if such Interest Period has a duration of more than three months, on each day that occurs during such Interest Period every three months from the first day of such Interest Period and on the date such Eurocurrency Rate Advance shall be Converted or paid in full.</w:t>
      </w:r>
    </w:p>
    <w:p>
      <w:pPr>
        <w:spacing w:after="0" w:line="215" w:lineRule="exact"/>
        <w:rPr>
          <w:rFonts w:ascii="Arial" w:cs="Arial" w:eastAsia="Arial" w:hAnsi="Arial"/>
          <w:sz w:val="22"/>
          <w:szCs w:val="22"/>
          <w:color w:val="auto"/>
        </w:rPr>
      </w:pPr>
    </w:p>
    <w:p>
      <w:pPr>
        <w:ind w:firstLine="656"/>
        <w:spacing w:after="0" w:line="273" w:lineRule="auto"/>
        <w:tabs>
          <w:tab w:leader="none" w:pos="1170"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Default Interest</w:t>
      </w:r>
      <w:r>
        <w:rPr>
          <w:rFonts w:ascii="Arial" w:cs="Arial" w:eastAsia="Arial" w:hAnsi="Arial"/>
          <w:sz w:val="19"/>
          <w:szCs w:val="19"/>
          <w:color w:val="auto"/>
        </w:rPr>
        <w:t>. Upon the occurrence and during the continuance of an Event of Default pursuant to Section 6.01(a),</w:t>
      </w:r>
      <w:r>
        <w:rPr>
          <w:rFonts w:ascii="Arial" w:cs="Arial" w:eastAsia="Arial" w:hAnsi="Arial"/>
          <w:sz w:val="19"/>
          <w:szCs w:val="19"/>
          <w:i w:val="1"/>
          <w:iCs w:val="1"/>
          <w:color w:val="auto"/>
        </w:rPr>
        <w:t xml:space="preserve"> </w:t>
      </w:r>
      <w:r>
        <w:rPr>
          <w:rFonts w:ascii="Arial" w:cs="Arial" w:eastAsia="Arial" w:hAnsi="Arial"/>
          <w:sz w:val="19"/>
          <w:szCs w:val="19"/>
          <w:color w:val="auto"/>
        </w:rPr>
        <w:t>the Administrative Agent shall, upon the request of the Required Lenders, require the Borrower to pay interest (“</w:t>
      </w:r>
      <w:r>
        <w:rPr>
          <w:rFonts w:ascii="Arial" w:cs="Arial" w:eastAsia="Arial" w:hAnsi="Arial"/>
          <w:sz w:val="19"/>
          <w:szCs w:val="19"/>
          <w:b w:val="1"/>
          <w:bCs w:val="1"/>
          <w:color w:val="auto"/>
        </w:rPr>
        <w:t>Default</w:t>
      </w:r>
      <w:r>
        <w:rPr>
          <w:rFonts w:ascii="Arial" w:cs="Arial" w:eastAsia="Arial" w:hAnsi="Arial"/>
          <w:sz w:val="19"/>
          <w:szCs w:val="19"/>
          <w:color w:val="auto"/>
        </w:rPr>
        <w:t xml:space="preserve"> </w:t>
      </w:r>
      <w:r>
        <w:rPr>
          <w:rFonts w:ascii="Arial" w:cs="Arial" w:eastAsia="Arial" w:hAnsi="Arial"/>
          <w:sz w:val="19"/>
          <w:szCs w:val="19"/>
          <w:b w:val="1"/>
          <w:bCs w:val="1"/>
          <w:color w:val="auto"/>
        </w:rPr>
        <w:t>Interest</w:t>
      </w:r>
      <w:r>
        <w:rPr>
          <w:rFonts w:ascii="Arial" w:cs="Arial" w:eastAsia="Arial" w:hAnsi="Arial"/>
          <w:sz w:val="19"/>
          <w:szCs w:val="19"/>
          <w:color w:val="auto"/>
        </w:rPr>
        <w:t>”), which amount shall accrue as of the date of occurrence of the Event of Default, on (i) amounts that are overdue, payable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arrears on the dates referred to in Section 2.06(a)(i) or 2.06(a)(ii), at a rate per annum equal at all times to 2% per annum above the rate per annum required to be paid on such overdue amount pursuant to Section 2.06(a)(i) or 2.06(a)(ii)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Section 2.06(a)(i),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following acceleration of the Advances pursuant to Section 6.01, Default Interest shall accrue and be payable hereunder whether or not previously required by the Administrative Agent.</w:t>
      </w:r>
    </w:p>
    <w:p>
      <w:pPr>
        <w:spacing w:after="0" w:line="188" w:lineRule="exact"/>
        <w:rPr>
          <w:rFonts w:ascii="Arial" w:cs="Arial" w:eastAsia="Arial" w:hAnsi="Arial"/>
          <w:sz w:val="19"/>
          <w:szCs w:val="19"/>
          <w:color w:val="auto"/>
        </w:rPr>
      </w:pPr>
    </w:p>
    <w:p>
      <w:pPr>
        <w:ind w:right="300" w:firstLine="656"/>
        <w:spacing w:after="0" w:line="238" w:lineRule="auto"/>
        <w:tabs>
          <w:tab w:leader="none" w:pos="1212"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Additional Interest on Eurocurrency Rate Advances</w:t>
      </w:r>
      <w:r>
        <w:rPr>
          <w:rFonts w:ascii="Arial" w:cs="Arial" w:eastAsia="Arial" w:hAnsi="Arial"/>
          <w:sz w:val="22"/>
          <w:szCs w:val="22"/>
          <w:color w:val="auto"/>
        </w:rPr>
        <w:t>. The Borrower shall pay to each Lender, so long as and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extent such Lender shall be required under regulations of the Board of Governors of the Federal Reserve System to maintain reserves with respect to liabilities or assets consisting of or including Eurocurrency Liabilities, additional interest on the unpaid principal amount of each Advance of such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0"/>
        <w:spacing w:after="0" w:line="247" w:lineRule="auto"/>
        <w:rPr>
          <w:sz w:val="20"/>
          <w:szCs w:val="20"/>
          <w:color w:val="auto"/>
        </w:rPr>
      </w:pPr>
      <w:r>
        <w:rPr>
          <w:rFonts w:ascii="Arial" w:cs="Arial" w:eastAsia="Arial" w:hAnsi="Arial"/>
          <w:sz w:val="21"/>
          <w:szCs w:val="21"/>
          <w:color w:val="auto"/>
        </w:rPr>
        <w:t>Lender made to the Borrower that is a Eurocurrency Rate Advance, from the date of such Advance until such principal amount is paid in full, at an interest rate per annum equal at all times to the remainder obtained by subtracting (a) the Eurocurrency Rate for the applicable Interest Period for such Advance from (b) the rate obtained by dividing such Eurocurrency Rate by a percentage equal to 100% minus the Eurocurrency Rate Reserve Percentage of such Lender for such Interest Period, payable on each date on which interest is payable on such Advance. Such Lender shall as soon as practicable provide notice to the Administrative Agent and the Borrower of any such additional interest arising in connection with such Advance, which notice shall be conclusive and binding, absent demonstrable error.</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Interest Rate Determination</w:t>
      </w:r>
      <w:r>
        <w:rPr>
          <w:rFonts w:ascii="Arial" w:cs="Arial" w:eastAsia="Arial" w:hAnsi="Arial"/>
          <w:sz w:val="22"/>
          <w:szCs w:val="22"/>
          <w:color w:val="auto"/>
        </w:rPr>
        <w:t>. (a) The Administrative Agent shall give prompt notice to the Borrower and the Lenders of the applicable interest rate determined by the Administrative Agent for purposes of Section 2.06(a)(i) or Section 2.06(a) (ii).</w:t>
      </w:r>
    </w:p>
    <w:p>
      <w:pPr>
        <w:spacing w:after="0" w:line="213" w:lineRule="exact"/>
        <w:rPr>
          <w:sz w:val="20"/>
          <w:szCs w:val="20"/>
          <w:color w:val="auto"/>
        </w:rPr>
      </w:pPr>
    </w:p>
    <w:p>
      <w:pPr>
        <w:ind w:right="60" w:firstLine="656"/>
        <w:spacing w:after="0" w:line="244" w:lineRule="auto"/>
        <w:tabs>
          <w:tab w:leader="none" w:pos="117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If, with respect to any Eurocurrency Rate Advances, (i) the Administrative Agent shall have determined (which determination shall be conclusive and binding absent manifest error) that adequate and reasonable means do not exist for ascertaining the Eurocurrency Rate for such Interest Period, or (ii) the Required Lenders notify the Administrative Agent that the Eurocurrency Rate for any Interest Period for such Advances will not adequately and fairly reflect the cost to the Required Lenders of making, funding or maintaining their respective Eurocurrency Rate Advances for such Interest Period, the Administrative Agent shall forthwith so notify the Borrower and the Lenders, whereupon (A) the Borrower will, on the last day of the then existing Interest Period therefor, either, (w) prepay such Advances or (x) Convert such Advances into Base Rate Advances and (B) the obligation of the Lenders to make, or to Convert Advances into, Eurocurrency Rate Advances shall be suspended, until (in the case of the foregoing clause (i)) a LIBOR Successor Rate is implemented in accordance with clause (e) below or (in the case of the foregoing clauses (i) or (ii)) the Administrative Agent shall notify the Borrower and the Lenders that the circumstances causing such suspension no longer exist.</w:t>
      </w:r>
    </w:p>
    <w:p>
      <w:pPr>
        <w:spacing w:after="0" w:line="216" w:lineRule="exact"/>
        <w:rPr>
          <w:rFonts w:ascii="Arial" w:cs="Arial" w:eastAsia="Arial" w:hAnsi="Arial"/>
          <w:sz w:val="21"/>
          <w:szCs w:val="21"/>
          <w:color w:val="auto"/>
        </w:rPr>
      </w:pPr>
    </w:p>
    <w:p>
      <w:pPr>
        <w:ind w:right="20" w:firstLine="656"/>
        <w:spacing w:after="0" w:line="252" w:lineRule="auto"/>
        <w:tabs>
          <w:tab w:leader="none" w:pos="1212"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If the Borrower shall fail to select the duration of any Interest Period for any Eurocurrency Rate Advances made to the Borrower in accordance with the provisions contained in the definition of “</w:t>
      </w:r>
      <w:r>
        <w:rPr>
          <w:rFonts w:ascii="Arial" w:cs="Arial" w:eastAsia="Arial" w:hAnsi="Arial"/>
          <w:sz w:val="21"/>
          <w:szCs w:val="21"/>
          <w:b w:val="1"/>
          <w:bCs w:val="1"/>
          <w:color w:val="auto"/>
        </w:rPr>
        <w:t>Interest Period</w:t>
      </w:r>
      <w:r>
        <w:rPr>
          <w:rFonts w:ascii="Arial" w:cs="Arial" w:eastAsia="Arial" w:hAnsi="Arial"/>
          <w:sz w:val="21"/>
          <w:szCs w:val="21"/>
          <w:color w:val="auto"/>
        </w:rPr>
        <w:t>” in Section 1.01, the Administrative Agent will forthwith so notify the Borrower and the Lenders and such Eurocurrency Rate Advances will automatically, on the last day of the then existing Interest Period therefor, Convert into Base Rate Advances.</w:t>
      </w:r>
    </w:p>
    <w:p>
      <w:pPr>
        <w:spacing w:after="0" w:line="201" w:lineRule="exact"/>
        <w:rPr>
          <w:rFonts w:ascii="Arial" w:cs="Arial" w:eastAsia="Arial" w:hAnsi="Arial"/>
          <w:sz w:val="21"/>
          <w:szCs w:val="21"/>
          <w:color w:val="auto"/>
        </w:rPr>
      </w:pPr>
    </w:p>
    <w:p>
      <w:pPr>
        <w:ind w:right="280" w:firstLine="656"/>
        <w:spacing w:after="0" w:line="238" w:lineRule="auto"/>
        <w:tabs>
          <w:tab w:leader="none" w:pos="117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Upon the occurrence and during the continuance of any Event of Default, (i) each Eurocurrency Rate Advance will automatically, on the last day of the then existing Interest Period therefor be Converted into a Base Rate Advance (unless the Required Lenders otherwise consent) and (ii) the obligation of the Lenders to make, or to Convert Advances into, Eurocurrency Rate Advances shall be suspended.</w:t>
      </w:r>
    </w:p>
    <w:p>
      <w:pPr>
        <w:sectPr>
          <w:pgSz w:w="11900" w:h="16838" w:orient="portrait"/>
          <w:cols w:equalWidth="0" w:num="1">
            <w:col w:w="11400"/>
          </w:cols>
          <w:pgMar w:left="240" w:top="118" w:right="259" w:bottom="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76" w:name="page77"/>
    <w:bookmarkEnd w:id="76"/>
    <w:p>
      <w:pPr>
        <w:spacing w:after="0" w:line="82" w:lineRule="exact"/>
        <w:rPr>
          <w:sz w:val="20"/>
          <w:szCs w:val="20"/>
          <w:color w:val="auto"/>
        </w:rPr>
      </w:pPr>
    </w:p>
    <w:p>
      <w:pPr>
        <w:jc w:val="both"/>
        <w:ind w:firstLine="656"/>
        <w:spacing w:after="0" w:line="238" w:lineRule="auto"/>
        <w:tabs>
          <w:tab w:leader="none" w:pos="121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Documents, if the Administrative Agent determines (which determination shall be made by notice to the Borrower and conclusive absent manifest error), or the Borrower or Required Lenders notify the Administrative Agent (with, in the case of the Required Lenders, a copy to Borrower) that the Borrower or Required Lenders (as applicable) have determined that:</w:t>
      </w:r>
    </w:p>
    <w:p>
      <w:pPr>
        <w:spacing w:after="0" w:line="212" w:lineRule="exact"/>
        <w:rPr>
          <w:rFonts w:ascii="Arial" w:cs="Arial" w:eastAsia="Arial" w:hAnsi="Arial"/>
          <w:sz w:val="22"/>
          <w:szCs w:val="22"/>
          <w:color w:val="auto"/>
        </w:rPr>
      </w:pPr>
    </w:p>
    <w:p>
      <w:pPr>
        <w:ind w:left="660" w:right="480" w:firstLine="645"/>
        <w:spacing w:after="0"/>
        <w:tabs>
          <w:tab w:leader="none" w:pos="1998"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w:t>
      </w:r>
    </w:p>
    <w:p>
      <w:pPr>
        <w:spacing w:after="0" w:line="213" w:lineRule="exact"/>
        <w:rPr>
          <w:rFonts w:ascii="Arial" w:cs="Arial" w:eastAsia="Arial" w:hAnsi="Arial"/>
          <w:sz w:val="22"/>
          <w:szCs w:val="22"/>
          <w:color w:val="auto"/>
        </w:rPr>
      </w:pPr>
    </w:p>
    <w:p>
      <w:pPr>
        <w:ind w:left="660" w:firstLine="645"/>
        <w:spacing w:after="0" w:line="238" w:lineRule="auto"/>
        <w:tabs>
          <w:tab w:leader="none" w:pos="200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22"/>
          <w:szCs w:val="22"/>
          <w:b w:val="1"/>
          <w:bCs w:val="1"/>
          <w:color w:val="auto"/>
        </w:rPr>
        <w:t>Scheduled</w:t>
      </w:r>
      <w:r>
        <w:rPr>
          <w:rFonts w:ascii="Arial" w:cs="Arial" w:eastAsia="Arial" w:hAnsi="Arial"/>
          <w:sz w:val="22"/>
          <w:szCs w:val="22"/>
          <w:color w:val="auto"/>
        </w:rPr>
        <w:t xml:space="preserve"> </w:t>
      </w:r>
      <w:r>
        <w:rPr>
          <w:rFonts w:ascii="Arial" w:cs="Arial" w:eastAsia="Arial" w:hAnsi="Arial"/>
          <w:sz w:val="22"/>
          <w:szCs w:val="22"/>
          <w:b w:val="1"/>
          <w:bCs w:val="1"/>
          <w:color w:val="auto"/>
        </w:rPr>
        <w:t>Unavailability Date</w:t>
      </w:r>
      <w:r>
        <w:rPr>
          <w:rFonts w:ascii="Arial" w:cs="Arial" w:eastAsia="Arial" w:hAnsi="Arial"/>
          <w:sz w:val="22"/>
          <w:szCs w:val="22"/>
          <w:color w:val="auto"/>
        </w:rPr>
        <w:t>”); or</w:t>
      </w:r>
    </w:p>
    <w:p>
      <w:pPr>
        <w:spacing w:after="0" w:line="212" w:lineRule="exact"/>
        <w:rPr>
          <w:rFonts w:ascii="Arial" w:cs="Arial" w:eastAsia="Arial" w:hAnsi="Arial"/>
          <w:sz w:val="22"/>
          <w:szCs w:val="22"/>
          <w:color w:val="auto"/>
        </w:rPr>
      </w:pPr>
    </w:p>
    <w:p>
      <w:pPr>
        <w:jc w:val="both"/>
        <w:ind w:left="660" w:right="80" w:firstLine="645"/>
        <w:spacing w:after="0"/>
        <w:tabs>
          <w:tab w:leader="none" w:pos="201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syndicated loans being executed in the U.S. at the time, or that include language similar to that contained in this Section, are generally being executed or amended (as applicable) to incorporate or adopt a new benchmark interest rate to replace LIBOR,</w:t>
      </w:r>
    </w:p>
    <w:p>
      <w:pPr>
        <w:spacing w:after="0" w:line="213"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19"/>
          <w:szCs w:val="19"/>
          <w:b w:val="1"/>
          <w:bCs w:val="1"/>
          <w:color w:val="auto"/>
        </w:rPr>
        <w:t>LIBOR Successor Rate</w:t>
      </w:r>
      <w:r>
        <w:rPr>
          <w:rFonts w:ascii="Arial" w:cs="Arial" w:eastAsia="Arial" w:hAnsi="Arial"/>
          <w:sz w:val="19"/>
          <w:szCs w:val="19"/>
          <w:color w:val="auto"/>
        </w:rPr>
        <w:t>”), together with any proposed LIBOR Successor Rate Conforming Changes, and any such amendment shall become effective at 5:00 p.m. (New York time) on the fifth Business Day after the Administrative Agent shall have (with the consent of the Borrower)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86"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If no LIBOR Successor Rate has been determined and the circumstances under clause (i) above exist or the Scheduled Unavailability Date has occurred (as applicable), the Administrative Agent will promptly notify the Borrower and each Lender. Thereafter, (x) the obligation of the Lenders to make or maintain Eurocurrency Rate Advance shall be suspended (to the extent of the affected Eurocurrency Rate Advance or Interest Periods), and (y) the Eurocurrency Rate component shall no longer be utilized in determining the Base Rate. Upon receipt of such notice, the Borrower may revoke any pending request for a Borrowing of, Conversion to or continuation of Eurocurrency Rate Advances (to the extent of the affected Eurocurrency Rate Advances or Interest Periods)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or, failing that, will be deemed to have Converted such request into a request for Base Rate Advances (subject to the foregoing clause (y)) in the amount specified therein.</w:t>
      </w:r>
    </w:p>
    <w:p>
      <w:pPr>
        <w:spacing w:after="0" w:line="200"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Notwithstanding anything else herein, any definition of LIBOR Successor Rate shall provide that in no event shall LIBOR Successor Rate be less than zero for purposes of this Agreement.</w:t>
      </w:r>
    </w:p>
    <w:p>
      <w:pPr>
        <w:spacing w:after="0" w:line="200"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Optional Conversion of Advances</w:t>
      </w:r>
      <w:r>
        <w:rPr>
          <w:rFonts w:ascii="Arial" w:cs="Arial" w:eastAsia="Arial" w:hAnsi="Arial"/>
          <w:sz w:val="19"/>
          <w:szCs w:val="19"/>
          <w:color w:val="auto"/>
        </w:rPr>
        <w:t xml:space="preserve">. The Borrower may on any Business Day, upon notice given to the Administrative Agent not later than 10:00 A.M. (Chicago time) on the third Business Day prior to the date of the proposed Conversion (or in the case of a Conversion into Base Rate Advances, the Business Day prior), and subject to the provisions of Sections 2.07 and 2.11, Convert all Advances made to the Borrower of one Type comprising the same Borrowing into Advances of the other Type;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Conversion of Eurocurrency Rate Advances into Base Rate Advances shall be made only on the last day of an Interest Period for such Eurocurrency Rate Advances, any Conversion of Base Rate Advances into Eurocurrency Rate Advances shall be in an amount not less than the minimum amount specified in Section 2.01 and no Conversion of any Advances shall result in more separate Borrowings than permitted under Section 2.02(b). Each such notice of a Conversion shall, within the restrictions specified above, specify (i) the date of such Conversion (which shall be a Business Day), (ii) the Advances to be Converted, and if such Conversion is into Eurocurrency Rate Advances, the duration of the initial Interest Period for each such Advance. Each notice of Conversion shall be irrevocable and binding on the Borrower.</w:t>
      </w:r>
    </w:p>
    <w:p>
      <w:pPr>
        <w:spacing w:after="0" w:line="183"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i w:val="1"/>
          <w:iCs w:val="1"/>
          <w:color w:val="auto"/>
        </w:rPr>
        <w:t>Optional Prepayments of Advances</w:t>
      </w:r>
      <w:r>
        <w:rPr>
          <w:rFonts w:ascii="Arial" w:cs="Arial" w:eastAsia="Arial" w:hAnsi="Arial"/>
          <w:sz w:val="19"/>
          <w:szCs w:val="19"/>
          <w:color w:val="auto"/>
        </w:rPr>
        <w:t>. The Borrower may, upon written notice to the Administrative Agent stating the proposed date and aggregate principal amount of the proposed prepayment, given not later than 10:00 A.M. (Chicago time) on the date (which date shall be a Business Day) of such proposed prepayment, in the case of a Borrowing consisting of Base Rate Advances, and not later than 10:00 A.M. (Chicago time) at least two Business Days prior to the date of such proposed prepayment (or, at such later time as the Administrative Agent, in its reasonable discretion, may agree to), in the case of a Borrowing consisting of Eurocurrency Rate Advances, and if such notice is given, the Borrower shall, prepay the outstanding principal amount of the Advances comprising part of the same Borrowing made to the Borrower in whole or ratably in part, and in the case of any Eurocurrency Rate Advances, together with accrued interest to the date of such prepayment on the principal amount</w:t>
      </w:r>
    </w:p>
    <w:p>
      <w:pPr>
        <w:sectPr>
          <w:pgSz w:w="11900" w:h="16920" w:orient="portrait"/>
          <w:cols w:equalWidth="0" w:num="1">
            <w:col w:w="11400"/>
          </w:cols>
          <w:pgMar w:left="240" w:top="604" w:right="259" w:bottom="0" w:gutter="0" w:footer="0" w:header="0"/>
        </w:sectPr>
      </w:pPr>
    </w:p>
    <w:bookmarkStart w:id="77" w:name="page78"/>
    <w:bookmarkEnd w:id="77"/>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 xml:space="preserve">prepaid;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each partial prepayment shall be in an aggregate principal amount of the Prepayment Minimum or a Prepayment Multiple in excess thereof and (ii) if any prepayment of a Eurocurrency Rate Advance is made on a date other than the last day of an Interest Period for such Eurocurrency Rate Advance, the Borrower shall also pay any amount owing pursuant to Section 8.04(c);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subject to clause (ii) of the immediately preceding proviso, any such notice may state that such notice is conditioned upon the effectiveness of other credit facilities or the consummation of a specific transaction, in which case such notice may be revoked by the Borrower if such condition is not satisfied.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i w:val="1"/>
          <w:iCs w:val="1"/>
          <w:color w:val="auto"/>
        </w:rPr>
        <w:t>Increased Costs</w:t>
      </w:r>
      <w:r>
        <w:rPr>
          <w:rFonts w:ascii="Arial" w:cs="Arial" w:eastAsia="Arial" w:hAnsi="Arial"/>
          <w:sz w:val="19"/>
          <w:szCs w:val="19"/>
          <w:color w:val="auto"/>
        </w:rPr>
        <w:t>. (a) If, due to either (i) the introduction of or any change in or in the interpretation of any law or regulation or (ii) the compliance with any directive, guideline or request from any central bank or other governmental authority including, without limitation, any agency of the European Union or similar monetary or multinational authority (whether or not having the force of law), in each case after the date hereof (or with respect to any Lender (or the Administrative Agent), if later, the date on which such Lender (or the Administrative Agent) becomes a Lender (or the Administrative Agent)), there shall be any increase in the cost to any Lender or the Administrative Agent of agreeing to make or making, funding or maintaining Advances (excluding for purposes of this Section 2.10 any such increased costs resulting from (i) Taxes as to which such Lender is indemnified under Section 2.13, (ii) Excluded Taxes, or (iii) Other Taxes), then the Borrower shall from time to time, upon demand by such Lender or the Administrative Agent (with a copy of such demand to the Administrative Agent, if applicable), pay to the Administrative Agent for the account of such Lender (or for its own account, if applicable) additional amounts sufficient to compensate such Lender or the Administrative Agent for such increased cost. A certificate describing such increased costs in reasonable detail delivered to the Borrower shall be conclusive and binding for all purposes, absent demonstrable error.</w:t>
      </w:r>
    </w:p>
    <w:p>
      <w:pPr>
        <w:spacing w:after="0" w:line="189" w:lineRule="exact"/>
        <w:rPr>
          <w:sz w:val="20"/>
          <w:szCs w:val="20"/>
          <w:color w:val="auto"/>
        </w:rPr>
      </w:pPr>
    </w:p>
    <w:p>
      <w:pPr>
        <w:ind w:firstLine="656"/>
        <w:spacing w:after="0" w:line="272" w:lineRule="auto"/>
        <w:tabs>
          <w:tab w:leader="none" w:pos="117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any Lender reasonably determines that compliance with any law or regulation or any directive, guideline or request from any central bank or other governmental authority including, without limitation, any agency of the European Union or similar monetary or multinational authority (whether or not having the force of law), in each case promulgated or given after the date hereof (or with respect to any Lender, if later, the date on which such Lender becomes a Lender), affects or would affect the amount of capital, insurance or liquidity required or expected to be maintained by such Lender or any corporation controlling such Lender and that the amount of such capital, insurance or liquidity is increased by or based upon the existence of such Lender’s commitment to lend hereunder and other commitments of this type, the Borrower shall, from time to time upon demand by such Lender (with a copy of such demand to the Administrative Agent), pay to the Administrative Agent for the account of such Lender, additional amounts sufficient to compensate such Lender or such corporation in the light of such circumstances, to the extent that such Lender reasonably determines such increase in capital, insurance or liquidity to be allocable to the existence of such Lender’s Advances or commitment to lend hereunder. A certificate as to such amounts submitted to the Borrower and the Administrative Agent by such Lender shall be conclusive and binding for all purposes, absent demonstrable error.</w:t>
      </w:r>
    </w:p>
    <w:p>
      <w:pPr>
        <w:spacing w:after="0" w:line="188" w:lineRule="exact"/>
        <w:rPr>
          <w:rFonts w:ascii="Arial" w:cs="Arial" w:eastAsia="Arial" w:hAnsi="Arial"/>
          <w:sz w:val="19"/>
          <w:szCs w:val="19"/>
          <w:color w:val="auto"/>
        </w:rPr>
      </w:pPr>
    </w:p>
    <w:p>
      <w:pPr>
        <w:ind w:right="20" w:firstLine="656"/>
        <w:spacing w:after="0" w:line="279" w:lineRule="auto"/>
        <w:tabs>
          <w:tab w:leader="none" w:pos="1212"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Section 2.10 to the contrary, for purposes of this Section 2.10, (A) the Dodd Frank Wall Street Reform and Consumer Protection Act and the rules and regulations issued thereunder or in connection therewith or in implementation thereof, and (B) all requests, rules, guidelines and directions promulgated by the Bank for International Settlements or the Basel Committee on Banking Supervision (or any similar or successor agency, or the United States or foreign regulatory authorities, in each case, pursuant to Basel III) shall be deemed to have been enacted following the date hereof (or with respect to any Lender, if later, the date on which such Lender becomes a Lender). Notwithstanding the foregoing in this </w:t>
      </w:r>
      <w:r>
        <w:rPr>
          <w:rFonts w:ascii="Arial" w:cs="Arial" w:eastAsia="Arial" w:hAnsi="Arial"/>
          <w:sz w:val="19"/>
          <w:szCs w:val="19"/>
          <w:u w:val="single" w:color="auto"/>
          <w:color w:val="auto"/>
        </w:rPr>
        <w:t>Section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u w:val="single" w:color="auto"/>
          <w:color w:val="auto"/>
        </w:rPr>
        <w:t>2.10</w:t>
      </w:r>
      <w:r>
        <w:rPr>
          <w:rFonts w:ascii="Arial" w:cs="Arial" w:eastAsia="Arial" w:hAnsi="Arial"/>
          <w:sz w:val="21"/>
          <w:szCs w:val="21"/>
          <w:color w:val="auto"/>
        </w:rPr>
        <w:t>, no Lender shall demand compensation pursuant to this Section 2.10 unless such Lender is making corresponding demands on similarly situated borrowers in comparable credit facilities to which such Lender is a party.</w:t>
      </w:r>
    </w:p>
    <w:p>
      <w:pPr>
        <w:spacing w:after="0" w:line="178" w:lineRule="exact"/>
        <w:rPr>
          <w:sz w:val="20"/>
          <w:szCs w:val="20"/>
          <w:color w:val="auto"/>
        </w:rPr>
      </w:pPr>
    </w:p>
    <w:p>
      <w:pPr>
        <w:ind w:right="220" w:firstLine="648"/>
        <w:spacing w:after="0" w:line="270"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Illegality</w:t>
      </w:r>
      <w:r>
        <w:rPr>
          <w:rFonts w:ascii="Arial" w:cs="Arial" w:eastAsia="Arial" w:hAnsi="Arial"/>
          <w:sz w:val="19"/>
          <w:szCs w:val="19"/>
          <w:color w:val="auto"/>
        </w:rPr>
        <w:t>. Notwithstanding any other provision of this Agreement, (a) if any Lender shall notify the Administrative Agent that the introduction of or any change in or in the interpretation of any law or regulation makes it unlawful, or any central bank or other governmental authority, including without limitation, any agency of the European Union or similar monetary or multinational authority, asserts that it is unlawful, for such Lender or its Applicable Lending Office to perform its obligations hereunder to make Eurocurrency Rate Advances or to fund or maintain Eurocurrency Rate Advances hereunder,</w:t>
      </w:r>
    </w:p>
    <w:p>
      <w:pPr>
        <w:spacing w:after="0" w:line="4" w:lineRule="exact"/>
        <w:rPr>
          <w:sz w:val="20"/>
          <w:szCs w:val="20"/>
          <w:color w:val="auto"/>
        </w:rPr>
      </w:pPr>
    </w:p>
    <w:p>
      <w:pPr>
        <w:ind w:right="40" w:firstLine="8"/>
        <w:spacing w:after="0" w:line="267" w:lineRule="auto"/>
        <w:tabs>
          <w:tab w:leader="none" w:pos="25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each Eurocurrency Rate Advance of such Lender will automatically, upon such notification, be Converted into a Base Rate Advance and (ii) the obligation of such Lender to make Eurocurrency Rate Advances or to Convert Advances into Eurocurrency Rate Advances shall be suspended until the Administrative Agent shall notify the Borrower and such Lender that the circumstances causing such suspension no longer exist and (b) if Lenders constituting the Required Lenders so notify the Administrative Agent,</w:t>
      </w:r>
    </w:p>
    <w:p>
      <w:pPr>
        <w:ind w:right="160" w:firstLine="8"/>
        <w:spacing w:after="0" w:line="233" w:lineRule="auto"/>
        <w:tabs>
          <w:tab w:leader="none" w:pos="25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each Eurocurrency Rate Advance of each Lender will automatically, upon such notification, Convert into a Base Rate Advance and (ii) the obligation of each Lender to make Eurocurrency Rate Advances or to Convert Advances into Eurocurrency Rate Advances shall be suspended until the Administrative Agent shall notify the Borrower and each Lender that the circumstances causing such suspension no longer exist.</w:t>
      </w:r>
    </w:p>
    <w:p>
      <w:pPr>
        <w:spacing w:after="0" w:line="21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i w:val="1"/>
          <w:iCs w:val="1"/>
          <w:color w:val="auto"/>
        </w:rPr>
        <w:t>Payments and Computations</w:t>
      </w:r>
      <w:r>
        <w:rPr>
          <w:rFonts w:ascii="Arial" w:cs="Arial" w:eastAsia="Arial" w:hAnsi="Arial"/>
          <w:sz w:val="19"/>
          <w:szCs w:val="19"/>
          <w:color w:val="auto"/>
        </w:rPr>
        <w:t>. (a) The Borrower shall make each payment required to be made by it under this Agreement not later than 11:00 A.M. (Chicago time) on the day when due to the Administrative Agent at the applicable Administrative Agent’s Office in same day funds. The Administrative Agent will promptly thereafter cause to be distributed like</w:t>
      </w:r>
    </w:p>
    <w:p>
      <w:pPr>
        <w:sectPr>
          <w:pgSz w:w="11900" w:h="16958" w:orient="portrait"/>
          <w:cols w:equalWidth="0" w:num="1">
            <w:col w:w="11420"/>
          </w:cols>
          <w:pgMar w:left="240" w:top="118" w:right="239" w:bottom="0" w:gutter="0" w:footer="0" w:header="0"/>
        </w:sectPr>
      </w:pPr>
    </w:p>
    <w:bookmarkStart w:id="78" w:name="page79"/>
    <w:bookmarkEnd w:id="78"/>
    <w:p>
      <w:pPr>
        <w:spacing w:after="0" w:line="274" w:lineRule="auto"/>
        <w:rPr>
          <w:sz w:val="20"/>
          <w:szCs w:val="20"/>
          <w:color w:val="auto"/>
        </w:rPr>
      </w:pPr>
      <w:r>
        <w:rPr>
          <w:rFonts w:ascii="Arial" w:cs="Arial" w:eastAsia="Arial" w:hAnsi="Arial"/>
          <w:sz w:val="19"/>
          <w:szCs w:val="19"/>
          <w:color w:val="auto"/>
        </w:rPr>
        <w:t>funds relating to the payment of principal or interest ratably (other than amounts payable pursuant to Section 2.02(c), 2.06(c), 2.10, 2.11(a), 2.13,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Administrative Agent shall make all payments hereunder in respect of the interest assigned thereby to the assignor for amounts which have accrued to but excluding the effective date of such assignment and to the assignee for amounts which have accrued from and after the effective date of such assignment. All payments to be made by the Borrower shall be made without condition or deduction for any counterclaim, defense, recoupment or setoff.</w:t>
      </w:r>
    </w:p>
    <w:p>
      <w:pPr>
        <w:spacing w:after="0" w:line="186" w:lineRule="exact"/>
        <w:rPr>
          <w:sz w:val="20"/>
          <w:szCs w:val="20"/>
          <w:color w:val="auto"/>
        </w:rPr>
      </w:pPr>
    </w:p>
    <w:p>
      <w:pPr>
        <w:ind w:right="260" w:firstLine="656"/>
        <w:spacing w:after="0"/>
        <w:tabs>
          <w:tab w:leader="none" w:pos="117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Borrower hereby authorizes each Lender, if and to the extent payment owed to such Lender by the Borrower is not made when due hereunder, to charge from time to time against any or all of the Borrower’s accounts with such Lender any amount so due, unless otherwise agreed between the Borrower and such Lender.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firstLine="656"/>
        <w:spacing w:after="0" w:line="279" w:lineRule="auto"/>
        <w:tabs>
          <w:tab w:leader="none" w:pos="121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All computations of interest based on the Base Rate shall be made by the Administrative Agent on the basis of a year of 365 or 366 days, as the case may be, and all computations of interest based on the Eurocurrency Rate or the Federal Funds Rate (other than determinations of the Base Rate made at any time by reference to the Federal Funds Rate), shall be made by the Administrative Agent on the basis of a year of 360 days, in each case for the actual number of days (including the first day but excluding the last day) occurring in the period for which such interest or such fees are payable. Each determination by the Administrative Agent of an interest rate hereunder shall be conclusive and binding for all purposes, absent demonstrable error.</w:t>
      </w:r>
    </w:p>
    <w:p>
      <w:pPr>
        <w:spacing w:after="0" w:line="177" w:lineRule="exact"/>
        <w:rPr>
          <w:rFonts w:ascii="Arial" w:cs="Arial" w:eastAsia="Arial" w:hAnsi="Arial"/>
          <w:sz w:val="19"/>
          <w:szCs w:val="19"/>
          <w:color w:val="auto"/>
        </w:rPr>
      </w:pPr>
    </w:p>
    <w:p>
      <w:pPr>
        <w:ind w:right="20" w:firstLine="656"/>
        <w:spacing w:after="0" w:line="236" w:lineRule="auto"/>
        <w:tabs>
          <w:tab w:leader="none" w:pos="117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such extension would cause payment of interest on or principal of Eurocurrency Rate Advances to be made in the next following calendar month, such payment shall be made on the immediately preceding Business Day.</w:t>
      </w:r>
    </w:p>
    <w:p>
      <w:pPr>
        <w:spacing w:after="0" w:line="214" w:lineRule="exact"/>
        <w:rPr>
          <w:rFonts w:ascii="Arial" w:cs="Arial" w:eastAsia="Arial" w:hAnsi="Arial"/>
          <w:sz w:val="22"/>
          <w:szCs w:val="22"/>
          <w:color w:val="auto"/>
        </w:rPr>
      </w:pPr>
    </w:p>
    <w:p>
      <w:pPr>
        <w:ind w:firstLine="656"/>
        <w:spacing w:after="0" w:line="275" w:lineRule="auto"/>
        <w:tabs>
          <w:tab w:leader="none" w:pos="121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written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the Borrower shall not have so made such payment in full to the Administrative Agent, each Lender shall repay to the Administrative Agent, following prompt notice thereof,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Taxes</w:t>
      </w:r>
      <w:r>
        <w:rPr>
          <w:rFonts w:ascii="Arial" w:cs="Arial" w:eastAsia="Arial" w:hAnsi="Arial"/>
          <w:sz w:val="19"/>
          <w:szCs w:val="19"/>
          <w:color w:val="auto"/>
        </w:rPr>
        <w:t xml:space="preserve">. (a) Any and all payments by or on behalf of the Borrower under any Loan Document shall be made, in accordance with Section 2.12, free and clear of and without deduction for any and all present or future Taxes, including levies, imposts, deductions, charges and withholdings, and all liabilities with respect thereto, </w:t>
      </w:r>
      <w:r>
        <w:rPr>
          <w:rFonts w:ascii="Arial" w:cs="Arial" w:eastAsia="Arial" w:hAnsi="Arial"/>
          <w:sz w:val="19"/>
          <w:szCs w:val="19"/>
          <w:i w:val="1"/>
          <w:iCs w:val="1"/>
          <w:color w:val="auto"/>
        </w:rPr>
        <w:t>excluding</w:t>
      </w:r>
      <w:r>
        <w:rPr>
          <w:rFonts w:ascii="Arial" w:cs="Arial" w:eastAsia="Arial" w:hAnsi="Arial"/>
          <w:sz w:val="19"/>
          <w:szCs w:val="19"/>
          <w:color w:val="auto"/>
        </w:rPr>
        <w:t>, in the case of each Lender and each Agent, (i) taxes imposed on (or measured by) its overall net income (however denominated), franchise taxes, and branch profits taxes, in each case only to the extent imposed by the jurisdiction under the laws of which such Lender or such Agent, as the case may be, is organized or any political subdivision thereof, by the jurisdiction of such Lender’s Applicable Lending Office or any political subdivision thereof or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 (ii) any branch profits Taxes imposed by the United States, (iii) backup withholding Tax imposed by the United States on payments by the Borrower to any Lender, (iv) any Tax that is imposed by the United States by reason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such recipient’s failure to comply with Section 2.13(f), and (v) any taxes imposed under FATCA, including as a result of such recipient’s failure to comply with Section 2.13(f)(iii) (all such excluded taxes, levies, imposts, deductions, charges, withholdings and liabilities in respect of payments under any Loan Document being hereinafter referred to as “</w:t>
      </w:r>
      <w:r>
        <w:rPr>
          <w:rFonts w:ascii="Arial" w:cs="Arial" w:eastAsia="Arial" w:hAnsi="Arial"/>
          <w:sz w:val="19"/>
          <w:szCs w:val="19"/>
          <w:b w:val="1"/>
          <w:bCs w:val="1"/>
          <w:color w:val="auto"/>
        </w:rPr>
        <w:t>Excluded Taxes</w:t>
      </w:r>
      <w:r>
        <w:rPr>
          <w:rFonts w:ascii="Arial" w:cs="Arial" w:eastAsia="Arial" w:hAnsi="Arial"/>
          <w:sz w:val="19"/>
          <w:szCs w:val="19"/>
          <w:color w:val="auto"/>
        </w:rPr>
        <w:t>”). If the Borrower shall be required by applicable law to deduct any Taxes from or in respect of any sum payable under any Loan Document to any Lender or any Agent, (A) the Borrower shall make such deductions and (B) the Borrower shall pay the full amount deducted to the relevant taxation authority or other authority in accordance with applicable law. If the Borrower shall be required by applicable law to deduct any Taxes other than Excluded Taxes from or in respect of any sum payable under any Loan Document to any Lender or any Agent, the sum payable shall be increased as may be necessary so that after making all required deductions (including deductions applicable to additional sums payable under this Section 2.13) such Lender or such Agent, as the case may be, receives an amount equal to the sum it would have received had no such deductions been made.</w:t>
      </w:r>
    </w:p>
    <w:p>
      <w:pPr>
        <w:sectPr>
          <w:pgSz w:w="11900" w:h="16838" w:orient="portrait"/>
          <w:cols w:equalWidth="0" w:num="1">
            <w:col w:w="11400"/>
          </w:cols>
          <w:pgMar w:left="240" w:top="118" w:right="259" w:bottom="0" w:gutter="0" w:footer="0" w:header="0"/>
        </w:sectPr>
      </w:pPr>
    </w:p>
    <w:bookmarkStart w:id="79" w:name="page80"/>
    <w:bookmarkEnd w:id="79"/>
    <w:p>
      <w:pPr>
        <w:ind w:firstLine="656"/>
        <w:spacing w:after="0" w:line="282" w:lineRule="auto"/>
        <w:tabs>
          <w:tab w:leader="none" w:pos="117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In addition, without duplication of any other obligation set forth in this Section 2.13, the Borrower agrees to pay any present or future stamp and documentary Taxes and any other excise or property Taxes, charges or similar levies that arise from any payment made by it under any Loan Document or from the execution, delivery or registration of, or performance under, or otherwise with respect to, any Loan Document (hereinafter referred to as “</w:t>
      </w:r>
      <w:r>
        <w:rPr>
          <w:rFonts w:ascii="Arial" w:cs="Arial" w:eastAsia="Arial" w:hAnsi="Arial"/>
          <w:sz w:val="19"/>
          <w:szCs w:val="19"/>
          <w:b w:val="1"/>
          <w:bCs w:val="1"/>
          <w:color w:val="auto"/>
        </w:rPr>
        <w:t>Other Taxes</w:t>
      </w:r>
      <w:r>
        <w:rPr>
          <w:rFonts w:ascii="Arial" w:cs="Arial" w:eastAsia="Arial" w:hAnsi="Arial"/>
          <w:sz w:val="19"/>
          <w:szCs w:val="19"/>
          <w:color w:val="auto"/>
        </w:rPr>
        <w:t>”), except to the extent such Other Taxes are Other Connection Taxes imposed solely as a result of an assignment or the designation of a new Applicable Lending Office.</w:t>
      </w:r>
    </w:p>
    <w:p>
      <w:pPr>
        <w:spacing w:after="0" w:line="175" w:lineRule="exact"/>
        <w:rPr>
          <w:rFonts w:ascii="Arial" w:cs="Arial" w:eastAsia="Arial" w:hAnsi="Arial"/>
          <w:sz w:val="19"/>
          <w:szCs w:val="19"/>
          <w:color w:val="auto"/>
        </w:rPr>
      </w:pPr>
    </w:p>
    <w:p>
      <w:pPr>
        <w:ind w:right="80" w:firstLine="656"/>
        <w:spacing w:after="0" w:line="234" w:lineRule="auto"/>
        <w:tabs>
          <w:tab w:leader="none" w:pos="121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Without duplication of any other obligation set forth in this Section 2.13, the Borrower shall indemnify each Lender and each Agent for the full amount of Taxes (other than Excluded Taxes) and Other Taxes (except to the extent such Other Taxes are Other Connection Taxes imposed solely as a result of an assignment or the designation of a new Applicable Lending Office) imposed on or paid by such Lender or such Agent, as the case may be, in respect of Advances made to the Borrower and any liability (including, without limitation, penalties, interest and expenses) arising therefrom or with respect thereto. This indemnification shall be made within 30 days from the date such Lender or such Agent, as the case may be, makes written demand therefor.</w:t>
      </w:r>
    </w:p>
    <w:p>
      <w:pPr>
        <w:spacing w:after="0" w:line="218" w:lineRule="exact"/>
        <w:rPr>
          <w:rFonts w:ascii="Arial" w:cs="Arial" w:eastAsia="Arial" w:hAnsi="Arial"/>
          <w:sz w:val="22"/>
          <w:szCs w:val="22"/>
          <w:color w:val="auto"/>
        </w:rPr>
      </w:pPr>
    </w:p>
    <w:p>
      <w:pPr>
        <w:ind w:right="80" w:firstLine="656"/>
        <w:spacing w:after="0" w:line="245" w:lineRule="auto"/>
        <w:tabs>
          <w:tab w:leader="none" w:pos="117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Each Lender shall severally indemnify the Administrative Agent, within 10 days after demand therefor, for (i) any Taxes attributable to such Lender (but only to the extent that the Borrower has not already indemnified the Administrative Agent for such Taxes and without limiting the obligation of the Borrower to do so) and (ii) any Taxes attributable to such Lender’s failure to comply with the provisions of Section 8.07(e)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describing in reasonable detail the amount of such payment or liability delivered to any Lender by the Administrative Agent shall be conclusive absent manifest error. Each Lender hereby authorizes the Administrative Agent to set off and apply 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and all amounts at any time owing to such Lender under any Loan Document or otherwise payable by the Administrative Agent to the Lender from any other source against any amount due to the Administrative Agent under this paragraph (d).</w:t>
      </w:r>
    </w:p>
    <w:p>
      <w:pPr>
        <w:spacing w:after="0" w:line="178" w:lineRule="exact"/>
        <w:rPr>
          <w:sz w:val="20"/>
          <w:szCs w:val="20"/>
          <w:color w:val="auto"/>
        </w:rPr>
      </w:pPr>
    </w:p>
    <w:p>
      <w:pPr>
        <w:ind w:right="220" w:firstLine="656"/>
        <w:spacing w:after="0"/>
        <w:tabs>
          <w:tab w:leader="none" w:pos="1212" w:val="left"/>
        </w:tabs>
        <w:numPr>
          <w:ilvl w:val="1"/>
          <w:numId w:val="140"/>
        </w:numPr>
        <w:rPr>
          <w:rFonts w:ascii="Arial" w:cs="Arial" w:eastAsia="Arial" w:hAnsi="Arial"/>
          <w:sz w:val="22"/>
          <w:szCs w:val="22"/>
          <w:color w:val="auto"/>
        </w:rPr>
      </w:pPr>
      <w:r>
        <w:rPr>
          <w:rFonts w:ascii="Arial" w:cs="Arial" w:eastAsia="Arial" w:hAnsi="Arial"/>
          <w:sz w:val="22"/>
          <w:szCs w:val="22"/>
          <w:color w:val="auto"/>
        </w:rPr>
        <w:t>Within 30 days after the date of any payment of Taxes or Other Taxes for which the Borrower is responsible under this Section 2.13, the Borrower shall furnish to the Administrative Agent, at its address as specified pursuant to Section 8.02, the original or a certified copy of a receipt evidencing payment thereof.</w:t>
      </w:r>
    </w:p>
    <w:p>
      <w:pPr>
        <w:spacing w:after="0" w:line="213" w:lineRule="exact"/>
        <w:rPr>
          <w:rFonts w:ascii="Arial" w:cs="Arial" w:eastAsia="Arial" w:hAnsi="Arial"/>
          <w:sz w:val="22"/>
          <w:szCs w:val="22"/>
          <w:color w:val="auto"/>
        </w:rPr>
      </w:pPr>
    </w:p>
    <w:p>
      <w:pPr>
        <w:ind w:right="140" w:firstLine="656"/>
        <w:spacing w:after="0" w:line="269" w:lineRule="auto"/>
        <w:tabs>
          <w:tab w:leader="none" w:pos="1296"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2.13(f)</w:t>
      </w:r>
    </w:p>
    <w:p>
      <w:pPr>
        <w:spacing w:after="0" w:line="1" w:lineRule="exact"/>
        <w:rPr>
          <w:rFonts w:ascii="Arial" w:cs="Arial" w:eastAsia="Arial" w:hAnsi="Arial"/>
          <w:sz w:val="19"/>
          <w:szCs w:val="19"/>
          <w:color w:val="auto"/>
        </w:rPr>
      </w:pPr>
    </w:p>
    <w:p>
      <w:pPr>
        <w:ind w:right="100" w:firstLine="8"/>
        <w:spacing w:after="0" w:line="234" w:lineRule="auto"/>
        <w:tabs>
          <w:tab w:leader="none" w:pos="37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below) or the documentation set forth in Section 2.13(f)(ii)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14" w:lineRule="exact"/>
        <w:rPr>
          <w:rFonts w:ascii="Arial" w:cs="Arial" w:eastAsia="Arial" w:hAnsi="Arial"/>
          <w:sz w:val="22"/>
          <w:szCs w:val="22"/>
          <w:color w:val="auto"/>
        </w:rPr>
      </w:pPr>
    </w:p>
    <w:p>
      <w:pPr>
        <w:ind w:left="660" w:firstLine="645"/>
        <w:spacing w:after="0" w:line="249" w:lineRule="auto"/>
        <w:tabs>
          <w:tab w:leader="none" w:pos="2004" w:val="left"/>
        </w:tabs>
        <w:numPr>
          <w:ilvl w:val="2"/>
          <w:numId w:val="141"/>
        </w:numPr>
        <w:rPr>
          <w:rFonts w:ascii="Arial" w:cs="Arial" w:eastAsia="Arial" w:hAnsi="Arial"/>
          <w:sz w:val="21"/>
          <w:szCs w:val="21"/>
          <w:color w:val="auto"/>
        </w:rPr>
      </w:pPr>
      <w:r>
        <w:rPr>
          <w:rFonts w:ascii="Arial" w:cs="Arial" w:eastAsia="Arial" w:hAnsi="Arial"/>
          <w:sz w:val="21"/>
          <w:szCs w:val="21"/>
          <w:color w:val="auto"/>
        </w:rPr>
        <w:t>Without limiting the generality of the foregoing, any Foreign Lender, if it is legally entitled to do so,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205" w:lineRule="exact"/>
        <w:rPr>
          <w:rFonts w:ascii="Arial" w:cs="Arial" w:eastAsia="Arial" w:hAnsi="Arial"/>
          <w:sz w:val="21"/>
          <w:szCs w:val="21"/>
          <w:color w:val="auto"/>
        </w:rPr>
      </w:pPr>
    </w:p>
    <w:p>
      <w:pPr>
        <w:ind w:left="980" w:right="120" w:firstLine="973"/>
        <w:spacing w:after="0" w:line="251" w:lineRule="auto"/>
        <w:tabs>
          <w:tab w:leader="none" w:pos="2738" w:val="left"/>
        </w:tabs>
        <w:numPr>
          <w:ilvl w:val="3"/>
          <w:numId w:val="141"/>
        </w:numPr>
        <w:rPr>
          <w:rFonts w:ascii="Arial" w:cs="Arial" w:eastAsia="Arial" w:hAnsi="Arial"/>
          <w:sz w:val="22"/>
          <w:szCs w:val="22"/>
          <w:color w:val="auto"/>
        </w:rPr>
      </w:pPr>
      <w:r>
        <w:rPr>
          <w:rFonts w:ascii="Arial" w:cs="Arial" w:eastAsia="Arial" w:hAnsi="Arial"/>
          <w:sz w:val="22"/>
          <w:szCs w:val="22"/>
          <w:color w:val="auto"/>
        </w:rPr>
        <w:t>executed originals of IRS Form W-8BEN or IRS Form W-8BEN-E claiming eligibility for benefits of an income tax treaty to which the United States of America is a party;</w:t>
      </w:r>
    </w:p>
    <w:p>
      <w:pPr>
        <w:spacing w:after="0" w:line="200" w:lineRule="exact"/>
        <w:rPr>
          <w:rFonts w:ascii="Arial" w:cs="Arial" w:eastAsia="Arial" w:hAnsi="Arial"/>
          <w:sz w:val="22"/>
          <w:szCs w:val="22"/>
          <w:color w:val="auto"/>
        </w:rPr>
      </w:pPr>
    </w:p>
    <w:p>
      <w:pPr>
        <w:ind w:left="2720" w:hanging="767"/>
        <w:spacing w:after="0"/>
        <w:tabs>
          <w:tab w:leader="none" w:pos="2720" w:val="left"/>
        </w:tabs>
        <w:numPr>
          <w:ilvl w:val="3"/>
          <w:numId w:val="141"/>
        </w:numPr>
        <w:rPr>
          <w:rFonts w:ascii="Arial" w:cs="Arial" w:eastAsia="Arial" w:hAnsi="Arial"/>
          <w:sz w:val="22"/>
          <w:szCs w:val="22"/>
          <w:color w:val="auto"/>
        </w:rPr>
      </w:pPr>
      <w:r>
        <w:rPr>
          <w:rFonts w:ascii="Arial" w:cs="Arial" w:eastAsia="Arial" w:hAnsi="Arial"/>
          <w:sz w:val="22"/>
          <w:szCs w:val="22"/>
          <w:color w:val="auto"/>
        </w:rPr>
        <w:t>executed originals of IRS Form W-8ECI;</w:t>
      </w:r>
    </w:p>
    <w:p>
      <w:pPr>
        <w:spacing w:after="0" w:line="233" w:lineRule="exact"/>
        <w:rPr>
          <w:rFonts w:ascii="Arial" w:cs="Arial" w:eastAsia="Arial" w:hAnsi="Arial"/>
          <w:sz w:val="22"/>
          <w:szCs w:val="22"/>
          <w:color w:val="auto"/>
        </w:rPr>
      </w:pPr>
    </w:p>
    <w:p>
      <w:pPr>
        <w:ind w:left="980" w:right="160" w:firstLine="973"/>
        <w:spacing w:after="0" w:line="252" w:lineRule="auto"/>
        <w:tabs>
          <w:tab w:leader="none" w:pos="2727" w:val="left"/>
        </w:tabs>
        <w:numPr>
          <w:ilvl w:val="3"/>
          <w:numId w:val="141"/>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 881(c) of the Code, (1) a certificate to the effect that such Foreign Lender is not (A) a “bank” within the meaning of section 881(c)(3)(A) of the Code, (B) a “10 percent shareholder” of either Borrower within the meaning of section 881(c)(3) (B) of the Code, or (C) a “controlled foreign corporation” described in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8" w:right="259" w:bottom="331" w:gutter="0" w:footer="0" w:header="0"/>
        </w:sectPr>
      </w:pPr>
    </w:p>
    <w:bookmarkStart w:id="80" w:name="page81"/>
    <w:bookmarkEnd w:id="80"/>
    <w:p>
      <w:pPr>
        <w:ind w:left="980"/>
        <w:spacing w:after="0"/>
        <w:rPr>
          <w:sz w:val="20"/>
          <w:szCs w:val="20"/>
          <w:color w:val="auto"/>
        </w:rPr>
      </w:pPr>
      <w:r>
        <w:rPr>
          <w:rFonts w:ascii="Arial" w:cs="Arial" w:eastAsia="Arial" w:hAnsi="Arial"/>
          <w:sz w:val="21"/>
          <w:szCs w:val="21"/>
          <w:color w:val="auto"/>
        </w:rPr>
        <w:t>section 881(c)(3)(C) of the Code and (2) executed originals of IRS Form W-8BEN or IRS Form W-8BEN-E; or</w:t>
      </w:r>
    </w:p>
    <w:p>
      <w:pPr>
        <w:spacing w:after="0" w:line="245" w:lineRule="exact"/>
        <w:rPr>
          <w:sz w:val="20"/>
          <w:szCs w:val="20"/>
          <w:color w:val="auto"/>
        </w:rPr>
      </w:pPr>
    </w:p>
    <w:p>
      <w:pPr>
        <w:ind w:left="980" w:right="20" w:firstLine="973"/>
        <w:spacing w:after="0" w:line="248" w:lineRule="auto"/>
        <w:tabs>
          <w:tab w:leader="none" w:pos="2738"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to the extent a Foreign Lender is not the beneficial owner, executed originals of IRS Form W-8IMY, accompanied by IRS Form W-8ECI, IRS Form W-8BEN or IRS Form W-8BEN-E, a portfolio interest certificate in compliance with Section 2.13(f)(ii)(C)(1), IRS Form W-9, and/or other certification documents from each beneficial owner, as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Foreign Lender is a partnership and one or more partners of such Foreign Lender are claiming the portfolio interest exemption, such Foreign Lender may provide a certificate in compliance with Section 2.13(f)(ii)(C)(1) on behalf of such partner or partners.</w:t>
      </w:r>
    </w:p>
    <w:p>
      <w:pPr>
        <w:spacing w:after="0" w:line="204"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In addition,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12" w:lineRule="exact"/>
        <w:rPr>
          <w:sz w:val="20"/>
          <w:szCs w:val="20"/>
          <w:color w:val="auto"/>
        </w:rPr>
      </w:pPr>
    </w:p>
    <w:p>
      <w:pPr>
        <w:ind w:left="660" w:right="40" w:firstLine="320"/>
        <w:spacing w:after="0" w:line="273" w:lineRule="auto"/>
        <w:tabs>
          <w:tab w:leader="none" w:pos="201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or the Administrative Agent to comply with its obligations under FATCA, to determine that such Lender has complied with such Lender’s obligations under FATCA or to determine the amount to deduct and withhold from such payment. Solely for the purposes of this clause 2.13(f)(iii), “FATCA” shall include any amendments made to FATCA after the date of this Agreement.</w:t>
      </w:r>
    </w:p>
    <w:p>
      <w:pPr>
        <w:spacing w:after="0" w:line="18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213" w:lineRule="exact"/>
        <w:rPr>
          <w:sz w:val="20"/>
          <w:szCs w:val="20"/>
          <w:color w:val="auto"/>
        </w:rPr>
      </w:pPr>
    </w:p>
    <w:p>
      <w:pPr>
        <w:jc w:val="both"/>
        <w:ind w:right="40" w:firstLine="656"/>
        <w:spacing w:after="0" w:line="236" w:lineRule="auto"/>
        <w:tabs>
          <w:tab w:leader="none" w:pos="117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In the event that an additional payment is made under Section 2.13(a) or 2.13(c) for the account of any Lender and such Lender, in its sole discretion exercised in good faith, determines that it has irrevocably received a refund of any tax paid or payable by it in respect of or calculated with reference to the deduction or withholding giving rise to such additional payment, such Lender shall, to the extent that it determines that it can do so without prejudice to the retention of the amount of such refund, pay to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Borrower such amount as such Lender shall, in its reasonable discretion exercised in good faith, have determined is attributable to such deduction or withholding and will leave such Lender (after such payment) in no worse position than it would have been had the Borrower not been required to make such deduction or withholding. Nothing contained in this Section 2.13(g) shall (i) interfere with the right of a Lender to arrange its tax affairs in whatever manner it thinks fit or (ii) oblige any Lender to disclose any information relating to its tax returns, tax affairs or any computations in respect thereof or (iii) require any Lender to take or refrain from taking any action that would prejudice its ability to benefit from any other credits, reliefs, remissions or repayments to which it may be entitled.</w:t>
      </w:r>
    </w:p>
    <w:p>
      <w:pPr>
        <w:spacing w:after="0" w:line="218" w:lineRule="exact"/>
        <w:rPr>
          <w:sz w:val="20"/>
          <w:szCs w:val="20"/>
          <w:color w:val="auto"/>
        </w:rPr>
      </w:pPr>
    </w:p>
    <w:p>
      <w:pPr>
        <w:ind w:right="360" w:firstLine="656"/>
        <w:spacing w:after="0"/>
        <w:tabs>
          <w:tab w:leader="none" w:pos="117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Each party’s obligations under this Section 2.13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213" w:lineRule="exact"/>
        <w:rPr>
          <w:rFonts w:ascii="Arial" w:cs="Arial" w:eastAsia="Arial" w:hAnsi="Arial"/>
          <w:sz w:val="22"/>
          <w:szCs w:val="22"/>
          <w:color w:val="auto"/>
        </w:rPr>
      </w:pPr>
    </w:p>
    <w:p>
      <w:pPr>
        <w:ind w:left="1180" w:hanging="524"/>
        <w:spacing w:after="0"/>
        <w:tabs>
          <w:tab w:leader="none" w:pos="118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For purposes of this Section 2.13, the term “applicable law” includes FATCA.</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i w:val="1"/>
          <w:iCs w:val="1"/>
          <w:color w:val="auto"/>
        </w:rPr>
        <w:t>Sharing of Payments, Etc</w:t>
      </w:r>
      <w:r>
        <w:rPr>
          <w:rFonts w:ascii="Arial" w:cs="Arial" w:eastAsia="Arial" w:hAnsi="Arial"/>
          <w:sz w:val="19"/>
          <w:szCs w:val="19"/>
          <w:color w:val="auto"/>
        </w:rPr>
        <w:t xml:space="preserve">. Subject to Section 2.17 in the case of a Defaulting Lender, if any Lender shall obtain any payment (whether voluntary, involuntary, through the exercise of any right of setoff, or otherwise) on account of the Advances owing to it (other than pursuant to Section 2.02(c), Section 2.06(c), Section 2.10, 2.11(a), or 8.04(c))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(a) the amount of such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2.14 may, to the fullest extent permitted by law, exercise all its rights of payment (including the right of setoff) with respect to such participation as fully as if such Lender were the direct creditor of the Borrower in the amount of such participation. The provisions of this Section 2.14 shall not be construed to apply to (A) any payment made by the Borrower pursuant to and in accordance with</w:t>
      </w:r>
    </w:p>
    <w:p>
      <w:pPr>
        <w:sectPr>
          <w:pgSz w:w="11900" w:h="16838" w:orient="portrait"/>
          <w:cols w:equalWidth="0" w:num="1">
            <w:col w:w="11400"/>
          </w:cols>
          <w:pgMar w:left="240" w:top="118" w:right="259" w:bottom="0" w:gutter="0" w:footer="0" w:header="0"/>
        </w:sectPr>
      </w:pPr>
    </w:p>
    <w:bookmarkStart w:id="81" w:name="page82"/>
    <w:bookmarkEnd w:id="81"/>
    <w:p>
      <w:pPr>
        <w:spacing w:after="0" w:line="92"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the express terms of this Agreement as in effect from time to time or (B) any payment obtained by a Lender as consideration for the assignment of or sale of a participation in any of its Advances to any assignee or participant permitted hereunder.</w:t>
      </w:r>
    </w:p>
    <w:p>
      <w:pPr>
        <w:spacing w:after="0" w:line="131"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i w:val="1"/>
          <w:iCs w:val="1"/>
          <w:color w:val="auto"/>
        </w:rPr>
        <w:t>Use of Proceeds</w:t>
      </w:r>
      <w:r>
        <w:rPr>
          <w:rFonts w:ascii="Arial" w:cs="Arial" w:eastAsia="Arial" w:hAnsi="Arial"/>
          <w:sz w:val="22"/>
          <w:szCs w:val="22"/>
          <w:color w:val="auto"/>
        </w:rPr>
        <w:t>. The proceeds of the Advances shall be available, and the Borrower agrees that it shall apply such proceeds, for general corporate purposes of the Borrower and its Subsidiaries, including to finance the repayment of indebtedness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and share repurchases and to pay fees and expenses incurred in connection therewith and with the Transactions.</w:t>
      </w:r>
    </w:p>
    <w:p>
      <w:pPr>
        <w:spacing w:after="0" w:line="23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i w:val="1"/>
          <w:iCs w:val="1"/>
          <w:color w:val="auto"/>
        </w:rPr>
        <w:t>Evidence of Debt</w:t>
      </w:r>
      <w:r>
        <w:rPr>
          <w:rFonts w:ascii="Arial" w:cs="Arial" w:eastAsia="Arial" w:hAnsi="Arial"/>
          <w:sz w:val="22"/>
          <w:szCs w:val="22"/>
          <w:color w:val="auto"/>
        </w:rPr>
        <w:t>. (a) The Register maintained by the Administrative Agent pursuant to Section 8.07(d) shall include (i) the date and amount of each Borrowing made hereunder by the Borrower, the Type of Advances comprising such Borrowing and, if appropriate, the Interest Period applicable thereto, (ii) the terms of each Assignment and Acceptance delivered to and accepted by it, (iii) the amount of any principal or interest due and payable or to become due and payable from the Borrower to each Lender hereunder and (iv) the amount of any sum received by the Administrative Agent from the Borrower hereunder and each Lender’s share thereof.</w:t>
      </w:r>
    </w:p>
    <w:p>
      <w:pPr>
        <w:spacing w:after="0" w:line="215" w:lineRule="exact"/>
        <w:rPr>
          <w:sz w:val="20"/>
          <w:szCs w:val="20"/>
          <w:color w:val="auto"/>
        </w:rPr>
      </w:pPr>
    </w:p>
    <w:p>
      <w:pPr>
        <w:ind w:left="1180" w:hanging="524"/>
        <w:spacing w:after="0"/>
        <w:tabs>
          <w:tab w:leader="none" w:pos="1180" w:val="left"/>
        </w:tabs>
        <w:numPr>
          <w:ilvl w:val="1"/>
          <w:numId w:val="146"/>
        </w:numPr>
        <w:rPr>
          <w:rFonts w:ascii="Arial" w:cs="Arial" w:eastAsia="Arial" w:hAnsi="Arial"/>
          <w:sz w:val="21"/>
          <w:szCs w:val="21"/>
          <w:color w:val="auto"/>
        </w:rPr>
      </w:pPr>
      <w:r>
        <w:rPr>
          <w:rFonts w:ascii="Arial" w:cs="Arial" w:eastAsia="Arial" w:hAnsi="Arial"/>
          <w:sz w:val="21"/>
          <w:szCs w:val="21"/>
          <w:color w:val="auto"/>
        </w:rPr>
        <w:t>Entries made reasonably and in good faith by the Administrative Agent in the Register pursuant to subsection</w:t>
      </w:r>
    </w:p>
    <w:p>
      <w:pPr>
        <w:spacing w:after="0" w:line="19" w:lineRule="exact"/>
        <w:rPr>
          <w:rFonts w:ascii="Arial" w:cs="Arial" w:eastAsia="Arial" w:hAnsi="Arial"/>
          <w:sz w:val="21"/>
          <w:szCs w:val="21"/>
          <w:color w:val="auto"/>
        </w:rPr>
      </w:pPr>
    </w:p>
    <w:p>
      <w:pPr>
        <w:jc w:val="both"/>
        <w:ind w:right="80" w:firstLine="8"/>
        <w:spacing w:after="0" w:line="246" w:lineRule="auto"/>
        <w:tabs>
          <w:tab w:leader="none" w:pos="294"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above shall be prima facie evidence of the amount of principal and interest due and payable or to become due and payable from the Borrower to each Lender under this Agreement, absent manifest error;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failure of the Administrative Agent to make an entry, or any finding that an entry is incorrect, in the Register or such account or accounts shall not limit, expand or otherwise affect the obligations of the Borrower under this Agreement.</w:t>
      </w:r>
    </w:p>
    <w:p>
      <w:pPr>
        <w:spacing w:after="0" w:line="207"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i w:val="1"/>
          <w:iCs w:val="1"/>
          <w:color w:val="auto"/>
        </w:rPr>
        <w:t>Defaulting Lenders</w:t>
      </w:r>
      <w:r>
        <w:rPr>
          <w:rFonts w:ascii="Arial" w:cs="Arial" w:eastAsia="Arial" w:hAnsi="Arial"/>
          <w:sz w:val="22"/>
          <w:szCs w:val="22"/>
          <w:color w:val="auto"/>
        </w:rPr>
        <w:t>. (a) Notwithstanding any provision of this Agreement to the contrary, if any Lender becomes a Defaulting Lender, then the following provisions shall apply for so long as such Lender is a Defaulting Lender (it being understood that the determination of whether a Lender is no longer a Defaulting Lender shall be made as described in Section 2.17(b)):</w:t>
      </w:r>
    </w:p>
    <w:p>
      <w:pPr>
        <w:spacing w:after="0" w:line="212" w:lineRule="exact"/>
        <w:rPr>
          <w:sz w:val="20"/>
          <w:szCs w:val="20"/>
          <w:color w:val="auto"/>
        </w:rPr>
      </w:pPr>
    </w:p>
    <w:p>
      <w:pPr>
        <w:ind w:left="660" w:right="100" w:firstLine="645"/>
        <w:spacing w:after="0" w:line="274" w:lineRule="auto"/>
        <w:tabs>
          <w:tab w:leader="none" w:pos="199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applicable law, such Lender will not be entitled to vote in respect of amendments and waivers hereunder, and the Commitment and the outstanding Advances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185" w:lineRule="exact"/>
        <w:rPr>
          <w:rFonts w:ascii="Arial" w:cs="Arial" w:eastAsia="Arial" w:hAnsi="Arial"/>
          <w:sz w:val="19"/>
          <w:szCs w:val="19"/>
          <w:color w:val="auto"/>
        </w:rPr>
      </w:pPr>
    </w:p>
    <w:p>
      <w:pPr>
        <w:ind w:left="660" w:right="260" w:firstLine="645"/>
        <w:spacing w:after="0" w:line="251" w:lineRule="auto"/>
        <w:tabs>
          <w:tab w:leader="none" w:pos="200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Borrower may, at its sole expense and effort, require such Defaulting Lender to assign and delegate its interests, rights and obligations under this Agreement pursuant to Section 8.07.</w:t>
      </w:r>
    </w:p>
    <w:p>
      <w:pPr>
        <w:spacing w:after="0" w:line="200" w:lineRule="exact"/>
        <w:rPr>
          <w:sz w:val="20"/>
          <w:szCs w:val="20"/>
          <w:color w:val="auto"/>
        </w:rPr>
      </w:pPr>
    </w:p>
    <w:p>
      <w:pPr>
        <w:ind w:right="860" w:firstLine="656"/>
        <w:spacing w:after="0" w:line="251" w:lineRule="auto"/>
        <w:tabs>
          <w:tab w:leader="none" w:pos="117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If the Borrower and the Administrative Agent agree in writing in their discretion that a Lender is no longer a Defaulting Lender, the Administrative Agent will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 xml:space="preserve">so notify the parties hereto, whereupon as of the effective date specified in such notice and subject to any conditions set forth therein, such Lender will cease to be a Defaulting Lender and will be a Non-Defaulting Lender;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204" w:lineRule="exact"/>
        <w:rPr>
          <w:sz w:val="20"/>
          <w:szCs w:val="20"/>
          <w:color w:val="auto"/>
        </w:rPr>
      </w:pPr>
    </w:p>
    <w:p>
      <w:pPr>
        <w:ind w:right="40" w:firstLine="656"/>
        <w:spacing w:after="0" w:line="273" w:lineRule="auto"/>
        <w:tabs>
          <w:tab w:leader="none" w:pos="121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hereunder for the account of such Defaulting Lender (whether voluntary or mandatory, at maturity, pursuant to Section 6.01 or otherwise) or received by the Administrative Agent from a Defaulting Lender pursuant to Section 8.05 shall be applied at such time or times as follows: </w:t>
      </w:r>
      <w:r>
        <w:rPr>
          <w:rFonts w:ascii="Arial" w:cs="Arial" w:eastAsia="Arial" w:hAnsi="Arial"/>
          <w:sz w:val="19"/>
          <w:szCs w:val="19"/>
          <w:i w:val="1"/>
          <w:iCs w:val="1"/>
          <w:color w:val="auto"/>
        </w:rPr>
        <w:t>first</w:t>
      </w:r>
      <w:r>
        <w:rPr>
          <w:rFonts w:ascii="Arial" w:cs="Arial" w:eastAsia="Arial" w:hAnsi="Arial"/>
          <w:sz w:val="19"/>
          <w:szCs w:val="19"/>
          <w:color w:val="auto"/>
        </w:rPr>
        <w:t>, to the payment of any amounts owing by such Defaulting Lender to the Administrative Agent hereunder;</w:t>
      </w:r>
      <w:r>
        <w:rPr>
          <w:rFonts w:ascii="Arial" w:cs="Arial" w:eastAsia="Arial" w:hAnsi="Arial"/>
          <w:sz w:val="19"/>
          <w:szCs w:val="19"/>
          <w:i w:val="1"/>
          <w:iCs w:val="1"/>
          <w:color w:val="auto"/>
        </w:rPr>
        <w:t xml:space="preserve"> second </w:t>
      </w:r>
      <w:r>
        <w:rPr>
          <w:rFonts w:ascii="Arial" w:cs="Arial" w:eastAsia="Arial" w:hAnsi="Arial"/>
          <w:sz w:val="19"/>
          <w:szCs w:val="19"/>
          <w:color w:val="auto"/>
        </w:rPr>
        <w:t>as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Borrower may request (so long as no Default or Event of Default exists), to the funding of any Advance in respect of which such Defaulting Lender has failed to fund its portion thereof as required by this Agreement, as reasonably determined by the Administrative Agent; </w:t>
      </w:r>
      <w:r>
        <w:rPr>
          <w:rFonts w:ascii="Arial" w:cs="Arial" w:eastAsia="Arial" w:hAnsi="Arial"/>
          <w:sz w:val="19"/>
          <w:szCs w:val="19"/>
          <w:i w:val="1"/>
          <w:iCs w:val="1"/>
          <w:color w:val="auto"/>
        </w:rPr>
        <w:t>third</w:t>
      </w:r>
      <w:r>
        <w:rPr>
          <w:rFonts w:ascii="Arial" w:cs="Arial" w:eastAsia="Arial" w:hAnsi="Arial"/>
          <w:sz w:val="19"/>
          <w:szCs w:val="19"/>
          <w:color w:val="auto"/>
        </w:rPr>
        <w:t xml:space="preserve">, as the Borrower may request, to be held in a deposit account and released pro rata in order to satisfy such Defaulting Lender’s potential future funding obligations with respect to Advances under this Agreement;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9"/>
          <w:szCs w:val="19"/>
          <w:i w:val="1"/>
          <w:iCs w:val="1"/>
          <w:color w:val="auto"/>
        </w:rPr>
        <w:t>fifth</w:t>
      </w:r>
      <w:r>
        <w:rPr>
          <w:rFonts w:ascii="Arial" w:cs="Arial" w:eastAsia="Arial" w:hAnsi="Arial"/>
          <w:sz w:val="19"/>
          <w:szCs w:val="19"/>
          <w:color w:val="auto"/>
        </w:rPr>
        <w:t>,</w:t>
      </w:r>
    </w:p>
    <w:p>
      <w:pPr>
        <w:sectPr>
          <w:pgSz w:w="11900" w:h="16930" w:orient="portrait"/>
          <w:cols w:equalWidth="0" w:num="1">
            <w:col w:w="11420"/>
          </w:cols>
          <w:pgMar w:left="240" w:top="118" w:right="239" w:bottom="0" w:gutter="0" w:footer="0" w:header="0"/>
        </w:sectPr>
      </w:pPr>
    </w:p>
    <w:bookmarkStart w:id="82" w:name="page83"/>
    <w:bookmarkEnd w:id="82"/>
    <w:p>
      <w:pPr>
        <w:ind w:right="120"/>
        <w:spacing w:after="0" w:line="235" w:lineRule="auto"/>
        <w:rPr>
          <w:sz w:val="20"/>
          <w:szCs w:val="20"/>
          <w:color w:val="auto"/>
        </w:rPr>
      </w:pPr>
      <w:r>
        <w:rPr>
          <w:rFonts w:ascii="Arial" w:cs="Arial" w:eastAsia="Arial" w:hAnsi="Arial"/>
          <w:sz w:val="22"/>
          <w:szCs w:val="22"/>
          <w:color w:val="auto"/>
        </w:rPr>
        <w:t xml:space="preserve">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22"/>
          <w:szCs w:val="22"/>
          <w:i w:val="1"/>
          <w:iCs w:val="1"/>
          <w:color w:val="auto"/>
        </w:rPr>
        <w:t>sixth</w:t>
      </w:r>
      <w:r>
        <w:rPr>
          <w:rFonts w:ascii="Arial" w:cs="Arial" w:eastAsia="Arial" w:hAnsi="Arial"/>
          <w:sz w:val="22"/>
          <w:szCs w:val="22"/>
          <w:color w:val="auto"/>
        </w:rPr>
        <w:t>, to such Defaulting Lender or as otherwise directed by a court of competent jurisdiction. Any payments, prepayments or other amounts paid or payable to a Defaulting Lender that are applied (or held) to pay amounts owed by a Defaulting Lender or otherwise pursuant to this Section 2.17(c) shall be deemed paid to and redirected by such Defaulting Lender, and each Lender irrevocably consents hereto.</w:t>
      </w:r>
    </w:p>
    <w:p>
      <w:pPr>
        <w:spacing w:after="0" w:line="216"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i w:val="1"/>
          <w:iCs w:val="1"/>
          <w:color w:val="auto"/>
        </w:rPr>
        <w:t>Mitigation</w:t>
      </w:r>
      <w:r>
        <w:rPr>
          <w:rFonts w:ascii="Arial" w:cs="Arial" w:eastAsia="Arial" w:hAnsi="Arial"/>
          <w:sz w:val="19"/>
          <w:szCs w:val="19"/>
          <w:color w:val="auto"/>
        </w:rPr>
        <w:t>. (a) Each Lender shall promptly notify the Borrower and the Administrative Agent of any event of which it has knowledge that will result in, and will use reasonable commercial efforts available to it (and not, in such Lender’s good faith judgment, otherwise disadvantageous to such Lender) to mitigate or avoid, (i) any obligation by the Borrower to pay any amount pursuant to Section 2.10 or 2.13 or (ii) the occurrence of any circumstance described in Section 2.11 (and, if any Lender has given notice of any such event described in clause (i) or (ii) above and thereafter such event ceases to exist, such Lender shall promptly so notify the Borrower and the Administrative Agent). In furtherance of the foregoing, each Lender will designate a different funding office if such designation will avoid (or reduce the cost to the Borrower of) any event described in clause (i) or</w:t>
      </w:r>
    </w:p>
    <w:p>
      <w:pPr>
        <w:spacing w:after="0" w:line="5" w:lineRule="exact"/>
        <w:rPr>
          <w:sz w:val="20"/>
          <w:szCs w:val="20"/>
          <w:color w:val="auto"/>
        </w:rPr>
      </w:pPr>
    </w:p>
    <w:p>
      <w:pPr>
        <w:ind w:right="20" w:firstLine="8"/>
        <w:spacing w:after="0" w:line="237" w:lineRule="auto"/>
        <w:tabs>
          <w:tab w:leader="none" w:pos="31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of the preceding sentence and such designation will not, in such Lender’s good faith judgment, be otherwise disadvantageous to such Lender.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20" w:firstLine="656"/>
        <w:spacing w:after="0" w:line="236" w:lineRule="auto"/>
        <w:tabs>
          <w:tab w:leader="none" w:pos="133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if any Lender fails to notify the Borrower of any event or circumstance which will entitle such Lender to compensation pursuant to Section 2.10 within 180 days after such Lender obtains knowledge of such event or circumstance, then such Lender shall not be entitled to compensation from the Borrower for any amount arising prior to the date which is 180 days before the date on which such Lender notifies the Borrower of such event or circumstance.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3</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CONDITIONS TO EFFECTIVENESS AND LENDING</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i w:val="1"/>
          <w:iCs w:val="1"/>
          <w:color w:val="auto"/>
        </w:rPr>
        <w:t>Conditions Precedent to Effective Date</w:t>
      </w:r>
      <w:r>
        <w:rPr>
          <w:rFonts w:ascii="Arial" w:cs="Arial" w:eastAsia="Arial" w:hAnsi="Arial"/>
          <w:sz w:val="21"/>
          <w:szCs w:val="21"/>
          <w:color w:val="auto"/>
        </w:rPr>
        <w:t>. This Agreement shall become effective on and as of the first date on which the following conditions precedent have been satisfied (or waived in accordance with Section 8.01):</w:t>
      </w:r>
    </w:p>
    <w:p>
      <w:pPr>
        <w:spacing w:after="0" w:line="178" w:lineRule="exact"/>
        <w:rPr>
          <w:sz w:val="20"/>
          <w:szCs w:val="20"/>
          <w:color w:val="auto"/>
        </w:rPr>
      </w:pPr>
    </w:p>
    <w:p>
      <w:pPr>
        <w:ind w:right="240" w:firstLine="656"/>
        <w:spacing w:after="0" w:line="238" w:lineRule="auto"/>
        <w:tabs>
          <w:tab w:leader="none" w:pos="121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 each party hereto either (i) a counterpart of this Agreement and the other Loan Documents signed on behalf of such party or (ii) written evidence reasonably satisfactory to the Administrative Agent (which may include .pdf or facsimile transmission of a signed signature page of this Agreement) that such party has signed a counterpart of this Agreement.</w:t>
      </w:r>
    </w:p>
    <w:p>
      <w:pPr>
        <w:spacing w:after="0" w:line="212" w:lineRule="exact"/>
        <w:rPr>
          <w:rFonts w:ascii="Arial" w:cs="Arial" w:eastAsia="Arial" w:hAnsi="Arial"/>
          <w:sz w:val="22"/>
          <w:szCs w:val="22"/>
          <w:color w:val="auto"/>
        </w:rPr>
      </w:pPr>
    </w:p>
    <w:p>
      <w:pPr>
        <w:ind w:right="120" w:firstLine="656"/>
        <w:spacing w:after="0" w:line="238" w:lineRule="auto"/>
        <w:tabs>
          <w:tab w:leader="none" w:pos="117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All fees and other amounts then due and payable by the Consolidated Group to the Administrative Agent, the Arranger and the Lenders under the Loan Documents or pursuant to any fee or similar letters relating to the Loan Documents shall be paid, to the extent invoiced by the relevant person at least one Business Day prior to the Effective Date and to the extent such amounts are payable on or prior to the Effective Date.</w:t>
      </w:r>
    </w:p>
    <w:p>
      <w:pPr>
        <w:spacing w:after="0" w:line="212" w:lineRule="exact"/>
        <w:rPr>
          <w:rFonts w:ascii="Arial" w:cs="Arial" w:eastAsia="Arial" w:hAnsi="Arial"/>
          <w:sz w:val="22"/>
          <w:szCs w:val="22"/>
          <w:color w:val="auto"/>
        </w:rPr>
      </w:pPr>
    </w:p>
    <w:p>
      <w:pPr>
        <w:ind w:left="1220" w:hanging="564"/>
        <w:spacing w:after="0"/>
        <w:tabs>
          <w:tab w:leader="none" w:pos="122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Administrative Agent shall have received on or before the Effective Date, each dated on or, as applicable, prior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such date:</w:t>
      </w:r>
    </w:p>
    <w:p>
      <w:pPr>
        <w:spacing w:after="0" w:line="215" w:lineRule="exact"/>
        <w:rPr>
          <w:rFonts w:ascii="Arial" w:cs="Arial" w:eastAsia="Arial" w:hAnsi="Arial"/>
          <w:sz w:val="19"/>
          <w:szCs w:val="19"/>
          <w:color w:val="auto"/>
        </w:rPr>
      </w:pPr>
    </w:p>
    <w:p>
      <w:pPr>
        <w:ind w:left="660" w:right="60" w:firstLine="645"/>
        <w:spacing w:after="0"/>
        <w:tabs>
          <w:tab w:leader="none" w:pos="199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Certified copies of the resolutions or similar authorizing documentation of the governing body of the Borrower authorizing the Transactions and such Person to enter into and perform its obligations under the Loan Documents to which it is a party;</w:t>
      </w:r>
    </w:p>
    <w:p>
      <w:pPr>
        <w:spacing w:after="0" w:line="213" w:lineRule="exact"/>
        <w:rPr>
          <w:rFonts w:ascii="Arial" w:cs="Arial" w:eastAsia="Arial" w:hAnsi="Arial"/>
          <w:sz w:val="22"/>
          <w:szCs w:val="22"/>
          <w:color w:val="auto"/>
        </w:rPr>
      </w:pPr>
    </w:p>
    <w:p>
      <w:pPr>
        <w:ind w:left="660" w:right="40" w:firstLine="645"/>
        <w:spacing w:after="0" w:line="251" w:lineRule="auto"/>
        <w:tabs>
          <w:tab w:leader="none" w:pos="200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good standing certificate or similar certificate dated a date reasonably close to the Effective Date from the jurisdiction of organization of the Borrower;</w:t>
      </w:r>
    </w:p>
    <w:p>
      <w:pPr>
        <w:spacing w:after="0" w:line="200" w:lineRule="exact"/>
        <w:rPr>
          <w:rFonts w:ascii="Arial" w:cs="Arial" w:eastAsia="Arial" w:hAnsi="Arial"/>
          <w:sz w:val="22"/>
          <w:szCs w:val="22"/>
          <w:color w:val="auto"/>
        </w:rPr>
      </w:pPr>
    </w:p>
    <w:p>
      <w:pPr>
        <w:ind w:left="660" w:right="40" w:firstLine="645"/>
        <w:spacing w:after="0" w:line="251" w:lineRule="auto"/>
        <w:tabs>
          <w:tab w:leader="none" w:pos="201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customary certificate of the Borrower certifying the names and true signatures of its officers authorized to sign this Agreement and the other documents to be delivered by it hereunder; and</w:t>
      </w:r>
    </w:p>
    <w:p>
      <w:pPr>
        <w:spacing w:after="0" w:line="200" w:lineRule="exact"/>
        <w:rPr>
          <w:rFonts w:ascii="Arial" w:cs="Arial" w:eastAsia="Arial" w:hAnsi="Arial"/>
          <w:sz w:val="22"/>
          <w:szCs w:val="22"/>
          <w:color w:val="auto"/>
        </w:rPr>
      </w:pPr>
    </w:p>
    <w:p>
      <w:pPr>
        <w:ind w:left="660" w:right="100" w:firstLine="645"/>
        <w:spacing w:after="0" w:line="251" w:lineRule="auto"/>
        <w:tabs>
          <w:tab w:leader="none" w:pos="199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favorable opinion letter of Wachtell, Lipton, Rosen &amp; Katz in form and substance reasonably satisfactory to the Administrative Agent.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656"/>
        <w:spacing w:after="0" w:line="238" w:lineRule="auto"/>
        <w:tabs>
          <w:tab w:leader="none" w:pos="117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Administrative Agent shall have received, at least 3 Business Days prior to the Effective Date, so long as requested no less than 10 Business Days prior to the Effective Date, all documentation and other information required by regulatory authorities under applicable “know your customer” and anti-money laundering rules and regulations, including the Patriot Act, in each case relating to the Borrower.</w:t>
      </w:r>
    </w:p>
    <w:p>
      <w:pPr>
        <w:sectPr>
          <w:pgSz w:w="11900" w:h="16838" w:orient="portrait"/>
          <w:cols w:equalWidth="0" w:num="1">
            <w:col w:w="11400"/>
          </w:cols>
          <w:pgMar w:left="240" w:top="118" w:right="259" w:bottom="0" w:gutter="0" w:footer="0" w:header="0"/>
        </w:sectPr>
      </w:pPr>
    </w:p>
    <w:bookmarkStart w:id="83" w:name="page84"/>
    <w:bookmarkEnd w:id="83"/>
    <w:p>
      <w:pPr>
        <w:ind w:right="60" w:firstLine="656"/>
        <w:spacing w:after="0" w:line="252" w:lineRule="auto"/>
        <w:tabs>
          <w:tab w:leader="none" w:pos="1212" w:val="left"/>
        </w:tabs>
        <w:numPr>
          <w:ilvl w:val="0"/>
          <w:numId w:val="155"/>
        </w:numPr>
        <w:rPr>
          <w:rFonts w:ascii="Arial" w:cs="Arial" w:eastAsia="Arial" w:hAnsi="Arial"/>
          <w:sz w:val="21"/>
          <w:szCs w:val="21"/>
          <w:color w:val="auto"/>
        </w:rPr>
      </w:pPr>
      <w:r>
        <w:rPr>
          <w:rFonts w:ascii="Arial" w:cs="Arial" w:eastAsia="Arial" w:hAnsi="Arial"/>
          <w:sz w:val="21"/>
          <w:szCs w:val="21"/>
          <w:color w:val="auto"/>
        </w:rPr>
        <w:t>Since December 31, 2017, except to the extent disclosed in any Annual Report on Form 10-K, Quarterly Report on Form 10-Q or Current Report on Form 8-K, in each case filed by the Borrower with the Securities and Exchange Commission after such date and on or prior to the Effective Date, there shall not have occurred any event or condition that has had or would reasonably be expected to have, either individually or in the aggregate, a Material Adverse Effect.</w:t>
      </w:r>
    </w:p>
    <w:p>
      <w:pPr>
        <w:spacing w:after="0" w:line="201" w:lineRule="exact"/>
        <w:rPr>
          <w:sz w:val="20"/>
          <w:szCs w:val="20"/>
          <w:color w:val="auto"/>
        </w:rPr>
      </w:pPr>
    </w:p>
    <w:p>
      <w:pPr>
        <w:ind w:right="140" w:firstLine="648"/>
        <w:spacing w:after="0" w:line="328" w:lineRule="auto"/>
        <w:rPr>
          <w:sz w:val="20"/>
          <w:szCs w:val="20"/>
          <w:color w:val="auto"/>
        </w:rPr>
      </w:pPr>
      <w:r>
        <w:rPr>
          <w:rFonts w:ascii="Arial" w:cs="Arial" w:eastAsia="Arial" w:hAnsi="Arial"/>
          <w:sz w:val="19"/>
          <w:szCs w:val="19"/>
          <w:color w:val="auto"/>
        </w:rPr>
        <w:t>The Administrative Agent shall notify the Borrower and the Lenders of the Effective Date in writing promptly upon such conditions precedent being satisfied (or waived in accordance with Section 8.01), and such notice shall be conclusive and binding.</w:t>
      </w:r>
    </w:p>
    <w:p>
      <w:pPr>
        <w:spacing w:after="0" w:line="132" w:lineRule="exact"/>
        <w:rPr>
          <w:sz w:val="20"/>
          <w:szCs w:val="20"/>
          <w:color w:val="auto"/>
        </w:rPr>
      </w:pPr>
    </w:p>
    <w:p>
      <w:pPr>
        <w:ind w:right="260" w:firstLine="648"/>
        <w:spacing w:after="0" w:line="274"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i w:val="1"/>
          <w:iCs w:val="1"/>
          <w:color w:val="auto"/>
        </w:rPr>
        <w:t>Conditions Precedent to Closing Date</w:t>
      </w:r>
      <w:r>
        <w:rPr>
          <w:rFonts w:ascii="Arial" w:cs="Arial" w:eastAsia="Arial" w:hAnsi="Arial"/>
          <w:sz w:val="21"/>
          <w:szCs w:val="21"/>
          <w:color w:val="auto"/>
        </w:rPr>
        <w:t>. The obligation of each Lender to make an Advance on the Closing Date is subject to the satisfaction (or waiver in accordance with Section 8.01) of solely the following conditions:</w:t>
      </w:r>
    </w:p>
    <w:p>
      <w:pPr>
        <w:spacing w:after="0" w:line="178" w:lineRule="exact"/>
        <w:rPr>
          <w:sz w:val="20"/>
          <w:szCs w:val="20"/>
          <w:color w:val="auto"/>
        </w:rPr>
      </w:pPr>
    </w:p>
    <w:p>
      <w:pPr>
        <w:ind w:left="1220" w:hanging="564"/>
        <w:spacing w:after="0"/>
        <w:tabs>
          <w:tab w:leader="none" w:pos="12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Effective Date shall have occurred.</w:t>
      </w:r>
    </w:p>
    <w:p>
      <w:pPr>
        <w:spacing w:after="0" w:line="233" w:lineRule="exact"/>
        <w:rPr>
          <w:rFonts w:ascii="Arial" w:cs="Arial" w:eastAsia="Arial" w:hAnsi="Arial"/>
          <w:sz w:val="22"/>
          <w:szCs w:val="22"/>
          <w:color w:val="auto"/>
        </w:rPr>
      </w:pPr>
    </w:p>
    <w:p>
      <w:pPr>
        <w:ind w:right="20" w:firstLine="656"/>
        <w:spacing w:after="0" w:line="275" w:lineRule="auto"/>
        <w:tabs>
          <w:tab w:leader="none" w:pos="117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On the Closing Date, (x) no Default is continuing or would result from the proposed Borrowing and (y) each of the representations and warranties set forth in Section 4.01 (other than the representations and warranties set forth in Section 4.01(f)) are true and correct in all material respects (except to the extent such representations and warranties are qualified with “materiality” or “Material Adverse Effect” or similar terms, in which case such representations and warranties shall be true and correct in all respects) as of the Closing Date, except to the extent any such representation or warranty is stated to relate solely to an earlier date, in which case such representation or warranty shall have been true and correct in all material respects (except to the extent such representations and warranties are qualified with “materiality” or “Material Adverse Effect” or similar terms, in which case such representations and warranties shall be true and correct in all respects) on and as of such earlier date.</w:t>
      </w:r>
    </w:p>
    <w:p>
      <w:pPr>
        <w:spacing w:after="0" w:line="185" w:lineRule="exact"/>
        <w:rPr>
          <w:rFonts w:ascii="Arial" w:cs="Arial" w:eastAsia="Arial" w:hAnsi="Arial"/>
          <w:sz w:val="19"/>
          <w:szCs w:val="19"/>
          <w:color w:val="auto"/>
        </w:rPr>
      </w:pPr>
    </w:p>
    <w:p>
      <w:pPr>
        <w:jc w:val="both"/>
        <w:ind w:right="120" w:firstLine="656"/>
        <w:spacing w:after="0" w:line="238" w:lineRule="auto"/>
        <w:tabs>
          <w:tab w:leader="none" w:pos="1212"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All fees and other amounts due and payable by the Borrower and its Subsidiaries to the Arranger, the Administrative Agent and the Lenders under the Loan Documents or pursuant to any fee or similar letters relating to the Loan Documents shall be paid, to the extent invoiced at least one Business Day prior to the Closing Date by the relevant person and to the extent such amounts are payable on or prior to the Closing Date.</w:t>
      </w:r>
    </w:p>
    <w:p>
      <w:pPr>
        <w:spacing w:after="0" w:line="212" w:lineRule="exact"/>
        <w:rPr>
          <w:rFonts w:ascii="Arial" w:cs="Arial" w:eastAsia="Arial" w:hAnsi="Arial"/>
          <w:sz w:val="22"/>
          <w:szCs w:val="22"/>
          <w:color w:val="auto"/>
        </w:rPr>
      </w:pPr>
    </w:p>
    <w:p>
      <w:pPr>
        <w:ind w:left="1180" w:hanging="524"/>
        <w:spacing w:after="0"/>
        <w:tabs>
          <w:tab w:leader="none" w:pos="11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Administrative Agent shall have received the Notice of Borrowing in accordance with Section 2.02.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The Administrative Agent shall notify the Borrower and the Lenders of the Closing Date as soon as practicable upon its occurrence, and such notice shall be conclusive and binding.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4</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REPRESENTATIONS AND WARRANTIES</w:t>
      </w:r>
    </w:p>
    <w:p>
      <w:pPr>
        <w:spacing w:after="0" w:line="23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The Borrower represents and warrants on the Effective Date and the Closing Date (it being understood the conditions to the Effective Date are solely those set out in Section 3.01 and the conditions to the obligation of each Lender to make an Advance on the Closing Date are solely those set out in Section 3.02) as follows:</w:t>
      </w:r>
    </w:p>
    <w:p>
      <w:pPr>
        <w:spacing w:after="0" w:line="161" w:lineRule="exact"/>
        <w:rPr>
          <w:sz w:val="20"/>
          <w:szCs w:val="20"/>
          <w:color w:val="auto"/>
        </w:rPr>
      </w:pPr>
    </w:p>
    <w:p>
      <w:pPr>
        <w:ind w:right="220" w:firstLine="656"/>
        <w:spacing w:after="0" w:line="251" w:lineRule="auto"/>
        <w:tabs>
          <w:tab w:leader="none" w:pos="12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Borrower is duly organized, validly existing and in good standing (to the extent that such concept exists) under the laws of its jurisdiction of organization.</w:t>
      </w:r>
    </w:p>
    <w:p>
      <w:pPr>
        <w:spacing w:after="0" w:line="200" w:lineRule="exact"/>
        <w:rPr>
          <w:rFonts w:ascii="Arial" w:cs="Arial" w:eastAsia="Arial" w:hAnsi="Arial"/>
          <w:sz w:val="22"/>
          <w:szCs w:val="22"/>
          <w:color w:val="auto"/>
        </w:rPr>
      </w:pPr>
    </w:p>
    <w:p>
      <w:pPr>
        <w:ind w:right="60" w:firstLine="656"/>
        <w:spacing w:after="0" w:line="234" w:lineRule="auto"/>
        <w:tabs>
          <w:tab w:leader="none" w:pos="117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execution, delivery and performance by the Borrower of this Agreement and the other Loan Documents to which it is a party (i) are within the Borrower’s organizational powers, (ii) have been duly authorized by all necessary organizational action, (iii) do not contravene (A) the Borrower’s charter or by-laws or other organizational documents or (B) any law, regulation or contractual restriction binding on or affecting the Borrower and (iv) will not result in or require the creation or imposition of any Lien upon or with respect to any of the properties of the Consolidated Group (other than Liens created or required to be created pursuant to the terms hereof), except, in the case of clause (iii)(B) and (iv), as would not be reasonably expected to have a Material Adverse Effect.</w:t>
      </w:r>
    </w:p>
    <w:p>
      <w:pPr>
        <w:spacing w:after="0" w:line="218" w:lineRule="exact"/>
        <w:rPr>
          <w:rFonts w:ascii="Arial" w:cs="Arial" w:eastAsia="Arial" w:hAnsi="Arial"/>
          <w:sz w:val="22"/>
          <w:szCs w:val="22"/>
          <w:color w:val="auto"/>
        </w:rPr>
      </w:pPr>
    </w:p>
    <w:p>
      <w:pPr>
        <w:ind w:right="700" w:firstLine="656"/>
        <w:spacing w:after="0"/>
        <w:tabs>
          <w:tab w:leader="none" w:pos="12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No authorization or approval or other action by, and no notice to or filing with, any governmental authority or regulatory body is required for the due execution, delivery and performance by the Borrower of this Agreement and the consummation of the transactions contemplated hereby.</w:t>
      </w:r>
    </w:p>
    <w:p>
      <w:pPr>
        <w:spacing w:after="0" w:line="213" w:lineRule="exact"/>
        <w:rPr>
          <w:rFonts w:ascii="Arial" w:cs="Arial" w:eastAsia="Arial" w:hAnsi="Arial"/>
          <w:sz w:val="22"/>
          <w:szCs w:val="22"/>
          <w:color w:val="auto"/>
        </w:rPr>
      </w:pPr>
    </w:p>
    <w:p>
      <w:pPr>
        <w:ind w:firstLine="656"/>
        <w:spacing w:after="0" w:line="236" w:lineRule="auto"/>
        <w:tabs>
          <w:tab w:leader="none" w:pos="117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This Agreement and the other Loan Documents have been duly executed and delivered by the Borrower. This Agreement and the other Loan Documents are legal, valid and binding obligations of the Borrower, enforceable against the Borrower in accordance with its terms, except as affected by applicable bankruptcy, insolvency, reorganization, moratorium or similar laws affecting creditors’ rights generally and general principles of equity (whether considered in a proceeding in equity or at law) and an implied covenant of good faith and fair dealing.</w:t>
      </w:r>
    </w:p>
    <w:p>
      <w:pPr>
        <w:spacing w:after="0" w:line="214" w:lineRule="exact"/>
        <w:rPr>
          <w:rFonts w:ascii="Arial" w:cs="Arial" w:eastAsia="Arial" w:hAnsi="Arial"/>
          <w:sz w:val="22"/>
          <w:szCs w:val="22"/>
          <w:color w:val="auto"/>
        </w:rPr>
      </w:pPr>
    </w:p>
    <w:p>
      <w:pPr>
        <w:ind w:right="300" w:firstLine="656"/>
        <w:spacing w:after="0" w:line="328" w:lineRule="auto"/>
        <w:tabs>
          <w:tab w:leader="none" w:pos="121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Each of the Previously Delivered Financial Statements present fairly, in all material respects, the consolidated financial position and results of operations and cash flows of the Borrower and its consolidated Subsidiaries as of such dates and</w:t>
      </w:r>
    </w:p>
    <w:p>
      <w:pPr>
        <w:sectPr>
          <w:pgSz w:w="11900" w:h="16838" w:orient="portrait"/>
          <w:cols w:equalWidth="0" w:num="1">
            <w:col w:w="11420"/>
          </w:cols>
          <w:pgMar w:left="240" w:top="361" w:right="239" w:bottom="0" w:gutter="0" w:footer="0" w:header="0"/>
        </w:sectPr>
      </w:pPr>
    </w:p>
    <w:bookmarkStart w:id="84" w:name="page85"/>
    <w:bookmarkEnd w:id="84"/>
    <w:p>
      <w:pPr>
        <w:spacing w:after="0" w:line="103" w:lineRule="exact"/>
        <w:rPr>
          <w:sz w:val="20"/>
          <w:szCs w:val="20"/>
          <w:color w:val="auto"/>
        </w:rPr>
      </w:pPr>
    </w:p>
    <w:p>
      <w:pPr>
        <w:ind w:right="1020"/>
        <w:spacing w:after="0" w:line="251" w:lineRule="auto"/>
        <w:rPr>
          <w:sz w:val="20"/>
          <w:szCs w:val="20"/>
          <w:color w:val="auto"/>
        </w:rPr>
      </w:pPr>
      <w:r>
        <w:rPr>
          <w:rFonts w:ascii="Arial" w:cs="Arial" w:eastAsia="Arial" w:hAnsi="Arial"/>
          <w:sz w:val="22"/>
          <w:szCs w:val="22"/>
          <w:color w:val="auto"/>
        </w:rPr>
        <w:t>for such periods in accordance with GAAP, except as may be indicated in the notes thereto and subject to year-end audit adjustments and the absence of footnotes in the case of unaudited financial statements.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80" w:firstLine="656"/>
        <w:spacing w:after="0" w:line="273" w:lineRule="auto"/>
        <w:tabs>
          <w:tab w:leader="none" w:pos="1188"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As of the Effective Date, there is no action, suit, investigation, litigation or proceeding (including, without limitation, any Environmental Action), affecting the Consolidated Group pending or, to the knowledge of the Borrower, threatened before any court, governmental agency or arbitrator that would reasonably be expected to be adversely determined, and if so determined,</w:t>
      </w:r>
    </w:p>
    <w:p>
      <w:pPr>
        <w:spacing w:after="0" w:line="1" w:lineRule="exact"/>
        <w:rPr>
          <w:rFonts w:ascii="Arial" w:cs="Arial" w:eastAsia="Arial" w:hAnsi="Arial"/>
          <w:sz w:val="19"/>
          <w:szCs w:val="19"/>
          <w:color w:val="auto"/>
        </w:rPr>
      </w:pPr>
    </w:p>
    <w:p>
      <w:pPr>
        <w:ind w:right="20" w:firstLine="8"/>
        <w:spacing w:after="0" w:line="249" w:lineRule="auto"/>
        <w:tabs>
          <w:tab w:leader="none" w:pos="25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would reasonably be expected to have a material adverse effect on the financial condition or results of operations of the Consolidated Group taken as a whole (other than the litigation set forth on Schedule 4.01(f) attached hereto) or (ii) would adversely affect the legality, validity and enforceability of any material provision of this Agreement in any material respect.</w:t>
      </w:r>
    </w:p>
    <w:p>
      <w:pPr>
        <w:spacing w:after="0" w:line="202" w:lineRule="exact"/>
        <w:rPr>
          <w:rFonts w:ascii="Arial" w:cs="Arial" w:eastAsia="Arial" w:hAnsi="Arial"/>
          <w:sz w:val="21"/>
          <w:szCs w:val="21"/>
          <w:color w:val="auto"/>
        </w:rPr>
      </w:pPr>
    </w:p>
    <w:p>
      <w:pPr>
        <w:ind w:right="460" w:firstLine="656"/>
        <w:spacing w:after="0"/>
        <w:tabs>
          <w:tab w:leader="none" w:pos="117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Following application of the proceeds of each Advance, not more than 25 percent of the value of the assets of the Borrower and of the Consolidated Group, on a Consolidated basis, subject to the provisions of Section 5.02(a) will be Margin Stock.</w:t>
      </w:r>
    </w:p>
    <w:p>
      <w:pPr>
        <w:spacing w:after="0" w:line="213" w:lineRule="exact"/>
        <w:rPr>
          <w:rFonts w:ascii="Arial" w:cs="Arial" w:eastAsia="Arial" w:hAnsi="Arial"/>
          <w:sz w:val="22"/>
          <w:szCs w:val="22"/>
          <w:color w:val="auto"/>
        </w:rPr>
      </w:pPr>
    </w:p>
    <w:p>
      <w:pPr>
        <w:ind w:right="20" w:firstLine="656"/>
        <w:spacing w:after="0" w:line="273" w:lineRule="auto"/>
        <w:tabs>
          <w:tab w:leader="none" w:pos="117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All written information (other than the Projections) concerning the Borrower and its Subsidiaries and the transactions contemplated hereby or otherwise prepared by the Borrower and its Subsidiaries and furnished by such Persons to the Agents or the Lenders prior to the Effective Date in connection with the negotiation of this Agreement when taken as a whole, was true and correct in all material respects as of the date when furnished by such Person to the Agents or the Lenders and did not, taken as a whole, when so furnished contain any untrue statement of a material fact as of any such date or omit to state a material fact necessary in order to make the statements contained therein, taken as a whole, not materially misleading in light of the circumstances under which such statements were made. The Projections and estimates and information of a general economic nature prepared by the Borrower or its Subsidiaries and that have been furnished by such Person to any Lenders or the Administrative Agent prior to the Effective Date in connection with the transactions contemplated hereby were prepared in good faith based upon assumptions believed by such Person to be reasonable as of the date of such Projections (it being understood that actual results may vary materially from the Projections).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20" w:firstLine="656"/>
        <w:spacing w:after="0" w:line="238" w:lineRule="auto"/>
        <w:tabs>
          <w:tab w:leader="none" w:pos="1176" w:val="left"/>
        </w:tabs>
        <w:numPr>
          <w:ilvl w:val="1"/>
          <w:numId w:val="159"/>
        </w:numPr>
        <w:rPr>
          <w:rFonts w:ascii="Arial" w:cs="Arial" w:eastAsia="Arial" w:hAnsi="Arial"/>
          <w:sz w:val="22"/>
          <w:szCs w:val="22"/>
          <w:color w:val="auto"/>
        </w:rPr>
      </w:pPr>
      <w:r>
        <w:rPr>
          <w:rFonts w:ascii="Arial" w:cs="Arial" w:eastAsia="Arial" w:hAnsi="Arial"/>
          <w:sz w:val="22"/>
          <w:szCs w:val="22"/>
          <w:color w:val="auto"/>
        </w:rPr>
        <w:t>(i) No ERISA Event has occurred or is reasonably expected to occur with respect to any Plan which would reasonably be expected to have a Material Adverse Effect and (ii) as of the Closing Date, the Borrower is not and will not be using “plan assets” (within the meaning of 29 CFR § 2510.3-101, as modified by Section 3(42) of ERISA) of one or more Benefit Plans in connection with the Commitments or the Advances.</w:t>
      </w:r>
    </w:p>
    <w:p>
      <w:pPr>
        <w:spacing w:after="0" w:line="212" w:lineRule="exact"/>
        <w:rPr>
          <w:rFonts w:ascii="Arial" w:cs="Arial" w:eastAsia="Arial" w:hAnsi="Arial"/>
          <w:sz w:val="22"/>
          <w:szCs w:val="22"/>
          <w:color w:val="auto"/>
        </w:rPr>
      </w:pPr>
    </w:p>
    <w:p>
      <w:pPr>
        <w:ind w:right="160" w:firstLine="656"/>
        <w:spacing w:after="0" w:line="236" w:lineRule="auto"/>
        <w:tabs>
          <w:tab w:leader="none" w:pos="1176" w:val="left"/>
        </w:tabs>
        <w:numPr>
          <w:ilvl w:val="1"/>
          <w:numId w:val="159"/>
        </w:numPr>
        <w:rPr>
          <w:rFonts w:ascii="Arial" w:cs="Arial" w:eastAsia="Arial" w:hAnsi="Arial"/>
          <w:sz w:val="22"/>
          <w:szCs w:val="22"/>
          <w:color w:val="auto"/>
        </w:rPr>
      </w:pPr>
      <w:r>
        <w:rPr>
          <w:rFonts w:ascii="Arial" w:cs="Arial" w:eastAsia="Arial" w:hAnsi="Arial"/>
          <w:sz w:val="22"/>
          <w:szCs w:val="22"/>
          <w:color w:val="auto"/>
        </w:rPr>
        <w:t>As of the last annual actuarial valuation date prior to the Effective Date, the AbbVie Pension Plan was not in at-risk status (as defined in Section 430(i)(4) of the Internal Revenue Code) and no other Plan was in at-risk status (as defined in Section 430(i)(4) of the Internal Revenue Code), and since such annual actuarial valuation date there has been no material adverse change in the funding status of any Plan that would reasonably be expected to cause such Plan to be in at-risk status (as defined in Section 430(i)(4) of the Internal Revenue Code).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20" w:firstLine="656"/>
        <w:spacing w:after="0" w:line="235" w:lineRule="auto"/>
        <w:tabs>
          <w:tab w:leader="none" w:pos="117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Neither the Borrower nor any ERISA Affiliate (i) is reasonably expected to incur any Withdrawal Liability to any Multiemployer Plan or has incurred any such Withdrawal Liability that has not been satisfied in full or (ii) has been notified by the sponsor of a Multiemployer Plan that such Multiemployer Plan is insolvent (within the meaning of Section 4245 of ERISA) or has been determined to be in “endangered” or “critical’ status (within the meaning of Section 432 of the Internal Revenue Code or Section 305 of ERISA), and no such Multiemployer Plan is reasonably expected to be insolvent or in “endangered” or “critical” status.</w:t>
      </w:r>
    </w:p>
    <w:p>
      <w:pPr>
        <w:spacing w:after="0" w:line="215" w:lineRule="exact"/>
        <w:rPr>
          <w:rFonts w:ascii="Arial" w:cs="Arial" w:eastAsia="Arial" w:hAnsi="Arial"/>
          <w:sz w:val="22"/>
          <w:szCs w:val="22"/>
          <w:color w:val="auto"/>
        </w:rPr>
      </w:pPr>
    </w:p>
    <w:p>
      <w:pPr>
        <w:ind w:right="120" w:firstLine="656"/>
        <w:spacing w:after="0" w:line="274" w:lineRule="auto"/>
        <w:tabs>
          <w:tab w:leader="none" w:pos="117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 The operations and properties of the Consolidated Group comply in all respects with all applicable Environmental Laws and Environmental Permits except to the extent that the failure to so comply, either individually or in the aggregate, would not reasonably be expected to have a Material Adverse Effect; all past non-compliance with such Environmental Laws and Environmental Permits has been resolved without any ongoing obligations or costs except to the extent that such non-compliance, individually or in the aggregate, would not reasonably be expected to have a Material Adverse Effect; and (iii) no circumstances exist that would be reasonably expected to (A) form the basis of an Environmental Action against a member of the Consolidated Group or any of its properties that, either individually or in the aggregate, would have a Material Adverse Effect or (B) cause any such property to be subject to any restrictions on ownership, occupancy, use or transferability under any Environmental Law that, either individually or in the aggregate, would have a Material Adverse Effect.</w:t>
      </w:r>
    </w:p>
    <w:p>
      <w:pPr>
        <w:spacing w:after="0" w:line="185" w:lineRule="exact"/>
        <w:rPr>
          <w:rFonts w:ascii="Arial" w:cs="Arial" w:eastAsia="Arial" w:hAnsi="Arial"/>
          <w:sz w:val="19"/>
          <w:szCs w:val="19"/>
          <w:color w:val="auto"/>
        </w:rPr>
      </w:pPr>
    </w:p>
    <w:p>
      <w:pPr>
        <w:ind w:firstLine="656"/>
        <w:spacing w:after="0" w:line="279" w:lineRule="auto"/>
        <w:tabs>
          <w:tab w:leader="none" w:pos="117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 None of the properties currently or formerly owned or operated by a member of the Consolidated Group is listed or proposed for listing on the NPL or on the CERCLIS or any analogous foreign, state or local list or, to the best knowledge of the Borrower, is adjacent to any such property other than such properties of a member of the Consolidated Group that, individually or in the aggregate, would not reasonably be expected to have a Material Adverse Effect; (ii) there are no, and never have been any, underground or aboveground storage tanks or any surface impoundments, septic tanks, pits, sumps or lagoons in which Hazardous Materials are being or have been treated, stored or disposed of on any property currently owned or operated by any member of the</w:t>
      </w:r>
    </w:p>
    <w:p>
      <w:pPr>
        <w:sectPr>
          <w:pgSz w:w="11900" w:h="16941" w:orient="portrait"/>
          <w:cols w:equalWidth="0" w:num="1">
            <w:col w:w="11420"/>
          </w:cols>
          <w:pgMar w:left="240" w:top="118" w:right="239" w:bottom="0" w:gutter="0" w:footer="0" w:header="0"/>
        </w:sectPr>
      </w:pPr>
    </w:p>
    <w:bookmarkStart w:id="85" w:name="page86"/>
    <w:bookmarkEnd w:id="85"/>
    <w:p>
      <w:pPr>
        <w:ind w:right="140"/>
        <w:spacing w:after="0" w:line="277" w:lineRule="auto"/>
        <w:rPr>
          <w:sz w:val="20"/>
          <w:szCs w:val="20"/>
          <w:color w:val="auto"/>
        </w:rPr>
      </w:pPr>
      <w:r>
        <w:rPr>
          <w:rFonts w:ascii="Arial" w:cs="Arial" w:eastAsia="Arial" w:hAnsi="Arial"/>
          <w:sz w:val="19"/>
          <w:szCs w:val="19"/>
          <w:color w:val="auto"/>
        </w:rPr>
        <w:t>Consolidated Group or, to the best knowledge of the Borrower, on any property formerly owned or operated by a member of the Consolidated Group that, either individually or in the aggregate, would reasonably be expected to have a Material Adverse Effect;</w:t>
      </w:r>
    </w:p>
    <w:p>
      <w:pPr>
        <w:ind w:right="120" w:firstLine="8"/>
        <w:spacing w:after="0" w:line="277" w:lineRule="auto"/>
        <w:tabs>
          <w:tab w:leader="none" w:pos="37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there is no asbestos or asbestos-containing material on any property currently owned or operated by a member of the Consolidated Group that, either individually or in the aggregate, would reasonably be expected to have a Material Adverse Effect; and (iv) Hazardous Materials have not been released, discharged or disposed of on any property currently or formerly owned or operated by a member of the Consolidated Group or, to the best knowledge of the Borrower, on any adjoining property that, either individually or in the aggregate, would reasonably be expected to have a Material Adverse Effect.</w:t>
      </w:r>
    </w:p>
    <w:p>
      <w:pPr>
        <w:spacing w:after="0" w:line="179" w:lineRule="exact"/>
        <w:rPr>
          <w:rFonts w:ascii="Arial" w:cs="Arial" w:eastAsia="Arial" w:hAnsi="Arial"/>
          <w:sz w:val="19"/>
          <w:szCs w:val="19"/>
          <w:color w:val="auto"/>
        </w:rPr>
      </w:pPr>
    </w:p>
    <w:p>
      <w:pPr>
        <w:ind w:right="280" w:firstLine="656"/>
        <w:spacing w:after="0" w:line="258" w:lineRule="auto"/>
        <w:tabs>
          <w:tab w:leader="none" w:pos="117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No member of the Consolidated Group is undertaking, and no member of the Consolidated Group has completed, either individually or together with other potentially responsible parties, any investigation or assessment or remedial or response action relating to any actual or threatened release, discharge or disposal of Hazardous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Materials at any site, location or operation, either voluntarily or pursuant to the order of any governmental or regulatory authority or the requirements of any Environmental Law that, either individually or in the aggregate, would reasonably be expected to have a Material Adverse Effect; and all Hazardous Materials generated, used, treated, handled or stored at, or transported to or from, any property currently or formerly owned or operated by a member of the Consolidated Group have been disposed of in a manner that, either individually or in the aggregate, would not reasonably be expected to have a Material Adverse Effect.</w:t>
      </w:r>
    </w:p>
    <w:p>
      <w:pPr>
        <w:spacing w:after="0" w:line="175" w:lineRule="exact"/>
        <w:rPr>
          <w:sz w:val="20"/>
          <w:szCs w:val="20"/>
          <w:color w:val="auto"/>
        </w:rPr>
      </w:pPr>
    </w:p>
    <w:p>
      <w:pPr>
        <w:ind w:right="20" w:firstLine="656"/>
        <w:spacing w:after="0" w:line="236" w:lineRule="auto"/>
        <w:tabs>
          <w:tab w:leader="none" w:pos="117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No member of the Consolidated Group is an “investment company”, or an “affiliated person” of, or “promoter” or “principal underwriter” for, an “investment company” (each as defined in the Investment Company Act of 1940, as amended). Neither the making of any Advances nor the application of the proceeds or repayment thereof by the Borrower, nor the consummation of the other transactions contemplated hereby, will violate any provision of such Act or any rule, regulation or order of the Securities and Exchange Commission thereunder.</w:t>
      </w:r>
    </w:p>
    <w:p>
      <w:pPr>
        <w:spacing w:after="0" w:line="214" w:lineRule="exact"/>
        <w:rPr>
          <w:rFonts w:ascii="Arial" w:cs="Arial" w:eastAsia="Arial" w:hAnsi="Arial"/>
          <w:sz w:val="22"/>
          <w:szCs w:val="22"/>
          <w:color w:val="auto"/>
        </w:rPr>
      </w:pPr>
    </w:p>
    <w:p>
      <w:pPr>
        <w:jc w:val="both"/>
        <w:ind w:right="740" w:firstLine="656"/>
        <w:spacing w:after="0"/>
        <w:tabs>
          <w:tab w:leader="none" w:pos="117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Advances and all related obligations of the Borrower under this Agreement rank pari passu with all other unsecured obligations of the Borrower that are not, by their terms, expressly subordinate to the obligations of the Borrower hereunder.</w:t>
      </w:r>
    </w:p>
    <w:p>
      <w:pPr>
        <w:spacing w:after="0" w:line="213" w:lineRule="exact"/>
        <w:rPr>
          <w:rFonts w:ascii="Arial" w:cs="Arial" w:eastAsia="Arial" w:hAnsi="Arial"/>
          <w:sz w:val="22"/>
          <w:szCs w:val="22"/>
          <w:color w:val="auto"/>
        </w:rPr>
      </w:pPr>
    </w:p>
    <w:p>
      <w:pPr>
        <w:ind w:left="1180" w:hanging="524"/>
        <w:spacing w:after="0"/>
        <w:tabs>
          <w:tab w:leader="none" w:pos="11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proceeds of the Advances will be used in accordance with Section 2.15.</w:t>
      </w:r>
    </w:p>
    <w:p>
      <w:pPr>
        <w:spacing w:after="0" w:line="233" w:lineRule="exact"/>
        <w:rPr>
          <w:rFonts w:ascii="Arial" w:cs="Arial" w:eastAsia="Arial" w:hAnsi="Arial"/>
          <w:sz w:val="22"/>
          <w:szCs w:val="22"/>
          <w:color w:val="auto"/>
        </w:rPr>
      </w:pPr>
    </w:p>
    <w:p>
      <w:pPr>
        <w:ind w:right="20" w:firstLine="656"/>
        <w:spacing w:after="0" w:line="244" w:lineRule="auto"/>
        <w:tabs>
          <w:tab w:leader="none" w:pos="1188"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No member of the Consolidated Group or any of their respective officers or directors (a) have violated or is in violation of, in any material respects, or has engaged in any conduct or dealings that would be sanctionable under any applicable material anti-money laundering law or any Sanctions or (b) is an Embargoed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member of the Consolidated Group (other than the Borrower) becomes an Embargoed Person pursuant to clause (b)(iii) of the definition thereof as a result of a country or territory becoming subject to any applicable Sanctions program after the Effective Date, such Person shall not be an Embargoed Person so long as (x) the Borrower is taking reasonable steps to either obtain an appropriate license for transacting business in such country or territory or to cause such Person to no longer reside, be organized or chartered or have a place of business in such country or territory and (y) such Person’s residing, being organized or chartered or having a place of business in such country or territory would not be reasonably expected to have a Material Adverse Effect. The Consolidated Group have adopted and maintain policies and procedures designed to ensure compliance and are reasonably expected to continue to ensure compliance with Sanctions.</w:t>
      </w:r>
    </w:p>
    <w:p>
      <w:pPr>
        <w:spacing w:after="0" w:line="216" w:lineRule="exact"/>
        <w:rPr>
          <w:rFonts w:ascii="Arial" w:cs="Arial" w:eastAsia="Arial" w:hAnsi="Arial"/>
          <w:sz w:val="21"/>
          <w:szCs w:val="21"/>
          <w:color w:val="auto"/>
        </w:rPr>
      </w:pPr>
    </w:p>
    <w:p>
      <w:pPr>
        <w:ind w:firstLine="656"/>
        <w:spacing w:after="0" w:line="249" w:lineRule="auto"/>
        <w:tabs>
          <w:tab w:leader="none" w:pos="120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No member of the Consolidated Group is in violation, in any material respects, of any applicable law, relating to anti-corruption (including the FCPA and the United Kingdom Bribery Act of 2010) (“</w:t>
      </w:r>
      <w:r>
        <w:rPr>
          <w:rFonts w:ascii="Arial" w:cs="Arial" w:eastAsia="Arial" w:hAnsi="Arial"/>
          <w:sz w:val="21"/>
          <w:szCs w:val="21"/>
          <w:b w:val="1"/>
          <w:bCs w:val="1"/>
          <w:color w:val="auto"/>
        </w:rPr>
        <w:t>Anti-Corruption Laws</w:t>
      </w:r>
      <w:r>
        <w:rPr>
          <w:rFonts w:ascii="Arial" w:cs="Arial" w:eastAsia="Arial" w:hAnsi="Arial"/>
          <w:sz w:val="21"/>
          <w:szCs w:val="21"/>
          <w:color w:val="auto"/>
        </w:rPr>
        <w:t>”) or counter-terrorism (including United States Executive Order No. 13224 on Terrorist Financing, effective September 24, 2011, the USA PATRIOT ACT, the United Kingdom Terrorism Act of 2000, the United Kingdom Anti-Terrorism, Crime and Security Act of 2011, the United Kingdom Terrorism (United Nations Measures) Order of 2006, the United Kingdom</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Terrorism (United Nations Measures) Order of 2009 and the United Kingdom Terrorist Asset-Freezing etc. Act of 2010). The Consolidated Group have adopted and maintain policies and procedures designed to ensure compliance and are reasonably expected to continue to ensure compliance with Anti-Corruption Laws.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5</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COVENANTS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i w:val="1"/>
          <w:iCs w:val="1"/>
          <w:color w:val="auto"/>
        </w:rPr>
        <w:t>Affirmative Covenants</w:t>
      </w:r>
      <w:r>
        <w:rPr>
          <w:rFonts w:ascii="Arial" w:cs="Arial" w:eastAsia="Arial" w:hAnsi="Arial"/>
          <w:sz w:val="21"/>
          <w:szCs w:val="21"/>
          <w:color w:val="auto"/>
        </w:rPr>
        <w:t>. So long as any Advance shall remain unpaid or any Lender shall have any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Commitment hereunder, the Borrower will:</w:t>
      </w:r>
    </w:p>
    <w:p>
      <w:pPr>
        <w:sectPr>
          <w:pgSz w:w="11900" w:h="16838" w:orient="portrait"/>
          <w:cols w:equalWidth="0" w:num="1">
            <w:col w:w="11380"/>
          </w:cols>
          <w:pgMar w:left="240" w:top="118" w:right="279" w:bottom="245" w:gutter="0" w:footer="0" w:header="0"/>
        </w:sectPr>
      </w:pPr>
    </w:p>
    <w:bookmarkStart w:id="86" w:name="page87"/>
    <w:bookmarkEnd w:id="86"/>
    <w:p>
      <w:pPr>
        <w:jc w:val="both"/>
        <w:ind w:right="780" w:firstLine="656"/>
        <w:spacing w:after="0" w:line="238" w:lineRule="auto"/>
        <w:tabs>
          <w:tab w:leader="none" w:pos="1212"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Compliance with Laws, Etc</w:t>
      </w:r>
      <w:r>
        <w:rPr>
          <w:rFonts w:ascii="Arial" w:cs="Arial" w:eastAsia="Arial" w:hAnsi="Arial"/>
          <w:sz w:val="22"/>
          <w:szCs w:val="22"/>
          <w:color w:val="auto"/>
        </w:rPr>
        <w:t>. Comply, and cause each member of the Consolidated Group to comply, with all</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laws, rules, regulations and orders (such compliance to include, without limitation, compliance with ERISA and Environmental Laws), except to the extent that the failure to so comply, either individually or in the aggregate, would not reasonably be expected to have a Material Adverse Effect.</w:t>
      </w:r>
    </w:p>
    <w:p>
      <w:pPr>
        <w:spacing w:after="0" w:line="212" w:lineRule="exact"/>
        <w:rPr>
          <w:rFonts w:ascii="Arial" w:cs="Arial" w:eastAsia="Arial" w:hAnsi="Arial"/>
          <w:sz w:val="22"/>
          <w:szCs w:val="22"/>
          <w:color w:val="auto"/>
        </w:rPr>
      </w:pPr>
    </w:p>
    <w:p>
      <w:pPr>
        <w:ind w:right="140" w:firstLine="656"/>
        <w:spacing w:after="0" w:line="235" w:lineRule="auto"/>
        <w:tabs>
          <w:tab w:leader="none" w:pos="1170"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Payment of Taxes, Etc</w:t>
      </w:r>
      <w:r>
        <w:rPr>
          <w:rFonts w:ascii="Arial" w:cs="Arial" w:eastAsia="Arial" w:hAnsi="Arial"/>
          <w:sz w:val="22"/>
          <w:szCs w:val="22"/>
          <w:color w:val="auto"/>
        </w:rPr>
        <w:t>. Pay and discharge, or cause to be paid and discharged, before the same shall become</w:t>
      </w:r>
      <w:r>
        <w:rPr>
          <w:rFonts w:ascii="Arial" w:cs="Arial" w:eastAsia="Arial" w:hAnsi="Arial"/>
          <w:sz w:val="22"/>
          <w:szCs w:val="22"/>
          <w:i w:val="1"/>
          <w:iCs w:val="1"/>
          <w:color w:val="auto"/>
        </w:rPr>
        <w:t xml:space="preserve"> </w:t>
      </w:r>
      <w:r>
        <w:rPr>
          <w:rFonts w:ascii="Arial" w:cs="Arial" w:eastAsia="Arial" w:hAnsi="Arial"/>
          <w:sz w:val="22"/>
          <w:szCs w:val="22"/>
          <w:color w:val="auto"/>
        </w:rPr>
        <w:t>delinquent, all taxes, assessments and governmental charges levied or imposed upon a member of the Consolidated Group or upon the income, profits or property of a member of the Consolidated Group, in each case except to the extent that (i) the amount, applicability or validity thereof is being contested in good faith and by proper proceedings or (ii) the failure to pay such taxes, assessments and charges, either individually or in the aggregate, would not reasonably be expected to have a Material Adverse Effect.</w:t>
      </w:r>
    </w:p>
    <w:p>
      <w:pPr>
        <w:spacing w:after="0" w:line="215" w:lineRule="exact"/>
        <w:rPr>
          <w:rFonts w:ascii="Arial" w:cs="Arial" w:eastAsia="Arial" w:hAnsi="Arial"/>
          <w:sz w:val="22"/>
          <w:szCs w:val="22"/>
          <w:color w:val="auto"/>
        </w:rPr>
      </w:pPr>
    </w:p>
    <w:p>
      <w:pPr>
        <w:ind w:right="60" w:firstLine="656"/>
        <w:spacing w:after="0" w:line="252" w:lineRule="auto"/>
        <w:tabs>
          <w:tab w:leader="none" w:pos="1212" w:val="left"/>
        </w:tabs>
        <w:numPr>
          <w:ilvl w:val="0"/>
          <w:numId w:val="163"/>
        </w:numPr>
        <w:rPr>
          <w:rFonts w:ascii="Arial" w:cs="Arial" w:eastAsia="Arial" w:hAnsi="Arial"/>
          <w:sz w:val="21"/>
          <w:szCs w:val="21"/>
          <w:color w:val="auto"/>
        </w:rPr>
      </w:pPr>
      <w:r>
        <w:rPr>
          <w:rFonts w:ascii="Arial" w:cs="Arial" w:eastAsia="Arial" w:hAnsi="Arial"/>
          <w:sz w:val="21"/>
          <w:szCs w:val="21"/>
          <w:i w:val="1"/>
          <w:iCs w:val="1"/>
          <w:color w:val="auto"/>
        </w:rPr>
        <w:t>Maintenance of Insurance</w:t>
      </w:r>
      <w:r>
        <w:rPr>
          <w:rFonts w:ascii="Arial" w:cs="Arial" w:eastAsia="Arial" w:hAnsi="Arial"/>
          <w:sz w:val="21"/>
          <w:szCs w:val="21"/>
          <w:color w:val="auto"/>
        </w:rPr>
        <w:t>. Maintain, and cause each member of the Consolidated Group to maintain, insurance with</w:t>
      </w:r>
      <w:r>
        <w:rPr>
          <w:rFonts w:ascii="Arial" w:cs="Arial" w:eastAsia="Arial" w:hAnsi="Arial"/>
          <w:sz w:val="21"/>
          <w:szCs w:val="21"/>
          <w:i w:val="1"/>
          <w:iCs w:val="1"/>
          <w:color w:val="auto"/>
        </w:rPr>
        <w:t xml:space="preserve"> </w:t>
      </w:r>
      <w:r>
        <w:rPr>
          <w:rFonts w:ascii="Arial" w:cs="Arial" w:eastAsia="Arial" w:hAnsi="Arial"/>
          <w:sz w:val="21"/>
          <w:szCs w:val="21"/>
          <w:color w:val="auto"/>
        </w:rPr>
        <w:t>responsible and reputable insurance companies or associations (or pursuant to self-insurance arrangements) in such amounts and covering such risks as is usually carried by companies engaged in similar businesses and owning similar properties in the same general areas in which any member of the Consolidated Group operates.</w:t>
      </w:r>
    </w:p>
    <w:p>
      <w:pPr>
        <w:spacing w:after="0" w:line="201" w:lineRule="exact"/>
        <w:rPr>
          <w:rFonts w:ascii="Arial" w:cs="Arial" w:eastAsia="Arial" w:hAnsi="Arial"/>
          <w:sz w:val="21"/>
          <w:szCs w:val="21"/>
          <w:color w:val="auto"/>
        </w:rPr>
      </w:pPr>
    </w:p>
    <w:p>
      <w:pPr>
        <w:ind w:right="140" w:firstLine="656"/>
        <w:spacing w:after="0" w:line="235" w:lineRule="auto"/>
        <w:tabs>
          <w:tab w:leader="none" w:pos="1170"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Preservation of Existence, Etc</w:t>
      </w:r>
      <w:r>
        <w:rPr>
          <w:rFonts w:ascii="Arial" w:cs="Arial" w:eastAsia="Arial" w:hAnsi="Arial"/>
          <w:sz w:val="22"/>
          <w:szCs w:val="22"/>
          <w:color w:val="auto"/>
        </w:rPr>
        <w:t>. Do, or cause to be done, all things necessary to preserve and keep in full force 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effect its (i) existence and (ii) rights (charter and statutory) and franchises;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the Borrower may consummate any merger or consolidation permitted under Section 5.02(b); 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the Borrower shall not be required to preserve any such right or franchise if the management of the Borrower shall determine that the preservation thereof is no longer desirable in the conduct of the business of the Borrower and that the loss thereof is not disadvantageous in any material respect to the Lenders.</w:t>
      </w:r>
    </w:p>
    <w:p>
      <w:pPr>
        <w:spacing w:after="0" w:line="215" w:lineRule="exact"/>
        <w:rPr>
          <w:rFonts w:ascii="Arial" w:cs="Arial" w:eastAsia="Arial" w:hAnsi="Arial"/>
          <w:sz w:val="22"/>
          <w:szCs w:val="22"/>
          <w:color w:val="auto"/>
        </w:rPr>
      </w:pPr>
    </w:p>
    <w:p>
      <w:pPr>
        <w:ind w:right="400" w:firstLine="656"/>
        <w:spacing w:after="0"/>
        <w:tabs>
          <w:tab w:leader="none" w:pos="1212"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Visitation Rights</w:t>
      </w:r>
      <w:r>
        <w:rPr>
          <w:rFonts w:ascii="Arial" w:cs="Arial" w:eastAsia="Arial" w:hAnsi="Arial"/>
          <w:sz w:val="22"/>
          <w:szCs w:val="22"/>
          <w:color w:val="auto"/>
        </w:rPr>
        <w:t>. At any reasonable time and from time to time during normal business hours (but not more than</w:t>
      </w:r>
      <w:r>
        <w:rPr>
          <w:rFonts w:ascii="Arial" w:cs="Arial" w:eastAsia="Arial" w:hAnsi="Arial"/>
          <w:sz w:val="22"/>
          <w:szCs w:val="22"/>
          <w:i w:val="1"/>
          <w:iCs w:val="1"/>
          <w:color w:val="auto"/>
        </w:rPr>
        <w:t xml:space="preserve"> </w:t>
      </w:r>
      <w:r>
        <w:rPr>
          <w:rFonts w:ascii="Arial" w:cs="Arial" w:eastAsia="Arial" w:hAnsi="Arial"/>
          <w:sz w:val="22"/>
          <w:szCs w:val="22"/>
          <w:color w:val="auto"/>
        </w:rPr>
        <w:t>once annually if no Event of Default has occurred and is continuing), upon reasonable notice to the Borrower, permit the Administrative Agent or any of the Lenders, or any agents or representatives thereof, to</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examine and make copies of and abstracts from the records and books of account, and visit the properties, of the Consolidated Group, and to discuss the affairs, finances and accounts of the Consolidated Group with any of the members of the senior treasury staff of the Borrower.</w:t>
      </w:r>
    </w:p>
    <w:p>
      <w:pPr>
        <w:spacing w:after="0" w:line="213" w:lineRule="exact"/>
        <w:rPr>
          <w:sz w:val="20"/>
          <w:szCs w:val="20"/>
          <w:color w:val="auto"/>
        </w:rPr>
      </w:pPr>
    </w:p>
    <w:p>
      <w:pPr>
        <w:ind w:firstLine="656"/>
        <w:spacing w:after="0"/>
        <w:tabs>
          <w:tab w:leader="none" w:pos="1188" w:val="left"/>
        </w:tabs>
        <w:numPr>
          <w:ilvl w:val="0"/>
          <w:numId w:val="164"/>
        </w:numPr>
        <w:rPr>
          <w:rFonts w:ascii="Arial" w:cs="Arial" w:eastAsia="Arial" w:hAnsi="Arial"/>
          <w:sz w:val="22"/>
          <w:szCs w:val="22"/>
          <w:color w:val="auto"/>
        </w:rPr>
      </w:pPr>
      <w:r>
        <w:rPr>
          <w:rFonts w:ascii="Arial" w:cs="Arial" w:eastAsia="Arial" w:hAnsi="Arial"/>
          <w:sz w:val="22"/>
          <w:szCs w:val="22"/>
          <w:i w:val="1"/>
          <w:iCs w:val="1"/>
          <w:color w:val="auto"/>
        </w:rPr>
        <w:t>Keeping of Books</w:t>
      </w:r>
      <w:r>
        <w:rPr>
          <w:rFonts w:ascii="Arial" w:cs="Arial" w:eastAsia="Arial" w:hAnsi="Arial"/>
          <w:sz w:val="22"/>
          <w:szCs w:val="22"/>
          <w:color w:val="auto"/>
        </w:rPr>
        <w:t>. Keep, and cause each of its Subsidiaries to keep, proper books of record and account, in which full</w:t>
      </w:r>
      <w:r>
        <w:rPr>
          <w:rFonts w:ascii="Arial" w:cs="Arial" w:eastAsia="Arial" w:hAnsi="Arial"/>
          <w:sz w:val="22"/>
          <w:szCs w:val="22"/>
          <w:i w:val="1"/>
          <w:iCs w:val="1"/>
          <w:color w:val="auto"/>
        </w:rPr>
        <w:t xml:space="preserve"> </w:t>
      </w:r>
      <w:r>
        <w:rPr>
          <w:rFonts w:ascii="Arial" w:cs="Arial" w:eastAsia="Arial" w:hAnsi="Arial"/>
          <w:sz w:val="22"/>
          <w:szCs w:val="22"/>
          <w:color w:val="auto"/>
        </w:rPr>
        <w:t>and correct entries shall be made of all financial transactions and the assets and business of the Consolidated Group sufficient to permit the preparation of financial statements in accordance with GAAP.</w:t>
      </w:r>
    </w:p>
    <w:p>
      <w:pPr>
        <w:spacing w:after="0" w:line="213" w:lineRule="exact"/>
        <w:rPr>
          <w:rFonts w:ascii="Arial" w:cs="Arial" w:eastAsia="Arial" w:hAnsi="Arial"/>
          <w:sz w:val="22"/>
          <w:szCs w:val="22"/>
          <w:color w:val="auto"/>
        </w:rPr>
      </w:pPr>
    </w:p>
    <w:p>
      <w:pPr>
        <w:ind w:right="100" w:firstLine="656"/>
        <w:spacing w:after="0" w:line="248" w:lineRule="auto"/>
        <w:tabs>
          <w:tab w:leader="none" w:pos="1170"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t>Maintenance of Properties, Etc</w:t>
      </w:r>
      <w:r>
        <w:rPr>
          <w:rFonts w:ascii="Arial" w:cs="Arial" w:eastAsia="Arial" w:hAnsi="Arial"/>
          <w:sz w:val="21"/>
          <w:szCs w:val="21"/>
          <w:color w:val="auto"/>
        </w:rPr>
        <w:t>. Cause all of its properties that are used or useful in the conduct of its business or the</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of any member of the Consolidated Group to be maintained and kept in good condition, repair and working order and supplied with all necessary equipment, and cause to be made all necessary repairs, renewals, replacements, betterments and improvements thereof, all as in the judgment of the Borrower may be necessary so that the business carried on in connection therewith may be properly and advantageously conducted at all times, except, in each case, where the failure to do so would not reasonably be expected to result in a Material Adverse Effect.</w:t>
      </w:r>
    </w:p>
    <w:p>
      <w:pPr>
        <w:spacing w:after="0" w:line="204" w:lineRule="exact"/>
        <w:rPr>
          <w:rFonts w:ascii="Arial" w:cs="Arial" w:eastAsia="Arial" w:hAnsi="Arial"/>
          <w:sz w:val="21"/>
          <w:szCs w:val="21"/>
          <w:color w:val="auto"/>
        </w:rPr>
      </w:pPr>
    </w:p>
    <w:p>
      <w:pPr>
        <w:ind w:right="360" w:firstLine="656"/>
        <w:spacing w:after="0" w:line="236" w:lineRule="auto"/>
        <w:tabs>
          <w:tab w:leader="none" w:pos="1170" w:val="left"/>
        </w:tabs>
        <w:numPr>
          <w:ilvl w:val="0"/>
          <w:numId w:val="164"/>
        </w:numPr>
        <w:rPr>
          <w:rFonts w:ascii="Arial" w:cs="Arial" w:eastAsia="Arial" w:hAnsi="Arial"/>
          <w:sz w:val="22"/>
          <w:szCs w:val="22"/>
          <w:color w:val="auto"/>
        </w:rPr>
      </w:pPr>
      <w:r>
        <w:rPr>
          <w:rFonts w:ascii="Arial" w:cs="Arial" w:eastAsia="Arial" w:hAnsi="Arial"/>
          <w:sz w:val="22"/>
          <w:szCs w:val="22"/>
          <w:i w:val="1"/>
          <w:iCs w:val="1"/>
          <w:color w:val="auto"/>
        </w:rPr>
        <w:t>Transactions with Affiliates</w:t>
      </w:r>
      <w:r>
        <w:rPr>
          <w:rFonts w:ascii="Arial" w:cs="Arial" w:eastAsia="Arial" w:hAnsi="Arial"/>
          <w:sz w:val="22"/>
          <w:szCs w:val="22"/>
          <w:color w:val="auto"/>
        </w:rPr>
        <w:t>. Conduct, and cause each member of the Consolidated Group to conduct, all material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transactions otherwise permitted under this Agreement with any of their Affiliates (excluding the members of the Consolidated Group) on terms that are fair and reasonable and no less favorable to the Borrower or such Subsidiary than it would obtain in a comparable arm’s-length transaction with a Person not an Affiliate;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provisions of this Section 5.01(h) shall not apply to the following:</w:t>
      </w:r>
    </w:p>
    <w:p>
      <w:pPr>
        <w:spacing w:after="0" w:line="214" w:lineRule="exact"/>
        <w:rPr>
          <w:rFonts w:ascii="Arial" w:cs="Arial" w:eastAsia="Arial" w:hAnsi="Arial"/>
          <w:sz w:val="22"/>
          <w:szCs w:val="22"/>
          <w:color w:val="auto"/>
        </w:rPr>
      </w:pPr>
    </w:p>
    <w:p>
      <w:pPr>
        <w:jc w:val="both"/>
        <w:ind w:left="660" w:right="40" w:firstLine="645"/>
        <w:spacing w:after="0" w:line="236" w:lineRule="auto"/>
        <w:tabs>
          <w:tab w:leader="none" w:pos="1998"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payment of dividends or other distributions (whether in cash, securities or other property) with respect to any Equity Interests in a member of the Consolidated Group, or any payment (whether in cash, securities or other property), including any sinking fund or similar deposit, on account of the purchase, redemption, retirement, acquisition, cancellation or termination of any such Equity Interests in such Person or any option, warrant or other right to acquire any such Equity Interests in such Person;</w:t>
      </w:r>
    </w:p>
    <w:p>
      <w:pPr>
        <w:spacing w:after="0" w:line="214" w:lineRule="exact"/>
        <w:rPr>
          <w:rFonts w:ascii="Arial" w:cs="Arial" w:eastAsia="Arial" w:hAnsi="Arial"/>
          <w:sz w:val="22"/>
          <w:szCs w:val="22"/>
          <w:color w:val="auto"/>
        </w:rPr>
      </w:pPr>
    </w:p>
    <w:p>
      <w:pPr>
        <w:ind w:left="660" w:right="340" w:firstLine="645"/>
        <w:spacing w:after="0" w:line="258" w:lineRule="auto"/>
        <w:tabs>
          <w:tab w:leader="none" w:pos="2004" w:val="left"/>
        </w:tabs>
        <w:numPr>
          <w:ilvl w:val="1"/>
          <w:numId w:val="164"/>
        </w:numPr>
        <w:rPr>
          <w:rFonts w:ascii="Arial" w:cs="Arial" w:eastAsia="Arial" w:hAnsi="Arial"/>
          <w:sz w:val="21"/>
          <w:szCs w:val="21"/>
          <w:color w:val="auto"/>
        </w:rPr>
      </w:pPr>
      <w:r>
        <w:rPr>
          <w:rFonts w:ascii="Arial" w:cs="Arial" w:eastAsia="Arial" w:hAnsi="Arial"/>
          <w:sz w:val="21"/>
          <w:szCs w:val="21"/>
          <w:color w:val="auto"/>
        </w:rPr>
        <w:t>payment of, or other consideration in respect of, compensation to, the making of loans to and payment of fees and expenses of and indemnities to officers, directors, employees or consultants of a member of the Consolidated Group and payment, or other consideration in respect of, directors’ and officers’ indemnities;</w:t>
      </w:r>
    </w:p>
    <w:p>
      <w:pPr>
        <w:spacing w:after="0" w:line="193" w:lineRule="exact"/>
        <w:rPr>
          <w:rFonts w:ascii="Arial" w:cs="Arial" w:eastAsia="Arial" w:hAnsi="Arial"/>
          <w:sz w:val="21"/>
          <w:szCs w:val="21"/>
          <w:color w:val="auto"/>
        </w:rPr>
      </w:pPr>
    </w:p>
    <w:p>
      <w:pPr>
        <w:ind w:left="660" w:right="120" w:firstLine="645"/>
        <w:spacing w:after="0" w:line="251" w:lineRule="auto"/>
        <w:tabs>
          <w:tab w:leader="none" w:pos="201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transactions pursuant to any agreement to which a member of the Consolidated Group is a party on the date hereof and set forth on Schedule 5.01(h);</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87" w:name="page88"/>
    <w:bookmarkEnd w:id="87"/>
    <w:p>
      <w:pPr>
        <w:ind w:left="660" w:right="140" w:firstLine="645"/>
        <w:spacing w:after="0" w:line="251" w:lineRule="auto"/>
        <w:tabs>
          <w:tab w:leader="none" w:pos="1998"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transactions with joint ventures for the purchase or sale of property or other assets and services entered into in the ordinary course of business and in a manner consistent with past practices;</w:t>
      </w:r>
    </w:p>
    <w:p>
      <w:pPr>
        <w:spacing w:after="0" w:line="200" w:lineRule="exact"/>
        <w:rPr>
          <w:rFonts w:ascii="Arial" w:cs="Arial" w:eastAsia="Arial" w:hAnsi="Arial"/>
          <w:sz w:val="22"/>
          <w:szCs w:val="22"/>
          <w:color w:val="auto"/>
        </w:rPr>
      </w:pPr>
    </w:p>
    <w:p>
      <w:pPr>
        <w:ind w:left="1980" w:hanging="675"/>
        <w:spacing w:after="0"/>
        <w:tabs>
          <w:tab w:leader="none" w:pos="198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transactions ancillary to or in connection with the Transactions;</w:t>
      </w:r>
    </w:p>
    <w:p>
      <w:pPr>
        <w:spacing w:after="0" w:line="233" w:lineRule="exact"/>
        <w:rPr>
          <w:rFonts w:ascii="Arial" w:cs="Arial" w:eastAsia="Arial" w:hAnsi="Arial"/>
          <w:sz w:val="22"/>
          <w:szCs w:val="22"/>
          <w:color w:val="auto"/>
        </w:rPr>
      </w:pPr>
    </w:p>
    <w:p>
      <w:pPr>
        <w:ind w:left="660" w:right="20" w:firstLine="645"/>
        <w:spacing w:after="0" w:line="246" w:lineRule="auto"/>
        <w:tabs>
          <w:tab w:leader="none" w:pos="1998" w:val="left"/>
        </w:tabs>
        <w:numPr>
          <w:ilvl w:val="1"/>
          <w:numId w:val="165"/>
        </w:numPr>
        <w:rPr>
          <w:rFonts w:ascii="Arial" w:cs="Arial" w:eastAsia="Arial" w:hAnsi="Arial"/>
          <w:sz w:val="21"/>
          <w:szCs w:val="21"/>
          <w:color w:val="auto"/>
        </w:rPr>
      </w:pPr>
      <w:r>
        <w:rPr>
          <w:rFonts w:ascii="Arial" w:cs="Arial" w:eastAsia="Arial" w:hAnsi="Arial"/>
          <w:sz w:val="21"/>
          <w:szCs w:val="21"/>
          <w:color w:val="auto"/>
        </w:rPr>
        <w:t>transactions approved by a majority of Disinterested Directors of the Borrower or of the relevant member of the Consolidated Group in good faith; or any transaction in respect of which the Borrower delivers to the Administrative Agent (for delivery to the Lenders) a letter addressed to the board of directors of the Borrower (or the board of directors of the relevant member of the Consolidated Group) from an accounting, appraisal or investment banking firm that is (a) in the good faith determination of the Borrower qualified to render such letter and (b) reasonably satisfactory to the Administrative Agent, which letter states that such transaction is on terms that are no less favorable to the Borrower or the relevant member of the Consolidated Group, as applicable, than would be obtained in a comparable arm’s length transaction with a Person that is not an Affiliate.</w:t>
      </w:r>
    </w:p>
    <w:p>
      <w:pPr>
        <w:spacing w:after="0" w:line="207" w:lineRule="exact"/>
        <w:rPr>
          <w:rFonts w:ascii="Arial" w:cs="Arial" w:eastAsia="Arial" w:hAnsi="Arial"/>
          <w:sz w:val="21"/>
          <w:szCs w:val="21"/>
          <w:color w:val="auto"/>
        </w:rPr>
      </w:pPr>
    </w:p>
    <w:p>
      <w:pPr>
        <w:ind w:left="1180" w:hanging="524"/>
        <w:spacing w:after="0"/>
        <w:tabs>
          <w:tab w:leader="none" w:pos="1180"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Reporting Requirements</w:t>
      </w:r>
      <w:r>
        <w:rPr>
          <w:rFonts w:ascii="Arial" w:cs="Arial" w:eastAsia="Arial" w:hAnsi="Arial"/>
          <w:sz w:val="22"/>
          <w:szCs w:val="22"/>
          <w:color w:val="auto"/>
        </w:rPr>
        <w:t>. Furnish to the Administrative Agent for further distribution to the Lenders:</w:t>
      </w:r>
    </w:p>
    <w:p>
      <w:pPr>
        <w:spacing w:after="0" w:line="233" w:lineRule="exact"/>
        <w:rPr>
          <w:rFonts w:ascii="Arial" w:cs="Arial" w:eastAsia="Arial" w:hAnsi="Arial"/>
          <w:sz w:val="22"/>
          <w:szCs w:val="22"/>
          <w:color w:val="auto"/>
        </w:rPr>
      </w:pPr>
    </w:p>
    <w:p>
      <w:pPr>
        <w:ind w:left="660" w:right="100" w:firstLine="645"/>
        <w:spacing w:after="0" w:line="235" w:lineRule="auto"/>
        <w:tabs>
          <w:tab w:leader="none" w:pos="1998"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as soon as available and in any event within 50 days after the end of each of the first three quarters of each fiscal year of the Borrower, a Consolidated balance sheet of the Consolidated Group as of the end of such quarter and Consolidated statements of earnings and cash flows of the Consolidated Group for the period commencing at the end of the previous fiscal year and ending with the end of such quarter, duly certified by the Chief Financial Officer, the Controller or the Treasurer of the Borrower as having been prepared in accordance with GAAP (subject to the absence of footnotes and year end audit adjustments);</w:t>
      </w:r>
    </w:p>
    <w:p>
      <w:pPr>
        <w:spacing w:after="0" w:line="215" w:lineRule="exact"/>
        <w:rPr>
          <w:rFonts w:ascii="Arial" w:cs="Arial" w:eastAsia="Arial" w:hAnsi="Arial"/>
          <w:sz w:val="22"/>
          <w:szCs w:val="22"/>
          <w:color w:val="auto"/>
        </w:rPr>
      </w:pPr>
    </w:p>
    <w:p>
      <w:pPr>
        <w:ind w:left="660" w:right="160" w:firstLine="645"/>
        <w:spacing w:after="0" w:line="235" w:lineRule="auto"/>
        <w:tabs>
          <w:tab w:leader="none" w:pos="2004"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as soon as available and in any event within 100 days after the end of each fiscal year of the Borrower, a copy of the annual audit report for such year for the Consolidated Group, containing a Consolidated balance sheet of the Consolidated Group as of the end of such fiscal year and Consolidated statements of earnings and cash flows of the Consolidated Group for such fiscal year, in each case accompanied by an unqualified opinion or an opinion reasonably acceptable to the Required Lenders by Ernst &amp; Young LLP or other independent public accountants of recognized national standing;</w:t>
      </w:r>
    </w:p>
    <w:p>
      <w:pPr>
        <w:spacing w:after="0" w:line="215" w:lineRule="exact"/>
        <w:rPr>
          <w:rFonts w:ascii="Arial" w:cs="Arial" w:eastAsia="Arial" w:hAnsi="Arial"/>
          <w:sz w:val="22"/>
          <w:szCs w:val="22"/>
          <w:color w:val="auto"/>
        </w:rPr>
      </w:pPr>
    </w:p>
    <w:p>
      <w:pPr>
        <w:ind w:left="660" w:right="200" w:firstLine="645"/>
        <w:spacing w:after="0" w:line="287" w:lineRule="auto"/>
        <w:tabs>
          <w:tab w:leader="none" w:pos="201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simultaneously with each delivery of the financial statements referred to in subclauses (i) and (ii) of this Section 5.01(i), a certificate of the Chief Financial Officer, the Controller or the Treasurer of the Borrower that no Default or Event of Default has occurred and is continuing (or if such event has occurred and is continuing the actions being taken by the Borrower to cure such Default or Event of Default), including, if such covenant is tested at such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setting forth in reasonable detail the calculations necessary to demonstrate compliance with Section 5.03;</w:t>
      </w:r>
    </w:p>
    <w:p>
      <w:pPr>
        <w:spacing w:after="0" w:line="233" w:lineRule="exact"/>
        <w:rPr>
          <w:sz w:val="20"/>
          <w:szCs w:val="20"/>
          <w:color w:val="auto"/>
        </w:rPr>
      </w:pPr>
    </w:p>
    <w:p>
      <w:pPr>
        <w:jc w:val="both"/>
        <w:ind w:left="660" w:right="220" w:firstLine="645"/>
        <w:spacing w:after="0" w:line="252" w:lineRule="auto"/>
        <w:tabs>
          <w:tab w:leader="none" w:pos="1998" w:val="left"/>
        </w:tabs>
        <w:numPr>
          <w:ilvl w:val="1"/>
          <w:numId w:val="167"/>
        </w:numPr>
        <w:rPr>
          <w:rFonts w:ascii="Arial" w:cs="Arial" w:eastAsia="Arial" w:hAnsi="Arial"/>
          <w:sz w:val="21"/>
          <w:szCs w:val="21"/>
          <w:color w:val="auto"/>
        </w:rPr>
      </w:pPr>
      <w:r>
        <w:rPr>
          <w:rFonts w:ascii="Arial" w:cs="Arial" w:eastAsia="Arial" w:hAnsi="Arial"/>
          <w:sz w:val="21"/>
          <w:szCs w:val="21"/>
          <w:color w:val="auto"/>
        </w:rPr>
        <w:t>as soon as possible and in any event within five days after any Responsible Officer of the Borrower shall have obtained knowledge of the occurrence of each Default continuing on the date of such statement, a statement of the Chief Financial Officer, the Controller or the Treasurer of the Borrower setting forth details of such Default and the action that the Borrower has taken and proposes to take with respect thereto;</w:t>
      </w:r>
    </w:p>
    <w:p>
      <w:pPr>
        <w:spacing w:after="0" w:line="201" w:lineRule="exact"/>
        <w:rPr>
          <w:rFonts w:ascii="Arial" w:cs="Arial" w:eastAsia="Arial" w:hAnsi="Arial"/>
          <w:sz w:val="21"/>
          <w:szCs w:val="21"/>
          <w:color w:val="auto"/>
        </w:rPr>
      </w:pPr>
    </w:p>
    <w:p>
      <w:pPr>
        <w:ind w:left="660" w:right="720" w:firstLine="645"/>
        <w:spacing w:after="0" w:line="297" w:lineRule="auto"/>
        <w:tabs>
          <w:tab w:leader="none" w:pos="199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promptly after the sending or filing thereof, copies of all reports that the Borrower sends to any of its securityholders, in their capacity as such, and copies of all reports and registration statements that members of the Consolidated Group file with the Securities and Exchange Commission or any national securities exchange;</w:t>
      </w:r>
    </w:p>
    <w:p>
      <w:pPr>
        <w:spacing w:after="0" w:line="161" w:lineRule="exact"/>
        <w:rPr>
          <w:rFonts w:ascii="Arial" w:cs="Arial" w:eastAsia="Arial" w:hAnsi="Arial"/>
          <w:sz w:val="19"/>
          <w:szCs w:val="19"/>
          <w:color w:val="auto"/>
        </w:rPr>
      </w:pPr>
    </w:p>
    <w:p>
      <w:pPr>
        <w:ind w:left="660" w:right="300" w:firstLine="645"/>
        <w:spacing w:after="0" w:line="258" w:lineRule="auto"/>
        <w:tabs>
          <w:tab w:leader="none" w:pos="1998" w:val="left"/>
        </w:tabs>
        <w:numPr>
          <w:ilvl w:val="1"/>
          <w:numId w:val="167"/>
        </w:numPr>
        <w:rPr>
          <w:rFonts w:ascii="Arial" w:cs="Arial" w:eastAsia="Arial" w:hAnsi="Arial"/>
          <w:sz w:val="21"/>
          <w:szCs w:val="21"/>
          <w:color w:val="auto"/>
        </w:rPr>
      </w:pPr>
      <w:r>
        <w:rPr>
          <w:rFonts w:ascii="Arial" w:cs="Arial" w:eastAsia="Arial" w:hAnsi="Arial"/>
          <w:sz w:val="21"/>
          <w:szCs w:val="21"/>
          <w:color w:val="auto"/>
        </w:rPr>
        <w:t>promptly after a Responsible Officer of the Borrower obtains knowledge of the commencement thereof, notice of all actions, suits, investigations, litigations and proceedings before any court, governmental agency or arbitrator affecting the Consolidated Group of the type described in Section 4.01(f)(ii); and</w:t>
      </w:r>
    </w:p>
    <w:p>
      <w:pPr>
        <w:spacing w:after="0" w:line="193" w:lineRule="exact"/>
        <w:rPr>
          <w:rFonts w:ascii="Arial" w:cs="Arial" w:eastAsia="Arial" w:hAnsi="Arial"/>
          <w:sz w:val="21"/>
          <w:szCs w:val="21"/>
          <w:color w:val="auto"/>
        </w:rPr>
      </w:pPr>
    </w:p>
    <w:p>
      <w:pPr>
        <w:ind w:left="660" w:right="140" w:firstLine="645"/>
        <w:spacing w:after="0" w:line="251" w:lineRule="auto"/>
        <w:tabs>
          <w:tab w:leader="none" w:pos="2004" w:val="left"/>
        </w:tabs>
        <w:numPr>
          <w:ilvl w:val="1"/>
          <w:numId w:val="167"/>
        </w:numPr>
        <w:rPr>
          <w:rFonts w:ascii="Arial" w:cs="Arial" w:eastAsia="Arial" w:hAnsi="Arial"/>
          <w:sz w:val="22"/>
          <w:szCs w:val="22"/>
          <w:color w:val="auto"/>
        </w:rPr>
      </w:pPr>
      <w:r>
        <w:rPr>
          <w:rFonts w:ascii="Arial" w:cs="Arial" w:eastAsia="Arial" w:hAnsi="Arial"/>
          <w:sz w:val="22"/>
          <w:szCs w:val="22"/>
          <w:color w:val="auto"/>
        </w:rPr>
        <w:t>such other information respecting the Consolidated Group as any Lender through the Administrative Agent may from time to time reasonably request.</w:t>
      </w:r>
    </w:p>
    <w:p>
      <w:pPr>
        <w:spacing w:after="0" w:line="200" w:lineRule="exact"/>
        <w:rPr>
          <w:rFonts w:ascii="Arial" w:cs="Arial" w:eastAsia="Arial" w:hAnsi="Arial"/>
          <w:sz w:val="22"/>
          <w:szCs w:val="22"/>
          <w:color w:val="auto"/>
        </w:rPr>
      </w:pPr>
    </w:p>
    <w:p>
      <w:pPr>
        <w:ind w:firstLine="656"/>
        <w:spacing w:after="0" w:line="246" w:lineRule="auto"/>
        <w:tabs>
          <w:tab w:leader="none" w:pos="1176" w:val="left"/>
        </w:tabs>
        <w:numPr>
          <w:ilvl w:val="0"/>
          <w:numId w:val="168"/>
        </w:numPr>
        <w:rPr>
          <w:rFonts w:ascii="Arial" w:cs="Arial" w:eastAsia="Arial" w:hAnsi="Arial"/>
          <w:sz w:val="21"/>
          <w:szCs w:val="21"/>
          <w:color w:val="auto"/>
        </w:rPr>
      </w:pPr>
      <w:r>
        <w:rPr>
          <w:rFonts w:ascii="Arial" w:cs="Arial" w:eastAsia="Arial" w:hAnsi="Arial"/>
          <w:sz w:val="21"/>
          <w:szCs w:val="21"/>
          <w:i w:val="1"/>
          <w:iCs w:val="1"/>
          <w:color w:val="auto"/>
        </w:rPr>
        <w:t>Sanctions and FCPA</w:t>
      </w:r>
      <w:r>
        <w:rPr>
          <w:rFonts w:ascii="Arial" w:cs="Arial" w:eastAsia="Arial" w:hAnsi="Arial"/>
          <w:sz w:val="21"/>
          <w:szCs w:val="21"/>
          <w:color w:val="auto"/>
        </w:rPr>
        <w:t>. The Borrower shall ensure and shall cause each member of the Consolidated Group to ensure,</w:t>
      </w:r>
      <w:r>
        <w:rPr>
          <w:rFonts w:ascii="Arial" w:cs="Arial" w:eastAsia="Arial" w:hAnsi="Arial"/>
          <w:sz w:val="21"/>
          <w:szCs w:val="21"/>
          <w:i w:val="1"/>
          <w:iCs w:val="1"/>
          <w:color w:val="auto"/>
        </w:rPr>
        <w:t xml:space="preserve"> </w:t>
      </w:r>
      <w:r>
        <w:rPr>
          <w:rFonts w:ascii="Arial" w:cs="Arial" w:eastAsia="Arial" w:hAnsi="Arial"/>
          <w:sz w:val="21"/>
          <w:szCs w:val="21"/>
          <w:color w:val="auto"/>
        </w:rPr>
        <w:t>and, to their knowledge, their respective officers, employees, directors and agents (in their capacity as officers, employees, directors or agents, respectively, of the Borrower or another member of the Consolidated Group), shall ensure, that the proceeds of any Advances shall not be used by such Persons (i) to fund any activities or business of or with any Embargoed Person, or in any country or territory, that at the time of such funding is the target of any Sanctions, (ii) in any other manner that would result in a violation of any Sanctions by the Agents, Lenders, the Borrower or any member of the Consolidated Group or (iii) in furtherance of an offer, payment, promise to pay, or authorization of the payment or giving of money, or anything else of value, to any Person in violation of any Anti-Corruption Laws.</w:t>
      </w:r>
    </w:p>
    <w:p>
      <w:pPr>
        <w:sectPr>
          <w:pgSz w:w="11900" w:h="16838" w:orient="portrait"/>
          <w:cols w:equalWidth="0" w:num="1">
            <w:col w:w="11420"/>
          </w:cols>
          <w:pgMar w:left="240" w:top="604" w:right="239" w:bottom="0" w:gutter="0" w:footer="0" w:header="0"/>
        </w:sectPr>
      </w:pPr>
    </w:p>
    <w:bookmarkStart w:id="88" w:name="page89"/>
    <w:bookmarkEnd w:id="88"/>
    <w:p>
      <w:pPr>
        <w:spacing w:after="0" w:line="119"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Information required to be delivered pursuant to subsections (i), (ii) and (v) of Section 5.01(i) above shall be deemed to have been delivered if such information, or one or more annual or quarterly or other reports or proxy statements containing such information, shall have been posted and available on the website of the Securities and Exchange Commission at http://www.sec.gov (and a confirming electronic correspondence is delivered or caused to be delivered by the Borrower to the Administrative Agent providing notice of such availability). The Borrower hereby acknowledges that the Administrative Agent and/or the Arranger will make available to the Lenders materials and/or information provided by or on behalf of the Borrower hereunder (collectively,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9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 Materials</w:t>
      </w:r>
      <w:r>
        <w:rPr>
          <w:rFonts w:ascii="Arial" w:cs="Arial" w:eastAsia="Arial" w:hAnsi="Arial"/>
          <w:sz w:val="22"/>
          <w:szCs w:val="22"/>
          <w:color w:val="auto"/>
        </w:rPr>
        <w:t>”) by posting the Borrower Materials on IntraLinks or another similar secure electronic system (the “</w:t>
      </w:r>
      <w:r>
        <w:rPr>
          <w:rFonts w:ascii="Arial" w:cs="Arial" w:eastAsia="Arial" w:hAnsi="Arial"/>
          <w:sz w:val="22"/>
          <w:szCs w:val="22"/>
          <w:b w:val="1"/>
          <w:bCs w:val="1"/>
          <w:color w:val="auto"/>
        </w:rPr>
        <w:t>Platform</w:t>
      </w:r>
      <w:r>
        <w:rPr>
          <w:rFonts w:ascii="Arial" w:cs="Arial" w:eastAsia="Arial" w:hAnsi="Arial"/>
          <w:sz w:val="22"/>
          <w:szCs w:val="22"/>
          <w:color w:val="auto"/>
        </w:rPr>
        <w:t>”).</w:t>
      </w:r>
    </w:p>
    <w:p>
      <w:pPr>
        <w:spacing w:after="0" w:line="190"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Certain of the Lenders (each, a “</w:t>
      </w:r>
      <w:r>
        <w:rPr>
          <w:rFonts w:ascii="Arial" w:cs="Arial" w:eastAsia="Arial" w:hAnsi="Arial"/>
          <w:sz w:val="19"/>
          <w:szCs w:val="19"/>
          <w:b w:val="1"/>
          <w:bCs w:val="1"/>
          <w:color w:val="auto"/>
        </w:rPr>
        <w:t>Public Lender</w:t>
      </w:r>
      <w:r>
        <w:rPr>
          <w:rFonts w:ascii="Arial" w:cs="Arial" w:eastAsia="Arial" w:hAnsi="Arial"/>
          <w:sz w:val="19"/>
          <w:szCs w:val="19"/>
          <w:color w:val="auto"/>
        </w:rPr>
        <w:t>”) may have personnel who do not wish to receive material non-public information with respect to the Borrower or its respective Affiliates, or the respective securities of any of the foregoing, and who may be engaged in investment and other market-related activities with respect to such Persons’ securities. The Borrower hereby agrees that</w:t>
      </w:r>
    </w:p>
    <w:p>
      <w:pPr>
        <w:spacing w:after="0" w:line="2" w:lineRule="exact"/>
        <w:rPr>
          <w:sz w:val="20"/>
          <w:szCs w:val="20"/>
          <w:color w:val="auto"/>
        </w:rPr>
      </w:pPr>
    </w:p>
    <w:p>
      <w:pPr>
        <w:ind w:left="360" w:hanging="352"/>
        <w:spacing w:after="0"/>
        <w:tabs>
          <w:tab w:leader="none" w:pos="3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all Borrower Materials that are to be made available to Public Lenders shall be clearly and conspicuously marked “PUBLIC”;</w:t>
      </w:r>
    </w:p>
    <w:p>
      <w:pPr>
        <w:spacing w:after="0" w:line="24" w:lineRule="exact"/>
        <w:rPr>
          <w:rFonts w:ascii="Arial" w:cs="Arial" w:eastAsia="Arial" w:hAnsi="Arial"/>
          <w:sz w:val="19"/>
          <w:szCs w:val="19"/>
          <w:color w:val="auto"/>
        </w:rPr>
      </w:pPr>
    </w:p>
    <w:p>
      <w:pPr>
        <w:ind w:right="60" w:firstLine="8"/>
        <w:spacing w:after="0" w:line="273" w:lineRule="auto"/>
        <w:tabs>
          <w:tab w:leader="none" w:pos="30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by marking Borrower Materials “PUBLIC,” the Borrower shall be deemed to have authorized the Administrative Agent and the Lenders to treat the Borrower Materials as not containing any material non-public information with respect to the Borrower or its securities for purposes of United States Federal and state securities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the Borrower Materials constitute Information, they shall be treated as set forth in Section 8.08); (y) all Borrower Materials marked “PUBLIC” are permitted to be made available through a portion of the Platform designed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Negative Covenants</w:t>
      </w:r>
      <w:r>
        <w:rPr>
          <w:rFonts w:ascii="Arial" w:cs="Arial" w:eastAsia="Arial" w:hAnsi="Arial"/>
          <w:sz w:val="22"/>
          <w:szCs w:val="22"/>
          <w:color w:val="auto"/>
        </w:rPr>
        <w:t>. So long as any Advance shall remain unpaid or any Lender shall have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Commitment hereunder, the Borrower will not:</w:t>
      </w:r>
    </w:p>
    <w:p>
      <w:pPr>
        <w:spacing w:after="0" w:line="215" w:lineRule="exact"/>
        <w:rPr>
          <w:sz w:val="20"/>
          <w:szCs w:val="20"/>
          <w:color w:val="auto"/>
        </w:rPr>
      </w:pPr>
    </w:p>
    <w:p>
      <w:pPr>
        <w:ind w:firstLine="656"/>
        <w:spacing w:after="0" w:line="274" w:lineRule="auto"/>
        <w:tabs>
          <w:tab w:leader="none" w:pos="1212"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Liens, Etc</w:t>
      </w:r>
      <w:r>
        <w:rPr>
          <w:rFonts w:ascii="Arial" w:cs="Arial" w:eastAsia="Arial" w:hAnsi="Arial"/>
          <w:sz w:val="19"/>
          <w:szCs w:val="19"/>
          <w:color w:val="auto"/>
        </w:rPr>
        <w:t>. Incur, issue, assume or guarantee, or permit any Domestic Subsidiary to incur, issue, assume or guaranty,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at any time, any Borrowed Debt secured by a Lien on any Principal Domestic Property of the Borrower or any Domestic Subsidiary, or any shares of stock or Borrowed Debt of any Domestic Subsidiary (other than Margin Stock), without effectively providing that the Advances outstanding at such time (together with, if the Borrower shall so determine, any other Borrowed Debt of the Borrower or such Domestic Subsidiary existing at such time or thereafter created that is not subordinate to the Advances) shall be secured equally and ratably with (or prior to) such secured Borrowed Debt, so long as such secured Borrowed Debt shall be so secured, unless, after giving effect thereto, the aggregate amount of all such secured Borrowed Debt would not exceed 15% of Consolidated Net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Section 5.02(a) shall not apply to, and there shall be excluded from secured Borrowed Debt in any computation under this Section 5.02(a), Borrowed Debt secured by:</w:t>
      </w:r>
    </w:p>
    <w:p>
      <w:pPr>
        <w:spacing w:after="0" w:line="185" w:lineRule="exact"/>
        <w:rPr>
          <w:rFonts w:ascii="Arial" w:cs="Arial" w:eastAsia="Arial" w:hAnsi="Arial"/>
          <w:sz w:val="19"/>
          <w:szCs w:val="19"/>
          <w:color w:val="auto"/>
        </w:rPr>
      </w:pPr>
    </w:p>
    <w:p>
      <w:pPr>
        <w:ind w:left="660" w:right="320" w:firstLine="645"/>
        <w:spacing w:after="0" w:line="251" w:lineRule="auto"/>
        <w:tabs>
          <w:tab w:leader="none" w:pos="1998" w:val="left"/>
        </w:tabs>
        <w:numPr>
          <w:ilvl w:val="1"/>
          <w:numId w:val="170"/>
        </w:numPr>
        <w:rPr>
          <w:rFonts w:ascii="Arial" w:cs="Arial" w:eastAsia="Arial" w:hAnsi="Arial"/>
          <w:sz w:val="22"/>
          <w:szCs w:val="22"/>
          <w:color w:val="auto"/>
        </w:rPr>
      </w:pPr>
      <w:r>
        <w:rPr>
          <w:rFonts w:ascii="Arial" w:cs="Arial" w:eastAsia="Arial" w:hAnsi="Arial"/>
          <w:sz w:val="22"/>
          <w:szCs w:val="22"/>
          <w:color w:val="auto"/>
        </w:rPr>
        <w:t>Liens on property of, or on any shares of stock or Borrowed Debt of, any Person existing at the time such Person becomes a Domestic Subsidiary;</w:t>
      </w:r>
    </w:p>
    <w:p>
      <w:pPr>
        <w:spacing w:after="0" w:line="200" w:lineRule="exact"/>
        <w:rPr>
          <w:rFonts w:ascii="Arial" w:cs="Arial" w:eastAsia="Arial" w:hAnsi="Arial"/>
          <w:sz w:val="22"/>
          <w:szCs w:val="22"/>
          <w:color w:val="auto"/>
        </w:rPr>
      </w:pPr>
    </w:p>
    <w:p>
      <w:pPr>
        <w:ind w:left="2000" w:hanging="695"/>
        <w:spacing w:after="0"/>
        <w:tabs>
          <w:tab w:leader="none" w:pos="200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Liens in favor of the Borrower or any Domestic Subsidiary;</w:t>
      </w:r>
    </w:p>
    <w:p>
      <w:pPr>
        <w:spacing w:after="0" w:line="233" w:lineRule="exact"/>
        <w:rPr>
          <w:rFonts w:ascii="Arial" w:cs="Arial" w:eastAsia="Arial" w:hAnsi="Arial"/>
          <w:sz w:val="22"/>
          <w:szCs w:val="22"/>
          <w:color w:val="auto"/>
        </w:rPr>
      </w:pPr>
    </w:p>
    <w:p>
      <w:pPr>
        <w:ind w:left="660" w:right="400" w:firstLine="645"/>
        <w:spacing w:after="0" w:line="328" w:lineRule="auto"/>
        <w:tabs>
          <w:tab w:leader="none" w:pos="201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Liens on property of the Borrower or any Domestic Subsidiary in favor of the United States or any State thereof, or any department, agency or instrumentality or political subdivision of the United States or any State thereof,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160"/>
        <w:spacing w:after="0" w:line="251" w:lineRule="auto"/>
        <w:rPr>
          <w:sz w:val="20"/>
          <w:szCs w:val="20"/>
          <w:color w:val="auto"/>
        </w:rPr>
      </w:pPr>
      <w:r>
        <w:rPr>
          <w:rFonts w:ascii="Arial" w:cs="Arial" w:eastAsia="Arial" w:hAnsi="Arial"/>
          <w:sz w:val="22"/>
          <w:szCs w:val="22"/>
          <w:color w:val="auto"/>
        </w:rPr>
        <w:t>or in favor of any other country, or any political subdivision thereof, to secure partial, progress, advance or other payments pursuant to any contract or statute;</w:t>
      </w:r>
    </w:p>
    <w:p>
      <w:pPr>
        <w:spacing w:after="0" w:line="200" w:lineRule="exact"/>
        <w:rPr>
          <w:sz w:val="20"/>
          <w:szCs w:val="20"/>
          <w:color w:val="auto"/>
        </w:rPr>
      </w:pPr>
    </w:p>
    <w:p>
      <w:pPr>
        <w:ind w:left="660" w:right="20" w:firstLine="645"/>
        <w:spacing w:after="0" w:line="282" w:lineRule="auto"/>
        <w:tabs>
          <w:tab w:leader="none" w:pos="199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Liens on property, shares of stock or Borrowed Debt existing at the time of acquisition thereof (including acquisition through merger or consolidation) or to secure the payment of all or any part of the purchase price or construction or improvement cost thereof or to secure any Debt incurred prior to, at the time of, or within 180 days after, the acquisition of such property or shares or Borrowed Debt or the completion of any such construction or improvement for the purpose of financing all or any part of the purchase price or construction or improvement cost thereof;</w:t>
      </w:r>
    </w:p>
    <w:p>
      <w:pPr>
        <w:spacing w:after="0" w:line="174" w:lineRule="exact"/>
        <w:rPr>
          <w:rFonts w:ascii="Arial" w:cs="Arial" w:eastAsia="Arial" w:hAnsi="Arial"/>
          <w:sz w:val="19"/>
          <w:szCs w:val="19"/>
          <w:color w:val="auto"/>
        </w:rPr>
      </w:pPr>
    </w:p>
    <w:p>
      <w:pPr>
        <w:ind w:left="1980" w:hanging="675"/>
        <w:spacing w:after="0"/>
        <w:tabs>
          <w:tab w:leader="none" w:pos="198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Liens existing on the Effective Date;</w:t>
      </w:r>
    </w:p>
    <w:p>
      <w:pPr>
        <w:spacing w:after="0" w:line="233" w:lineRule="exact"/>
        <w:rPr>
          <w:rFonts w:ascii="Arial" w:cs="Arial" w:eastAsia="Arial" w:hAnsi="Arial"/>
          <w:sz w:val="22"/>
          <w:szCs w:val="22"/>
          <w:color w:val="auto"/>
        </w:rPr>
      </w:pPr>
    </w:p>
    <w:p>
      <w:pPr>
        <w:ind w:left="2000" w:hanging="695"/>
        <w:spacing w:after="0"/>
        <w:tabs>
          <w:tab w:leader="none" w:pos="20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Liens incurred in connection with pollution control, industrial revenue or similar financing;</w:t>
      </w:r>
    </w:p>
    <w:p>
      <w:pPr>
        <w:spacing w:after="0" w:line="233" w:lineRule="exact"/>
        <w:rPr>
          <w:rFonts w:ascii="Arial" w:cs="Arial" w:eastAsia="Arial" w:hAnsi="Arial"/>
          <w:sz w:val="22"/>
          <w:szCs w:val="22"/>
          <w:color w:val="auto"/>
        </w:rPr>
      </w:pPr>
    </w:p>
    <w:p>
      <w:pPr>
        <w:jc w:val="both"/>
        <w:ind w:left="660" w:right="60" w:firstLine="645"/>
        <w:spacing w:after="0" w:line="297" w:lineRule="auto"/>
        <w:tabs>
          <w:tab w:leader="none" w:pos="200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survey exceptions and such matters as an accurate survey would disclose, easements, trackage rights, leases, licenses, special assessments, rights of way covenants, conditions, restrictions and declarations on or with respect to the use of real property, servicing agreements, development agreements, site plan agreements and other similar encumbrances</w:t>
      </w:r>
    </w:p>
    <w:p>
      <w:pPr>
        <w:sectPr>
          <w:pgSz w:w="11900" w:h="16958" w:orient="portrait"/>
          <w:cols w:equalWidth="0" w:num="1">
            <w:col w:w="11420"/>
          </w:cols>
          <w:pgMar w:left="240" w:top="118" w:right="239" w:bottom="0" w:gutter="0" w:footer="0" w:header="0"/>
        </w:sectPr>
      </w:pPr>
    </w:p>
    <w:bookmarkStart w:id="89" w:name="page90"/>
    <w:bookmarkEnd w:id="89"/>
    <w:p>
      <w:pPr>
        <w:spacing w:after="0" w:line="110" w:lineRule="exact"/>
        <w:rPr>
          <w:sz w:val="20"/>
          <w:szCs w:val="20"/>
          <w:color w:val="auto"/>
        </w:rPr>
      </w:pPr>
    </w:p>
    <w:p>
      <w:pPr>
        <w:ind w:left="660" w:right="660"/>
        <w:spacing w:after="0" w:line="241" w:lineRule="auto"/>
        <w:rPr>
          <w:sz w:val="20"/>
          <w:szCs w:val="20"/>
          <w:color w:val="auto"/>
        </w:rPr>
      </w:pPr>
      <w:r>
        <w:rPr>
          <w:rFonts w:ascii="Arial" w:cs="Arial" w:eastAsia="Arial" w:hAnsi="Arial"/>
          <w:sz w:val="22"/>
          <w:szCs w:val="22"/>
          <w:color w:val="auto"/>
        </w:rPr>
        <w:t>incurred in the ordinary course of business and title defects or irregularities that are of a minor nature and that, in the aggregate, do not interfere in any material respect with the ordinary conduct of the business of the Borrower or any Domestic Subsidiary; and</w:t>
      </w:r>
    </w:p>
    <w:p>
      <w:pPr>
        <w:spacing w:after="0" w:line="211" w:lineRule="exact"/>
        <w:rPr>
          <w:sz w:val="20"/>
          <w:szCs w:val="20"/>
          <w:color w:val="auto"/>
        </w:rPr>
      </w:pPr>
    </w:p>
    <w:p>
      <w:pPr>
        <w:ind w:left="660" w:right="80" w:firstLine="645"/>
        <w:spacing w:after="0" w:line="249" w:lineRule="auto"/>
        <w:tabs>
          <w:tab w:leader="none" w:pos="2010" w:val="left"/>
        </w:tabs>
        <w:numPr>
          <w:ilvl w:val="1"/>
          <w:numId w:val="172"/>
        </w:numPr>
        <w:rPr>
          <w:rFonts w:ascii="Arial" w:cs="Arial" w:eastAsia="Arial" w:hAnsi="Arial"/>
          <w:sz w:val="21"/>
          <w:szCs w:val="21"/>
          <w:color w:val="auto"/>
        </w:rPr>
      </w:pPr>
      <w:r>
        <w:rPr>
          <w:rFonts w:ascii="Arial" w:cs="Arial" w:eastAsia="Arial" w:hAnsi="Arial"/>
          <w:sz w:val="21"/>
          <w:szCs w:val="21"/>
          <w:color w:val="auto"/>
        </w:rPr>
        <w:t xml:space="preserve">any extension, renewal or replacement (or successive extensions, renewals or replacements), as a whole or in part, of any Borrowed Debt secured by any Lien referred to in subclauses (i) through (vii) of this Section 5.02(a); </w:t>
      </w:r>
      <w:r>
        <w:rPr>
          <w:rFonts w:ascii="Arial" w:cs="Arial" w:eastAsia="Arial" w:hAnsi="Arial"/>
          <w:sz w:val="21"/>
          <w:szCs w:val="21"/>
          <w:i w:val="1"/>
          <w:iCs w:val="1"/>
          <w:color w:val="auto"/>
        </w:rPr>
        <w:t>provided</w:t>
      </w:r>
      <w:r>
        <w:rPr>
          <w:rFonts w:ascii="Arial" w:cs="Arial" w:eastAsia="Arial" w:hAnsi="Arial"/>
          <w:sz w:val="21"/>
          <w:szCs w:val="21"/>
          <w:color w:val="auto"/>
        </w:rPr>
        <w:t>, that (i) such extension renewal or replacement Lien shall be limited to all or a part of the same property, shares of</w:t>
      </w:r>
      <w:r>
        <w:rPr>
          <w:rFonts w:ascii="Arial" w:cs="Arial" w:eastAsia="Arial" w:hAnsi="Arial"/>
          <w:sz w:val="21"/>
          <w:szCs w:val="21"/>
          <w:i w:val="1"/>
          <w:iCs w:val="1"/>
          <w:color w:val="auto"/>
        </w:rPr>
        <w:t xml:space="preserve"> </w:t>
      </w:r>
      <w:r>
        <w:rPr>
          <w:rFonts w:ascii="Arial" w:cs="Arial" w:eastAsia="Arial" w:hAnsi="Arial"/>
          <w:sz w:val="21"/>
          <w:szCs w:val="21"/>
          <w:color w:val="auto"/>
        </w:rPr>
        <w:t>stock or Debt that secured the Lien extended, renewed or replaced (plus improvements on such property) and (ii) the Borrowed Debt secured by such Lien at such time is not increased.</w:t>
      </w:r>
    </w:p>
    <w:p>
      <w:pPr>
        <w:spacing w:after="0" w:line="205" w:lineRule="exact"/>
        <w:rPr>
          <w:rFonts w:ascii="Arial" w:cs="Arial" w:eastAsia="Arial" w:hAnsi="Arial"/>
          <w:sz w:val="21"/>
          <w:szCs w:val="21"/>
          <w:color w:val="auto"/>
        </w:rPr>
      </w:pPr>
    </w:p>
    <w:p>
      <w:pPr>
        <w:ind w:right="320" w:firstLine="656"/>
        <w:spacing w:after="0" w:line="297" w:lineRule="auto"/>
        <w:tabs>
          <w:tab w:leader="none" w:pos="1170" w:val="left"/>
        </w:tabs>
        <w:numPr>
          <w:ilvl w:val="0"/>
          <w:numId w:val="173"/>
        </w:numPr>
        <w:rPr>
          <w:rFonts w:ascii="Arial" w:cs="Arial" w:eastAsia="Arial" w:hAnsi="Arial"/>
          <w:sz w:val="19"/>
          <w:szCs w:val="19"/>
          <w:color w:val="auto"/>
        </w:rPr>
      </w:pPr>
      <w:r>
        <w:rPr>
          <w:rFonts w:ascii="Arial" w:cs="Arial" w:eastAsia="Arial" w:hAnsi="Arial"/>
          <w:sz w:val="19"/>
          <w:szCs w:val="19"/>
          <w:i w:val="1"/>
          <w:iCs w:val="1"/>
          <w:color w:val="auto"/>
        </w:rPr>
        <w:t>Mergers, Etc</w:t>
      </w:r>
      <w:r>
        <w:rPr>
          <w:rFonts w:ascii="Arial" w:cs="Arial" w:eastAsia="Arial" w:hAnsi="Arial"/>
          <w:sz w:val="19"/>
          <w:szCs w:val="19"/>
          <w:color w:val="auto"/>
        </w:rPr>
        <w:t>. Merge or consolidate with or into, or convey, transfer, lease or otherwise dispose of (whether in one</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 or in a series of transactions) all or substantially all of its assets (other than Margin Stock) (whether now owned or hereafter acquired) to, any Person, or permit any member of the Consolidated Group to do so, except that:</w:t>
      </w:r>
    </w:p>
    <w:p>
      <w:pPr>
        <w:spacing w:after="0" w:line="161" w:lineRule="exact"/>
        <w:rPr>
          <w:rFonts w:ascii="Arial" w:cs="Arial" w:eastAsia="Arial" w:hAnsi="Arial"/>
          <w:sz w:val="19"/>
          <w:szCs w:val="19"/>
          <w:color w:val="auto"/>
        </w:rPr>
      </w:pPr>
    </w:p>
    <w:p>
      <w:pPr>
        <w:ind w:left="660" w:right="140" w:firstLine="645"/>
        <w:spacing w:after="0" w:line="328" w:lineRule="auto"/>
        <w:tabs>
          <w:tab w:leader="none" w:pos="1998"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any member of (x) the Consolidated Group other than the Borrower may merge or consolidate with or into, or (y) the Consolidated Group may dispose of assets to, in each case, any other member of the Consolidated Group;</w:t>
      </w:r>
    </w:p>
    <w:p>
      <w:pPr>
        <w:spacing w:after="0" w:line="132" w:lineRule="exact"/>
        <w:rPr>
          <w:rFonts w:ascii="Arial" w:cs="Arial" w:eastAsia="Arial" w:hAnsi="Arial"/>
          <w:sz w:val="19"/>
          <w:szCs w:val="19"/>
          <w:color w:val="auto"/>
        </w:rPr>
      </w:pPr>
    </w:p>
    <w:p>
      <w:pPr>
        <w:ind w:left="660" w:firstLine="645"/>
        <w:spacing w:after="0" w:line="328" w:lineRule="auto"/>
        <w:tabs>
          <w:tab w:leader="none" w:pos="2004"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the Borrower may merge with any other Person so long as (A) the Borrower is the surviving entity or (B) the surviving entity shall </w:t>
      </w:r>
      <w:r>
        <w:rPr>
          <w:rFonts w:ascii="Arial" w:cs="Arial" w:eastAsia="Arial" w:hAnsi="Arial"/>
          <w:sz w:val="19"/>
          <w:szCs w:val="19"/>
          <w:color w:val="FF0000"/>
          <w:strike w:val="1"/>
        </w:rPr>
        <w:t>succeed</w:t>
      </w:r>
      <w:r>
        <w:rPr>
          <w:rFonts w:ascii="Arial" w:cs="Arial" w:eastAsia="Arial" w:hAnsi="Arial"/>
          <w:sz w:val="19"/>
          <w:szCs w:val="19"/>
          <w:u w:val="single" w:color="auto"/>
          <w:color w:val="0000FF"/>
        </w:rPr>
        <w:t>assume</w:t>
      </w:r>
      <w:r>
        <w:rPr>
          <w:rFonts w:ascii="Arial" w:cs="Arial" w:eastAsia="Arial" w:hAnsi="Arial"/>
          <w:sz w:val="19"/>
          <w:szCs w:val="19"/>
          <w:color w:val="auto"/>
        </w:rPr>
        <w:t>, by agreement reasonably satisfactory in form and substance to the Required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400"/>
        <w:spacing w:after="0" w:line="251" w:lineRule="auto"/>
        <w:rPr>
          <w:sz w:val="20"/>
          <w:szCs w:val="20"/>
          <w:color w:val="auto"/>
        </w:rPr>
      </w:pPr>
      <w:r>
        <w:rPr>
          <w:rFonts w:ascii="Arial" w:cs="Arial" w:eastAsia="Arial" w:hAnsi="Arial"/>
          <w:sz w:val="22"/>
          <w:szCs w:val="22"/>
          <w:color w:val="auto"/>
        </w:rPr>
        <w:t xml:space="preserve">Lenders, </w:t>
      </w:r>
      <w:r>
        <w:rPr>
          <w:rFonts w:ascii="Arial" w:cs="Arial" w:eastAsia="Arial" w:hAnsi="Arial"/>
          <w:sz w:val="22"/>
          <w:szCs w:val="22"/>
          <w:color w:val="FF0000"/>
          <w:strike w:val="1"/>
        </w:rPr>
        <w:t>to all of the businesses and operations of the Borrower and shall assume</w:t>
      </w:r>
      <w:r>
        <w:rPr>
          <w:rFonts w:ascii="Arial" w:cs="Arial" w:eastAsia="Arial" w:hAnsi="Arial"/>
          <w:sz w:val="22"/>
          <w:szCs w:val="22"/>
          <w:color w:val="auto"/>
        </w:rPr>
        <w:t xml:space="preserve"> all of the rights and obligations of the Borrower under this Agreement and the other Loan Documents;</w:t>
      </w:r>
    </w:p>
    <w:p>
      <w:pPr>
        <w:spacing w:after="0" w:line="200" w:lineRule="exact"/>
        <w:rPr>
          <w:sz w:val="20"/>
          <w:szCs w:val="20"/>
          <w:color w:val="auto"/>
        </w:rPr>
      </w:pPr>
    </w:p>
    <w:p>
      <w:pPr>
        <w:ind w:left="660" w:right="280" w:firstLine="645"/>
        <w:spacing w:after="0" w:line="282" w:lineRule="auto"/>
        <w:tabs>
          <w:tab w:leader="none" w:pos="201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any member of the Consolidated Group (other than the Borrower) may merge or consolidate with or into another Person, convey, transfer, lease or otherwise dispose of all or any portion of its assets so long as (A) the consideration received in respect of such merger, consolidation, conveyance, transfer, lease or other disposition is at least equal to the fair market value of such assets and (B) no Material Adverse Effect would reasonably be expected to result from such merger, consolidation, conveyance, transfer, lease or other disposition;</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in the cases of clause (</w:t>
      </w:r>
      <w:r>
        <w:rPr>
          <w:rFonts w:ascii="Arial" w:cs="Arial" w:eastAsia="Arial" w:hAnsi="Arial"/>
          <w:sz w:val="22"/>
          <w:szCs w:val="22"/>
          <w:color w:val="FF0000"/>
          <w:strike w:val="1"/>
        </w:rPr>
        <w:t>i), (</w:t>
      </w:r>
      <w:r>
        <w:rPr>
          <w:rFonts w:ascii="Arial" w:cs="Arial" w:eastAsia="Arial" w:hAnsi="Arial"/>
          <w:sz w:val="22"/>
          <w:szCs w:val="22"/>
          <w:color w:val="auto"/>
        </w:rPr>
        <w:t>ii)</w:t>
      </w:r>
      <w:r>
        <w:rPr>
          <w:rFonts w:ascii="Arial" w:cs="Arial" w:eastAsia="Arial" w:hAnsi="Arial"/>
          <w:sz w:val="22"/>
          <w:szCs w:val="22"/>
          <w:i w:val="1"/>
          <w:iCs w:val="1"/>
          <w:color w:val="auto"/>
        </w:rPr>
        <w:t xml:space="preserve"> </w:t>
      </w:r>
      <w:r>
        <w:rPr>
          <w:rFonts w:ascii="Arial" w:cs="Arial" w:eastAsia="Arial" w:hAnsi="Arial"/>
          <w:sz w:val="22"/>
          <w:szCs w:val="22"/>
          <w:color w:val="FF0000"/>
          <w:strike w:val="1"/>
        </w:rPr>
        <w:t>and (iii)</w:t>
      </w:r>
      <w:r>
        <w:rPr>
          <w:rFonts w:ascii="Arial" w:cs="Arial" w:eastAsia="Arial" w:hAnsi="Arial"/>
          <w:sz w:val="22"/>
          <w:szCs w:val="22"/>
          <w:i w:val="1"/>
          <w:iCs w:val="1"/>
          <w:color w:val="auto"/>
        </w:rPr>
        <w:t xml:space="preserve"> </w:t>
      </w:r>
      <w:r>
        <w:rPr>
          <w:rFonts w:ascii="Arial" w:cs="Arial" w:eastAsia="Arial" w:hAnsi="Arial"/>
          <w:sz w:val="22"/>
          <w:szCs w:val="22"/>
          <w:color w:val="auto"/>
        </w:rPr>
        <w:t>hereof, that no</w:t>
      </w:r>
      <w:r>
        <w:rPr>
          <w:rFonts w:ascii="Arial" w:cs="Arial" w:eastAsia="Arial" w:hAnsi="Arial"/>
          <w:sz w:val="22"/>
          <w:szCs w:val="22"/>
          <w:i w:val="1"/>
          <w:iCs w:val="1"/>
          <w:color w:val="auto"/>
        </w:rPr>
        <w:t xml:space="preserve"> </w:t>
      </w:r>
      <w:r>
        <w:rPr>
          <w:rFonts w:ascii="Arial" w:cs="Arial" w:eastAsia="Arial" w:hAnsi="Arial"/>
          <w:sz w:val="22"/>
          <w:szCs w:val="22"/>
          <w:color w:val="FF0000"/>
          <w:strike w:val="1"/>
        </w:rPr>
        <w:t>Default or Event of</w:t>
      </w:r>
      <w:r>
        <w:rPr>
          <w:rFonts w:ascii="Arial" w:cs="Arial" w:eastAsia="Arial" w:hAnsi="Arial"/>
          <w:sz w:val="22"/>
          <w:szCs w:val="22"/>
          <w:i w:val="1"/>
          <w:iCs w:val="1"/>
          <w:color w:val="auto"/>
        </w:rPr>
        <w:t xml:space="preserve"> </w:t>
      </w:r>
      <w:r>
        <w:rPr>
          <w:rFonts w:ascii="Arial" w:cs="Arial" w:eastAsia="Arial" w:hAnsi="Arial"/>
          <w:sz w:val="22"/>
          <w:szCs w:val="22"/>
          <w:color w:val="auto"/>
        </w:rPr>
        <w:t>Default shall have occurred and be continuing at</w:t>
      </w:r>
      <w:r>
        <w:rPr>
          <w:rFonts w:ascii="Arial" w:cs="Arial" w:eastAsia="Arial" w:hAnsi="Arial"/>
          <w:sz w:val="22"/>
          <w:szCs w:val="22"/>
          <w:i w:val="1"/>
          <w:iCs w:val="1"/>
          <w:color w:val="auto"/>
        </w:rPr>
        <w:t xml:space="preserve"> </w:t>
      </w:r>
      <w:r>
        <w:rPr>
          <w:rFonts w:ascii="Arial" w:cs="Arial" w:eastAsia="Arial" w:hAnsi="Arial"/>
          <w:sz w:val="22"/>
          <w:szCs w:val="22"/>
          <w:color w:val="auto"/>
        </w:rPr>
        <w:t>the time of such proposed transaction or would result therefrom.</w:t>
      </w:r>
    </w:p>
    <w:p>
      <w:pPr>
        <w:spacing w:after="0" w:line="200" w:lineRule="exact"/>
        <w:rPr>
          <w:sz w:val="20"/>
          <w:szCs w:val="20"/>
          <w:color w:val="auto"/>
        </w:rPr>
      </w:pPr>
    </w:p>
    <w:p>
      <w:pPr>
        <w:ind w:left="1220" w:hanging="564"/>
        <w:spacing w:after="0"/>
        <w:tabs>
          <w:tab w:leader="none" w:pos="1220"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Accounting Changes</w:t>
      </w:r>
      <w:r>
        <w:rPr>
          <w:rFonts w:ascii="Arial" w:cs="Arial" w:eastAsia="Arial" w:hAnsi="Arial"/>
          <w:sz w:val="22"/>
          <w:szCs w:val="22"/>
          <w:color w:val="auto"/>
        </w:rPr>
        <w:t>. Change the Borrower’s fiscal year-end from December 31 of each calendar year.</w:t>
      </w:r>
    </w:p>
    <w:p>
      <w:pPr>
        <w:spacing w:after="0" w:line="233" w:lineRule="exact"/>
        <w:rPr>
          <w:rFonts w:ascii="Arial" w:cs="Arial" w:eastAsia="Arial" w:hAnsi="Arial"/>
          <w:sz w:val="22"/>
          <w:szCs w:val="22"/>
          <w:color w:val="auto"/>
        </w:rPr>
      </w:pPr>
    </w:p>
    <w:p>
      <w:pPr>
        <w:ind w:right="180" w:firstLine="656"/>
        <w:spacing w:after="0" w:line="282" w:lineRule="auto"/>
        <w:tabs>
          <w:tab w:leader="none" w:pos="1170" w:val="left"/>
        </w:tabs>
        <w:numPr>
          <w:ilvl w:val="0"/>
          <w:numId w:val="175"/>
        </w:numPr>
        <w:rPr>
          <w:rFonts w:ascii="Arial" w:cs="Arial" w:eastAsia="Arial" w:hAnsi="Arial"/>
          <w:sz w:val="19"/>
          <w:szCs w:val="19"/>
          <w:color w:val="auto"/>
        </w:rPr>
      </w:pPr>
      <w:r>
        <w:rPr>
          <w:rFonts w:ascii="Arial" w:cs="Arial" w:eastAsia="Arial" w:hAnsi="Arial"/>
          <w:sz w:val="19"/>
          <w:szCs w:val="19"/>
          <w:i w:val="1"/>
          <w:iCs w:val="1"/>
          <w:color w:val="auto"/>
        </w:rPr>
        <w:t>Change in Nature of Business</w:t>
      </w:r>
      <w:r>
        <w:rPr>
          <w:rFonts w:ascii="Arial" w:cs="Arial" w:eastAsia="Arial" w:hAnsi="Arial"/>
          <w:sz w:val="19"/>
          <w:szCs w:val="19"/>
          <w:color w:val="auto"/>
        </w:rPr>
        <w:t>. Make any material change in the nature of the business of the Consolidated Group,</w:t>
      </w:r>
      <w:r>
        <w:rPr>
          <w:rFonts w:ascii="Arial" w:cs="Arial" w:eastAsia="Arial" w:hAnsi="Arial"/>
          <w:sz w:val="19"/>
          <w:szCs w:val="19"/>
          <w:i w:val="1"/>
          <w:iCs w:val="1"/>
          <w:color w:val="auto"/>
        </w:rPr>
        <w:t xml:space="preserve"> </w:t>
      </w:r>
      <w:r>
        <w:rPr>
          <w:rFonts w:ascii="Arial" w:cs="Arial" w:eastAsia="Arial" w:hAnsi="Arial"/>
          <w:sz w:val="19"/>
          <w:szCs w:val="19"/>
          <w:color w:val="auto"/>
        </w:rPr>
        <w:t>taken as a whole, from that carried out by the Borrower and its Subsidiaries on the Effective Date; it being understood that this Section 5.02(d) shall not prohibit members of the Consolidated Group from conducting any business or business activities incidental or related to such business as carried on as of the Effective Date or any business or activity that is reasonably similar or complementary thereto or a reasonable extension, development or expansion thereof or ancillary thereto.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Financial Covenant</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5" w:lineRule="auto"/>
        <w:tabs>
          <w:tab w:leader="none" w:pos="1212" w:val="left"/>
        </w:tabs>
        <w:numPr>
          <w:ilvl w:val="0"/>
          <w:numId w:val="176"/>
        </w:numPr>
        <w:rPr>
          <w:rFonts w:ascii="Arial" w:cs="Arial" w:eastAsia="Arial" w:hAnsi="Arial"/>
          <w:sz w:val="19"/>
          <w:szCs w:val="19"/>
          <w:u w:val="single" w:color="auto"/>
          <w:color w:val="0000FF"/>
        </w:rPr>
      </w:pPr>
      <w:r>
        <w:rPr>
          <w:rFonts w:ascii="Arial" w:cs="Arial" w:eastAsia="Arial" w:hAnsi="Arial"/>
          <w:sz w:val="19"/>
          <w:szCs w:val="19"/>
          <w:color w:val="auto"/>
        </w:rPr>
        <w:t xml:space="preserve">Beginning on the last day of the first full fiscal quarter ending after the Closing Date and on the last day of each fiscal quarter ending thereafter, the Borrower will not permit, as of the last day of any such fiscal quarter, the ratio of (x) Consolidated Total Debt at such time to (y) Consolidated EBITDA of the Borrower </w:t>
      </w:r>
      <w:r>
        <w:rPr>
          <w:rFonts w:ascii="Arial" w:cs="Arial" w:eastAsia="Arial" w:hAnsi="Arial"/>
          <w:sz w:val="19"/>
          <w:szCs w:val="19"/>
          <w:u w:val="single" w:color="auto"/>
          <w:color w:val="0000FF"/>
        </w:rPr>
        <w:t>(the “</w:t>
      </w:r>
      <w:r>
        <w:rPr>
          <w:rFonts w:ascii="Arial" w:cs="Arial" w:eastAsia="Arial" w:hAnsi="Arial"/>
          <w:sz w:val="19"/>
          <w:szCs w:val="19"/>
          <w:b w:val="1"/>
          <w:bCs w:val="1"/>
          <w:u w:val="single" w:color="auto"/>
          <w:color w:val="0000FF"/>
        </w:rPr>
        <w:t>Consolidated Leverage Ratio</w:t>
      </w:r>
      <w:r>
        <w:rPr>
          <w:rFonts w:ascii="Arial" w:cs="Arial" w:eastAsia="Arial" w:hAnsi="Arial"/>
          <w:sz w:val="19"/>
          <w:szCs w:val="19"/>
          <w:u w:val="single" w:color="auto"/>
          <w:color w:val="0000FF"/>
        </w:rPr>
        <w:t>”)</w:t>
      </w:r>
      <w:r>
        <w:rPr>
          <w:rFonts w:ascii="Arial" w:cs="Arial" w:eastAsia="Arial" w:hAnsi="Arial"/>
          <w:sz w:val="19"/>
          <w:szCs w:val="19"/>
          <w:color w:val="auto"/>
        </w:rPr>
        <w:t xml:space="preserve"> for the four consecutive fiscal quarter period ending as of such date to exceed 3.75:</w:t>
      </w:r>
      <w:r>
        <w:rPr>
          <w:rFonts w:ascii="Arial" w:cs="Arial" w:eastAsia="Arial" w:hAnsi="Arial"/>
          <w:sz w:val="19"/>
          <w:szCs w:val="19"/>
          <w:color w:val="FF0000"/>
          <w:strike w:val="1"/>
        </w:rPr>
        <w:t>1.00.</w:t>
      </w:r>
      <w:r>
        <w:rPr>
          <w:rFonts w:ascii="Arial" w:cs="Arial" w:eastAsia="Arial" w:hAnsi="Arial"/>
          <w:sz w:val="19"/>
          <w:szCs w:val="19"/>
          <w:u w:val="single" w:color="auto"/>
          <w:color w:val="0000FF"/>
        </w:rPr>
        <w:t>1.00;</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that at the election of the Borrower,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exercised by written notice delivered by the Borrower to the Administrative Agent at any time prior to the date that is thirty (30) days following consummation of any Material Acquisition by the Borrower or any Subsidiary such maximum Consolidated Leverage Ratio shall be increased to 4.25:1.00 with respect to the last day of the fiscal quarter during which such Material Acquisition shall have been consummated and the last day of each of the immediately following three consecutive fiscal quarters.</w:t>
      </w:r>
    </w:p>
    <w:p>
      <w:pPr>
        <w:spacing w:after="0" w:line="185" w:lineRule="exact"/>
        <w:rPr>
          <w:rFonts w:ascii="Arial" w:cs="Arial" w:eastAsia="Arial" w:hAnsi="Arial"/>
          <w:sz w:val="19"/>
          <w:szCs w:val="19"/>
          <w:u w:val="single" w:color="auto"/>
          <w:color w:val="0000FF"/>
        </w:rPr>
      </w:pPr>
    </w:p>
    <w:p>
      <w:pPr>
        <w:ind w:right="160" w:firstLine="656"/>
        <w:spacing w:after="0" w:line="238" w:lineRule="auto"/>
        <w:tabs>
          <w:tab w:leader="none" w:pos="1170" w:val="left"/>
        </w:tabs>
        <w:numPr>
          <w:ilvl w:val="0"/>
          <w:numId w:val="17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At any time after the definitive agreement for any Material Acquisition shall have been executed (or, in the case of a Material Acquisition in the form of a tender offer or similar transaction, after the offer shall have been launched) and prior to the consummation of such Material Acquisition (or termination of the definitive documentation in respect thereof), any Acquisition Debt (and the proceeds of such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u w:val="single" w:color="auto"/>
          <w:color w:val="0000FF"/>
        </w:rPr>
        <w:t xml:space="preserve">Acquisition Debt) shall be excluded from the definition of Consolidated Leverage Ratio;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xml:space="preserve"> that (x) the definitive documentation relating to such Acquisition Debt shall contain “special mandatory redemption” or escrow provisions (or other similar provisions) or otherwise require such indebtedness to be redeemed or prepaid if such Material Acquisition is not consummated by a date specified in such definitive documentation and (y) if the definitive agreement (or, in the case of a tender</w:t>
      </w:r>
    </w:p>
    <w:p>
      <w:pPr>
        <w:sectPr>
          <w:pgSz w:w="11900" w:h="16949" w:orient="portrait"/>
          <w:cols w:equalWidth="0" w:num="1">
            <w:col w:w="11400"/>
          </w:cols>
          <w:pgMar w:left="240" w:top="118" w:right="259" w:bottom="0" w:gutter="0" w:footer="0" w:header="0"/>
        </w:sectPr>
      </w:pPr>
    </w:p>
    <w:bookmarkStart w:id="90" w:name="page91"/>
    <w:bookmarkEnd w:id="90"/>
    <w:p>
      <w:pPr>
        <w:ind w:right="40"/>
        <w:spacing w:after="0" w:line="287" w:lineRule="auto"/>
        <w:rPr>
          <w:sz w:val="20"/>
          <w:szCs w:val="20"/>
          <w:color w:val="auto"/>
        </w:rPr>
      </w:pPr>
      <w:r>
        <w:rPr>
          <w:rFonts w:ascii="Arial" w:cs="Arial" w:eastAsia="Arial" w:hAnsi="Arial"/>
          <w:sz w:val="19"/>
          <w:szCs w:val="19"/>
          <w:u w:val="single" w:color="auto"/>
          <w:color w:val="0000FF"/>
        </w:rPr>
        <w:t>offer or similar transaction, the definitive offer document) for such Material Acquisition is terminated in accordance with its terms prior to the consummation of such Material Acquisition or such Material Acquisition is otherwise not consummated by the date specified in the definitive documentation relating to such Acquisition Debt, such Acquisition Debt is so redeemed or prepaid by the date that it is required to be redeemed or prepaid in such circumstances pursuant to the terms of such Acquisition Debt.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6</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EVENTS OF DEFAULT</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Events of Default</w:t>
      </w:r>
      <w:r>
        <w:rPr>
          <w:rFonts w:ascii="Arial" w:cs="Arial" w:eastAsia="Arial" w:hAnsi="Arial"/>
          <w:sz w:val="22"/>
          <w:szCs w:val="22"/>
          <w:color w:val="auto"/>
        </w:rPr>
        <w:t>. If any of the following events (“</w:t>
      </w:r>
      <w:r>
        <w:rPr>
          <w:rFonts w:ascii="Arial" w:cs="Arial" w:eastAsia="Arial" w:hAnsi="Arial"/>
          <w:sz w:val="22"/>
          <w:szCs w:val="22"/>
          <w:b w:val="1"/>
          <w:bCs w:val="1"/>
          <w:color w:val="auto"/>
        </w:rPr>
        <w:t>Events of Default</w:t>
      </w:r>
      <w:r>
        <w:rPr>
          <w:rFonts w:ascii="Arial" w:cs="Arial" w:eastAsia="Arial" w:hAnsi="Arial"/>
          <w:sz w:val="22"/>
          <w:szCs w:val="22"/>
          <w:color w:val="auto"/>
        </w:rPr>
        <w:t>”) shall occur and be continuing:</w:t>
      </w:r>
    </w:p>
    <w:p>
      <w:pPr>
        <w:spacing w:after="0" w:line="239" w:lineRule="exact"/>
        <w:rPr>
          <w:sz w:val="20"/>
          <w:szCs w:val="20"/>
          <w:color w:val="auto"/>
        </w:rPr>
      </w:pPr>
    </w:p>
    <w:p>
      <w:pPr>
        <w:ind w:right="40" w:firstLine="656"/>
        <w:spacing w:after="0"/>
        <w:tabs>
          <w:tab w:leader="none" w:pos="121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Borrower shall fail (i) to pay any principal of any Advance when the same becomes due and payable or (ii) to pay any interest on any Advance or make any payment of fees or other amounts payable under this Agreement within five Business Days after the same becomes due and payable; or</w:t>
      </w:r>
    </w:p>
    <w:p>
      <w:pPr>
        <w:spacing w:after="0" w:line="213" w:lineRule="exact"/>
        <w:rPr>
          <w:rFonts w:ascii="Arial" w:cs="Arial" w:eastAsia="Arial" w:hAnsi="Arial"/>
          <w:sz w:val="22"/>
          <w:szCs w:val="22"/>
          <w:color w:val="auto"/>
        </w:rPr>
      </w:pPr>
    </w:p>
    <w:p>
      <w:pPr>
        <w:ind w:right="20" w:firstLine="656"/>
        <w:spacing w:after="0" w:line="238" w:lineRule="auto"/>
        <w:tabs>
          <w:tab w:leader="none" w:pos="117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Any representation or warranty made by the Borrower herein or in any other Loan Document or by the Borrower (or any of its officers or directors) in connection with this Agreement or in any certificate or other document furnished pursuant to or in connection with this Agreement, if any, in each case shall prove to have been incorrect in any material respect when made or deemed made; or</w:t>
      </w:r>
    </w:p>
    <w:p>
      <w:pPr>
        <w:spacing w:after="0" w:line="212" w:lineRule="exact"/>
        <w:rPr>
          <w:rFonts w:ascii="Arial" w:cs="Arial" w:eastAsia="Arial" w:hAnsi="Arial"/>
          <w:sz w:val="22"/>
          <w:szCs w:val="22"/>
          <w:color w:val="auto"/>
        </w:rPr>
      </w:pPr>
    </w:p>
    <w:p>
      <w:pPr>
        <w:ind w:left="1220" w:hanging="564"/>
        <w:spacing w:after="0"/>
        <w:tabs>
          <w:tab w:leader="none" w:pos="122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 The Borrower shall fail to perform or observe any term, covenant or agreement contained in Section 5.01(d)(i),</w:t>
      </w:r>
    </w:p>
    <w:p>
      <w:pPr>
        <w:spacing w:after="0" w:line="4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5.01(</w:t>
      </w:r>
      <w:r>
        <w:rPr>
          <w:rFonts w:ascii="Arial" w:cs="Arial" w:eastAsia="Arial" w:hAnsi="Arial"/>
          <w:sz w:val="21"/>
          <w:szCs w:val="21"/>
          <w:color w:val="FF0000"/>
          <w:strike w:val="1"/>
        </w:rPr>
        <w:t>h</w:t>
      </w:r>
      <w:r>
        <w:rPr>
          <w:rFonts w:ascii="Arial" w:cs="Arial" w:eastAsia="Arial" w:hAnsi="Arial"/>
          <w:sz w:val="21"/>
          <w:szCs w:val="21"/>
          <w:u w:val="single" w:color="auto"/>
          <w:color w:val="0000FF"/>
        </w:rPr>
        <w:t>i</w:t>
      </w:r>
      <w:r>
        <w:rPr>
          <w:rFonts w:ascii="Arial" w:cs="Arial" w:eastAsia="Arial" w:hAnsi="Arial"/>
          <w:sz w:val="21"/>
          <w:szCs w:val="21"/>
          <w:color w:val="auto"/>
        </w:rPr>
        <w:t>)(iv), 5.02(a), 5.02(b</w:t>
      </w:r>
      <w:r>
        <w:rPr>
          <w:rFonts w:ascii="Arial" w:cs="Arial" w:eastAsia="Arial" w:hAnsi="Arial"/>
          <w:sz w:val="21"/>
          <w:szCs w:val="21"/>
          <w:color w:val="FF0000"/>
          <w:strike w:val="1"/>
        </w:rPr>
        <w:t>), 5.02(d</w:t>
      </w:r>
      <w:r>
        <w:rPr>
          <w:rFonts w:ascii="Arial" w:cs="Arial" w:eastAsia="Arial" w:hAnsi="Arial"/>
          <w:sz w:val="21"/>
          <w:szCs w:val="21"/>
          <w:color w:val="auto"/>
        </w:rPr>
        <w:t>) or 5.03 or (ii) the Borrower shall fail to perform or observe any term, covenant or agreement contained in Section 5.01(e) or clauses (i)-(iii) or (v)-(vii) of Section 5.01(i) if such failure shall remain unremedied for 10 Business Days after written notice thereof shall have been given to the Borrower by the Administrative Agent or any Lender, or (iii) the Borrower shall fail to perform or observe any other term, covenant or agreement contained in this Agreement, if any, in each case on its part to be performed or observed if such failure shall remain unremedied for 30 days after written notice thereof shall have been given to the Borrower by the Administrative Agent or any Lender; or</w:t>
      </w:r>
    </w:p>
    <w:p>
      <w:pPr>
        <w:spacing w:after="0" w:line="211" w:lineRule="exact"/>
        <w:rPr>
          <w:sz w:val="20"/>
          <w:szCs w:val="20"/>
          <w:color w:val="auto"/>
        </w:rPr>
      </w:pPr>
    </w:p>
    <w:p>
      <w:pPr>
        <w:ind w:right="140" w:firstLine="656"/>
        <w:spacing w:after="0" w:line="287" w:lineRule="auto"/>
        <w:tabs>
          <w:tab w:leader="none" w:pos="117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Borrower or any Significant Subsidiary shall fail to pay any principal of or premium or interest on any Debt that is outstanding in a principal amount, or, in the case of any Hedge Agreement, having a maximum Agreement Value, of at least $200,000,000 in the aggregate (but excluding Debt outstanding hereunder) of the Borrower or such Significant Subsidiary, when the same becomes due and payable (whether by scheduled maturity, required prepayment, acceleration, demand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otherwise), and such failure shall continue after the applicable grace period, if any, specified in the agreement or instrument relating to such Debt; or the Borrower shall default in its obligations under any agreement or instrument relating to any such Debt (other than any such default arising solely out of the violation by the Borrower of any covenant or agreement in any way restricting the Borrower’s right or ability to sell, pledge or otherwise dispose of Margin Stock), which default shall continue after the applicable grace period, if any, specified in such agreement or instrument, if the effect of such default is to accelerate, or to permit the acceleration of, the maturity of such Debt; or</w:t>
      </w:r>
    </w:p>
    <w:p>
      <w:pPr>
        <w:spacing w:after="0" w:line="215" w:lineRule="exact"/>
        <w:rPr>
          <w:sz w:val="20"/>
          <w:szCs w:val="20"/>
          <w:color w:val="auto"/>
        </w:rPr>
      </w:pPr>
    </w:p>
    <w:p>
      <w:pPr>
        <w:ind w:right="40" w:firstLine="656"/>
        <w:spacing w:after="0" w:line="245" w:lineRule="auto"/>
        <w:tabs>
          <w:tab w:leader="none" w:pos="1212"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Borrower or any Significant Subsidiary shall generally not pay its debts as such debts become due, or shall admit in writing its inability to pay its debts generally, or shall make a general assignment for the benefit of creditors; or any proceeding shall be instituted by or against the Borrower or any Significant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such proceeding shall remain undismissed or unstayed for a period of 60 days; or the Borrower or any Significant Subsidiary shall take any corporate action to authorize any of the actions set forth above in this Section 6.01(e); or</w:t>
      </w:r>
    </w:p>
    <w:p>
      <w:pPr>
        <w:spacing w:after="0" w:line="212" w:lineRule="exact"/>
        <w:rPr>
          <w:rFonts w:ascii="Arial" w:cs="Arial" w:eastAsia="Arial" w:hAnsi="Arial"/>
          <w:sz w:val="21"/>
          <w:szCs w:val="21"/>
          <w:color w:val="auto"/>
        </w:rPr>
      </w:pPr>
    </w:p>
    <w:p>
      <w:pPr>
        <w:ind w:firstLine="656"/>
        <w:spacing w:after="0" w:line="270" w:lineRule="auto"/>
        <w:tabs>
          <w:tab w:leader="none" w:pos="118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Any one or more judgments or orders for the payment of money in excess of $200,000,000 shall be rendered against a member of the Consolidated Group and either (i) enforcement proceedings shall have been commenced by any creditor upon such judgment or order or (ii) within 60 days after the entry, issue, or levy thereof, such judgment or order has not been paid or discharged or stayed pending appeal, or, after the expiration of any such stay, such judgment or order has not been paid or discharged;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purposes of determining whether an Event of Default has occurred under this</w:t>
      </w:r>
    </w:p>
    <w:p>
      <w:pPr>
        <w:spacing w:after="0" w:line="4" w:lineRule="exact"/>
        <w:rPr>
          <w:rFonts w:ascii="Arial" w:cs="Arial" w:eastAsia="Arial" w:hAnsi="Arial"/>
          <w:sz w:val="19"/>
          <w:szCs w:val="19"/>
          <w:color w:val="auto"/>
        </w:rPr>
      </w:pPr>
    </w:p>
    <w:p>
      <w:pPr>
        <w:ind w:right="60"/>
        <w:spacing w:after="0" w:line="233" w:lineRule="auto"/>
        <w:rPr>
          <w:rFonts w:ascii="Arial" w:cs="Arial" w:eastAsia="Arial" w:hAnsi="Arial"/>
          <w:sz w:val="19"/>
          <w:szCs w:val="19"/>
          <w:color w:val="auto"/>
        </w:rPr>
      </w:pPr>
      <w:r>
        <w:rPr>
          <w:rFonts w:ascii="Arial" w:cs="Arial" w:eastAsia="Arial" w:hAnsi="Arial"/>
          <w:sz w:val="22"/>
          <w:szCs w:val="22"/>
          <w:color w:val="auto"/>
        </w:rPr>
        <w:t>Section 6.01(f), the amount of any such judgment or order shall be reduced to the extent that (A) such judgment or order is covered by a valid and binding policy of insurance between the defendant and the insurer covering payment thereof and (B) such insurer, which shall be rated at least “A” by A.M. Best Company, has been notified of, and has not disputed the claim made for payment of, such judgment or order; or</w:t>
      </w:r>
    </w:p>
    <w:p>
      <w:pPr>
        <w:spacing w:after="0" w:line="215" w:lineRule="exact"/>
        <w:rPr>
          <w:rFonts w:ascii="Arial" w:cs="Arial" w:eastAsia="Arial" w:hAnsi="Arial"/>
          <w:sz w:val="19"/>
          <w:szCs w:val="19"/>
          <w:color w:val="auto"/>
        </w:rPr>
      </w:pPr>
    </w:p>
    <w:p>
      <w:pPr>
        <w:ind w:right="20" w:firstLine="656"/>
        <w:spacing w:after="0" w:line="287" w:lineRule="auto"/>
        <w:tabs>
          <w:tab w:leader="none" w:pos="117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 Any Person or two or more Persons acting in concert shall have acquired beneficial ownership (within the meaning of Rule 13d-3 of the Securities and Exchange Commission under the Securities Exchange Act of 1934, as amended), directly or indirectly, of Voting Stock of the Borrower (or other securities convertible into or exchangeable for such Voting Stock) representing 50% or more of the combined voting power of all Voting Stock of the Borrower (on a fully diluted basis); or (ii) during any period</w:t>
      </w:r>
    </w:p>
    <w:p>
      <w:pPr>
        <w:sectPr>
          <w:pgSz w:w="11900" w:h="16838" w:orient="portrait"/>
          <w:cols w:equalWidth="0" w:num="1">
            <w:col w:w="11420"/>
          </w:cols>
          <w:pgMar w:left="240" w:top="118" w:right="239" w:bottom="0" w:gutter="0" w:footer="0" w:header="0"/>
        </w:sectPr>
      </w:pPr>
    </w:p>
    <w:bookmarkStart w:id="91" w:name="page92"/>
    <w:bookmarkEnd w:id="91"/>
    <w:p>
      <w:pPr>
        <w:spacing w:after="0" w:line="7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of up to 24 consecutive months, commencing after the date of this Agreement, a majority of the members of the board of directors of the Borrower shall not be Continuing Directors; or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firstLine="656"/>
        <w:spacing w:after="0" w:line="238" w:lineRule="auto"/>
        <w:tabs>
          <w:tab w:leader="none" w:pos="117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One or more of the following shall have occurred or is reasonably expected to occur, which in each case would reasonably be expected to result in a Material Adverse Effect: (i) any ERISA Event; (ii) the partial or complete withdrawal of the Borrower or any ERISA Affiliate from a Multiemployer Plan; or (iii) the insolvency, being in “endangered” or “critical” status or termination of a Multiemployer Plan; or</w:t>
      </w:r>
    </w:p>
    <w:p>
      <w:pPr>
        <w:spacing w:after="0" w:line="212" w:lineRule="exact"/>
        <w:rPr>
          <w:rFonts w:ascii="Arial" w:cs="Arial" w:eastAsia="Arial" w:hAnsi="Arial"/>
          <w:sz w:val="22"/>
          <w:szCs w:val="22"/>
          <w:color w:val="auto"/>
        </w:rPr>
      </w:pPr>
    </w:p>
    <w:p>
      <w:pPr>
        <w:ind w:right="200" w:firstLine="656"/>
        <w:spacing w:after="0" w:line="251" w:lineRule="auto"/>
        <w:tabs>
          <w:tab w:leader="none" w:pos="117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This Agreement shall cease to be valid and enforceable against the Borrower (except to the extent it is terminated in accordance with its terms) or the Borrower shall so assert in writing;</w:t>
      </w:r>
    </w:p>
    <w:p>
      <w:pPr>
        <w:spacing w:after="0" w:line="200"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 xml:space="preserve">then, and in any such event, the Administrative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of an Event of Default under Section 6.01(e),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0000FF"/>
        </w:rPr>
        <w:t>(A)</w:t>
      </w:r>
      <w:r>
        <w:rPr>
          <w:rFonts w:ascii="Arial" w:cs="Arial" w:eastAsia="Arial" w:hAnsi="Arial"/>
          <w:sz w:val="19"/>
          <w:szCs w:val="19"/>
          <w:i w:val="1"/>
          <w:iCs w:val="1"/>
          <w:color w:val="auto"/>
        </w:rPr>
        <w:t xml:space="preserve"> </w:t>
      </w:r>
      <w:r>
        <w:rPr>
          <w:rFonts w:ascii="Arial" w:cs="Arial" w:eastAsia="Arial" w:hAnsi="Arial"/>
          <w:sz w:val="19"/>
          <w:szCs w:val="19"/>
          <w:color w:val="auto"/>
        </w:rPr>
        <w:t>the Commitment of each Lender shall automatically be</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terminated and (B) the Advances, all such interest and all such amounts shall automatically become and be due and payable, without presentment, demand, protest or any notice of any kind, all of which are hereby expressly waived by the Borrower.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AGENTS</w:t>
      </w:r>
    </w:p>
    <w:p>
      <w:pPr>
        <w:spacing w:after="0" w:line="215" w:lineRule="exact"/>
        <w:rPr>
          <w:sz w:val="20"/>
          <w:szCs w:val="20"/>
          <w:color w:val="auto"/>
        </w:rPr>
      </w:pPr>
    </w:p>
    <w:p>
      <w:pPr>
        <w:ind w:right="60" w:firstLine="648"/>
        <w:spacing w:after="0" w:line="247" w:lineRule="auto"/>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i w:val="1"/>
          <w:iCs w:val="1"/>
          <w:color w:val="auto"/>
        </w:rPr>
        <w:t>Authorization and Action</w:t>
      </w:r>
      <w:r>
        <w:rPr>
          <w:rFonts w:ascii="Arial" w:cs="Arial" w:eastAsia="Arial" w:hAnsi="Arial"/>
          <w:sz w:val="21"/>
          <w:szCs w:val="21"/>
          <w:color w:val="auto"/>
        </w:rPr>
        <w:t>. Each Lender hereby irrevocably appoints Bank of America, N.A. (or an Affiliate thereof designated by it) to act on its behalf as the Administrative Agent hereunder and authorizes the Administrative Agent to take such actions on its behalf and to exercise such powers as are delegated to the Administrative Agent by the terms hereof, together with such actions and powers as are reasonably incidental thereto. The provisions of this Article 7 (other than (x) Section 7.10, to the extent set forth therein and (y) the third sentence of Section 7.04) are solely for the benefit of the Administrative Agent and the Lenders, and the Borrower shall not have rights as a third party beneficiary of any of such provisions (other than the third sentence of Section 7.04).</w:t>
      </w:r>
    </w:p>
    <w:p>
      <w:pPr>
        <w:spacing w:after="0" w:line="205"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Administrative Agent Individually</w:t>
      </w:r>
      <w:r>
        <w:rPr>
          <w:rFonts w:ascii="Arial" w:cs="Arial" w:eastAsia="Arial" w:hAnsi="Arial"/>
          <w:sz w:val="22"/>
          <w:szCs w:val="22"/>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as a Lender. Such Person and its Affiliates may accept deposits from, own securities of, lend money to, act as the financial advisor or in any other advisory capacity for and generally engage in any kind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of business with any member of the Consolidated Group or other Affiliate thereof as if such Person were not the Administrative Agent hereunder and without any duty to account therefor to the Lenders.</w:t>
      </w:r>
    </w:p>
    <w:p>
      <w:pPr>
        <w:spacing w:after="0" w:line="200"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i w:val="1"/>
          <w:iCs w:val="1"/>
          <w:color w:val="auto"/>
        </w:rPr>
        <w:t>Duties of Administrative Agent; Exculpatory Provisions</w:t>
      </w:r>
      <w:r>
        <w:rPr>
          <w:rFonts w:ascii="Arial" w:cs="Arial" w:eastAsia="Arial" w:hAnsi="Arial"/>
          <w:sz w:val="19"/>
          <w:szCs w:val="19"/>
          <w:color w:val="auto"/>
        </w:rPr>
        <w:t xml:space="preserve">. (a) The Administrative Agent’s duties hereunder and under the other Loan Documents are solely ministerial and administrative in nature, and the Administrative Agent shall not have any duties or obligations except those expressly set forth herein or in any other Loan Document. Without limiting the generality of the foregoing, the Administrative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the Lenders as shall be expressly provided for herein or in any other Loan Document);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or any of its Affiliates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200" w:lineRule="exact"/>
        <w:rPr>
          <w:sz w:val="20"/>
          <w:szCs w:val="20"/>
          <w:color w:val="auto"/>
        </w:rPr>
      </w:pPr>
    </w:p>
    <w:p>
      <w:pPr>
        <w:spacing w:after="0" w:line="232" w:lineRule="exact"/>
        <w:rPr>
          <w:sz w:val="20"/>
          <w:szCs w:val="20"/>
          <w:color w:val="auto"/>
        </w:rPr>
      </w:pPr>
    </w:p>
    <w:p>
      <w:pPr>
        <w:ind w:firstLine="656"/>
        <w:spacing w:after="0" w:line="248" w:lineRule="auto"/>
        <w:tabs>
          <w:tab w:leader="none" w:pos="117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8.01 or Section 6.01) or (ii) in the absence of its own gross negligence or willful misconduct. The Administrative Agent shall be deemed not to have knowledge of any Default or Event of Default unless and until the Borrower or any Lender shall have given notice to the Administrative Agent describing such Default or Event of Default.</w:t>
      </w:r>
    </w:p>
    <w:p>
      <w:pPr>
        <w:sectPr>
          <w:pgSz w:w="11900" w:h="16915" w:orient="portrait"/>
          <w:cols w:equalWidth="0" w:num="1">
            <w:col w:w="11420"/>
          </w:cols>
          <w:pgMar w:left="240" w:top="118" w:right="239" w:bottom="0" w:gutter="0" w:footer="0" w:header="0"/>
        </w:sectPr>
      </w:pPr>
    </w:p>
    <w:bookmarkStart w:id="92" w:name="page93"/>
    <w:bookmarkEnd w:id="92"/>
    <w:p>
      <w:pPr>
        <w:ind w:firstLine="656"/>
        <w:spacing w:after="0" w:line="245" w:lineRule="auto"/>
        <w:tabs>
          <w:tab w:leader="none" w:pos="1212" w:val="left"/>
        </w:tabs>
        <w:numPr>
          <w:ilvl w:val="0"/>
          <w:numId w:val="182"/>
        </w:numPr>
        <w:rPr>
          <w:rFonts w:ascii="Arial" w:cs="Arial" w:eastAsia="Arial" w:hAnsi="Arial"/>
          <w:sz w:val="21"/>
          <w:szCs w:val="21"/>
          <w:color w:val="auto"/>
        </w:rPr>
      </w:pPr>
      <w:r>
        <w:rPr>
          <w:rFonts w:ascii="Arial" w:cs="Arial" w:eastAsia="Arial" w:hAnsi="Arial"/>
          <w:sz w:val="21"/>
          <w:szCs w:val="21"/>
          <w:color w:val="auto"/>
        </w:rPr>
        <w:t>Neither the Administrative Agent nor any other Agent shall be responsible for or have any duty to ascertain or inquire into (i) any statement, warranty, representation or other information made or supplied in or in connection with this Agreement and any other Loan Document,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3 or elsewhere herein, other than (but subject to the foregoing clause (ii)) to confirm receipt of items expressly required to be delivered to the Administrative Agent.</w:t>
      </w:r>
    </w:p>
    <w:p>
      <w:pPr>
        <w:spacing w:after="0" w:line="212" w:lineRule="exact"/>
        <w:rPr>
          <w:rFonts w:ascii="Arial" w:cs="Arial" w:eastAsia="Arial" w:hAnsi="Arial"/>
          <w:sz w:val="21"/>
          <w:szCs w:val="21"/>
          <w:color w:val="auto"/>
        </w:rPr>
      </w:pPr>
    </w:p>
    <w:p>
      <w:pPr>
        <w:jc w:val="both"/>
        <w:ind w:right="200" w:firstLine="656"/>
        <w:spacing w:after="0" w:line="328" w:lineRule="auto"/>
        <w:tabs>
          <w:tab w:leader="none" w:pos="117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Nothing in this Agreement or any other Loan Document shall require the Administrative Agent or any of its Related Parties to carry out any “know your customer” or other checks in relation to any person on behalf of any Lender, and each Lender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confirms to the Administrative Agent that it is solely responsible for any such checks it is required to carry out and that it may not rely on any statement in relation to such checks made by the Administrative Agent or any of its Related Parties.</w:t>
      </w:r>
    </w:p>
    <w:p>
      <w:pPr>
        <w:spacing w:after="0" w:line="178" w:lineRule="exact"/>
        <w:rPr>
          <w:sz w:val="20"/>
          <w:szCs w:val="20"/>
          <w:color w:val="auto"/>
        </w:rPr>
      </w:pPr>
    </w:p>
    <w:p>
      <w:pPr>
        <w:ind w:right="60" w:firstLine="648"/>
        <w:spacing w:after="0" w:line="244"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i w:val="1"/>
          <w:iCs w:val="1"/>
          <w:color w:val="auto"/>
        </w:rPr>
        <w:t>Reliance by Administrative Agent</w:t>
      </w:r>
      <w:r>
        <w:rPr>
          <w:rFonts w:ascii="Arial" w:cs="Arial" w:eastAsia="Arial" w:hAnsi="Arial"/>
          <w:sz w:val="21"/>
          <w:szCs w:val="21"/>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Effective Date, the making of any Advance or the Closing Date that by its terms must be fulfilled to the satisfaction of a Lender, each Lender shall be deemed to have consented to, approved or accepted such condition unless (i) an officer of the Administrative Agent responsible for the transactions contemplated hereby shall have received notice to the contrary from such Lender prior to the occurrence of the Effective Date, the making of such Advance or the Closing Date, as applicable, and (ii) in the case of a condition to the making of an Advance, such Lender shall not have made available to the Administrative Agent such Lender’s ratable portion of such Borrowing.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9"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i w:val="1"/>
          <w:iCs w:val="1"/>
          <w:color w:val="auto"/>
        </w:rPr>
        <w:t>Delegation of Duties</w:t>
      </w:r>
      <w:r>
        <w:rPr>
          <w:rFonts w:ascii="Arial" w:cs="Arial" w:eastAsia="Arial" w:hAnsi="Arial"/>
          <w:sz w:val="21"/>
          <w:szCs w:val="21"/>
          <w:color w:val="auto"/>
        </w:rPr>
        <w:t>. The Administrative Agent may perform any and all of its duties and exercise its rights and powers hereunder by or through any one or more sub agents appointed by the Administrative Agent. The Administrative Agent and any such sub agent may perform any and all of its duties and exercise its rights and powers by or through their respective Related Parties. Each such sub agent and the Related Parties of the Administrative Agent and each such sub agent shall be entitled to the benefits of all provisions of this Article 7 and Section 8.04 (as though such sub-agents were the “Administrative Agent” under this Agreement) as if set forth in full herein with respect thereto.</w:t>
      </w:r>
    </w:p>
    <w:p>
      <w:pPr>
        <w:spacing w:after="0" w:line="204"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i w:val="1"/>
          <w:iCs w:val="1"/>
          <w:color w:val="auto"/>
        </w:rPr>
        <w:t>Resignation of Administrative Agent</w:t>
      </w:r>
      <w:r>
        <w:rPr>
          <w:rFonts w:ascii="Arial" w:cs="Arial" w:eastAsia="Arial" w:hAnsi="Arial"/>
          <w:sz w:val="19"/>
          <w:szCs w:val="19"/>
          <w:color w:val="auto"/>
        </w:rPr>
        <w:t xml:space="preserve">. (a) The Administrative Agent may at any time give notice of its resignation to the Lenders and the Borrower. Upon receipt of any such notice of resignation, the Required Lenders shall have the right (with the consent of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consent of the Borrower shall be required if an Event of Default pursuant to </w:t>
      </w:r>
      <w:r>
        <w:rPr>
          <w:rFonts w:ascii="Arial" w:cs="Arial" w:eastAsia="Arial" w:hAnsi="Arial"/>
          <w:sz w:val="19"/>
          <w:szCs w:val="19"/>
          <w:u w:val="single" w:color="auto"/>
          <w:color w:val="auto"/>
        </w:rPr>
        <w:t>Section 6.01(a) or (e)</w:t>
      </w:r>
      <w:r>
        <w:rPr>
          <w:rFonts w:ascii="Arial" w:cs="Arial" w:eastAsia="Arial" w:hAnsi="Arial"/>
          <w:sz w:val="19"/>
          <w:szCs w:val="19"/>
          <w:color w:val="auto"/>
        </w:rPr>
        <w:t xml:space="preserve">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b w:val="1"/>
          <w:bCs w:val="1"/>
          <w:color w:val="auto"/>
        </w:rPr>
        <w:t>Resignation Effective Date</w:t>
      </w:r>
      <w:r>
        <w:rPr>
          <w:rFonts w:ascii="Arial" w:cs="Arial" w:eastAsia="Arial" w:hAnsi="Arial"/>
          <w:sz w:val="19"/>
          <w:szCs w:val="19"/>
          <w:color w:val="auto"/>
        </w:rPr>
        <w:t>”), then the retiring Administrative Agent may (but shall not be obligated to), on behalf of the Lenders (and with the consent of the Borrower,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consent of the Borrower shall be required if an Event of Default has occurred and is continuing), appoint a</w:t>
      </w:r>
      <w:r>
        <w:rPr>
          <w:rFonts w:ascii="Arial" w:cs="Arial" w:eastAsia="Arial" w:hAnsi="Arial"/>
          <w:sz w:val="19"/>
          <w:szCs w:val="19"/>
          <w:i w:val="1"/>
          <w:iCs w:val="1"/>
          <w:color w:val="auto"/>
        </w:rPr>
        <w:t xml:space="preserve"> </w:t>
      </w:r>
      <w:r>
        <w:rPr>
          <w:rFonts w:ascii="Arial" w:cs="Arial" w:eastAsia="Arial" w:hAnsi="Arial"/>
          <w:sz w:val="19"/>
          <w:szCs w:val="19"/>
          <w:color w:val="auto"/>
        </w:rPr>
        <w:t>successor Administrative Agent meeting the qualifications set forth above. Whether or not a successor has been appointed, such resignation shall become effective in accordance with such notice on the Resignation Effective Date.</w:t>
      </w:r>
    </w:p>
    <w:p>
      <w:pPr>
        <w:spacing w:after="0" w:line="161" w:lineRule="exact"/>
        <w:rPr>
          <w:sz w:val="20"/>
          <w:szCs w:val="20"/>
          <w:color w:val="auto"/>
        </w:rPr>
      </w:pPr>
    </w:p>
    <w:p>
      <w:pPr>
        <w:ind w:right="200" w:firstLine="656"/>
        <w:spacing w:after="0" w:line="277" w:lineRule="auto"/>
        <w:tabs>
          <w:tab w:leader="none" w:pos="117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If the Person serving as Administrative Agent is a Defaulting Lender pursuant to clause (d) of the definition thereof, such Person shall automatically and without the taking of any action by any Person, be removed as Administrative Agent on the date that is 30 days following the date such Person became a Defaulting Lender (or such earlier day as shall be agreed by the Required Lenders) (the “</w:t>
      </w:r>
      <w:r>
        <w:rPr>
          <w:rFonts w:ascii="Arial" w:cs="Arial" w:eastAsia="Arial" w:hAnsi="Arial"/>
          <w:sz w:val="19"/>
          <w:szCs w:val="19"/>
          <w:b w:val="1"/>
          <w:bCs w:val="1"/>
          <w:color w:val="auto"/>
        </w:rPr>
        <w:t>Removal Effective Date</w:t>
      </w:r>
      <w:r>
        <w:rPr>
          <w:rFonts w:ascii="Arial" w:cs="Arial" w:eastAsia="Arial" w:hAnsi="Arial"/>
          <w:sz w:val="19"/>
          <w:szCs w:val="19"/>
          <w:color w:val="auto"/>
        </w:rPr>
        <w:t>”). In connection therewith, the Required Lenders, in consultation with the Borrower, shall appoint a successor. If no such successor shall have been so appointed by the Required Lenders and shall have accepted such appointment on or prior to the Removal Effective Date, then such removal shall nonetheless become effective in accordance with such notice on the Removal Effective Date.</w:t>
      </w:r>
    </w:p>
    <w:p>
      <w:pPr>
        <w:sectPr>
          <w:pgSz w:w="11900" w:h="16838" w:orient="portrait"/>
          <w:cols w:equalWidth="0" w:num="1">
            <w:col w:w="11420"/>
          </w:cols>
          <w:pgMar w:left="240" w:top="361" w:right="239" w:bottom="0" w:gutter="0" w:footer="0" w:header="0"/>
        </w:sectPr>
      </w:pPr>
    </w:p>
    <w:bookmarkStart w:id="93" w:name="page94"/>
    <w:bookmarkEnd w:id="93"/>
    <w:p>
      <w:pPr>
        <w:spacing w:after="0" w:line="119" w:lineRule="exact"/>
        <w:rPr>
          <w:sz w:val="20"/>
          <w:szCs w:val="20"/>
          <w:color w:val="auto"/>
        </w:rPr>
      </w:pPr>
    </w:p>
    <w:p>
      <w:pPr>
        <w:ind w:right="20" w:firstLine="656"/>
        <w:spacing w:after="0" w:line="271" w:lineRule="auto"/>
        <w:tabs>
          <w:tab w:leader="none" w:pos="1212" w:val="left"/>
        </w:tabs>
        <w:numPr>
          <w:ilvl w:val="0"/>
          <w:numId w:val="184"/>
        </w:numPr>
        <w:rPr>
          <w:rFonts w:ascii="Arial" w:cs="Arial" w:eastAsia="Arial" w:hAnsi="Arial"/>
          <w:sz w:val="19"/>
          <w:szCs w:val="19"/>
          <w:color w:val="auto"/>
        </w:rPr>
      </w:pPr>
      <w:r>
        <w:rPr>
          <w:rFonts w:ascii="Arial" w:cs="Arial" w:eastAsia="Arial" w:hAnsi="Arial"/>
          <w:sz w:val="19"/>
          <w:szCs w:val="19"/>
          <w:color w:val="auto"/>
        </w:rPr>
        <w:t>With effect from the Resignation Effective Date or the Removal Effective Date (as applicable)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and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7 and Section 8.04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93"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i w:val="1"/>
          <w:iCs w:val="1"/>
          <w:color w:val="auto"/>
        </w:rPr>
        <w:t>Non-Reliance on Administrative Agent and Other Lenders</w:t>
      </w:r>
      <w:r>
        <w:rPr>
          <w:rFonts w:ascii="Arial" w:cs="Arial" w:eastAsia="Arial" w:hAnsi="Arial"/>
          <w:sz w:val="21"/>
          <w:szCs w:val="21"/>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not taking action under or based upon this Agreement, any other Loan Document or any related agreement or any document furnished hereunder or thereunder.</w:t>
      </w:r>
    </w:p>
    <w:p>
      <w:pPr>
        <w:spacing w:after="0" w:line="200" w:lineRule="exact"/>
        <w:rPr>
          <w:sz w:val="20"/>
          <w:szCs w:val="20"/>
          <w:color w:val="auto"/>
        </w:rPr>
      </w:pPr>
    </w:p>
    <w:p>
      <w:pPr>
        <w:ind w:right="40" w:firstLine="648"/>
        <w:spacing w:after="0" w:line="244" w:lineRule="auto"/>
        <w:rPr>
          <w:sz w:val="20"/>
          <w:szCs w:val="20"/>
          <w:color w:val="auto"/>
        </w:rPr>
      </w:pPr>
      <w:r>
        <w:rPr>
          <w:rFonts w:ascii="Arial" w:cs="Arial" w:eastAsia="Arial" w:hAnsi="Arial"/>
          <w:sz w:val="21"/>
          <w:szCs w:val="21"/>
          <w:color w:val="auto"/>
        </w:rPr>
        <w:t xml:space="preserve">Section 7.08. </w:t>
      </w:r>
      <w:r>
        <w:rPr>
          <w:rFonts w:ascii="Arial" w:cs="Arial" w:eastAsia="Arial" w:hAnsi="Arial"/>
          <w:sz w:val="21"/>
          <w:szCs w:val="21"/>
          <w:i w:val="1"/>
          <w:iCs w:val="1"/>
          <w:color w:val="auto"/>
        </w:rPr>
        <w:t>Indemnification</w:t>
      </w:r>
      <w:r>
        <w:rPr>
          <w:rFonts w:ascii="Arial" w:cs="Arial" w:eastAsia="Arial" w:hAnsi="Arial"/>
          <w:sz w:val="21"/>
          <w:szCs w:val="21"/>
          <w:color w:val="auto"/>
        </w:rPr>
        <w:t xml:space="preserve">. The Lenders agree to indemnify the Administrative Agent (to the extent not reimbursed by the Borrower), ratably according to the respective principal amounts of the Advances made by each of them (or, if no Advances are at the time outstanding, ratably according to the respective amounts of their Commitments), from and against any and all liabilities, obligations, losses, damages, penalties, actions, judgments, suits, costs, expenses and disbursements of any kind or nature whatsoever that may be imposed on, incurred by, or asserted against the Administrative Agent in any way relating to or arising out of this Agreement or any action taken or omitted by the Administrative Agent under this Agreement, in each case, acting in the capacity of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Lender shall be liable for any portion of such liabilities, obligations, losses, damages, penalties, actions, judgments, suits, costs, expenses or disbursements resulting from the Administrative Agent’s gross negligence or willful misconduct. Without limitation of the foregoing, each Lender agrees to reimburse the Administrative Agent promptly upon demand for its ratable share of any out-of-pocket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is not promptly reimbursed for such expenses by the Borrower.</w:t>
      </w:r>
    </w:p>
    <w:p>
      <w:pPr>
        <w:spacing w:after="0" w:line="209"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i w:val="1"/>
          <w:iCs w:val="1"/>
          <w:color w:val="auto"/>
        </w:rPr>
        <w:t>Other Agents</w:t>
      </w:r>
      <w:r>
        <w:rPr>
          <w:rFonts w:ascii="Arial" w:cs="Arial" w:eastAsia="Arial" w:hAnsi="Arial"/>
          <w:sz w:val="19"/>
          <w:szCs w:val="19"/>
          <w:color w:val="auto"/>
        </w:rPr>
        <w:t>. None of the Lenders identified on the facing page or signature pages of this Agreement as a “syndication agent” shall have any right, power, obligation, liability, responsibility or duty under this Agreement other than those applicable to all Lenders as such. Without limiting the foregoing, none of the Lenders so identified shall have or be deemed to have any fiduciary relationship with any Lender. Each Lender acknowledges that it has not relied, and will not rely, on any of the Lenders so identified in deciding to enter into this Agreement or in taking or not taking action hereunder.</w:t>
      </w:r>
    </w:p>
    <w:p>
      <w:pPr>
        <w:spacing w:after="0" w:line="175" w:lineRule="exact"/>
        <w:rPr>
          <w:sz w:val="20"/>
          <w:szCs w:val="20"/>
          <w:color w:val="auto"/>
        </w:rPr>
      </w:pPr>
    </w:p>
    <w:p>
      <w:pPr>
        <w:ind w:right="200" w:firstLine="648"/>
        <w:spacing w:after="0" w:line="252"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i w:val="1"/>
          <w:iCs w:val="1"/>
          <w:color w:val="auto"/>
        </w:rPr>
        <w:t>ERISA</w:t>
      </w:r>
      <w:r>
        <w:rPr>
          <w:rFonts w:ascii="Arial" w:cs="Arial" w:eastAsia="Arial" w:hAnsi="Arial"/>
          <w:sz w:val="21"/>
          <w:szCs w:val="21"/>
          <w:color w:val="auto"/>
        </w:rPr>
        <w:t>. (a) Each Lender (x) represents and warrants, as of the date such Person became a Lender party hereto, to, and (y) covenants, from the date such Person became a Lender party hereto to the date such Person ceases being a Lender party hereto, for the benefit of, the Agents and their respective Affiliates, and not, for the avoidance of doubt, to or for the benefit of the Borrower, that at least one of the following is and will be true:</w:t>
      </w:r>
    </w:p>
    <w:p>
      <w:pPr>
        <w:spacing w:after="0" w:line="201" w:lineRule="exact"/>
        <w:rPr>
          <w:sz w:val="20"/>
          <w:szCs w:val="20"/>
          <w:color w:val="auto"/>
        </w:rPr>
      </w:pPr>
    </w:p>
    <w:p>
      <w:pPr>
        <w:ind w:left="660" w:right="760" w:firstLine="645"/>
        <w:spacing w:after="0" w:line="328" w:lineRule="auto"/>
        <w:tabs>
          <w:tab w:leader="none" w:pos="199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of one or more Benefit Plans in connection with the Advances or the Commitments,</w:t>
      </w:r>
    </w:p>
    <w:p>
      <w:pPr>
        <w:spacing w:after="0" w:line="132" w:lineRule="exact"/>
        <w:rPr>
          <w:rFonts w:ascii="Arial" w:cs="Arial" w:eastAsia="Arial" w:hAnsi="Arial"/>
          <w:sz w:val="19"/>
          <w:szCs w:val="19"/>
          <w:color w:val="auto"/>
        </w:rPr>
      </w:pPr>
    </w:p>
    <w:p>
      <w:pPr>
        <w:jc w:val="both"/>
        <w:ind w:left="660" w:right="220" w:firstLine="645"/>
        <w:spacing w:after="0" w:line="328" w:lineRule="auto"/>
        <w:tabs>
          <w:tab w:leader="none" w:pos="200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line="297" w:lineRule="auto"/>
        <w:rPr>
          <w:sz w:val="20"/>
          <w:szCs w:val="20"/>
          <w:color w:val="auto"/>
        </w:rPr>
      </w:pPr>
      <w:r>
        <w:rPr>
          <w:rFonts w:ascii="Arial" w:cs="Arial" w:eastAsia="Arial" w:hAnsi="Arial"/>
          <w:sz w:val="19"/>
          <w:szCs w:val="19"/>
          <w:color w:val="auto"/>
        </w:rPr>
        <w:t>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w:t>
      </w:r>
    </w:p>
    <w:p>
      <w:pPr>
        <w:sectPr>
          <w:pgSz w:w="11900" w:h="16958" w:orient="portrait"/>
          <w:cols w:equalWidth="0" w:num="1">
            <w:col w:w="11400"/>
          </w:cols>
          <w:pgMar w:left="240" w:top="118" w:right="259" w:bottom="0" w:gutter="0" w:footer="0" w:header="0"/>
        </w:sectPr>
      </w:pPr>
    </w:p>
    <w:bookmarkStart w:id="94" w:name="page95"/>
    <w:bookmarkEnd w:id="94"/>
    <w:p>
      <w:pPr>
        <w:ind w:left="660" w:right="80"/>
        <w:spacing w:after="0" w:line="251" w:lineRule="auto"/>
        <w:rPr>
          <w:sz w:val="20"/>
          <w:szCs w:val="20"/>
          <w:color w:val="auto"/>
        </w:rPr>
      </w:pPr>
      <w:r>
        <w:rPr>
          <w:rFonts w:ascii="Arial" w:cs="Arial" w:eastAsia="Arial" w:hAnsi="Arial"/>
          <w:sz w:val="22"/>
          <w:szCs w:val="22"/>
          <w:color w:val="auto"/>
        </w:rPr>
        <w:t>managers), is applicable with respect to such Lender’s entrance into, participation in, administration of and performance of the Advances, the Commitments and this Agreement,</w:t>
      </w:r>
    </w:p>
    <w:p>
      <w:pPr>
        <w:spacing w:after="0" w:line="201" w:lineRule="exact"/>
        <w:rPr>
          <w:sz w:val="20"/>
          <w:szCs w:val="20"/>
          <w:color w:val="auto"/>
        </w:rPr>
      </w:pPr>
    </w:p>
    <w:p>
      <w:pPr>
        <w:ind w:left="660" w:right="60" w:firstLine="645"/>
        <w:spacing w:after="0" w:line="273" w:lineRule="auto"/>
        <w:tabs>
          <w:tab w:leader="none" w:pos="201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w:t>
      </w:r>
    </w:p>
    <w:p>
      <w:pPr>
        <w:spacing w:after="0" w:line="1" w:lineRule="exact"/>
        <w:rPr>
          <w:rFonts w:ascii="Arial" w:cs="Arial" w:eastAsia="Arial" w:hAnsi="Arial"/>
          <w:sz w:val="19"/>
          <w:szCs w:val="19"/>
          <w:color w:val="auto"/>
        </w:rPr>
      </w:pPr>
    </w:p>
    <w:p>
      <w:pPr>
        <w:ind w:left="660" w:right="140" w:hanging="4"/>
        <w:spacing w:after="0" w:line="233" w:lineRule="auto"/>
        <w:tabs>
          <w:tab w:leader="none" w:pos="100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212" w:lineRule="exact"/>
        <w:rPr>
          <w:rFonts w:ascii="Arial" w:cs="Arial" w:eastAsia="Arial" w:hAnsi="Arial"/>
          <w:sz w:val="22"/>
          <w:szCs w:val="22"/>
          <w:color w:val="auto"/>
        </w:rPr>
      </w:pPr>
    </w:p>
    <w:p>
      <w:pPr>
        <w:ind w:left="660" w:right="220" w:firstLine="645"/>
        <w:spacing w:after="0" w:line="251" w:lineRule="auto"/>
        <w:tabs>
          <w:tab w:leader="none" w:pos="1998" w:val="left"/>
        </w:tabs>
        <w:numPr>
          <w:ilvl w:val="1"/>
          <w:numId w:val="187"/>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200" w:lineRule="exact"/>
        <w:rPr>
          <w:sz w:val="20"/>
          <w:szCs w:val="20"/>
          <w:color w:val="auto"/>
        </w:rPr>
      </w:pPr>
    </w:p>
    <w:p>
      <w:pPr>
        <w:ind w:firstLine="656"/>
        <w:spacing w:after="0" w:line="273" w:lineRule="auto"/>
        <w:tabs>
          <w:tab w:leader="none" w:pos="117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w:t>
      </w:r>
    </w:p>
    <w:p>
      <w:pPr>
        <w:spacing w:after="0" w:line="1" w:lineRule="exact"/>
        <w:rPr>
          <w:rFonts w:ascii="Arial" w:cs="Arial" w:eastAsia="Arial" w:hAnsi="Arial"/>
          <w:sz w:val="19"/>
          <w:szCs w:val="19"/>
          <w:color w:val="auto"/>
        </w:rPr>
      </w:pPr>
    </w:p>
    <w:p>
      <w:pPr>
        <w:ind w:right="60" w:firstLine="8"/>
        <w:spacing w:after="0" w:line="234" w:lineRule="auto"/>
        <w:tabs>
          <w:tab w:leader="none" w:pos="30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covenants, from the date such Person became a Lender party hereto to the date such Person ceases being a Lender party hereto, for the benefit of, the Agents and their respective Affiliates, and not, for the avoidance of doubt, to or for the benefit of the Borrower or any other Loan Party, that:</w:t>
      </w:r>
    </w:p>
    <w:p>
      <w:pPr>
        <w:spacing w:after="0" w:line="214" w:lineRule="exact"/>
        <w:rPr>
          <w:rFonts w:ascii="Arial" w:cs="Arial" w:eastAsia="Arial" w:hAnsi="Arial"/>
          <w:sz w:val="22"/>
          <w:szCs w:val="22"/>
          <w:color w:val="auto"/>
        </w:rPr>
      </w:pPr>
    </w:p>
    <w:p>
      <w:pPr>
        <w:ind w:left="660" w:right="420" w:firstLine="645"/>
        <w:spacing w:after="0"/>
        <w:tabs>
          <w:tab w:leader="none" w:pos="1998" w:val="left"/>
        </w:tabs>
        <w:numPr>
          <w:ilvl w:val="2"/>
          <w:numId w:val="189"/>
        </w:numPr>
        <w:rPr>
          <w:rFonts w:ascii="Arial" w:cs="Arial" w:eastAsia="Arial" w:hAnsi="Arial"/>
          <w:sz w:val="22"/>
          <w:szCs w:val="22"/>
          <w:color w:val="auto"/>
        </w:rPr>
      </w:pPr>
      <w:r>
        <w:rPr>
          <w:rFonts w:ascii="Arial" w:cs="Arial" w:eastAsia="Arial" w:hAnsi="Arial"/>
          <w:sz w:val="22"/>
          <w:szCs w:val="22"/>
          <w:color w:val="auto"/>
        </w:rPr>
        <w:t>none of the Agents or any of their respective Affiliates is a fiduciary with respect to the assets of such Lender (including in connection with the reservation or exercise of any rights by the Agents under this Agreement, any Loan Document or any documents related to hereto or thereto),</w:t>
      </w:r>
    </w:p>
    <w:p>
      <w:pPr>
        <w:spacing w:after="0" w:line="213" w:lineRule="exact"/>
        <w:rPr>
          <w:rFonts w:ascii="Arial" w:cs="Arial" w:eastAsia="Arial" w:hAnsi="Arial"/>
          <w:sz w:val="22"/>
          <w:szCs w:val="22"/>
          <w:color w:val="auto"/>
        </w:rPr>
      </w:pPr>
    </w:p>
    <w:p>
      <w:pPr>
        <w:ind w:left="660" w:firstLine="645"/>
        <w:spacing w:after="0" w:line="236" w:lineRule="auto"/>
        <w:tabs>
          <w:tab w:leader="none" w:pos="2004" w:val="left"/>
        </w:tabs>
        <w:numPr>
          <w:ilvl w:val="2"/>
          <w:numId w:val="189"/>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Advances,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280" w:firstLine="645"/>
        <w:spacing w:after="0" w:line="238" w:lineRule="auto"/>
        <w:tabs>
          <w:tab w:leader="none" w:pos="2010" w:val="left"/>
        </w:tabs>
        <w:numPr>
          <w:ilvl w:val="1"/>
          <w:numId w:val="190"/>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Advances, the Commitments and this Agreement is capable of evaluating investment risks independently, both in general and with regard to particular transactions and investment strategies,</w:t>
      </w:r>
    </w:p>
    <w:p>
      <w:pPr>
        <w:spacing w:after="0" w:line="212" w:lineRule="exact"/>
        <w:rPr>
          <w:rFonts w:ascii="Arial" w:cs="Arial" w:eastAsia="Arial" w:hAnsi="Arial"/>
          <w:sz w:val="22"/>
          <w:szCs w:val="22"/>
          <w:color w:val="auto"/>
        </w:rPr>
      </w:pPr>
    </w:p>
    <w:p>
      <w:pPr>
        <w:ind w:left="660" w:right="140" w:firstLine="645"/>
        <w:spacing w:after="0" w:line="252" w:lineRule="auto"/>
        <w:tabs>
          <w:tab w:leader="none" w:pos="1998" w:val="left"/>
        </w:tabs>
        <w:numPr>
          <w:ilvl w:val="1"/>
          <w:numId w:val="190"/>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Advances, the Commitments and this Agreement is a fiduciary under ERISA or the Code, or both, with respect to the Advances, the Commitments and this Agreement and is responsible for exercising independent judgment in evaluating the transactions hereunder, and</w:t>
      </w:r>
    </w:p>
    <w:p>
      <w:pPr>
        <w:spacing w:after="0" w:line="201" w:lineRule="exact"/>
        <w:rPr>
          <w:rFonts w:ascii="Arial" w:cs="Arial" w:eastAsia="Arial" w:hAnsi="Arial"/>
          <w:sz w:val="21"/>
          <w:szCs w:val="21"/>
          <w:color w:val="auto"/>
        </w:rPr>
      </w:pPr>
    </w:p>
    <w:p>
      <w:pPr>
        <w:ind w:left="660" w:right="300" w:firstLine="645"/>
        <w:spacing w:after="0" w:line="328" w:lineRule="auto"/>
        <w:tabs>
          <w:tab w:leader="none" w:pos="1992" w:val="left"/>
        </w:tabs>
        <w:numPr>
          <w:ilvl w:val="1"/>
          <w:numId w:val="190"/>
        </w:numPr>
        <w:rPr>
          <w:rFonts w:ascii="Arial" w:cs="Arial" w:eastAsia="Arial" w:hAnsi="Arial"/>
          <w:sz w:val="19"/>
          <w:szCs w:val="19"/>
          <w:color w:val="auto"/>
        </w:rPr>
      </w:pPr>
      <w:r>
        <w:rPr>
          <w:rFonts w:ascii="Arial" w:cs="Arial" w:eastAsia="Arial" w:hAnsi="Arial"/>
          <w:sz w:val="19"/>
          <w:szCs w:val="19"/>
          <w:color w:val="auto"/>
        </w:rPr>
        <w:t>no fee or other compensation is being paid directly to the Agents or any their respective Affiliates for investment advice (as opposed to other services) in connection with the Advances, the Commitments or this Agreement.</w:t>
      </w:r>
    </w:p>
    <w:p>
      <w:pPr>
        <w:spacing w:after="0" w:line="132" w:lineRule="exact"/>
        <w:rPr>
          <w:rFonts w:ascii="Arial" w:cs="Arial" w:eastAsia="Arial" w:hAnsi="Arial"/>
          <w:sz w:val="19"/>
          <w:szCs w:val="19"/>
          <w:color w:val="auto"/>
        </w:rPr>
      </w:pPr>
    </w:p>
    <w:p>
      <w:pPr>
        <w:ind w:right="20" w:firstLine="656"/>
        <w:spacing w:after="0" w:line="273" w:lineRule="auto"/>
        <w:tabs>
          <w:tab w:leader="none" w:pos="121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Agents and the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Advances, the Commitments and this Agreement, (ii) may recognize a gain if it extended the Advances or the Commitments for an amount less than the amount being paid for an interest in the Advances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8</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MISCELLANEOUS</w:t>
      </w:r>
    </w:p>
    <w:p>
      <w:pPr>
        <w:spacing w:after="0" w:line="233"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i w:val="1"/>
          <w:iCs w:val="1"/>
          <w:color w:val="auto"/>
        </w:rPr>
        <w:t>Amendments, Etc.</w:t>
      </w:r>
      <w:r>
        <w:rPr>
          <w:rFonts w:ascii="Arial" w:cs="Arial" w:eastAsia="Arial" w:hAnsi="Arial"/>
          <w:sz w:val="19"/>
          <w:szCs w:val="19"/>
          <w:color w:val="auto"/>
        </w:rPr>
        <w:t xml:space="preserve"> No amendment or waiver of any provision of this Agreement, nor consent to any departure by the Borrower therefrom, shall in any event be effective unless the same shall be in writing and signed by the Required Lenders and the Borrower and acknowledged by the Administrative Agent, and then such waiver or consent shall be effective only</w:t>
      </w:r>
    </w:p>
    <w:p>
      <w:pPr>
        <w:sectPr>
          <w:pgSz w:w="11900" w:h="16838" w:orient="portrait"/>
          <w:cols w:equalWidth="0" w:num="1">
            <w:col w:w="11360"/>
          </w:cols>
          <w:pgMar w:left="240" w:top="118" w:right="299" w:bottom="0" w:gutter="0" w:footer="0" w:header="0"/>
        </w:sectPr>
      </w:pPr>
    </w:p>
    <w:bookmarkStart w:id="95" w:name="page96"/>
    <w:bookmarkEnd w:id="95"/>
    <w:p>
      <w:pPr>
        <w:ind w:right="440"/>
        <w:spacing w:after="0" w:line="251" w:lineRule="auto"/>
        <w:rPr>
          <w:sz w:val="20"/>
          <w:szCs w:val="20"/>
          <w:color w:val="auto"/>
        </w:rPr>
      </w:pPr>
      <w:r>
        <w:rPr>
          <w:rFonts w:ascii="Arial" w:cs="Arial" w:eastAsia="Arial" w:hAnsi="Arial"/>
          <w:sz w:val="22"/>
          <w:szCs w:val="22"/>
          <w:color w:val="auto"/>
        </w:rPr>
        <w:t xml:space="preserve">in the specific instance and for the specific purpose for which given;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 amendment, waiver or consent shall, unless in writing, do any of the following:</w:t>
      </w:r>
    </w:p>
    <w:p>
      <w:pPr>
        <w:spacing w:after="0" w:line="201" w:lineRule="exact"/>
        <w:rPr>
          <w:sz w:val="20"/>
          <w:szCs w:val="20"/>
          <w:color w:val="auto"/>
        </w:rPr>
      </w:pPr>
    </w:p>
    <w:p>
      <w:pPr>
        <w:ind w:left="660" w:right="420" w:firstLine="645"/>
        <w:spacing w:after="0" w:line="251" w:lineRule="auto"/>
        <w:tabs>
          <w:tab w:leader="none" w:pos="199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waive any of the conditions specified in Sections 3.01 or 3.02 unless signed by each Lender directly and adversely affected thereby;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320" w:firstLine="645"/>
        <w:spacing w:after="0" w:line="251" w:lineRule="auto"/>
        <w:tabs>
          <w:tab w:leader="none" w:pos="200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increase or extend the Commitments of a Lender or subject a Lender to any additional obligations, unless signed by such Lender;</w:t>
      </w:r>
    </w:p>
    <w:p>
      <w:pPr>
        <w:spacing w:after="0" w:line="200" w:lineRule="exact"/>
        <w:rPr>
          <w:rFonts w:ascii="Arial" w:cs="Arial" w:eastAsia="Arial" w:hAnsi="Arial"/>
          <w:sz w:val="22"/>
          <w:szCs w:val="22"/>
          <w:color w:val="auto"/>
        </w:rPr>
      </w:pPr>
    </w:p>
    <w:p>
      <w:pPr>
        <w:ind w:left="660" w:right="520" w:firstLine="645"/>
        <w:spacing w:after="0" w:line="287" w:lineRule="auto"/>
        <w:tabs>
          <w:tab w:leader="none" w:pos="201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reduce the principal of, or stated rate of interest on, the Advances, the stated rate at which any fees hereunder are calculated or any other amounts payable hereunder, unless signed by each Lender directly and adversely affected thereby;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only the consent of the Required Lenders shall be necessary to amend the definition of “Default Interest” or to waive any obligation of the Borrower to pay Default Interest;</w:t>
      </w:r>
    </w:p>
    <w:p>
      <w:pPr>
        <w:spacing w:after="0" w:line="170" w:lineRule="exact"/>
        <w:rPr>
          <w:rFonts w:ascii="Arial" w:cs="Arial" w:eastAsia="Arial" w:hAnsi="Arial"/>
          <w:sz w:val="19"/>
          <w:szCs w:val="19"/>
          <w:color w:val="auto"/>
        </w:rPr>
      </w:pPr>
    </w:p>
    <w:p>
      <w:pPr>
        <w:ind w:left="660" w:right="340" w:firstLine="645"/>
        <w:spacing w:after="0" w:line="274" w:lineRule="auto"/>
        <w:tabs>
          <w:tab w:leader="none" w:pos="1998" w:val="left"/>
        </w:tabs>
        <w:numPr>
          <w:ilvl w:val="0"/>
          <w:numId w:val="193"/>
        </w:numPr>
        <w:rPr>
          <w:rFonts w:ascii="Arial" w:cs="Arial" w:eastAsia="Arial" w:hAnsi="Arial"/>
          <w:sz w:val="21"/>
          <w:szCs w:val="21"/>
          <w:color w:val="auto"/>
        </w:rPr>
      </w:pPr>
      <w:r>
        <w:rPr>
          <w:rFonts w:ascii="Arial" w:cs="Arial" w:eastAsia="Arial" w:hAnsi="Arial"/>
          <w:sz w:val="21"/>
          <w:szCs w:val="21"/>
          <w:color w:val="auto"/>
        </w:rPr>
        <w:t>postpone any date fixed for any payment of principal of, or interest on, the Advances or any fees or other amounts payable hereunder, unless signed by each Lender directly and adversely affected thereby;</w:t>
      </w:r>
    </w:p>
    <w:p>
      <w:pPr>
        <w:spacing w:after="0" w:line="177" w:lineRule="exact"/>
        <w:rPr>
          <w:rFonts w:ascii="Arial" w:cs="Arial" w:eastAsia="Arial" w:hAnsi="Arial"/>
          <w:sz w:val="21"/>
          <w:szCs w:val="21"/>
          <w:color w:val="auto"/>
        </w:rPr>
      </w:pPr>
    </w:p>
    <w:p>
      <w:pPr>
        <w:ind w:left="660" w:right="80" w:firstLine="645"/>
        <w:spacing w:after="0"/>
        <w:tabs>
          <w:tab w:leader="none" w:pos="199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change the percentage of the Commitments or of the aggregate unpaid principal amount of the Advances, or the number of Lenders, that, in each case, shall be required for the Lenders or any of them to take any action hereunder, unless signed by all Lenders; or</w:t>
      </w:r>
    </w:p>
    <w:p>
      <w:pPr>
        <w:spacing w:after="0" w:line="213" w:lineRule="exact"/>
        <w:rPr>
          <w:rFonts w:ascii="Arial" w:cs="Arial" w:eastAsia="Arial" w:hAnsi="Arial"/>
          <w:sz w:val="22"/>
          <w:szCs w:val="22"/>
          <w:color w:val="auto"/>
        </w:rPr>
      </w:pPr>
    </w:p>
    <w:p>
      <w:pPr>
        <w:ind w:left="2000" w:hanging="695"/>
        <w:spacing w:after="0"/>
        <w:tabs>
          <w:tab w:leader="none" w:pos="20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amend this Section 8.01, unless signed by all Lenders;</w:t>
      </w:r>
    </w:p>
    <w:p>
      <w:pPr>
        <w:spacing w:after="0" w:line="23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no amendment, waiver or consent shall, unless in writing and signed by the Administrative Agent in addition to the Lenders required above to take such action, affect the rights or duties of the Administrative Agent under this Agreement. Notwithstanding the foregoing, the Administrative Agent and the Borrower may amend any Loan Document to correct any errors, mistakes, omissions, defects or inconsistencies, or to effect administrative changes that are not adverse to any Lender, and such amendment shall become effective without any further consent of any other party to such Loan Document other than the Administrative Agent and the Borrower.</w:t>
      </w:r>
    </w:p>
    <w:p>
      <w:pPr>
        <w:spacing w:after="0" w:line="215"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i w:val="1"/>
          <w:iCs w:val="1"/>
          <w:color w:val="auto"/>
        </w:rPr>
        <w:t>Notices, Etc</w:t>
      </w:r>
      <w:r>
        <w:rPr>
          <w:rFonts w:ascii="Arial" w:cs="Arial" w:eastAsia="Arial" w:hAnsi="Arial"/>
          <w:sz w:val="19"/>
          <w:szCs w:val="19"/>
          <w:color w:val="auto"/>
        </w:rPr>
        <w:t>. (a) All notices and other communications provided for hereunder shall be in writing (including telecopier) and mailed, telecopied or delivered, if to the Borrower or the Administrative Agent, to the address, telecopier number or if applicable, electronic mail address, specified for such Person on Schedule II; or, as to the Borrower or the Administrative Agent, at such other address as shall be designated by such party in a written notice to the other parties and, as to each other party, at such other address as shall be designated by such party in a written notice to the Borrower and the Administrative Agent. All such notices and communications shall, when mailed or telecopied, be effective three Business Days after being deposited in the mails, postage prepaid, or upon confirmation of receipt (except that if electronic confirmation of receipt is received at a time that the recipient is not open for business, the applicable notice or communication shall be effective at the opening of business on the next business day of the recipient), respectively, except that notices and communications to the Administrative Agent pursuant to Article 2, 3 or 7 shall not be effective until received by the Administrative Agent. Delivery by telecopier or other electronic communication of an executed counterpart of any amendment or waiver of any provision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of this Agreement or of any Exhibit hereto to be executed and delivered hereunder shall be effective as delivery of a manually executed counterpart thereof.</w:t>
      </w:r>
    </w:p>
    <w:p>
      <w:pPr>
        <w:spacing w:after="0" w:line="200" w:lineRule="exact"/>
        <w:rPr>
          <w:sz w:val="20"/>
          <w:szCs w:val="20"/>
          <w:color w:val="auto"/>
        </w:rPr>
      </w:pPr>
    </w:p>
    <w:p>
      <w:pPr>
        <w:ind w:right="140" w:firstLine="656"/>
        <w:spacing w:after="0" w:line="247" w:lineRule="auto"/>
        <w:tabs>
          <w:tab w:leader="none" w:pos="1170" w:val="left"/>
        </w:tabs>
        <w:numPr>
          <w:ilvl w:val="0"/>
          <w:numId w:val="194"/>
        </w:numPr>
        <w:rPr>
          <w:rFonts w:ascii="Arial" w:cs="Arial" w:eastAsia="Arial" w:hAnsi="Arial"/>
          <w:sz w:val="21"/>
          <w:szCs w:val="21"/>
          <w:color w:val="auto"/>
        </w:rPr>
      </w:pPr>
      <w:r>
        <w:rPr>
          <w:rFonts w:ascii="Arial" w:cs="Arial" w:eastAsia="Arial" w:hAnsi="Arial"/>
          <w:sz w:val="21"/>
          <w:szCs w:val="21"/>
          <w:i w:val="1"/>
          <w:iCs w:val="1"/>
          <w:color w:val="auto"/>
        </w:rPr>
        <w:t>Electronic Communications</w:t>
      </w:r>
      <w:r>
        <w:rPr>
          <w:rFonts w:ascii="Arial" w:cs="Arial" w:eastAsia="Arial" w:hAnsi="Arial"/>
          <w:sz w:val="21"/>
          <w:szCs w:val="21"/>
          <w:color w:val="auto"/>
        </w:rPr>
        <w:t>. Notices and other communications to the Lenders hereunder may be delivered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furnished by electronic communication (including e-mail, FpML messaging, and Internet or intranet websites) pursuant to procedures approved by the Administrative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shall not apply to notices to any Lender pursuant to Article 2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205"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w:t>
      </w:r>
    </w:p>
    <w:p>
      <w:pPr>
        <w:sectPr>
          <w:pgSz w:w="11900" w:h="16838" w:orient="portrait"/>
          <w:cols w:equalWidth="0" w:num="1">
            <w:col w:w="11420"/>
          </w:cols>
          <w:pgMar w:left="240" w:top="118" w:right="239" w:bottom="0" w:gutter="0" w:footer="0" w:header="0"/>
        </w:sectPr>
      </w:pPr>
    </w:p>
    <w:bookmarkStart w:id="96" w:name="page97"/>
    <w:bookmarkEnd w:id="96"/>
    <w:p>
      <w:pPr>
        <w:ind w:right="520"/>
        <w:spacing w:after="0" w:line="251" w:lineRule="auto"/>
        <w:rPr>
          <w:sz w:val="20"/>
          <w:szCs w:val="20"/>
          <w:color w:val="auto"/>
        </w:rPr>
      </w:pPr>
      <w:r>
        <w:rPr>
          <w:rFonts w:ascii="Arial" w:cs="Arial" w:eastAsia="Arial" w:hAnsi="Arial"/>
          <w:sz w:val="22"/>
          <w:szCs w:val="22"/>
          <w:color w:val="auto"/>
        </w:rPr>
        <w:t>described in the foregoing clause (i) of notification that such notice or communication is available and identifying the website address therefor.</w:t>
      </w:r>
    </w:p>
    <w:p>
      <w:pPr>
        <w:spacing w:after="0" w:line="201" w:lineRule="exact"/>
        <w:rPr>
          <w:sz w:val="20"/>
          <w:szCs w:val="20"/>
          <w:color w:val="auto"/>
        </w:rPr>
      </w:pPr>
    </w:p>
    <w:p>
      <w:pPr>
        <w:ind w:firstLine="656"/>
        <w:spacing w:after="0" w:line="271" w:lineRule="auto"/>
        <w:tabs>
          <w:tab w:leader="none" w:pos="121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b w:val="1"/>
          <w:bCs w:val="1"/>
          <w:color w:val="auto"/>
        </w:rPr>
        <w:t>Agent Parties</w:t>
      </w:r>
      <w:r>
        <w:rPr>
          <w:rFonts w:ascii="Arial" w:cs="Arial" w:eastAsia="Arial" w:hAnsi="Arial"/>
          <w:sz w:val="19"/>
          <w:szCs w:val="19"/>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any Agent Party have any liability to the Borrower, any Lender or any other Person for indirect, special, incidental, consequential or punitive damages (as opposed to direct or actual damages).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656"/>
        <w:spacing w:after="0" w:line="273" w:lineRule="auto"/>
        <w:tabs>
          <w:tab w:leader="none" w:pos="117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Each Lender agrees that notice to it (as provided in the next sentence) (a “</w:t>
      </w:r>
      <w:r>
        <w:rPr>
          <w:rFonts w:ascii="Arial" w:cs="Arial" w:eastAsia="Arial" w:hAnsi="Arial"/>
          <w:sz w:val="19"/>
          <w:szCs w:val="19"/>
          <w:b w:val="1"/>
          <w:bCs w:val="1"/>
          <w:color w:val="auto"/>
        </w:rPr>
        <w:t>Notice</w:t>
      </w:r>
      <w:r>
        <w:rPr>
          <w:rFonts w:ascii="Arial" w:cs="Arial" w:eastAsia="Arial" w:hAnsi="Arial"/>
          <w:sz w:val="19"/>
          <w:szCs w:val="19"/>
          <w:color w:val="auto"/>
        </w:rPr>
        <w:t>”) specifying that any communication has been posted to the Platform shall constitute effective delivery of such information, documents or other materials to such Lender for purposes of this Agreement.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9" w:lineRule="exact"/>
        <w:rPr>
          <w:rFonts w:ascii="Arial" w:cs="Arial" w:eastAsia="Arial" w:hAnsi="Arial"/>
          <w:sz w:val="19"/>
          <w:szCs w:val="19"/>
          <w:color w:val="auto"/>
        </w:rPr>
      </w:pPr>
    </w:p>
    <w:p>
      <w:pPr>
        <w:ind w:right="260" w:firstLine="656"/>
        <w:spacing w:after="0" w:line="282" w:lineRule="auto"/>
        <w:tabs>
          <w:tab w:leader="none" w:pos="121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If any notice required under this Agreement is permitted to be made, and is made, by telephone, actions taken or omitted to be taken in reliance thereon by the Administrative Agent or any Lender shall be binding upon the Borrower notwithstanding any inconsistency between the notice provided by telephone and any subsequent writing in confirmation thereof provided to the Administrative Agent or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action taken or omitted to be taken by the Administrative Agent or such Lender shall have been in good faith and in accordance with the terms of this Agreement.</w:t>
      </w:r>
    </w:p>
    <w:p>
      <w:pPr>
        <w:spacing w:after="0" w:line="174" w:lineRule="exact"/>
        <w:rPr>
          <w:rFonts w:ascii="Arial" w:cs="Arial" w:eastAsia="Arial" w:hAnsi="Arial"/>
          <w:sz w:val="19"/>
          <w:szCs w:val="19"/>
          <w:color w:val="auto"/>
        </w:rPr>
      </w:pPr>
    </w:p>
    <w:p>
      <w:pPr>
        <w:ind w:right="160" w:firstLine="656"/>
        <w:spacing w:after="0" w:line="297" w:lineRule="auto"/>
        <w:tabs>
          <w:tab w:leader="none" w:pos="118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With respect to notices and other communications hereunder from the Borrower to any Lender, the Borrower shall provide such notices and other communications to the Administrative Agent, and the Administrative Agent shall promptly deliver such notices and other communications to any such Lender in accordance with subsection above or otherwise.</w:t>
      </w:r>
    </w:p>
    <w:p>
      <w:pPr>
        <w:spacing w:after="0" w:line="161"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No Waiver; Remedies</w:t>
      </w:r>
      <w:r>
        <w:rPr>
          <w:rFonts w:ascii="Arial" w:cs="Arial" w:eastAsia="Arial" w:hAnsi="Arial"/>
          <w:sz w:val="22"/>
          <w:szCs w:val="22"/>
          <w:color w:val="auto"/>
        </w:rPr>
        <w:t>. No failure on the part of any Lender or the Administrative Agent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212"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i w:val="1"/>
          <w:iCs w:val="1"/>
          <w:color w:val="auto"/>
        </w:rPr>
        <w:t>Costs and Expenses</w:t>
      </w:r>
      <w:r>
        <w:rPr>
          <w:rFonts w:ascii="Arial" w:cs="Arial" w:eastAsia="Arial" w:hAnsi="Arial"/>
          <w:sz w:val="19"/>
          <w:szCs w:val="19"/>
          <w:color w:val="auto"/>
        </w:rPr>
        <w:t>. (a) The Borrower agrees to pay, upon demand, all reasonable and documented out-of-pocket costs and expenses of each Agent in connection with the preparation, execution, delivery, administration, modification and amendment of this Agreement and the other documents to be delivered hereunder, including, (i) all due diligence, syndication (including printing and distribution), duplication and messenger costs and (ii) the reasonable and documented fees and expenses of a single primary counsel (and a local counsel in each relevant jurisdiction) for the Administrative Agent with respect thereto and with respect to advising the Agents as to their respective rights and responsibilities under this Agreement. The Borrower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40"/>
        <w:spacing w:after="0" w:line="247" w:lineRule="auto"/>
        <w:rPr>
          <w:sz w:val="20"/>
          <w:szCs w:val="20"/>
          <w:color w:val="auto"/>
        </w:rPr>
      </w:pPr>
      <w:r>
        <w:rPr>
          <w:rFonts w:ascii="Arial" w:cs="Arial" w:eastAsia="Arial" w:hAnsi="Arial"/>
          <w:sz w:val="21"/>
          <w:szCs w:val="21"/>
          <w:color w:val="auto"/>
        </w:rPr>
        <w:t>further agrees to pay, upon demand, all reasonable and documented out-of-pocket costs and expenses of the Agents and the Lenders, if any, in connection with the enforcement (whether through negotiations, legal proceedings or otherwise) of this Agreement and the other documents to be delivered hereunder, including, but limited, in the case of fees and expenses of counsel, to reasonable and documented fees and expenses of a single primary counsel and an additional single local counsel in any local jurisdictions for the Agents and the Lenders and, in the case of an actual or perceived conflict of interest where the Administrative Agent notifies the Borrower of the existence of such conflict, one additional counsel, in connection with the enforcement of rights under this Agreement.</w:t>
      </w:r>
    </w:p>
    <w:p>
      <w:pPr>
        <w:sectPr>
          <w:pgSz w:w="11900" w:h="16838" w:orient="portrait"/>
          <w:cols w:equalWidth="0" w:num="1">
            <w:col w:w="11400"/>
          </w:cols>
          <w:pgMar w:left="240" w:top="118" w:right="259" w:bottom="0" w:gutter="0" w:footer="0" w:header="0"/>
        </w:sectPr>
      </w:pPr>
    </w:p>
    <w:bookmarkStart w:id="97" w:name="page98"/>
    <w:bookmarkEnd w:id="97"/>
    <w:p>
      <w:pPr>
        <w:ind w:firstLine="656"/>
        <w:spacing w:after="0" w:line="269" w:lineRule="auto"/>
        <w:tabs>
          <w:tab w:leader="none" w:pos="117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Borrower agrees to indemnify and hold harmless each Agent and each Lender and each of their Affiliates and their respective officers, directors, employees, agents and advisors (each, an “</w:t>
      </w:r>
      <w:r>
        <w:rPr>
          <w:rFonts w:ascii="Arial" w:cs="Arial" w:eastAsia="Arial" w:hAnsi="Arial"/>
          <w:sz w:val="19"/>
          <w:szCs w:val="19"/>
          <w:b w:val="1"/>
          <w:bCs w:val="1"/>
          <w:color w:val="auto"/>
        </w:rPr>
        <w:t>Indemnified Party</w:t>
      </w:r>
      <w:r>
        <w:rPr>
          <w:rFonts w:ascii="Arial" w:cs="Arial" w:eastAsia="Arial" w:hAnsi="Arial"/>
          <w:sz w:val="19"/>
          <w:szCs w:val="19"/>
          <w:color w:val="auto"/>
        </w:rPr>
        <w:t>”) from and against any and all claims, damages, losses, penalties, liabilities and expenses (</w:t>
      </w:r>
      <w:r>
        <w:rPr>
          <w:rFonts w:ascii="Arial" w:cs="Arial" w:eastAsia="Arial" w:hAnsi="Arial"/>
          <w:sz w:val="19"/>
          <w:szCs w:val="19"/>
          <w:i w:val="1"/>
          <w:iCs w:val="1"/>
          <w:color w:val="auto"/>
        </w:rPr>
        <w:t>provided</w:t>
      </w:r>
      <w:r>
        <w:rPr>
          <w:rFonts w:ascii="Arial" w:cs="Arial" w:eastAsia="Arial" w:hAnsi="Arial"/>
          <w:sz w:val="19"/>
          <w:szCs w:val="19"/>
          <w:color w:val="auto"/>
        </w:rPr>
        <w:t>, that, the Borrower’s obligations to the Indemnified Parties in respect of fees and expenses of counsel shall be limited to the reasonable fees and expenses of one counsel for all Indemnified Parties, taken together (and, if reasonably necessary, one local counsel in any relevant jurisdiction), and, solely in the case of an actual or potential conflict of interest, of one additional counsel for all Indemnified Parties, taken together (and, if reasonably necessary, one local counsel in any relevant jurisdiction)) (all such claims, damages, losses, penalties, liabilities and reasonable expenses being, collectively, the “</w:t>
      </w:r>
      <w:r>
        <w:rPr>
          <w:rFonts w:ascii="Arial" w:cs="Arial" w:eastAsia="Arial" w:hAnsi="Arial"/>
          <w:sz w:val="19"/>
          <w:szCs w:val="19"/>
          <w:b w:val="1"/>
          <w:bCs w:val="1"/>
          <w:color w:val="auto"/>
        </w:rPr>
        <w:t>Losses</w:t>
      </w:r>
      <w:r>
        <w:rPr>
          <w:rFonts w:ascii="Arial" w:cs="Arial" w:eastAsia="Arial" w:hAnsi="Arial"/>
          <w:sz w:val="19"/>
          <w:szCs w:val="19"/>
          <w:color w:val="auto"/>
        </w:rPr>
        <w:t>”)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(i) this Agreement, any of the transactions contemplated hereby or the actual or proposed use of the proceeds of the Advances or (ii) the actual or alleged presence of Hazardous Materials on any property of the Consolidated Group or any Environmental Action relating in any way to the Consolidated Group, in each case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Losses (A) are found in a final, nonappealable judgment by a court of competent jurisdiction to have resulted from the gross negligence, bad faith or willful misconduct of such Indemnified Party or any of its Affiliates (including any breach of its obligations under this Agreement), (B) result from any dispute between an Indemnified Party and one or more other Indemnified Parties (other than against an Agent acting in such a role) or (C) result from the claims of one or more Lenders solely against one or more other Lenders (and not claims by one or more Lenders against any Agent acting in its capacity as such except, in the case of Losses incurred by any Agent or any Lender as a result of such claims, to the extent such Losses are found in a final, nonappealable judgment by a court of competent jurisdiction to have resulted from such Indemnified Party’s gross negligence, bad faith or willful misconduct (including any breach of its obligations under this Agreement)) not attributable to any actions of a member of the Consolidated Group and for which the members of the Consolidated Group otherwise have no liability. The Borrower further agrees that no Indemnified Party shall have any liability (whether direct or indirect, in contract, tort or otherwise) to the Borrower, its Subsidiaries or any of their shareholders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or creditors for or in connection with this Agreement or any of the transactions contemplated hereby or the actual or proposed use of the proceeds of the Advances, except to the extent such liability is found in a final nonappealable judgment by a court of competent jurisdiction to have resulted from such Indemnified Party’s gross negligence, bad faith or willful misconduct (including any breach of its obligations under this Agreement). In no event, however, shall any Indemnified Party be liable on any theory of liability for any special, indirect, consequential or punitive damages (including, without limitation, any loss of profits, business or anticipated savings). Notwithstanding the foregoing, this Section 8.04(b) shall not apply with respect to Taxes other than any Taxes that represent losses, claims, damages, etc. arising from any non-Tax claim.</w:t>
      </w:r>
    </w:p>
    <w:p>
      <w:pPr>
        <w:spacing w:after="0" w:line="180" w:lineRule="exact"/>
        <w:rPr>
          <w:sz w:val="20"/>
          <w:szCs w:val="20"/>
          <w:color w:val="auto"/>
        </w:rPr>
      </w:pPr>
    </w:p>
    <w:p>
      <w:pPr>
        <w:ind w:right="20" w:firstLine="656"/>
        <w:spacing w:after="0" w:line="273" w:lineRule="auto"/>
        <w:tabs>
          <w:tab w:leader="none" w:pos="132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If any payment of principal of, or Conversion of, any Eurocurrency Rate Advance is made by the Borrower to or for the account of a Lender other than on the last day of the Interest Period for such Advance, as a result of (i) a payment or Conversion pursuant to Section 2.05, 2.07(d), 2.09 or 2.11, (ii) acceleration of the maturity of the Advances pursuant to</w:t>
      </w:r>
    </w:p>
    <w:p>
      <w:pPr>
        <w:spacing w:after="0" w:line="1" w:lineRule="exact"/>
        <w:rPr>
          <w:rFonts w:ascii="Arial" w:cs="Arial" w:eastAsia="Arial" w:hAnsi="Arial"/>
          <w:sz w:val="19"/>
          <w:szCs w:val="19"/>
          <w:color w:val="auto"/>
        </w:rPr>
      </w:pPr>
    </w:p>
    <w:p>
      <w:pPr>
        <w:ind w:right="20"/>
        <w:spacing w:after="0" w:line="273" w:lineRule="auto"/>
        <w:rPr>
          <w:rFonts w:ascii="Arial" w:cs="Arial" w:eastAsia="Arial" w:hAnsi="Arial"/>
          <w:sz w:val="19"/>
          <w:szCs w:val="19"/>
          <w:color w:val="auto"/>
        </w:rPr>
      </w:pPr>
      <w:r>
        <w:rPr>
          <w:rFonts w:ascii="Arial" w:cs="Arial" w:eastAsia="Arial" w:hAnsi="Arial"/>
          <w:sz w:val="19"/>
          <w:szCs w:val="19"/>
          <w:color w:val="auto"/>
        </w:rPr>
        <w:t>Section 6.01, (iii) a payment by an Eligible Assignee to any Lender other than on the last day of the Interest Period for such Advance upon an assignment of the rights and obligations of such Lender under this Agreement pursuant to Section 8.07 as a result of a demand by the Borrower pursuant to Section 8.07(a) or (iv) for any other reason, the Borrower shall, upon demand by such Lender (with a copy of such demand to the Administrative Agent), pay to the Administrative Agent for the account of such Lender any amounts required to compensate such Lender for any additional reasonable losses, costs or expenses that it may reasonably incur as a result of such payment or Conversion or as a result of any inability to Convert or exchange in the case of Section 2.07 or 2.11, including, without limitation, any reasonable loss (excluding loss of anticipated profits), cost or expense incurred by reason of the liquidation or reemployment of deposits or other funds acquired by any Lender to fund or maintain such Advance.</w:t>
      </w:r>
    </w:p>
    <w:p>
      <w:pPr>
        <w:spacing w:after="0" w:line="181" w:lineRule="exact"/>
        <w:rPr>
          <w:rFonts w:ascii="Arial" w:cs="Arial" w:eastAsia="Arial" w:hAnsi="Arial"/>
          <w:sz w:val="19"/>
          <w:szCs w:val="19"/>
          <w:color w:val="auto"/>
        </w:rPr>
      </w:pPr>
    </w:p>
    <w:p>
      <w:pPr>
        <w:ind w:right="80" w:firstLine="656"/>
        <w:spacing w:after="0"/>
        <w:tabs>
          <w:tab w:leader="none" w:pos="127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Without prejudice to the survival of any other agreement of the Borrower hereunder, the agreements and obligations of the Borrower contained in Sections 2.10, 2.13 and 8.04 shall survive the payment in full of principal, interest and all other amounts payable hereunder.</w:t>
      </w:r>
    </w:p>
    <w:p>
      <w:pPr>
        <w:spacing w:after="0" w:line="213"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i w:val="1"/>
          <w:iCs w:val="1"/>
          <w:color w:val="auto"/>
        </w:rPr>
        <w:t>Right of Setoff</w:t>
      </w:r>
      <w:r>
        <w:rPr>
          <w:rFonts w:ascii="Arial" w:cs="Arial" w:eastAsia="Arial" w:hAnsi="Arial"/>
          <w:sz w:val="19"/>
          <w:szCs w:val="19"/>
          <w:color w:val="auto"/>
        </w:rPr>
        <w:t xml:space="preserve">. Upon (a) the occurrence and during the continuance of any Event of Default and (b) the making of the request or the granting of the consent specified by Section 6.01 to authorize the Administrative Agent to declare the Advances due and payable pursuant to the provisions of Section 6.01, each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whether or not such Lender shall have made any demand under this Agreement and although such obligations may be unmatured. Each Lender agrees promptly to notify the Borrower after any such setoff and application is made by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shall not affect the validity of such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8" w:right="259" w:bottom="331" w:gutter="0" w:footer="0" w:header="0"/>
        </w:sectPr>
      </w:pPr>
    </w:p>
    <w:bookmarkStart w:id="98" w:name="page99"/>
    <w:bookmarkEnd w:id="98"/>
    <w:p>
      <w:pPr>
        <w:ind w:right="620"/>
        <w:spacing w:after="0" w:line="274" w:lineRule="auto"/>
        <w:rPr>
          <w:sz w:val="20"/>
          <w:szCs w:val="20"/>
          <w:color w:val="auto"/>
        </w:rPr>
      </w:pPr>
      <w:r>
        <w:rPr>
          <w:rFonts w:ascii="Arial" w:cs="Arial" w:eastAsia="Arial" w:hAnsi="Arial"/>
          <w:sz w:val="21"/>
          <w:szCs w:val="21"/>
          <w:color w:val="auto"/>
        </w:rPr>
        <w:t>setoff and application. The rights of each Lender and its Affiliates under this Section 8.05 are in addition to other rights and remedies (including, without limitation, other rights of setoff) that such Lender and its Affiliates may have.</w:t>
      </w:r>
    </w:p>
    <w:p>
      <w:pPr>
        <w:spacing w:after="0" w:line="17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 xml:space="preserve">Section 8.06. </w:t>
      </w:r>
      <w:r>
        <w:rPr>
          <w:rFonts w:ascii="Arial" w:cs="Arial" w:eastAsia="Arial" w:hAnsi="Arial"/>
          <w:sz w:val="21"/>
          <w:szCs w:val="21"/>
          <w:i w:val="1"/>
          <w:iCs w:val="1"/>
          <w:color w:val="auto"/>
        </w:rPr>
        <w:t>Binding Effect</w:t>
      </w:r>
      <w:r>
        <w:rPr>
          <w:rFonts w:ascii="Arial" w:cs="Arial" w:eastAsia="Arial" w:hAnsi="Arial"/>
          <w:sz w:val="21"/>
          <w:szCs w:val="21"/>
          <w:color w:val="auto"/>
        </w:rPr>
        <w:t>. This Agreement shall become effective upon the satisfaction (or waiver in accordance with Section 8.01) of the conditions set forth in Section 3.01 and, thereafter, shall be binding upon and inure to the benefit of, and be enforceable by, the Borrower, the Administrative Agent and each Lender and their respective successors and permitted assigns, except that the Borrower shall have no right to assign its rights hereunder or any interest herein without the prior written consent of each Lender, and any purported assignment without such consent shall be null and void.</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Section 8.07. </w:t>
      </w:r>
      <w:r>
        <w:rPr>
          <w:rFonts w:ascii="Arial" w:cs="Arial" w:eastAsia="Arial" w:hAnsi="Arial"/>
          <w:sz w:val="19"/>
          <w:szCs w:val="19"/>
          <w:i w:val="1"/>
          <w:iCs w:val="1"/>
          <w:color w:val="auto"/>
        </w:rPr>
        <w:t>Assignments and Participations</w:t>
      </w:r>
      <w:r>
        <w:rPr>
          <w:rFonts w:ascii="Arial" w:cs="Arial" w:eastAsia="Arial" w:hAnsi="Arial"/>
          <w:sz w:val="19"/>
          <w:szCs w:val="19"/>
          <w:color w:val="auto"/>
        </w:rPr>
        <w:t xml:space="preserve">. (a) Each Lender may, with the consent of the Borrower and the Administrative Agent, which consents shall not be unreasonably withheld or delayed and, in the case of the Borrower, (A) shall not be required while an Event of Default has occurred and is continuing and (B) shall be deemed given if the Borrower shall not have objected within 10 Business Days following its receipt of notice of such assignment (and, within five days after demand by the Borrower (with a copy of such demand to the Administrative Agent) to (i) any Defaulting Lender, (ii) any Lender that has made a demand for payment pursuant to Section 2.10 or 2.13, (iii) any Lender that has asserted pursuant to Section 2.07(b) or 2.11 that it is impracticable or unlawful for such Lender to make Eurocurrency Rate Advances or (iv) any Lender that fails to consent to an amendment or waiver hereunder for which consent of all Lenders (or all affected Lenders) is required and as to which the Required Lenders shall have given their consent, such Lender will), assign to one or more Persons (other than natural persons) all or a portion of its rights and obligations under this Agreement (including, without limitation, all or a portion of its Commitment and the Advances owing to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w:t>
      </w:r>
    </w:p>
    <w:p>
      <w:pPr>
        <w:spacing w:after="0" w:line="200" w:lineRule="exact"/>
        <w:rPr>
          <w:sz w:val="20"/>
          <w:szCs w:val="20"/>
          <w:color w:val="auto"/>
        </w:rPr>
      </w:pPr>
    </w:p>
    <w:p>
      <w:pPr>
        <w:spacing w:after="0" w:line="232" w:lineRule="exact"/>
        <w:rPr>
          <w:sz w:val="20"/>
          <w:szCs w:val="20"/>
          <w:color w:val="auto"/>
        </w:rPr>
      </w:pPr>
    </w:p>
    <w:p>
      <w:pPr>
        <w:ind w:left="980" w:right="60" w:firstLine="973"/>
        <w:spacing w:after="0" w:line="328" w:lineRule="auto"/>
        <w:tabs>
          <w:tab w:leader="none" w:pos="263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such consent shall not be required in the case of an assignment to any other Lender or an Affiliate of any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notice thereof shall have been given to the Borrower and the Administrative Agent;</w:t>
      </w:r>
    </w:p>
    <w:p>
      <w:pPr>
        <w:spacing w:after="0" w:line="132" w:lineRule="exact"/>
        <w:rPr>
          <w:rFonts w:ascii="Arial" w:cs="Arial" w:eastAsia="Arial" w:hAnsi="Arial"/>
          <w:sz w:val="19"/>
          <w:szCs w:val="19"/>
          <w:color w:val="auto"/>
        </w:rPr>
      </w:pPr>
    </w:p>
    <w:p>
      <w:pPr>
        <w:ind w:left="980" w:right="920" w:firstLine="973"/>
        <w:spacing w:after="0" w:line="251" w:lineRule="auto"/>
        <w:tabs>
          <w:tab w:leader="none" w:pos="2619" w:val="left"/>
        </w:tabs>
        <w:numPr>
          <w:ilvl w:val="0"/>
          <w:numId w:val="199"/>
        </w:numPr>
        <w:rPr>
          <w:rFonts w:ascii="Arial" w:cs="Arial" w:eastAsia="Arial" w:hAnsi="Arial"/>
          <w:sz w:val="22"/>
          <w:szCs w:val="22"/>
          <w:color w:val="auto"/>
        </w:rPr>
      </w:pPr>
      <w:r>
        <w:rPr>
          <w:rFonts w:ascii="Arial" w:cs="Arial" w:eastAsia="Arial" w:hAnsi="Arial"/>
          <w:sz w:val="22"/>
          <w:szCs w:val="22"/>
          <w:color w:val="auto"/>
        </w:rPr>
        <w:t>each such assignment shall be of a constant, and not a varying, percentage of all rights and obligations under this Agreement;</w:t>
      </w:r>
    </w:p>
    <w:p>
      <w:pPr>
        <w:spacing w:after="0" w:line="200" w:lineRule="exact"/>
        <w:rPr>
          <w:rFonts w:ascii="Arial" w:cs="Arial" w:eastAsia="Arial" w:hAnsi="Arial"/>
          <w:sz w:val="22"/>
          <w:szCs w:val="22"/>
          <w:color w:val="auto"/>
        </w:rPr>
      </w:pPr>
    </w:p>
    <w:p>
      <w:pPr>
        <w:ind w:left="980" w:right="20" w:firstLine="973"/>
        <w:spacing w:after="0" w:line="249" w:lineRule="auto"/>
        <w:tabs>
          <w:tab w:leader="none" w:pos="2619" w:val="left"/>
        </w:tabs>
        <w:numPr>
          <w:ilvl w:val="0"/>
          <w:numId w:val="199"/>
        </w:numPr>
        <w:rPr>
          <w:rFonts w:ascii="Arial" w:cs="Arial" w:eastAsia="Arial" w:hAnsi="Arial"/>
          <w:sz w:val="21"/>
          <w:szCs w:val="21"/>
          <w:color w:val="auto"/>
        </w:rPr>
      </w:pPr>
      <w:r>
        <w:rPr>
          <w:rFonts w:ascii="Arial" w:cs="Arial" w:eastAsia="Arial" w:hAnsi="Arial"/>
          <w:sz w:val="21"/>
          <w:szCs w:val="21"/>
          <w:color w:val="auto"/>
        </w:rPr>
        <w:t>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$25,000,000 or an integral multiple of $5,000,000 in excess thereof;</w:t>
      </w:r>
    </w:p>
    <w:p>
      <w:pPr>
        <w:spacing w:after="0" w:line="205" w:lineRule="exact"/>
        <w:rPr>
          <w:rFonts w:ascii="Arial" w:cs="Arial" w:eastAsia="Arial" w:hAnsi="Arial"/>
          <w:sz w:val="21"/>
          <w:szCs w:val="21"/>
          <w:color w:val="auto"/>
        </w:rPr>
      </w:pPr>
    </w:p>
    <w:p>
      <w:pPr>
        <w:ind w:left="2640" w:hanging="687"/>
        <w:spacing w:after="0"/>
        <w:tabs>
          <w:tab w:leader="none" w:pos="264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each such assignment shall be to an Eligible Assignee;</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0" w:hanging="647"/>
        <w:spacing w:after="0"/>
        <w:tabs>
          <w:tab w:leader="none" w:pos="26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each such assignment made as a result of a demand by the Borrower pursuant to this</w:t>
      </w:r>
    </w:p>
    <w:p>
      <w:pPr>
        <w:spacing w:after="0" w:line="8" w:lineRule="exact"/>
        <w:rPr>
          <w:sz w:val="20"/>
          <w:szCs w:val="20"/>
          <w:color w:val="auto"/>
        </w:rPr>
      </w:pPr>
    </w:p>
    <w:p>
      <w:pPr>
        <w:ind w:left="980" w:right="80"/>
        <w:spacing w:after="0" w:line="233" w:lineRule="auto"/>
        <w:rPr>
          <w:sz w:val="20"/>
          <w:szCs w:val="20"/>
          <w:color w:val="auto"/>
        </w:rPr>
      </w:pPr>
      <w:r>
        <w:rPr>
          <w:rFonts w:ascii="Arial" w:cs="Arial" w:eastAsia="Arial" w:hAnsi="Arial"/>
          <w:sz w:val="22"/>
          <w:szCs w:val="22"/>
          <w:color w:val="auto"/>
        </w:rPr>
        <w:t>Section 8.07(a) shall be arranged by the Borrower with the approval of the Administrative Agent (which approval shall not be unreasonably withheld) and shall be either an assignment of all of the rights and obligations of the assigning Lender under this Agreement or an assignment of a portion of such rights and obligations made concurrently with another such assignment or other such assignments that, in the aggregate, cover all of the rights and obligations of the assigning Lender under this Agreement;</w:t>
      </w:r>
    </w:p>
    <w:p>
      <w:pPr>
        <w:spacing w:after="0" w:line="213" w:lineRule="exact"/>
        <w:rPr>
          <w:sz w:val="20"/>
          <w:szCs w:val="20"/>
          <w:color w:val="auto"/>
        </w:rPr>
      </w:pPr>
    </w:p>
    <w:p>
      <w:pPr>
        <w:ind w:left="980" w:firstLine="973"/>
        <w:spacing w:after="0" w:line="272" w:lineRule="auto"/>
        <w:tabs>
          <w:tab w:leader="none" w:pos="259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no Lender shall be obligated to make any such assignment as a result of a demand by the Borrower pursuant to this Section 8.07(a)), (1) (except in the case of an assignment of the type described in clause (iv) above to the extent such Default would no longer be continuing after giving effect to the relevant amendment or waiver) so long as a Default shall have occurred and be continuing and (2) unless and until such Lender shall have received one or more payments from one or more Eligible Assignees in an aggregate amount at least equal to the aggregate outstanding principal amount of the Advances owing to such Lender, together with accrued interest thereon to the date of payment of such principal amount, and from the Borrower or one or more Eligible Assignees in an aggregate amount equal to all other amounts accrued to such Lender under this Agreement (including, without limitation, any amounts owing under Sections 2.10, 2.13 or 8.04(c)) and (3) unless and until the Borrower shall have paid (or caused to be paid) to the Administrative Agent a processing and recordation fee of $3,500;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Administrative Agent may, in its sole discretion, elect to waive such processing and recordation fee in the case of any assignment. The assignee, if it is not a Lender, shall deliver to the Administrative Agent an Administrative Questionnaire; and</w:t>
      </w:r>
    </w:p>
    <w:p>
      <w:pPr>
        <w:spacing w:after="0" w:line="188" w:lineRule="exact"/>
        <w:rPr>
          <w:rFonts w:ascii="Arial" w:cs="Arial" w:eastAsia="Arial" w:hAnsi="Arial"/>
          <w:sz w:val="19"/>
          <w:szCs w:val="19"/>
          <w:color w:val="auto"/>
        </w:rPr>
      </w:pPr>
    </w:p>
    <w:p>
      <w:pPr>
        <w:ind w:left="980" w:firstLine="973"/>
        <w:spacing w:after="0" w:line="275" w:lineRule="auto"/>
        <w:tabs>
          <w:tab w:leader="none" w:pos="263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the parties to each such assignment (other than, except in the case of a demand by the Borrower pursuant to this Section 8.07(a), the Borrower) shall execute and deliver to the Administrative Agent, for its acceptance and recording in the Register, an Assignment and Acceptance and, if such assignment does not occur as a result of a demand by the Borrower pursuant to this Section 8.07(a) (in which case the Borrower shall pay the fee required by subclause (3) of this Section 8.07(a)(iv)(F)), a processing and recordation fee of $3,500;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Administrative Agent may, in its sole discretion, elect to waive such processing and recordation fee in the case of any assignment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the event that, in connection with a demand by the Borrower pursuant to this Section 8.07(a), the assignor shall not execute and deliver the relevant Assignment and Acceptance within one Business</w:t>
      </w:r>
    </w:p>
    <w:p>
      <w:pPr>
        <w:sectPr>
          <w:pgSz w:w="11900" w:h="16838" w:orient="portrait"/>
          <w:cols w:equalWidth="0" w:num="1">
            <w:col w:w="11360"/>
          </w:cols>
          <w:pgMar w:left="240" w:top="118" w:right="299" w:bottom="0" w:gutter="0" w:footer="0" w:header="0"/>
        </w:sectPr>
      </w:pPr>
    </w:p>
    <w:bookmarkStart w:id="99" w:name="page100"/>
    <w:bookmarkEnd w:id="99"/>
    <w:p>
      <w:pPr>
        <w:spacing w:after="0" w:line="101" w:lineRule="exact"/>
        <w:rPr>
          <w:sz w:val="20"/>
          <w:szCs w:val="20"/>
          <w:color w:val="auto"/>
        </w:rPr>
      </w:pPr>
    </w:p>
    <w:p>
      <w:pPr>
        <w:ind w:left="980" w:right="440"/>
        <w:spacing w:after="0" w:line="251" w:lineRule="auto"/>
        <w:rPr>
          <w:sz w:val="20"/>
          <w:szCs w:val="20"/>
          <w:color w:val="auto"/>
        </w:rPr>
      </w:pPr>
      <w:r>
        <w:rPr>
          <w:rFonts w:ascii="Arial" w:cs="Arial" w:eastAsia="Arial" w:hAnsi="Arial"/>
          <w:sz w:val="22"/>
          <w:szCs w:val="22"/>
          <w:color w:val="auto"/>
        </w:rPr>
        <w:t>Day of the Borrower’s request, such assignor shall be deemed to have executed and delivered such Assignment and Acceptance. The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assignee, if it is not a Lender, shall deliver to the Administrative Agent an Administrative Questionnaire.</w:t>
      </w:r>
    </w:p>
    <w:p>
      <w:pPr>
        <w:spacing w:after="0" w:line="233"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except that such assigning Lender shall continue to be entitled to the benefit of Section 8.04(a) and with respect to matters arising out of the prior involvement of such assigning Lender as a Lender hereunder (and, in the case of an Assignment and Acceptance covering all or the remaining portion of an assigning Lender’s rights and obligations under this Agreement, such Lender shall cease to be a party hereto).</w:t>
      </w:r>
    </w:p>
    <w:p>
      <w:pPr>
        <w:spacing w:after="0" w:line="212" w:lineRule="exact"/>
        <w:rPr>
          <w:sz w:val="20"/>
          <w:szCs w:val="20"/>
          <w:color w:val="auto"/>
        </w:rPr>
      </w:pPr>
    </w:p>
    <w:p>
      <w:pPr>
        <w:ind w:right="580" w:firstLine="656"/>
        <w:spacing w:after="0" w:line="251" w:lineRule="auto"/>
        <w:tabs>
          <w:tab w:leader="none" w:pos="1332" w:val="left"/>
        </w:tabs>
        <w:numPr>
          <w:ilvl w:val="0"/>
          <w:numId w:val="202"/>
        </w:numPr>
        <w:rPr>
          <w:rFonts w:ascii="Arial" w:cs="Arial" w:eastAsia="Arial" w:hAnsi="Arial"/>
          <w:sz w:val="22"/>
          <w:szCs w:val="22"/>
          <w:color w:val="auto"/>
        </w:rPr>
      </w:pPr>
      <w:r>
        <w:rPr>
          <w:rFonts w:ascii="Arial" w:cs="Arial" w:eastAsia="Arial" w:hAnsi="Arial"/>
          <w:sz w:val="22"/>
          <w:szCs w:val="22"/>
          <w:color w:val="auto"/>
        </w:rPr>
        <w:t>By executing and delivering an Assignment and Acceptance, the Lender assignor thereunder and the assignee thereunder confirm to and agree with each other and the other parties hereto as follows:</w:t>
      </w:r>
    </w:p>
    <w:p>
      <w:pPr>
        <w:spacing w:after="0" w:line="200" w:lineRule="exact"/>
        <w:rPr>
          <w:rFonts w:ascii="Arial" w:cs="Arial" w:eastAsia="Arial" w:hAnsi="Arial"/>
          <w:sz w:val="22"/>
          <w:szCs w:val="22"/>
          <w:color w:val="auto"/>
        </w:rPr>
      </w:pPr>
    </w:p>
    <w:p>
      <w:pPr>
        <w:ind w:left="660" w:right="100" w:firstLine="645"/>
        <w:spacing w:after="0"/>
        <w:tabs>
          <w:tab w:leader="none" w:pos="1998" w:val="left"/>
        </w:tabs>
        <w:numPr>
          <w:ilvl w:val="1"/>
          <w:numId w:val="202"/>
        </w:numPr>
        <w:rPr>
          <w:rFonts w:ascii="Arial" w:cs="Arial" w:eastAsia="Arial" w:hAnsi="Arial"/>
          <w:sz w:val="22"/>
          <w:szCs w:val="22"/>
          <w:color w:val="auto"/>
        </w:rPr>
      </w:pPr>
      <w:r>
        <w:rPr>
          <w:rFonts w:ascii="Arial" w:cs="Arial" w:eastAsia="Arial" w:hAnsi="Arial"/>
          <w:sz w:val="22"/>
          <w:szCs w:val="22"/>
          <w:color w:val="auto"/>
        </w:rPr>
        <w:t>other than as provided in such Assignment and Acceptance, such assigning Lender makes no representation or warranty and assumes no responsibility with respect to any statements, warranties or representations made in or in connection with this Agreement or the execution, legality,</w:t>
      </w:r>
    </w:p>
    <w:p>
      <w:pPr>
        <w:spacing w:after="0" w:line="213" w:lineRule="exact"/>
        <w:rPr>
          <w:rFonts w:ascii="Arial" w:cs="Arial" w:eastAsia="Arial" w:hAnsi="Arial"/>
          <w:sz w:val="22"/>
          <w:szCs w:val="22"/>
          <w:color w:val="auto"/>
        </w:rPr>
      </w:pPr>
    </w:p>
    <w:p>
      <w:pPr>
        <w:ind w:left="660" w:right="540" w:firstLine="645"/>
        <w:spacing w:after="0" w:line="251" w:lineRule="auto"/>
        <w:tabs>
          <w:tab w:leader="none" w:pos="200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validity, enforceability, genuineness, sufficiency or value of this Agreement or any other instrument or document furnished pursuant hereto;</w:t>
      </w:r>
    </w:p>
    <w:p>
      <w:pPr>
        <w:spacing w:after="0" w:line="200" w:lineRule="exact"/>
        <w:rPr>
          <w:rFonts w:ascii="Arial" w:cs="Arial" w:eastAsia="Arial" w:hAnsi="Arial"/>
          <w:sz w:val="22"/>
          <w:szCs w:val="22"/>
          <w:color w:val="auto"/>
        </w:rPr>
      </w:pPr>
    </w:p>
    <w:p>
      <w:pPr>
        <w:jc w:val="both"/>
        <w:ind w:left="660" w:right="280" w:firstLine="645"/>
        <w:spacing w:after="0"/>
        <w:tabs>
          <w:tab w:leader="none" w:pos="201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w:t>
      </w:r>
    </w:p>
    <w:p>
      <w:pPr>
        <w:spacing w:after="0" w:line="213" w:lineRule="exact"/>
        <w:rPr>
          <w:rFonts w:ascii="Arial" w:cs="Arial" w:eastAsia="Arial" w:hAnsi="Arial"/>
          <w:sz w:val="22"/>
          <w:szCs w:val="22"/>
          <w:color w:val="auto"/>
        </w:rPr>
      </w:pPr>
    </w:p>
    <w:p>
      <w:pPr>
        <w:ind w:left="660" w:right="20" w:firstLine="645"/>
        <w:spacing w:after="0" w:line="258" w:lineRule="auto"/>
        <w:tabs>
          <w:tab w:leader="none" w:pos="1998" w:val="left"/>
        </w:tabs>
        <w:numPr>
          <w:ilvl w:val="1"/>
          <w:numId w:val="202"/>
        </w:numPr>
        <w:rPr>
          <w:rFonts w:ascii="Arial" w:cs="Arial" w:eastAsia="Arial" w:hAnsi="Arial"/>
          <w:sz w:val="21"/>
          <w:szCs w:val="21"/>
          <w:color w:val="auto"/>
        </w:rPr>
      </w:pPr>
      <w:r>
        <w:rPr>
          <w:rFonts w:ascii="Arial" w:cs="Arial" w:eastAsia="Arial" w:hAnsi="Arial"/>
          <w:sz w:val="21"/>
          <w:szCs w:val="21"/>
          <w:color w:val="auto"/>
        </w:rPr>
        <w:t>such assignee confirms that it has received a copy of this Agreement, together with copies of the financial statements referred to in Section 4.01(e) and such other documents and information as it has deemed appropriate to make its own credit analysis and decision to enter into such Assignment and Acceptance;</w:t>
      </w:r>
    </w:p>
    <w:p>
      <w:pPr>
        <w:spacing w:after="0" w:line="193" w:lineRule="exact"/>
        <w:rPr>
          <w:rFonts w:ascii="Arial" w:cs="Arial" w:eastAsia="Arial" w:hAnsi="Arial"/>
          <w:sz w:val="21"/>
          <w:szCs w:val="21"/>
          <w:color w:val="auto"/>
        </w:rPr>
      </w:pPr>
    </w:p>
    <w:p>
      <w:pPr>
        <w:ind w:left="660" w:right="120" w:firstLine="645"/>
        <w:spacing w:after="0"/>
        <w:tabs>
          <w:tab w:leader="none" w:pos="199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such assignee will, independently and without reliance upon any Agent, such assigning Lender or any other Lender and based on such documents and information as it shall deem appropriate at the time, continue to make its own credit decisions in taking or not taking action under this Agreement;</w:t>
      </w:r>
    </w:p>
    <w:p>
      <w:pPr>
        <w:spacing w:after="0" w:line="213" w:lineRule="exact"/>
        <w:rPr>
          <w:rFonts w:ascii="Arial" w:cs="Arial" w:eastAsia="Arial" w:hAnsi="Arial"/>
          <w:sz w:val="22"/>
          <w:szCs w:val="22"/>
          <w:color w:val="auto"/>
        </w:rPr>
      </w:pPr>
    </w:p>
    <w:p>
      <w:pPr>
        <w:ind w:left="2000" w:hanging="695"/>
        <w:spacing w:after="0"/>
        <w:tabs>
          <w:tab w:leader="none" w:pos="20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such assignee confirms that it is an Eligible Assignee;</w:t>
      </w:r>
    </w:p>
    <w:p>
      <w:pPr>
        <w:spacing w:after="0" w:line="233" w:lineRule="exact"/>
        <w:rPr>
          <w:rFonts w:ascii="Arial" w:cs="Arial" w:eastAsia="Arial" w:hAnsi="Arial"/>
          <w:sz w:val="22"/>
          <w:szCs w:val="22"/>
          <w:color w:val="auto"/>
        </w:rPr>
      </w:pPr>
    </w:p>
    <w:p>
      <w:pPr>
        <w:ind w:left="660" w:right="320" w:firstLine="645"/>
        <w:spacing w:after="0" w:line="251" w:lineRule="auto"/>
        <w:tabs>
          <w:tab w:leader="none" w:pos="2004" w:val="left"/>
        </w:tabs>
        <w:numPr>
          <w:ilvl w:val="1"/>
          <w:numId w:val="202"/>
        </w:numPr>
        <w:rPr>
          <w:rFonts w:ascii="Arial" w:cs="Arial" w:eastAsia="Arial" w:hAnsi="Arial"/>
          <w:sz w:val="22"/>
          <w:szCs w:val="22"/>
          <w:color w:val="auto"/>
        </w:rPr>
      </w:pPr>
      <w:r>
        <w:rPr>
          <w:rFonts w:ascii="Arial" w:cs="Arial" w:eastAsia="Arial" w:hAnsi="Arial"/>
          <w:sz w:val="22"/>
          <w:szCs w:val="22"/>
          <w:color w:val="auto"/>
        </w:rPr>
        <w:t>such assignee appoints and authorizes the Administrative Agent to take such action as agent on its behalf and to exercise such powers and discretion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480"/>
        <w:spacing w:after="0" w:line="251" w:lineRule="auto"/>
        <w:rPr>
          <w:sz w:val="20"/>
          <w:szCs w:val="20"/>
          <w:color w:val="auto"/>
        </w:rPr>
      </w:pPr>
      <w:r>
        <w:rPr>
          <w:rFonts w:ascii="Arial" w:cs="Arial" w:eastAsia="Arial" w:hAnsi="Arial"/>
          <w:sz w:val="22"/>
          <w:szCs w:val="22"/>
          <w:color w:val="auto"/>
        </w:rPr>
        <w:t>under this Agreement as are delegated to the Administrative Agent by the terms hereof, together with such powers and discretion as are reasonably incidental thereto; and</w:t>
      </w:r>
    </w:p>
    <w:p>
      <w:pPr>
        <w:spacing w:after="0" w:line="200" w:lineRule="exact"/>
        <w:rPr>
          <w:sz w:val="20"/>
          <w:szCs w:val="20"/>
          <w:color w:val="auto"/>
        </w:rPr>
      </w:pPr>
    </w:p>
    <w:p>
      <w:pPr>
        <w:ind w:left="660" w:right="440" w:firstLine="645"/>
        <w:spacing w:after="0" w:line="251" w:lineRule="auto"/>
        <w:tabs>
          <w:tab w:leader="none" w:pos="201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such assignee agrees that it will perform in accordance with their terms all of the obligations that by the terms of this Agreement are required to be performed by it as a Lender.</w:t>
      </w:r>
    </w:p>
    <w:p>
      <w:pPr>
        <w:spacing w:after="0" w:line="200" w:lineRule="exact"/>
        <w:rPr>
          <w:rFonts w:ascii="Arial" w:cs="Arial" w:eastAsia="Arial" w:hAnsi="Arial"/>
          <w:sz w:val="22"/>
          <w:szCs w:val="22"/>
          <w:color w:val="auto"/>
        </w:rPr>
      </w:pPr>
    </w:p>
    <w:p>
      <w:pPr>
        <w:jc w:val="both"/>
        <w:ind w:right="80" w:firstLine="656"/>
        <w:spacing w:after="0" w:line="238" w:lineRule="auto"/>
        <w:tabs>
          <w:tab w:leader="none" w:pos="13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Upon its receipt of an Assignment and Acceptance executed by an assigning Lender and an assignee representing that it is an Eligible Assignee, the Administrative Agent shall, if such Assignment and Acceptance has been completed and is in substantially the form of Exhibit B hereto, (i) accept such Assignment and Acceptance, record the information contained therein in the Register and (iii) give prompt notice thereof to the Borrower.</w:t>
      </w:r>
    </w:p>
    <w:p>
      <w:pPr>
        <w:spacing w:after="0" w:line="212" w:lineRule="exact"/>
        <w:rPr>
          <w:rFonts w:ascii="Arial" w:cs="Arial" w:eastAsia="Arial" w:hAnsi="Arial"/>
          <w:sz w:val="22"/>
          <w:szCs w:val="22"/>
          <w:color w:val="auto"/>
        </w:rPr>
      </w:pPr>
    </w:p>
    <w:p>
      <w:pPr>
        <w:ind w:firstLine="656"/>
        <w:spacing w:after="0" w:line="277" w:lineRule="auto"/>
        <w:tabs>
          <w:tab w:leader="none" w:pos="1278"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the agent of the Borrower, shall maintain at its address referred to in Section 8.02(a) a copy of each Assignment and Acceptance delivered to and accepted by it and a register for the recordation of the names and addresses of the Lenders and the Commitment of, and principal amount (and stated interest) of the Advances owing to, each Lender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The entries in the Register shall be conclusive and binding for all purposes, absent manifest error, and the Borrower, the Agents and the Lenders shall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ectPr>
          <w:pgSz w:w="11900" w:h="16939" w:orient="portrait"/>
          <w:cols w:equalWidth="0" w:num="1">
            <w:col w:w="11400"/>
          </w:cols>
          <w:pgMar w:left="240" w:top="118" w:right="259" w:bottom="0" w:gutter="0" w:footer="0" w:header="0"/>
        </w:sectPr>
      </w:pPr>
    </w:p>
    <w:bookmarkStart w:id="100" w:name="page101"/>
    <w:bookmarkEnd w:id="100"/>
    <w:p>
      <w:pPr>
        <w:spacing w:after="0" w:line="103" w:lineRule="exact"/>
        <w:rPr>
          <w:sz w:val="20"/>
          <w:szCs w:val="20"/>
          <w:color w:val="auto"/>
        </w:rPr>
      </w:pPr>
    </w:p>
    <w:p>
      <w:pPr>
        <w:ind w:right="20" w:firstLine="656"/>
        <w:spacing w:after="0" w:line="238" w:lineRule="auto"/>
        <w:tabs>
          <w:tab w:leader="none" w:pos="13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 xml:space="preserve">Each Lender may sell participations to one or more banks or other entities (other than the Borrower or any of its Affiliates or any natural person) in or to all or a portion of its rights and obligations under this Agreement (including, without limitation, all or a portion of its Commitment and the Advances owing to it) without the consent of the Administrative Agent or the Borrower;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w:t>
      </w:r>
    </w:p>
    <w:p>
      <w:pPr>
        <w:spacing w:after="0" w:line="212" w:lineRule="exact"/>
        <w:rPr>
          <w:rFonts w:ascii="Arial" w:cs="Arial" w:eastAsia="Arial" w:hAnsi="Arial"/>
          <w:sz w:val="22"/>
          <w:szCs w:val="22"/>
          <w:color w:val="auto"/>
        </w:rPr>
      </w:pPr>
    </w:p>
    <w:p>
      <w:pPr>
        <w:ind w:left="660" w:right="580" w:firstLine="645"/>
        <w:spacing w:after="0" w:line="251" w:lineRule="auto"/>
        <w:tabs>
          <w:tab w:leader="none" w:pos="199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such Lender’s obligations under this Agreement (including, without limitation, its Commitment) shall remain unchanged;</w:t>
      </w:r>
    </w:p>
    <w:p>
      <w:pPr>
        <w:spacing w:after="0" w:line="200" w:lineRule="exact"/>
        <w:rPr>
          <w:rFonts w:ascii="Arial" w:cs="Arial" w:eastAsia="Arial" w:hAnsi="Arial"/>
          <w:sz w:val="22"/>
          <w:szCs w:val="22"/>
          <w:color w:val="auto"/>
        </w:rPr>
      </w:pPr>
    </w:p>
    <w:p>
      <w:pPr>
        <w:ind w:left="2000" w:hanging="695"/>
        <w:spacing w:after="0"/>
        <w:tabs>
          <w:tab w:leader="none" w:pos="200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such Lender shall remain solely responsible to the other parties hereto for the performance of such</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obligations;</w:t>
      </w:r>
    </w:p>
    <w:p>
      <w:pPr>
        <w:spacing w:after="0" w:line="215" w:lineRule="exact"/>
        <w:rPr>
          <w:rFonts w:ascii="Arial" w:cs="Arial" w:eastAsia="Arial" w:hAnsi="Arial"/>
          <w:sz w:val="21"/>
          <w:szCs w:val="21"/>
          <w:color w:val="auto"/>
        </w:rPr>
      </w:pPr>
    </w:p>
    <w:p>
      <w:pPr>
        <w:ind w:left="2000" w:hanging="695"/>
        <w:spacing w:after="0"/>
        <w:tabs>
          <w:tab w:leader="none" w:pos="200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such Lender shall remain the Lender of any such Advance for all purposes of this Agreement;</w:t>
      </w:r>
    </w:p>
    <w:p>
      <w:pPr>
        <w:spacing w:after="0" w:line="233" w:lineRule="exact"/>
        <w:rPr>
          <w:rFonts w:ascii="Arial" w:cs="Arial" w:eastAsia="Arial" w:hAnsi="Arial"/>
          <w:sz w:val="22"/>
          <w:szCs w:val="22"/>
          <w:color w:val="auto"/>
        </w:rPr>
      </w:pPr>
    </w:p>
    <w:p>
      <w:pPr>
        <w:ind w:left="660" w:right="180" w:firstLine="645"/>
        <w:spacing w:after="0" w:line="251" w:lineRule="auto"/>
        <w:tabs>
          <w:tab w:leader="none" w:pos="199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the Borrower, the Agents and the other Lenders shall continue to deal solely and directly with such Lender in connection with such Lender’s rights and obligations under this Agreement; and</w:t>
      </w:r>
    </w:p>
    <w:p>
      <w:pPr>
        <w:spacing w:after="0" w:line="200" w:lineRule="exact"/>
        <w:rPr>
          <w:rFonts w:ascii="Arial" w:cs="Arial" w:eastAsia="Arial" w:hAnsi="Arial"/>
          <w:sz w:val="22"/>
          <w:szCs w:val="22"/>
          <w:color w:val="auto"/>
        </w:rPr>
      </w:pPr>
    </w:p>
    <w:p>
      <w:pPr>
        <w:ind w:left="660" w:right="60" w:firstLine="645"/>
        <w:spacing w:after="0" w:line="251" w:lineRule="auto"/>
        <w:tabs>
          <w:tab w:leader="none" w:pos="1992" w:val="left"/>
        </w:tabs>
        <w:numPr>
          <w:ilvl w:val="1"/>
          <w:numId w:val="205"/>
        </w:numPr>
        <w:rPr>
          <w:rFonts w:ascii="Arial" w:cs="Arial" w:eastAsia="Arial" w:hAnsi="Arial"/>
          <w:sz w:val="22"/>
          <w:szCs w:val="22"/>
          <w:color w:val="auto"/>
        </w:rPr>
      </w:pPr>
      <w:r>
        <w:rPr>
          <w:rFonts w:ascii="Arial" w:cs="Arial" w:eastAsia="Arial" w:hAnsi="Arial"/>
          <w:sz w:val="22"/>
          <w:szCs w:val="22"/>
          <w:color w:val="auto"/>
        </w:rPr>
        <w:t>no participant under any such participation shall have any right to approve any amendment or waiver of any provision of this Agreement, or any</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line="236" w:lineRule="auto"/>
        <w:rPr>
          <w:sz w:val="20"/>
          <w:szCs w:val="20"/>
          <w:color w:val="auto"/>
        </w:rPr>
      </w:pPr>
      <w:r>
        <w:rPr>
          <w:rFonts w:ascii="Arial" w:cs="Arial" w:eastAsia="Arial" w:hAnsi="Arial"/>
          <w:sz w:val="22"/>
          <w:szCs w:val="22"/>
          <w:color w:val="auto"/>
        </w:rPr>
        <w:t>consent to any departure by the Borrower herefrom or therefrom, except to the extent that such amendment, waiver or consent would reduce the principal of, or stated rate of interest on, the Advances or the stated rate at which any fees or any other amounts payable hereunder are calculated, in each case to the extent subject to such participation, or postpone any date fixed for any payment of principal of, or interest on, the Advances or any fees or any other amounts payable hereunder, in each case to the extent subject to such participation.</w:t>
      </w:r>
    </w:p>
    <w:p>
      <w:pPr>
        <w:spacing w:after="0" w:line="215"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 xml:space="preserve">Each Lender shall promptly notify the Borrower after any sale of a participation by such Lender pursuant to this Section 8.07(e);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the failure of such Lender to give notice to the Borrower as provided herein shall not affect the validity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participation or impose any obligations on such Lender or the applicable participant.</w:t>
      </w:r>
    </w:p>
    <w:p>
      <w:pPr>
        <w:spacing w:after="0" w:line="213"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Advances or other obligations under the Loan Documents (the “</w:t>
      </w:r>
      <w:r>
        <w:rPr>
          <w:rFonts w:ascii="Arial" w:cs="Arial" w:eastAsia="Arial" w:hAnsi="Arial"/>
          <w:sz w:val="19"/>
          <w:szCs w:val="19"/>
          <w:b w:val="1"/>
          <w:bCs w:val="1"/>
          <w:color w:val="auto"/>
        </w:rPr>
        <w:t>Participant Register</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3" w:lineRule="exact"/>
        <w:rPr>
          <w:sz w:val="20"/>
          <w:szCs w:val="20"/>
          <w:color w:val="auto"/>
        </w:rPr>
      </w:pPr>
    </w:p>
    <w:p>
      <w:pPr>
        <w:ind w:right="60" w:firstLine="656"/>
        <w:spacing w:after="0" w:line="249" w:lineRule="auto"/>
        <w:tabs>
          <w:tab w:leader="none" w:pos="1296"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prior to any such disclosure, the assignee or participant or proposed assignee or participant shall agree to preserve the confidentiality of any Information relating to the Borrower received by it from such Lender as more fully set forth in Section 8.08.</w:t>
      </w:r>
    </w:p>
    <w:p>
      <w:pPr>
        <w:spacing w:after="0" w:line="205" w:lineRule="exact"/>
        <w:rPr>
          <w:rFonts w:ascii="Arial" w:cs="Arial" w:eastAsia="Arial" w:hAnsi="Arial"/>
          <w:sz w:val="21"/>
          <w:szCs w:val="21"/>
          <w:color w:val="auto"/>
        </w:rPr>
      </w:pPr>
    </w:p>
    <w:p>
      <w:pPr>
        <w:ind w:right="300" w:firstLine="656"/>
        <w:spacing w:after="0" w:line="236" w:lineRule="auto"/>
        <w:tabs>
          <w:tab w:leader="none" w:pos="133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Notwithstanding any other provision set forth in this Agreement, any Lender may at any time create a security interest in all or any portion of its rights under this Agreement (including, without limitation and the Advances owing to it) to secure obligations of such Lender, including, without limitation, any pledge or assignment to secure obligations in favor of any Federal Reserve Bank in accordance with Regulation A of the Board of Governors of the Federal Reserve System or any central bank having jurisdiction over such Lender.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i w:val="1"/>
          <w:iCs w:val="1"/>
          <w:color w:val="auto"/>
        </w:rPr>
        <w:t>Confidentiality</w:t>
      </w:r>
      <w:r>
        <w:rPr>
          <w:rFonts w:ascii="Arial" w:cs="Arial" w:eastAsia="Arial" w:hAnsi="Arial"/>
          <w:sz w:val="19"/>
          <w:szCs w:val="19"/>
          <w:color w:val="auto"/>
        </w:rPr>
        <w:t>. Each of the Administrative Agent and the Lenders agrees to maintain the confidentiality of the Information (as 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or its Affiliates (including any self-regulatory authority, such as the National Association of Insurance</w:t>
      </w:r>
    </w:p>
    <w:p>
      <w:pPr>
        <w:sectPr>
          <w:pgSz w:w="11900" w:h="16941" w:orient="portrait"/>
          <w:cols w:equalWidth="0" w:num="1">
            <w:col w:w="11380"/>
          </w:cols>
          <w:pgMar w:left="240" w:top="361" w:right="279" w:bottom="0" w:gutter="0" w:footer="0" w:header="0"/>
        </w:sectPr>
      </w:pPr>
    </w:p>
    <w:bookmarkStart w:id="101" w:name="page102"/>
    <w:bookmarkEnd w:id="101"/>
    <w:p>
      <w:pPr>
        <w:spacing w:after="0" w:line="67" w:lineRule="exact"/>
        <w:rPr>
          <w:sz w:val="20"/>
          <w:szCs w:val="20"/>
          <w:color w:val="auto"/>
        </w:rPr>
      </w:pPr>
    </w:p>
    <w:p>
      <w:pPr>
        <w:jc w:val="both"/>
        <w:ind w:right="100"/>
        <w:spacing w:after="0" w:line="272" w:lineRule="auto"/>
        <w:rPr>
          <w:sz w:val="20"/>
          <w:szCs w:val="20"/>
          <w:color w:val="auto"/>
        </w:rPr>
      </w:pPr>
      <w:r>
        <w:rPr>
          <w:rFonts w:ascii="Arial" w:cs="Arial" w:eastAsia="Arial" w:hAnsi="Arial"/>
          <w:sz w:val="19"/>
          <w:szCs w:val="19"/>
          <w:color w:val="auto"/>
        </w:rPr>
        <w:t>Commissioners), (c) to the extent required by applicable laws or regulations or by any subpoena or similar legal process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Borrower promptly thereof, unless such notification is prohibited by law, rule or regulation),</w:t>
      </w:r>
    </w:p>
    <w:p>
      <w:pPr>
        <w:ind w:firstLine="8"/>
        <w:spacing w:after="0" w:line="267" w:lineRule="auto"/>
        <w:tabs>
          <w:tab w:leader="none" w:pos="306"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to any other party hereto, (e) in connection with the exercise of any remedies hereunder or any action or proceeding relating to this Agreement or the enforcement of rights hereunder or thereunder, (f) subject to an agreement containing provisions substantially the same as those of this Section 8.08,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or derivative or similar transaction under which payments are to be made by reference to the Borrower and its obligations, this Agreement or payments hereunder,</w:t>
      </w:r>
    </w:p>
    <w:p>
      <w:pPr>
        <w:ind w:right="20" w:firstLine="8"/>
        <w:spacing w:after="0" w:line="232" w:lineRule="auto"/>
        <w:tabs>
          <w:tab w:leader="none" w:pos="37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any rating agency, or (iv) the CUSIP Service Bureau or any similar organization, (g) with the consent of the Borrower or (h) to the extent such Information (x) becomes publicly available other than as a result of a breach of this Section 8.08 or (y) becomes available to the Administrative Agent, any Lender or any of their respective Affiliates on a non-confidential basis from a source other than the Borrower. In addition, the Agents may disclose the existence and terms of this Agreement and the identity of the parties hereto (including titles) to service providers to the Agents in connection with the administration of this Agreement, the other Loan Documents, and the Commitments.</w:t>
      </w:r>
    </w:p>
    <w:p>
      <w:pPr>
        <w:spacing w:after="0" w:line="210" w:lineRule="exact"/>
        <w:rPr>
          <w:sz w:val="20"/>
          <w:szCs w:val="20"/>
          <w:color w:val="auto"/>
        </w:rPr>
      </w:pPr>
    </w:p>
    <w:p>
      <w:pPr>
        <w:ind w:right="120" w:firstLine="648"/>
        <w:spacing w:after="0" w:line="237" w:lineRule="auto"/>
        <w:rPr>
          <w:sz w:val="20"/>
          <w:szCs w:val="20"/>
          <w:color w:val="auto"/>
        </w:rPr>
      </w:pPr>
      <w:r>
        <w:rPr>
          <w:rFonts w:ascii="Arial" w:cs="Arial" w:eastAsia="Arial" w:hAnsi="Arial"/>
          <w:sz w:val="22"/>
          <w:szCs w:val="22"/>
          <w:color w:val="auto"/>
        </w:rPr>
        <w:t>Section 8.09. For purposes of this Section 8.08, “</w:t>
      </w:r>
      <w:r>
        <w:rPr>
          <w:rFonts w:ascii="Arial" w:cs="Arial" w:eastAsia="Arial" w:hAnsi="Arial"/>
          <w:sz w:val="22"/>
          <w:szCs w:val="22"/>
          <w:b w:val="1"/>
          <w:bCs w:val="1"/>
          <w:color w:val="auto"/>
        </w:rPr>
        <w:t>Information</w:t>
      </w:r>
      <w:r>
        <w:rPr>
          <w:rFonts w:ascii="Arial" w:cs="Arial" w:eastAsia="Arial" w:hAnsi="Arial"/>
          <w:sz w:val="22"/>
          <w:szCs w:val="22"/>
          <w:color w:val="auto"/>
        </w:rPr>
        <w:t xml:space="preserve">” means this Agreement and the other Loan Documents and all information received from the Consolidated Group relating to the Consolidated Group or any of their respective businesses, other than any such information that is available to the Administrative Agent or any Lender on a non- confidential basis prior to disclosure by the Consolidated Group. </w:t>
      </w:r>
      <w:r>
        <w:rPr>
          <w:rFonts w:ascii="Arial" w:cs="Arial" w:eastAsia="Arial" w:hAnsi="Arial"/>
          <w:sz w:val="22"/>
          <w:szCs w:val="22"/>
          <w:i w:val="1"/>
          <w:iCs w:val="1"/>
          <w:color w:val="auto"/>
        </w:rPr>
        <w:t>Governing Law</w:t>
      </w:r>
      <w:r>
        <w:rPr>
          <w:rFonts w:ascii="Arial" w:cs="Arial" w:eastAsia="Arial" w:hAnsi="Arial"/>
          <w:sz w:val="22"/>
          <w:szCs w:val="22"/>
          <w:color w:val="auto"/>
        </w:rPr>
        <w:t>. This Agreement shall be governed by, and construed in accordance with, the laws of the State of New York.</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i w:val="1"/>
          <w:iCs w:val="1"/>
          <w:color w:val="auto"/>
        </w:rPr>
        <w:t>Execution in Counterparts</w:t>
      </w:r>
      <w:r>
        <w:rPr>
          <w:rFonts w:ascii="Arial" w:cs="Arial" w:eastAsia="Arial" w:hAnsi="Arial"/>
          <w:sz w:val="22"/>
          <w:szCs w:val="22"/>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facsimile or in a .pdf 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similar file shall be effective as delivery of a manually executed counterpart of this Agreement.</w:t>
      </w:r>
    </w:p>
    <w:p>
      <w:pPr>
        <w:spacing w:after="0" w:line="233"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i w:val="1"/>
          <w:iCs w:val="1"/>
          <w:color w:val="auto"/>
        </w:rPr>
        <w:t>Jurisdiction, Etc</w:t>
      </w:r>
      <w:r>
        <w:rPr>
          <w:rFonts w:ascii="Arial" w:cs="Arial" w:eastAsia="Arial" w:hAnsi="Arial"/>
          <w:sz w:val="21"/>
          <w:szCs w:val="21"/>
          <w:color w:val="auto"/>
        </w:rPr>
        <w:t>. (a) Each of the parties hereto hereby irrevocably and unconditionally submits, for itself and its property, to the exclusive jurisdiction of any New York State court sitting in New York County or any federal court of the United States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any such New York State court or, to the extent permitted by law, in any such federal court. Each of the parties hereto agrees that a final judgment in any such action or proceeding shall be conclusive and may be enforced in other jurisdictions by suit on the judgment or in any other manner provided by law.</w:t>
      </w:r>
    </w:p>
    <w:p>
      <w:pPr>
        <w:spacing w:after="0" w:line="208" w:lineRule="exact"/>
        <w:rPr>
          <w:sz w:val="20"/>
          <w:szCs w:val="20"/>
          <w:color w:val="auto"/>
        </w:rPr>
      </w:pPr>
    </w:p>
    <w:p>
      <w:pPr>
        <w:ind w:right="60" w:firstLine="656"/>
        <w:spacing w:after="0" w:line="236" w:lineRule="auto"/>
        <w:tabs>
          <w:tab w:leader="none" w:pos="1332" w:val="left"/>
        </w:tabs>
        <w:numPr>
          <w:ilvl w:val="0"/>
          <w:numId w:val="209"/>
        </w:numPr>
        <w:rPr>
          <w:rFonts w:ascii="Arial" w:cs="Arial" w:eastAsia="Arial" w:hAnsi="Arial"/>
          <w:sz w:val="22"/>
          <w:szCs w:val="22"/>
          <w:color w:val="auto"/>
        </w:rPr>
      </w:pPr>
      <w:r>
        <w:rPr>
          <w:rFonts w:ascii="Arial" w:cs="Arial" w:eastAsia="Arial" w:hAnsi="Arial"/>
          <w:sz w:val="22"/>
          <w:szCs w:val="22"/>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214" w:lineRule="exact"/>
        <w:rPr>
          <w:rFonts w:ascii="Arial" w:cs="Arial" w:eastAsia="Arial" w:hAnsi="Arial"/>
          <w:sz w:val="22"/>
          <w:szCs w:val="22"/>
          <w:color w:val="auto"/>
        </w:rPr>
      </w:pPr>
    </w:p>
    <w:p>
      <w:pPr>
        <w:ind w:right="280" w:firstLine="656"/>
        <w:spacing w:after="0"/>
        <w:tabs>
          <w:tab w:leader="none" w:pos="13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8.02. Nothing in this Agreement will affect the right of any party to this Agreement to serve process in any other manner permitted by law.</w:t>
      </w:r>
    </w:p>
    <w:p>
      <w:pPr>
        <w:spacing w:after="0" w:line="213"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i w:val="1"/>
          <w:iCs w:val="1"/>
          <w:color w:val="auto"/>
        </w:rPr>
        <w:t>Patriot Act Notice</w:t>
      </w:r>
      <w:r>
        <w:rPr>
          <w:rFonts w:ascii="Arial" w:cs="Arial" w:eastAsia="Arial" w:hAnsi="Arial"/>
          <w:sz w:val="22"/>
          <w:szCs w:val="22"/>
          <w:color w:val="auto"/>
        </w:rPr>
        <w:t>. Each Lender and the Administrative Agent (for itself and not on behalf of any Lender)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 The Borrower shall provide, to the extent commercially reasonable, such information and take such actions as are reasonably requested by the Administrative Agent or any Lenders in order to assist the Administrative Agent and the Lenders in maintaining compliance with the Patriot Act.</w:t>
      </w:r>
    </w:p>
    <w:p>
      <w:pPr>
        <w:spacing w:after="0" w:line="218"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i w:val="1"/>
          <w:iCs w:val="1"/>
          <w:color w:val="auto"/>
        </w:rPr>
        <w:t>No Advisory or Fiduciary Responsibility</w:t>
      </w:r>
      <w:r>
        <w:rPr>
          <w:rFonts w:ascii="Arial" w:cs="Arial" w:eastAsia="Arial" w:hAnsi="Arial"/>
          <w:sz w:val="22"/>
          <w:szCs w:val="22"/>
          <w:color w:val="auto"/>
        </w:rPr>
        <w:t>. In its capacity as an Agent or a Lender, (a) no Agent or Lender has any responsibility except as set forth herein and (b) no Agent or Lender shall be subject to any fiduciary duties or other implied duties (to the extent permitted by law to be waived). The Borrower agrees that it will not take any position or bring any claim against any Agent or any Lender that is contrary to the preceding sentence.</w:t>
      </w:r>
    </w:p>
    <w:p>
      <w:pPr>
        <w:spacing w:after="0" w:line="212"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In connection with all aspects of each transaction contemplated hereby (including in connection with any amendment, waiver or other modification hereof), the Borrower</w:t>
      </w:r>
    </w:p>
    <w:p>
      <w:pPr>
        <w:sectPr>
          <w:pgSz w:w="11900" w:h="16905" w:orient="portrait"/>
          <w:cols w:equalWidth="0" w:num="1">
            <w:col w:w="11420"/>
          </w:cols>
          <w:pgMar w:left="240" w:top="118" w:right="239" w:bottom="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acknowledges and agrees that: (i) the arranging and other services regarding this Agreement provided by the Agents and the Lenders are arm’s-length commercial transactions between the Borrower and its Affiliates, on the one hand, and the Agents and the Lenders, on the other hand; (ii) each Agent and each Lender is and has been acting solely as a principal and, except as expressly agreed in writing by the relevant parties, has not been, is not, and will not be acting as an advisor or agent for the Borrower or any of its Affiliates, or any other Person; and (iii) the Agents, the Lenders and each of their respective Affiliates may be engaged in a broad range of transactions that involve interests that differ from those of the Borrower and its Affiliates, and no Agent or Lender has any obligation to disclose any of such interests to the Borrower or its Affiliates.</w:t>
      </w:r>
    </w:p>
    <w:p>
      <w:pPr>
        <w:spacing w:after="0" w:line="180"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 xml:space="preserve">Section 8.14.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Borrower, the Administrative Agent and the Lenders hereby irrevocably waives all right to trial by jury in any action, proceeding or counterclaim (whether based on contract, tort or otherwise) arising out of or relating to this Agreement or the actions of the Administrative Agent or any Lender in the negotiation, administration, performance or enforcement thereof.</w:t>
      </w:r>
    </w:p>
    <w:p>
      <w:pPr>
        <w:spacing w:after="0" w:line="212"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i w:val="1"/>
          <w:iCs w:val="1"/>
          <w:color w:val="auto"/>
        </w:rPr>
        <w:t>Acknowledgment and Consent to Bail-In of EEA Financial Institutions.</w:t>
      </w:r>
      <w:r>
        <w:rPr>
          <w:rFonts w:ascii="Arial" w:cs="Arial" w:eastAsia="Arial" w:hAnsi="Arial"/>
          <w:sz w:val="22"/>
          <w:szCs w:val="22"/>
          <w:color w:val="auto"/>
        </w:rPr>
        <w:t xml:space="preserve"> Notwithstanding anything to the contrary in this Agreement or in any other agreement, arrangement or understanding among the parties hereto, each party hereto acknowledges that any liability of any EEA Financial Institution arising under this Agreement, to the extent such liability is unsecured, may be subject the Write-Down and Conversion Powers of an EEA Resolution Authority and agrees and consents to, and acknowledges and agrees to be bound by:</w:t>
      </w:r>
    </w:p>
    <w:p>
      <w:pPr>
        <w:spacing w:after="0" w:line="215" w:lineRule="exact"/>
        <w:rPr>
          <w:sz w:val="20"/>
          <w:szCs w:val="20"/>
          <w:color w:val="auto"/>
        </w:rPr>
      </w:pPr>
    </w:p>
    <w:p>
      <w:pPr>
        <w:ind w:right="120" w:firstLine="656"/>
        <w:spacing w:after="0" w:line="274" w:lineRule="auto"/>
        <w:tabs>
          <w:tab w:leader="none" w:pos="132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7" w:lineRule="exact"/>
        <w:rPr>
          <w:rFonts w:ascii="Arial" w:cs="Arial" w:eastAsia="Arial" w:hAnsi="Arial"/>
          <w:sz w:val="21"/>
          <w:szCs w:val="21"/>
          <w:color w:val="auto"/>
        </w:rPr>
      </w:pPr>
    </w:p>
    <w:p>
      <w:pPr>
        <w:ind w:left="1340" w:hanging="684"/>
        <w:spacing w:after="0"/>
        <w:tabs>
          <w:tab w:leader="none" w:pos="134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color w:val="auto"/>
        </w:rPr>
      </w:pPr>
    </w:p>
    <w:p>
      <w:pPr>
        <w:ind w:left="2000" w:hanging="695"/>
        <w:spacing w:after="0"/>
        <w:tabs>
          <w:tab w:leader="none" w:pos="200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jc w:val="both"/>
        <w:ind w:left="660" w:right="40" w:firstLine="645"/>
        <w:spacing w:after="0" w:line="238" w:lineRule="auto"/>
        <w:tabs>
          <w:tab w:leader="none" w:pos="200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Institutions, its parent undertaking or a bridge institution that may be issued to it or otherwise conferred on it, and that such shares or other instruments of ownership will be accepted by it in lieu of any rights with respect to any such liability under this Agreement; or</w:t>
      </w:r>
    </w:p>
    <w:p>
      <w:pPr>
        <w:spacing w:after="0" w:line="212" w:lineRule="exact"/>
        <w:rPr>
          <w:rFonts w:ascii="Arial" w:cs="Arial" w:eastAsia="Arial" w:hAnsi="Arial"/>
          <w:sz w:val="22"/>
          <w:szCs w:val="22"/>
          <w:color w:val="auto"/>
        </w:rPr>
      </w:pPr>
    </w:p>
    <w:p>
      <w:pPr>
        <w:ind w:left="660" w:right="980" w:firstLine="645"/>
        <w:spacing w:after="0" w:line="251" w:lineRule="auto"/>
        <w:tabs>
          <w:tab w:leader="none" w:pos="201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8.16. </w:t>
      </w:r>
      <w:r>
        <w:rPr>
          <w:rFonts w:ascii="Arial" w:cs="Arial" w:eastAsia="Arial" w:hAnsi="Arial"/>
          <w:sz w:val="22"/>
          <w:szCs w:val="22"/>
          <w:i w:val="1"/>
          <w:iCs w:val="1"/>
          <w:color w:val="auto"/>
        </w:rPr>
        <w:t>Nonreliance</w:t>
      </w:r>
      <w:r>
        <w:rPr>
          <w:rFonts w:ascii="Arial" w:cs="Arial" w:eastAsia="Arial" w:hAnsi="Arial"/>
          <w:sz w:val="22"/>
          <w:szCs w:val="22"/>
          <w:color w:val="auto"/>
        </w:rPr>
        <w:t>. Each of the Lenders hereby represents that it is not relying on or looking to any Margin Stock as collateral in the extension or maintenance of the credit provided for herein.</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PAGES FOLLOW]</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60"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ABBVIE INC., as Borrower</w:t>
      </w:r>
    </w:p>
    <w:p>
      <w:pPr>
        <w:spacing w:after="0" w:line="200" w:lineRule="exact"/>
        <w:rPr>
          <w:sz w:val="20"/>
          <w:szCs w:val="20"/>
          <w:color w:val="auto"/>
        </w:rPr>
      </w:pPr>
    </w:p>
    <w:p>
      <w:pPr>
        <w:spacing w:after="0" w:line="27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7620</wp:posOffset>
            </wp:positionV>
            <wp:extent cx="315595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22"/>
          <w:szCs w:val="22"/>
          <w:color w:val="auto"/>
        </w:rPr>
        <w:t>Name:</w:t>
      </w:r>
    </w:p>
    <w:p>
      <w:pPr>
        <w:ind w:left="64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364-Day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61" w:right="299" w:bottom="272"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t>BANK OF AMERICA, N.A., as Administrative Agent</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31559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22"/>
          <w:szCs w:val="22"/>
          <w:color w:val="auto"/>
        </w:rPr>
        <w:t>Name:</w:t>
      </w:r>
    </w:p>
    <w:p>
      <w:pPr>
        <w:ind w:left="5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LENDERS</w:t>
      </w:r>
    </w:p>
    <w:p>
      <w:pPr>
        <w:spacing w:after="0" w:line="23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BANK OF AMERICA, N.A.</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31559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22"/>
          <w:szCs w:val="22"/>
          <w:color w:val="auto"/>
        </w:rPr>
        <w:t>Name:</w:t>
      </w:r>
    </w:p>
    <w:p>
      <w:pPr>
        <w:ind w:left="5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JPMORGAN CHASE BANK, N.A.</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7620</wp:posOffset>
            </wp:positionV>
            <wp:extent cx="31559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22"/>
          <w:szCs w:val="22"/>
          <w:color w:val="auto"/>
        </w:rPr>
        <w:t>Name:</w:t>
      </w:r>
    </w:p>
    <w:p>
      <w:pPr>
        <w:ind w:left="52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Signature Page to</w:t>
      </w:r>
    </w:p>
    <w:p>
      <w:pPr>
        <w:spacing w:after="0" w:line="8"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364-Day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238760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380"/>
      </w:cols>
      <w:pgMar w:left="1440" w:top="604"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299938"/>
    <w:multiLevelType w:val="hybridMultilevel"/>
    <w:lvl w:ilvl="0">
      <w:lvlJc w:val="left"/>
      <w:lvlText w:val="(%1)"/>
      <w:numFmt w:val="lowerLetter"/>
      <w:start w:val="2"/>
    </w:lvl>
  </w:abstractNum>
  <w:abstractNum w:abstractNumId="1">
    <w:nsid w:val="1FBFE8E0"/>
    <w:multiLevelType w:val="hybridMultilevel"/>
    <w:lvl w:ilvl="0">
      <w:lvlJc w:val="left"/>
      <w:lvlText w:val="(%1)"/>
      <w:numFmt w:val="lowerLetter"/>
      <w:start w:val="2"/>
    </w:lvl>
  </w:abstractNum>
  <w:abstractNum w:abstractNumId="2">
    <w:nsid w:val="5092CA79"/>
    <w:multiLevelType w:val="hybridMultilevel"/>
    <w:lvl w:ilvl="0">
      <w:lvlJc w:val="left"/>
      <w:lvlText w:val="(%1)"/>
      <w:numFmt w:val="lowerLetter"/>
      <w:start w:val="8"/>
    </w:lvl>
  </w:abstractNum>
  <w:abstractNum w:abstractNumId="3">
    <w:nsid w:val="1D545C4D"/>
    <w:multiLevelType w:val="hybridMultilevel"/>
    <w:lvl w:ilvl="0">
      <w:lvlJc w:val="left"/>
      <w:lvlText w:val="(%1)"/>
      <w:numFmt w:val="lowerLetter"/>
      <w:start w:val="6"/>
    </w:lvl>
  </w:abstractNum>
  <w:abstractNum w:abstractNumId="4">
    <w:nsid w:val="59ADEA3D"/>
    <w:multiLevelType w:val="hybridMultilevel"/>
    <w:lvl w:ilvl="0">
      <w:lvlJc w:val="left"/>
      <w:lvlText w:val="(%1)"/>
      <w:numFmt w:val="lowerLetter"/>
      <w:start w:val="1"/>
    </w:lvl>
  </w:abstractNum>
  <w:abstractNum w:abstractNumId="5">
    <w:nsid w:val="288F1A34"/>
    <w:multiLevelType w:val="hybridMultilevel"/>
    <w:lvl w:ilvl="0">
      <w:lvlJc w:val="left"/>
      <w:lvlText w:val="(%1)"/>
      <w:numFmt w:val="lowerRoman"/>
      <w:start w:val="2"/>
    </w:lvl>
  </w:abstractNum>
  <w:abstractNum w:abstractNumId="6">
    <w:nsid w:val="2A155DBC"/>
    <w:multiLevelType w:val="hybridMultilevel"/>
    <w:lvl w:ilvl="0">
      <w:lvlJc w:val="left"/>
      <w:lvlText w:val="%1"/>
      <w:numFmt w:val="lowerLetter"/>
      <w:start w:val="1"/>
    </w:lvl>
    <w:lvl w:ilvl="1">
      <w:lvlJc w:val="left"/>
      <w:lvlText w:val="(%2)"/>
      <w:numFmt w:val="lowerLetter"/>
      <w:start w:val="1"/>
    </w:lvl>
  </w:abstractNum>
  <w:abstractNum w:abstractNumId="7">
    <w:nsid w:val="1D9F6E5F"/>
    <w:multiLevelType w:val="hybridMultilevel"/>
    <w:lvl w:ilvl="0">
      <w:lvlJc w:val="left"/>
      <w:lvlText w:val="(%1)"/>
      <w:numFmt w:val="lowerLetter"/>
      <w:start w:val="35"/>
    </w:lvl>
    <w:lvl w:ilvl="1">
      <w:lvlJc w:val="left"/>
      <w:lvlText w:val="(%2)"/>
      <w:numFmt w:val="lowerLetter"/>
      <w:start w:val="2"/>
    </w:lvl>
  </w:abstractNum>
  <w:abstractNum w:abstractNumId="8">
    <w:nsid w:val="97E1B4E"/>
    <w:multiLevelType w:val="hybridMultilevel"/>
    <w:lvl w:ilvl="0">
      <w:lvlJc w:val="left"/>
      <w:lvlText w:val="(%1)"/>
      <w:numFmt w:val="lowerLetter"/>
      <w:start w:val="3"/>
    </w:lvl>
  </w:abstractNum>
  <w:abstractNum w:abstractNumId="9">
    <w:nsid w:val="51088277"/>
    <w:multiLevelType w:val="hybridMultilevel"/>
    <w:lvl w:ilvl="0">
      <w:lvlJc w:val="left"/>
      <w:lvlText w:val="(%1)"/>
      <w:numFmt w:val="lowerLetter"/>
      <w:start w:val="4"/>
    </w:lvl>
  </w:abstractNum>
  <w:abstractNum w:abstractNumId="10">
    <w:nsid w:val="1CA0C5FA"/>
    <w:multiLevelType w:val="hybridMultilevel"/>
    <w:lvl w:ilvl="0">
      <w:lvlJc w:val="left"/>
      <w:lvlText w:val="(%1)"/>
      <w:numFmt w:val="lowerLetter"/>
      <w:start w:val="1"/>
    </w:lvl>
  </w:abstractNum>
  <w:abstractNum w:abstractNumId="11">
    <w:nsid w:val="53584BCB"/>
    <w:multiLevelType w:val="hybridMultilevel"/>
    <w:lvl w:ilvl="0">
      <w:lvlJc w:val="left"/>
      <w:lvlText w:val="(%1)"/>
      <w:numFmt w:val="lowerLetter"/>
      <w:start w:val="2"/>
    </w:lvl>
  </w:abstractNum>
  <w:abstractNum w:abstractNumId="12">
    <w:nsid w:val="415E286C"/>
    <w:multiLevelType w:val="hybridMultilevel"/>
    <w:lvl w:ilvl="0">
      <w:lvlJc w:val="left"/>
      <w:lvlText w:val="(%1)"/>
      <w:numFmt w:val="lowerLetter"/>
      <w:start w:val="1"/>
    </w:lvl>
  </w:abstractNum>
  <w:abstractNum w:abstractNumId="13">
    <w:nsid w:val="7C58FD05"/>
    <w:multiLevelType w:val="hybridMultilevel"/>
    <w:lvl w:ilvl="0">
      <w:lvlJc w:val="left"/>
      <w:lvlText w:val="(%1)"/>
      <w:numFmt w:val="lowerLetter"/>
      <w:start w:val="1"/>
    </w:lvl>
  </w:abstractNum>
  <w:abstractNum w:abstractNumId="14">
    <w:nsid w:val="23D86AAC"/>
    <w:multiLevelType w:val="hybridMultilevel"/>
    <w:lvl w:ilvl="0">
      <w:lvlJc w:val="left"/>
      <w:lvlText w:val="(%1)"/>
      <w:numFmt w:val="lowerLetter"/>
      <w:start w:val="2"/>
    </w:lvl>
  </w:abstractNum>
  <w:abstractNum w:abstractNumId="15">
    <w:nsid w:val="45E6D486"/>
    <w:multiLevelType w:val="hybridMultilevel"/>
    <w:lvl w:ilvl="0">
      <w:lvlJc w:val="left"/>
      <w:lvlText w:val="(%1)"/>
      <w:numFmt w:val="lowerLetter"/>
      <w:start w:val="3"/>
    </w:lvl>
  </w:abstractNum>
  <w:abstractNum w:abstractNumId="16">
    <w:nsid w:val="5C10FE21"/>
    <w:multiLevelType w:val="hybridMultilevel"/>
    <w:lvl w:ilvl="0">
      <w:lvlJc w:val="left"/>
      <w:lvlText w:val="(%1)"/>
      <w:numFmt w:val="lowerLetter"/>
      <w:start w:val="4"/>
    </w:lvl>
  </w:abstractNum>
  <w:abstractNum w:abstractNumId="17">
    <w:nsid w:val="E7FFA2B"/>
    <w:multiLevelType w:val="hybridMultilevel"/>
    <w:lvl w:ilvl="0">
      <w:lvlJc w:val="left"/>
      <w:lvlText w:val="(%1)"/>
      <w:numFmt w:val="lowerLetter"/>
      <w:start w:val="2"/>
    </w:lvl>
  </w:abstractNum>
  <w:abstractNum w:abstractNumId="18">
    <w:nsid w:val="3C5991AA"/>
    <w:multiLevelType w:val="hybridMultilevel"/>
    <w:lvl w:ilvl="0">
      <w:lvlJc w:val="left"/>
      <w:lvlText w:val="(%1)"/>
      <w:numFmt w:val="lowerLetter"/>
      <w:start w:val="1"/>
    </w:lvl>
  </w:abstractNum>
  <w:abstractNum w:abstractNumId="19">
    <w:nsid w:val="4BD8591A"/>
    <w:multiLevelType w:val="hybridMultilevel"/>
    <w:lvl w:ilvl="0">
      <w:lvlJc w:val="left"/>
      <w:lvlText w:val="%1"/>
      <w:numFmt w:val="lowerLetter"/>
      <w:start w:val="1"/>
    </w:lvl>
    <w:lvl w:ilvl="1">
      <w:lvlJc w:val="left"/>
      <w:lvlText w:val="(%2)"/>
      <w:numFmt w:val="lowerLetter"/>
      <w:start w:val="3"/>
    </w:lvl>
  </w:abstractNum>
  <w:abstractNum w:abstractNumId="20">
    <w:nsid w:val="78DF6A55"/>
    <w:multiLevelType w:val="hybridMultilevel"/>
    <w:lvl w:ilvl="0">
      <w:lvlJc w:val="left"/>
      <w:lvlText w:val="(%1)"/>
      <w:numFmt w:val="lowerLetter"/>
      <w:start w:val="2"/>
    </w:lvl>
    <w:lvl w:ilvl="1">
      <w:lvlJc w:val="left"/>
      <w:lvlText w:val="%2"/>
      <w:numFmt w:val="lowerLetter"/>
      <w:start w:val="1"/>
    </w:lvl>
  </w:abstractNum>
  <w:abstractNum w:abstractNumId="21">
    <w:nsid w:val="39B7AAA2"/>
    <w:multiLevelType w:val="hybridMultilevel"/>
    <w:lvl w:ilvl="0">
      <w:lvlJc w:val="left"/>
      <w:lvlText w:val="(%1)"/>
      <w:numFmt w:val="lowerLetter"/>
      <w:start w:val="5"/>
    </w:lvl>
  </w:abstractNum>
  <w:abstractNum w:abstractNumId="22">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
    <w:nsid w:val="6C80EC7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4">
    <w:nsid w:val="379E21B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5">
    <w:nsid w:val="69E373"/>
    <w:multiLevelType w:val="hybridMultilevel"/>
    <w:lvl w:ilvl="0">
      <w:lvlJc w:val="left"/>
      <w:lvlText w:val="(%1)"/>
      <w:numFmt w:val="lowerLetter"/>
      <w:start w:val="3"/>
    </w:lvl>
  </w:abstractNum>
  <w:abstractNum w:abstractNumId="26">
    <w:nsid w:val="2C27173B"/>
    <w:multiLevelType w:val="hybridMultilevel"/>
    <w:lvl w:ilvl="0">
      <w:lvlJc w:val="left"/>
      <w:lvlText w:val="(%1)"/>
      <w:numFmt w:val="lowerLetter"/>
      <w:start w:val="1"/>
    </w:lvl>
  </w:abstractNum>
  <w:abstractNum w:abstractNumId="27">
    <w:nsid w:val="4C9B0904"/>
    <w:multiLevelType w:val="hybridMultilevel"/>
    <w:lvl w:ilvl="0">
      <w:lvlJc w:val="left"/>
      <w:lvlText w:val="(%1)"/>
      <w:numFmt w:val="lowerLetter"/>
      <w:start w:val="4"/>
    </w:lvl>
  </w:abstractNum>
  <w:abstractNum w:abstractNumId="28">
    <w:nsid w:val="6AA7B75C"/>
    <w:multiLevelType w:val="hybridMultilevel"/>
    <w:lvl w:ilvl="0">
      <w:lvlJc w:val="left"/>
      <w:lvlText w:val="(%1)"/>
      <w:numFmt w:val="lowerLetter"/>
      <w:start w:val="2"/>
    </w:lvl>
  </w:abstractNum>
  <w:abstractNum w:abstractNumId="29">
    <w:nsid w:val="1DF029D3"/>
    <w:multiLevelType w:val="hybridMultilevel"/>
    <w:lvl w:ilvl="0">
      <w:lvlJc w:val="left"/>
      <w:lvlText w:val="(%1)"/>
      <w:numFmt w:val="lowerLetter"/>
      <w:start w:val="9"/>
    </w:lvl>
    <w:lvl w:ilvl="1">
      <w:lvlJc w:val="left"/>
      <w:lvlText w:val="(%2)"/>
      <w:numFmt w:val="lowerLetter"/>
      <w:start w:val="2"/>
    </w:lvl>
  </w:abstractNum>
  <w:abstractNum w:abstractNumId="30">
    <w:nsid w:val="5675FF36"/>
    <w:multiLevelType w:val="hybridMultilevel"/>
    <w:lvl w:ilvl="0">
      <w:lvlJc w:val="left"/>
      <w:lvlText w:val="(%1)"/>
      <w:numFmt w:val="lowerLetter"/>
      <w:start w:val="2"/>
    </w:lvl>
  </w:abstractNum>
  <w:abstractNum w:abstractNumId="31">
    <w:nsid w:val="3DD15094"/>
    <w:multiLevelType w:val="hybridMultilevel"/>
    <w:lvl w:ilvl="0">
      <w:lvlJc w:val="left"/>
      <w:lvlText w:val="(%1)"/>
      <w:numFmt w:val="lowerLetter"/>
      <w:start w:val="3"/>
    </w:lvl>
  </w:abstractNum>
  <w:abstractNum w:abstractNumId="32">
    <w:nsid w:val="3DB012B3"/>
    <w:multiLevelType w:val="hybridMultilevel"/>
    <w:lvl w:ilvl="0">
      <w:lvlJc w:val="left"/>
      <w:lvlText w:val="(%1)"/>
      <w:numFmt w:val="lowerRoman"/>
      <w:start w:val="5"/>
    </w:lvl>
  </w:abstractNum>
  <w:abstractNum w:abstractNumId="33">
    <w:nsid w:val="2708C9AF"/>
    <w:multiLevelType w:val="hybridMultilevel"/>
    <w:lvl w:ilvl="0">
      <w:lvlJc w:val="left"/>
      <w:lvlText w:val="%1"/>
      <w:numFmt w:val="lowerLetter"/>
      <w:start w:val="1"/>
    </w:lvl>
    <w:lvl w:ilvl="1">
      <w:lvlJc w:val="left"/>
      <w:lvlText w:val="(%2)"/>
      <w:numFmt w:val="lowerLetter"/>
      <w:start w:val="2"/>
    </w:lvl>
  </w:abstractNum>
  <w:abstractNum w:abstractNumId="34">
    <w:nsid w:val="5B25ACE2"/>
    <w:multiLevelType w:val="hybridMultilevel"/>
    <w:lvl w:ilvl="0">
      <w:lvlJc w:val="left"/>
      <w:lvlText w:val="(%1)"/>
      <w:numFmt w:val="lowerLetter"/>
      <w:start w:val="9"/>
    </w:lvl>
    <w:lvl w:ilvl="1">
      <w:lvlJc w:val="left"/>
      <w:lvlText w:val="%2"/>
      <w:numFmt w:val="lowerLetter"/>
      <w:start w:val="1"/>
    </w:lvl>
  </w:abstractNum>
  <w:abstractNum w:abstractNumId="35">
    <w:nsid w:val="175DFCF0"/>
    <w:multiLevelType w:val="hybridMultilevel"/>
    <w:lvl w:ilvl="0">
      <w:lvlJc w:val="left"/>
      <w:lvlText w:val="%1"/>
      <w:numFmt w:val="lowerRoman"/>
      <w:start w:val="1"/>
    </w:lvl>
    <w:lvl w:ilvl="1">
      <w:lvlJc w:val="left"/>
      <w:lvlText w:val="(%2)"/>
      <w:numFmt w:val="lowerLetter"/>
      <w:start w:val="5"/>
    </w:lvl>
  </w:abstractNum>
  <w:abstractNum w:abstractNumId="36">
    <w:nsid w:val="4F97E3E4"/>
    <w:multiLevelType w:val="hybridMultilevel"/>
    <w:lvl w:ilvl="0">
      <w:lvlJc w:val="left"/>
      <w:lvlText w:val="(%1)"/>
      <w:numFmt w:val="lowerRoman"/>
      <w:start w:val="4"/>
    </w:lvl>
    <w:lvl w:ilvl="1">
      <w:lvlJc w:val="left"/>
      <w:lvlText w:val="%2"/>
      <w:numFmt w:val="lowerLetter"/>
      <w:start w:val="1"/>
    </w:lvl>
  </w:abstractNum>
  <w:abstractNum w:abstractNumId="37">
    <w:nsid w:val="53B0A9E"/>
    <w:multiLevelType w:val="hybridMultilevel"/>
    <w:lvl w:ilvl="0">
      <w:lvlJc w:val="left"/>
      <w:lvlText w:val="(%1)"/>
      <w:numFmt w:val="lowerRoman"/>
      <w:start w:val="1"/>
    </w:lvl>
    <w:lvl w:ilvl="1">
      <w:lvlJc w:val="left"/>
      <w:lvlText w:val="(%2)"/>
      <w:numFmt w:val="upperLetter"/>
      <w:start w:val="1"/>
    </w:lvl>
  </w:abstractNum>
  <w:abstractNum w:abstractNumId="38">
    <w:nsid w:val="34FD6B4F"/>
    <w:multiLevelType w:val="hybridMultilevel"/>
    <w:lvl w:ilvl="0">
      <w:lvlJc w:val="left"/>
      <w:lvlText w:val="(%1)"/>
      <w:numFmt w:val="upperLetter"/>
      <w:start w:val="2"/>
    </w:lvl>
  </w:abstractNum>
  <w:abstractNum w:abstractNumId="39">
    <w:nsid w:val="5915FF32"/>
    <w:multiLevelType w:val="hybridMultilevel"/>
    <w:lvl w:ilvl="0">
      <w:lvlJc w:val="left"/>
      <w:lvlText w:val="(%1)"/>
      <w:numFmt w:val="lowerRoman"/>
      <w:start w:val="3"/>
    </w:lvl>
  </w:abstractNum>
  <w:abstractNum w:abstractNumId="40">
    <w:nsid w:val="56438D15"/>
    <w:multiLevelType w:val="hybridMultilevel"/>
    <w:lvl w:ilvl="0">
      <w:lvlJc w:val="left"/>
      <w:lvlText w:val="(%1)"/>
      <w:numFmt w:val="lowerLetter"/>
      <w:start w:val="7"/>
    </w:lvl>
  </w:abstractNum>
  <w:abstractNum w:abstractNumId="41">
    <w:nsid w:val="519E3149"/>
    <w:multiLevelType w:val="hybridMultilevel"/>
    <w:lvl w:ilvl="0">
      <w:lvlJc w:val="left"/>
      <w:lvlText w:val="(%1)"/>
      <w:numFmt w:val="lowerLetter"/>
      <w:start w:val="10"/>
    </w:lvl>
  </w:abstractNum>
  <w:abstractNum w:abstractNumId="42">
    <w:nsid w:val="2C6E4AFD"/>
    <w:multiLevelType w:val="hybridMultilevel"/>
    <w:lvl w:ilvl="0">
      <w:lvlJc w:val="left"/>
      <w:lvlText w:val="(%1)"/>
      <w:numFmt w:val="lowerLetter"/>
      <w:start w:val="2"/>
    </w:lvl>
  </w:abstractNum>
  <w:abstractNum w:abstractNumId="43">
    <w:nsid w:val="17A1B582"/>
    <w:multiLevelType w:val="hybridMultilevel"/>
    <w:lvl w:ilvl="0">
      <w:lvlJc w:val="left"/>
      <w:lvlText w:val="(%1)"/>
      <w:numFmt w:val="lowerLetter"/>
      <w:start w:val="2"/>
    </w:lvl>
  </w:abstractNum>
  <w:abstractNum w:abstractNumId="44">
    <w:nsid w:val="4DF72E4E"/>
    <w:multiLevelType w:val="hybridMultilevel"/>
    <w:lvl w:ilvl="0">
      <w:lvlJc w:val="left"/>
      <w:lvlText w:val="(%1)"/>
      <w:numFmt w:val="lowerLetter"/>
      <w:start w:val="1"/>
    </w:lvl>
    <w:lvl w:ilvl="1">
      <w:lvlJc w:val="left"/>
      <w:lvlText w:val="(%2)"/>
      <w:numFmt w:val="lowerRoman"/>
      <w:start w:val="1"/>
    </w:lvl>
  </w:abstractNum>
  <w:abstractNum w:abstractNumId="45">
    <w:nsid w:val="5046B5A9"/>
    <w:multiLevelType w:val="hybridMultilevel"/>
    <w:lvl w:ilvl="0">
      <w:lvlJc w:val="left"/>
      <w:lvlText w:val="%1"/>
      <w:numFmt w:val="lowerLetter"/>
      <w:start w:val="1"/>
    </w:lvl>
    <w:lvl w:ilvl="1">
      <w:lvlJc w:val="left"/>
      <w:lvlText w:val="(%2)"/>
      <w:numFmt w:val="lowerLetter"/>
      <w:start w:val="61"/>
    </w:lvl>
  </w:abstractNum>
  <w:abstractNum w:abstractNumId="46">
    <w:nsid w:val="5D888A08"/>
    <w:multiLevelType w:val="hybridMultilevel"/>
    <w:lvl w:ilvl="0">
      <w:lvlJc w:val="left"/>
      <w:lvlText w:val="(%1)"/>
      <w:numFmt w:val="lowerLetter"/>
      <w:start w:val="2"/>
    </w:lvl>
    <w:lvl w:ilvl="1">
      <w:lvlJc w:val="left"/>
      <w:lvlText w:val="%2"/>
      <w:numFmt w:val="lowerLetter"/>
      <w:start w:val="1"/>
    </w:lvl>
  </w:abstractNum>
  <w:abstractNum w:abstractNumId="47">
    <w:nsid w:val="2A082C70"/>
    <w:multiLevelType w:val="hybridMultilevel"/>
    <w:lvl w:ilvl="0">
      <w:lvlJc w:val="left"/>
      <w:lvlText w:val="(%1)"/>
      <w:numFmt w:val="lowerLetter"/>
      <w:start w:val="2"/>
    </w:lvl>
  </w:abstractNum>
  <w:abstractNum w:abstractNumId="48">
    <w:nsid w:val="5EC6AFD4"/>
    <w:multiLevelType w:val="hybridMultilevel"/>
    <w:lvl w:ilvl="0">
      <w:lvlJc w:val="left"/>
      <w:lvlText w:val="(%1)"/>
      <w:numFmt w:val="lowerLetter"/>
      <w:start w:val="1"/>
    </w:lvl>
  </w:abstractNum>
  <w:abstractNum w:abstractNumId="49">
    <w:nsid w:val="19E21BB2"/>
    <w:multiLevelType w:val="hybridMultilevel"/>
    <w:lvl w:ilvl="0">
      <w:lvlJc w:val="left"/>
      <w:lvlText w:val="(%1)"/>
      <w:numFmt w:val="lowerLetter"/>
      <w:start w:val="3"/>
    </w:lvl>
    <w:lvl w:ilvl="1">
      <w:lvlJc w:val="left"/>
      <w:lvlText w:val="(%2)"/>
      <w:numFmt w:val="lowerRoman"/>
      <w:start w:val="1"/>
    </w:lvl>
  </w:abstractNum>
  <w:abstractNum w:abstractNumId="50">
    <w:nsid w:val="75E0858A"/>
    <w:multiLevelType w:val="hybridMultilevel"/>
    <w:lvl w:ilvl="0">
      <w:lvlJc w:val="left"/>
      <w:lvlText w:val="(%1)"/>
      <w:numFmt w:val="lowerLetter"/>
      <w:start w:val="7"/>
    </w:lvl>
  </w:abstractNum>
  <w:abstractNum w:abstractNumId="51">
    <w:nsid w:val="57A61A29"/>
    <w:multiLevelType w:val="hybridMultilevel"/>
    <w:lvl w:ilvl="0">
      <w:lvlJc w:val="left"/>
      <w:lvlText w:val="(%1)"/>
      <w:numFmt w:val="lowerLetter"/>
      <w:start w:val="1"/>
    </w:lvl>
  </w:abstractNum>
  <w:abstractNum w:abstractNumId="52">
    <w:nsid w:val="5399C654"/>
    <w:multiLevelType w:val="hybridMultilevel"/>
    <w:lvl w:ilvl="0">
      <w:lvlJc w:val="left"/>
      <w:lvlText w:val="(%1)"/>
      <w:numFmt w:val="lowerLetter"/>
      <w:start w:val="1"/>
    </w:lvl>
  </w:abstractNum>
  <w:abstractNum w:abstractNumId="53">
    <w:nsid w:val="20EE1348"/>
    <w:multiLevelType w:val="hybridMultilevel"/>
    <w:lvl w:ilvl="0">
      <w:lvlJc w:val="left"/>
      <w:lvlText w:val="(%1)"/>
      <w:numFmt w:val="lowerLetter"/>
      <w:start w:val="3"/>
    </w:lvl>
  </w:abstractNum>
  <w:abstractNum w:abstractNumId="54">
    <w:nsid w:val="4427069A"/>
    <w:multiLevelType w:val="hybridMultilevel"/>
    <w:lvl w:ilvl="0">
      <w:lvlJc w:val="left"/>
      <w:lvlText w:val="(%1)"/>
      <w:numFmt w:val="lowerLetter"/>
      <w:start w:val="8"/>
    </w:lvl>
  </w:abstractNum>
  <w:abstractNum w:abstractNumId="55">
    <w:nsid w:val="B37E80A"/>
    <w:multiLevelType w:val="hybridMultilevel"/>
    <w:lvl w:ilvl="0">
      <w:lvlJc w:val="left"/>
      <w:lvlText w:val="%1"/>
      <w:numFmt w:val="lowerLetter"/>
      <w:start w:val="1"/>
    </w:lvl>
    <w:lvl w:ilvl="1">
      <w:lvlJc w:val="left"/>
      <w:lvlText w:val="(%2)"/>
      <w:numFmt w:val="lowerLetter"/>
      <w:start w:val="35"/>
    </w:lvl>
  </w:abstractNum>
  <w:abstractNum w:abstractNumId="56">
    <w:nsid w:val="2157F6BC"/>
    <w:multiLevelType w:val="hybridMultilevel"/>
    <w:lvl w:ilvl="0">
      <w:lvlJc w:val="left"/>
      <w:lvlText w:val="(%1)"/>
      <w:numFmt w:val="lowerLetter"/>
      <w:start w:val="9"/>
    </w:lvl>
    <w:lvl w:ilvl="1">
      <w:lvlJc w:val="left"/>
      <w:lvlText w:val="%2"/>
      <w:numFmt w:val="lowerLetter"/>
      <w:start w:val="1"/>
    </w:lvl>
  </w:abstractNum>
  <w:abstractNum w:abstractNumId="57">
    <w:nsid w:val="704E1DD5"/>
    <w:multiLevelType w:val="hybridMultilevel"/>
    <w:lvl w:ilvl="0">
      <w:lvlJc w:val="left"/>
      <w:lvlText w:val="(%1)"/>
      <w:numFmt w:val="lowerLetter"/>
      <w:start w:val="12"/>
    </w:lvl>
  </w:abstractNum>
  <w:abstractNum w:abstractNumId="58">
    <w:nsid w:val="57D2F10E"/>
    <w:multiLevelType w:val="hybridMultilevel"/>
    <w:lvl w:ilvl="0">
      <w:lvlJc w:val="left"/>
      <w:lvlText w:val="(%1)"/>
      <w:numFmt w:val="lowerLetter"/>
      <w:start w:val="14"/>
    </w:lvl>
  </w:abstractNum>
  <w:abstractNum w:abstractNumId="59">
    <w:nsid w:val="BFFAE18"/>
    <w:multiLevelType w:val="hybridMultilevel"/>
    <w:lvl w:ilvl="0">
      <w:lvlJc w:val="left"/>
      <w:lvlText w:val="(%1)"/>
      <w:numFmt w:val="lowerLetter"/>
      <w:start w:val="15"/>
    </w:lvl>
  </w:abstractNum>
  <w:abstractNum w:abstractNumId="60">
    <w:nsid w:val="E3E47A8"/>
    <w:multiLevelType w:val="hybridMultilevel"/>
    <w:lvl w:ilvl="0">
      <w:lvlJc w:val="left"/>
      <w:lvlText w:val="(%1)"/>
      <w:numFmt w:val="lowerLetter"/>
      <w:start w:val="1"/>
    </w:lvl>
  </w:abstractNum>
  <w:abstractNum w:abstractNumId="61">
    <w:nsid w:val="2E48F044"/>
    <w:multiLevelType w:val="hybridMultilevel"/>
    <w:lvl w:ilvl="0">
      <w:lvlJc w:val="left"/>
      <w:lvlText w:val="(%1)"/>
      <w:numFmt w:val="lowerLetter"/>
      <w:start w:val="3"/>
    </w:lvl>
  </w:abstractNum>
  <w:abstractNum w:abstractNumId="62">
    <w:nsid w:val="49D0FEAC"/>
    <w:multiLevelType w:val="hybridMultilevel"/>
    <w:lvl w:ilvl="0">
      <w:lvlJc w:val="left"/>
      <w:lvlText w:val="(%1)"/>
      <w:numFmt w:val="lowerLetter"/>
      <w:start w:val="6"/>
    </w:lvl>
    <w:lvl w:ilvl="1">
      <w:lvlJc w:val="left"/>
      <w:lvlText w:val="(%2)"/>
      <w:numFmt w:val="lowerRoman"/>
      <w:start w:val="1"/>
    </w:lvl>
  </w:abstractNum>
  <w:abstractNum w:abstractNumId="63">
    <w:nsid w:val="4BEE5A5B"/>
    <w:multiLevelType w:val="hybridMultilevel"/>
    <w:lvl w:ilvl="0">
      <w:lvlJc w:val="left"/>
      <w:lvlText w:val="%1"/>
      <w:numFmt w:val="lowerRoman"/>
      <w:start w:val="1"/>
    </w:lvl>
    <w:lvl w:ilvl="1">
      <w:lvlJc w:val="left"/>
      <w:lvlText w:val="(%2)"/>
      <w:numFmt w:val="lowerRoman"/>
      <w:start w:val="7"/>
    </w:lvl>
  </w:abstractNum>
  <w:abstractNum w:abstractNumId="64">
    <w:nsid w:val="5551B9F3"/>
    <w:multiLevelType w:val="hybridMultilevel"/>
    <w:lvl w:ilvl="0">
      <w:lvlJc w:val="left"/>
      <w:lvlText w:val="(%1)"/>
      <w:numFmt w:val="lowerRoman"/>
      <w:start w:val="1"/>
    </w:lvl>
    <w:lvl w:ilvl="1">
      <w:lvlJc w:val="left"/>
      <w:lvlText w:val="(%2)"/>
      <w:numFmt w:val="lowerRoman"/>
      <w:start w:val="1"/>
    </w:lvl>
  </w:abstractNum>
  <w:abstractNum w:abstractNumId="65">
    <w:nsid w:val="24F6AB8E"/>
    <w:multiLevelType w:val="hybridMultilevel"/>
    <w:lvl w:ilvl="0">
      <w:lvlJc w:val="left"/>
      <w:lvlText w:val="%1"/>
      <w:numFmt w:val="lowerLetter"/>
      <w:start w:val="1"/>
    </w:lvl>
    <w:lvl w:ilvl="1">
      <w:lvlJc w:val="left"/>
      <w:lvlText w:val="(%2)"/>
      <w:numFmt w:val="lowerRoman"/>
      <w:start w:val="5"/>
    </w:lvl>
  </w:abstractNum>
  <w:abstractNum w:abstractNumId="66">
    <w:nsid w:val="634C574C"/>
    <w:multiLevelType w:val="hybridMultilevel"/>
    <w:lvl w:ilvl="0">
      <w:lvlJc w:val="left"/>
      <w:lvlText w:val="(%1)"/>
      <w:numFmt w:val="lowerLetter"/>
      <w:start w:val="10"/>
    </w:lvl>
    <w:lvl w:ilvl="1">
      <w:lvlJc w:val="left"/>
      <w:lvlText w:val="%2"/>
      <w:numFmt w:val="lowerRoman"/>
      <w:start w:val="1"/>
    </w:lvl>
  </w:abstractNum>
  <w:abstractNum w:abstractNumId="67">
    <w:nsid w:val="24E99DD7"/>
    <w:multiLevelType w:val="hybridMultilevel"/>
    <w:lvl w:ilvl="0">
      <w:lvlJc w:val="left"/>
      <w:lvlText w:val="(%1)"/>
      <w:numFmt w:val="lowerLetter"/>
      <w:start w:val="1"/>
    </w:lvl>
  </w:abstractNum>
  <w:abstractNum w:abstractNumId="68">
    <w:nsid w:val="2A31B62D"/>
    <w:multiLevelType w:val="hybridMultilevel"/>
    <w:lvl w:ilvl="0">
      <w:lvlJc w:val="left"/>
      <w:lvlText w:val="(%1)"/>
      <w:numFmt w:val="lowerRoman"/>
      <w:start w:val="1"/>
    </w:lvl>
  </w:abstractNum>
  <w:abstractNum w:abstractNumId="69">
    <w:nsid w:val="1849C29B"/>
    <w:multiLevelType w:val="hybridMultilevel"/>
    <w:lvl w:ilvl="0">
      <w:lvlJc w:val="left"/>
      <w:lvlText w:val="(%1)"/>
      <w:numFmt w:val="lowerLetter"/>
      <w:start w:val="2"/>
    </w:lvl>
    <w:lvl w:ilvl="1">
      <w:lvlJc w:val="left"/>
      <w:lvlText w:val="(%2)"/>
      <w:numFmt w:val="lowerLetter"/>
      <w:start w:val="9"/>
    </w:lvl>
  </w:abstractNum>
  <w:abstractNum w:abstractNumId="70">
    <w:nsid w:val="7DFF9D09"/>
    <w:multiLevelType w:val="hybridMultilevel"/>
    <w:lvl w:ilvl="0">
      <w:lvlJc w:val="left"/>
      <w:lvlText w:val="%1"/>
      <w:numFmt w:val="upperLetter"/>
      <w:start w:val="1"/>
    </w:lvl>
    <w:lvl w:ilvl="1">
      <w:lvlJc w:val="left"/>
      <w:lvlText w:val="(%2)"/>
      <w:numFmt w:val="lowerRoman"/>
      <w:start w:val="2"/>
    </w:lvl>
  </w:abstractNum>
  <w:abstractNum w:abstractNumId="71">
    <w:nsid w:val="754342"/>
    <w:multiLevelType w:val="hybridMultilevel"/>
    <w:lvl w:ilvl="0">
      <w:lvlJc w:val="left"/>
      <w:lvlText w:val="(%1)"/>
      <w:numFmt w:val="upperLetter"/>
      <w:start w:val="2"/>
    </w:lvl>
    <w:lvl w:ilvl="1">
      <w:lvlJc w:val="left"/>
      <w:lvlText w:val="(%2)"/>
      <w:numFmt w:val="lowerRoman"/>
      <w:start w:val="3"/>
    </w:lvl>
  </w:abstractNum>
  <w:abstractNum w:abstractNumId="72">
    <w:nsid w:val="69E7F3E5"/>
    <w:multiLevelType w:val="hybridMultilevel"/>
    <w:lvl w:ilvl="0">
      <w:lvlJc w:val="left"/>
      <w:lvlText w:val="(%1)"/>
      <w:numFmt w:val="lowerLetter"/>
      <w:start w:val="3"/>
    </w:lvl>
  </w:abstractNum>
  <w:abstractNum w:abstractNumId="73">
    <w:nsid w:val="2A6DE806"/>
    <w:multiLevelType w:val="hybridMultilevel"/>
    <w:lvl w:ilvl="0">
      <w:lvlJc w:val="left"/>
      <w:lvlText w:val="%1"/>
      <w:numFmt w:val="lowerLetter"/>
      <w:start w:val="1"/>
    </w:lvl>
    <w:lvl w:ilvl="1">
      <w:lvlJc w:val="left"/>
      <w:lvlText w:val="(%2)"/>
      <w:numFmt w:val="lowerLetter"/>
      <w:start w:val="1"/>
    </w:lvl>
  </w:abstractNum>
  <w:abstractNum w:abstractNumId="74">
    <w:nsid w:val="1816F8C4"/>
    <w:multiLevelType w:val="hybridMultilevel"/>
    <w:lvl w:ilvl="0">
      <w:lvlJc w:val="left"/>
      <w:lvlText w:val="(%1)"/>
      <w:numFmt w:val="lowerLetter"/>
      <w:start w:val="24"/>
    </w:lvl>
    <w:lvl w:ilvl="1">
      <w:lvlJc w:val="left"/>
      <w:lvlText w:val="%2"/>
      <w:numFmt w:val="lowerLetter"/>
      <w:start w:val="1"/>
    </w:lvl>
  </w:abstractNum>
  <w:abstractNum w:abstractNumId="75">
    <w:nsid w:val="37DF2233"/>
    <w:multiLevelType w:val="hybridMultilevel"/>
    <w:lvl w:ilvl="0">
      <w:lvlJc w:val="left"/>
      <w:lvlText w:val="(%1)"/>
      <w:numFmt w:val="lowerLetter"/>
      <w:start w:val="2"/>
    </w:lvl>
  </w:abstractNum>
  <w:abstractNum w:abstractNumId="76">
    <w:nsid w:val="7AB49DAF"/>
    <w:multiLevelType w:val="hybridMultilevel"/>
    <w:lvl w:ilvl="0">
      <w:lvlJc w:val="left"/>
      <w:lvlText w:val="%1"/>
      <w:numFmt w:val="lowerLetter"/>
      <w:start w:val="1"/>
    </w:lvl>
    <w:lvl w:ilvl="1">
      <w:lvlJc w:val="left"/>
      <w:lvlText w:val="(%2)"/>
      <w:numFmt w:val="lowerLetter"/>
      <w:start w:val="1"/>
    </w:lvl>
  </w:abstractNum>
  <w:abstractNum w:abstractNumId="77">
    <w:nsid w:val="759F82CD"/>
    <w:multiLevelType w:val="hybridMultilevel"/>
    <w:lvl w:ilvl="0">
      <w:lvlJc w:val="left"/>
      <w:lvlText w:val="(%1)"/>
      <w:numFmt w:val="lowerLetter"/>
      <w:start w:val="35"/>
    </w:lvl>
    <w:lvl w:ilvl="1">
      <w:lvlJc w:val="left"/>
      <w:lvlText w:val="(%2)"/>
      <w:numFmt w:val="lowerLetter"/>
      <w:start w:val="2"/>
    </w:lvl>
  </w:abstractNum>
  <w:abstractNum w:abstractNumId="78">
    <w:nsid w:val="61E74EA3"/>
    <w:multiLevelType w:val="hybridMultilevel"/>
    <w:lvl w:ilvl="0">
      <w:lvlJc w:val="left"/>
      <w:lvlText w:val="(%1)"/>
      <w:numFmt w:val="lowerLetter"/>
      <w:start w:val="3"/>
    </w:lvl>
  </w:abstractNum>
  <w:abstractNum w:abstractNumId="79">
    <w:nsid w:val="597B4D84"/>
    <w:multiLevelType w:val="hybridMultilevel"/>
    <w:lvl w:ilvl="0">
      <w:lvlJc w:val="left"/>
      <w:lvlText w:val="(%1)"/>
      <w:numFmt w:val="lowerLetter"/>
      <w:start w:val="4"/>
    </w:lvl>
  </w:abstractNum>
  <w:abstractNum w:abstractNumId="80">
    <w:nsid w:val="F819E7F"/>
    <w:multiLevelType w:val="hybridMultilevel"/>
    <w:lvl w:ilvl="0">
      <w:lvlJc w:val="left"/>
      <w:lvlText w:val="(%1)"/>
      <w:numFmt w:val="lowerLetter"/>
      <w:start w:val="7"/>
    </w:lvl>
  </w:abstractNum>
  <w:abstractNum w:abstractNumId="81">
    <w:nsid w:val="57C7D42D"/>
    <w:multiLevelType w:val="hybridMultilevel"/>
    <w:lvl w:ilvl="0">
      <w:lvlJc w:val="left"/>
      <w:lvlText w:val="(%1)"/>
      <w:numFmt w:val="lowerLetter"/>
      <w:start w:val="1"/>
    </w:lvl>
  </w:abstractNum>
  <w:abstractNum w:abstractNumId="82">
    <w:nsid w:val="312167AD"/>
    <w:multiLevelType w:val="hybridMultilevel"/>
    <w:lvl w:ilvl="0">
      <w:lvlJc w:val="left"/>
      <w:lvlText w:val="(%1)"/>
      <w:numFmt w:val="lowerLetter"/>
      <w:start w:val="4"/>
    </w:lvl>
  </w:abstractNum>
  <w:abstractNum w:abstractNumId="83">
    <w:nsid w:val="631B64D4"/>
    <w:multiLevelType w:val="hybridMultilevel"/>
    <w:lvl w:ilvl="0">
      <w:lvlJc w:val="left"/>
      <w:lvlText w:val="(%1)"/>
      <w:numFmt w:val="lowerLetter"/>
      <w:start w:val="1"/>
    </w:lvl>
  </w:abstractNum>
  <w:abstractNum w:abstractNumId="84">
    <w:nsid w:val="78B5E776"/>
    <w:multiLevelType w:val="hybridMultilevel"/>
    <w:lvl w:ilvl="0">
      <w:lvlJc w:val="left"/>
      <w:lvlText w:val="(%1)"/>
      <w:numFmt w:val="lowerLetter"/>
      <w:start w:val="2"/>
    </w:lvl>
  </w:abstractNum>
  <w:abstractNum w:abstractNumId="85">
    <w:nsid w:val="75486E47"/>
    <w:multiLevelType w:val="hybridMultilevel"/>
    <w:lvl w:ilvl="0">
      <w:lvlJc w:val="left"/>
      <w:lvlText w:val="(%1)"/>
      <w:numFmt w:val="lowerRoman"/>
      <w:start w:val="1"/>
    </w:lvl>
  </w:abstractNum>
  <w:abstractNum w:abstractNumId="86">
    <w:nsid w:val="6E534CDE"/>
    <w:multiLevelType w:val="hybridMultilevel"/>
    <w:lvl w:ilvl="0">
      <w:lvlJc w:val="left"/>
      <w:lvlText w:val="(%1)"/>
      <w:numFmt w:val="lowerRoman"/>
      <w:start w:val="3"/>
    </w:lvl>
  </w:abstractNum>
  <w:abstractNum w:abstractNumId="87">
    <w:nsid w:val="1A0DDE32"/>
    <w:multiLevelType w:val="hybridMultilevel"/>
    <w:lvl w:ilvl="0">
      <w:lvlJc w:val="left"/>
      <w:lvlText w:val="%1"/>
      <w:numFmt w:val="lowerLetter"/>
      <w:start w:val="1"/>
    </w:lvl>
    <w:lvl w:ilvl="1">
      <w:lvlJc w:val="left"/>
      <w:lvlText w:val="(%2)"/>
      <w:numFmt w:val="lowerRoman"/>
      <w:start w:val="4"/>
    </w:lvl>
  </w:abstractNum>
  <w:abstractNum w:abstractNumId="88">
    <w:nsid w:val="65968C1C"/>
    <w:multiLevelType w:val="hybridMultilevel"/>
    <w:lvl w:ilvl="0">
      <w:lvlJc w:val="left"/>
      <w:lvlText w:val="(%1)"/>
      <w:numFmt w:val="lowerLetter"/>
      <w:start w:val="2"/>
    </w:lvl>
    <w:lvl w:ilvl="1">
      <w:lvlJc w:val="left"/>
      <w:lvlText w:val="%2"/>
      <w:numFmt w:val="lowerRoman"/>
      <w:start w:val="1"/>
    </w:lvl>
  </w:abstractNum>
  <w:abstractNum w:abstractNumId="89">
    <w:nsid w:val="46263DEC"/>
    <w:multiLevelType w:val="hybridMultilevel"/>
    <w:lvl w:ilvl="0">
      <w:lvlJc w:val="left"/>
      <w:lvlText w:val="(%1)"/>
      <w:numFmt w:val="lowerRoman"/>
      <w:start w:val="1"/>
    </w:lvl>
  </w:abstractNum>
  <w:abstractNum w:abstractNumId="90">
    <w:nsid w:val="260D8C4A"/>
    <w:multiLevelType w:val="hybridMultilevel"/>
    <w:lvl w:ilvl="0">
      <w:lvlJc w:val="left"/>
      <w:lvlText w:val="(%1)"/>
      <w:numFmt w:val="lowerLetter"/>
      <w:start w:val="2"/>
    </w:lvl>
  </w:abstractNum>
  <w:abstractNum w:abstractNumId="91">
    <w:nsid w:val="73D4D3C4"/>
    <w:multiLevelType w:val="hybridMultilevel"/>
    <w:lvl w:ilvl="0">
      <w:lvlJc w:val="left"/>
      <w:lvlText w:val="(%1)"/>
      <w:numFmt w:val="lowerLetter"/>
      <w:start w:val="3"/>
    </w:lvl>
  </w:abstractNum>
  <w:abstractNum w:abstractNumId="92">
    <w:nsid w:val="746F2E30"/>
    <w:multiLevelType w:val="hybridMultilevel"/>
    <w:lvl w:ilvl="0">
      <w:lvlJc w:val="left"/>
      <w:lvlText w:val="(%1)"/>
      <w:numFmt w:val="lowerLetter"/>
      <w:start w:val="4"/>
    </w:lvl>
  </w:abstractNum>
  <w:abstractNum w:abstractNumId="93">
    <w:nsid w:val="6FDE8AF6"/>
    <w:multiLevelType w:val="hybridMultilevel"/>
    <w:lvl w:ilvl="0">
      <w:lvlJc w:val="left"/>
      <w:lvlText w:val="(%1)"/>
      <w:numFmt w:val="lowerLetter"/>
      <w:start w:val="6"/>
    </w:lvl>
  </w:abstractNum>
  <w:abstractNum w:abstractNumId="94">
    <w:nsid w:val="3FC32E20"/>
    <w:multiLevelType w:val="hybridMultilevel"/>
    <w:lvl w:ilvl="0">
      <w:lvlJc w:val="left"/>
      <w:lvlText w:val="(%1)"/>
      <w:numFmt w:val="lowerLetter"/>
      <w:start w:val="7"/>
    </w:lvl>
  </w:abstractNum>
  <w:abstractNum w:abstractNumId="95">
    <w:nsid w:val="49C0E823"/>
    <w:multiLevelType w:val="hybridMultilevel"/>
    <w:lvl w:ilvl="0">
      <w:lvlJc w:val="left"/>
      <w:lvlText w:val="(%1)"/>
      <w:numFmt w:val="lowerLetter"/>
      <w:start w:val="9"/>
    </w:lvl>
    <w:lvl w:ilvl="1">
      <w:lvlJc w:val="left"/>
      <w:lvlText w:val="(%2)"/>
      <w:numFmt w:val="lowerLetter"/>
      <w:start w:val="2"/>
    </w:lvl>
  </w:abstractNum>
  <w:abstractNum w:abstractNumId="96">
    <w:nsid w:val="14D53685"/>
    <w:multiLevelType w:val="hybridMultilevel"/>
    <w:lvl w:ilvl="0">
      <w:lvlJc w:val="left"/>
      <w:lvlText w:val="(%1)"/>
      <w:numFmt w:val="lowerLetter"/>
      <w:start w:val="3"/>
    </w:lvl>
  </w:abstractNum>
  <w:abstractNum w:abstractNumId="97">
    <w:nsid w:val="230F856C"/>
    <w:multiLevelType w:val="hybridMultilevel"/>
    <w:lvl w:ilvl="0">
      <w:lvlJc w:val="left"/>
      <w:lvlText w:val="(%1)"/>
      <w:numFmt w:val="lowerLetter"/>
      <w:start w:val="4"/>
    </w:lvl>
  </w:abstractNum>
  <w:abstractNum w:abstractNumId="98">
    <w:nsid w:val="6EAA85FB"/>
    <w:multiLevelType w:val="hybridMultilevel"/>
    <w:lvl w:ilvl="0">
      <w:lvlJc w:val="left"/>
      <w:lvlText w:val="(%1)"/>
      <w:numFmt w:val="lowerLetter"/>
      <w:start w:val="2"/>
    </w:lvl>
  </w:abstractNum>
  <w:abstractNum w:abstractNumId="99">
    <w:nsid w:val="3F06ECB2"/>
    <w:multiLevelType w:val="hybridMultilevel"/>
    <w:lvl w:ilvl="0">
      <w:lvlJc w:val="left"/>
      <w:lvlText w:val="(%1)"/>
      <w:numFmt w:val="upperLetter"/>
      <w:start w:val="1"/>
    </w:lvl>
  </w:abstractNum>
  <w:abstractNum w:abstractNumId="100">
    <w:nsid w:val="3B594807"/>
    <w:multiLevelType w:val="hybridMultilevel"/>
    <w:lvl w:ilvl="0">
      <w:lvlJc w:val="left"/>
      <w:lvlText w:val="(%1)"/>
      <w:numFmt w:val="upperLetter"/>
      <w:start w:val="2"/>
    </w:lvl>
  </w:abstractNum>
  <w:abstractNum w:abstractNumId="101">
    <w:nsid w:val="6CAA2304"/>
    <w:multiLevelType w:val="hybridMultilevel"/>
    <w:lvl w:ilvl="0">
      <w:lvlJc w:val="left"/>
      <w:lvlText w:val="%1"/>
      <w:numFmt w:val="decimal"/>
      <w:start w:val="1"/>
    </w:lvl>
    <w:lvl w:ilvl="1">
      <w:lvlJc w:val="left"/>
      <w:lvlText w:val="(%2)"/>
      <w:numFmt w:val="upperLetter"/>
      <w:start w:val="3"/>
    </w:lvl>
  </w:abstractNum>
  <w:abstractNum w:abstractNumId="102">
    <w:nsid w:val="3F7C2FF4"/>
    <w:multiLevelType w:val="hybridMultilevel"/>
    <w:lvl w:ilvl="0">
      <w:lvlJc w:val="left"/>
      <w:lvlText w:val="(%1)"/>
      <w:numFmt w:val="decimal"/>
      <w:start w:val="3"/>
    </w:lvl>
    <w:lvl w:ilvl="1">
      <w:lvlJc w:val="left"/>
      <w:lvlText w:val="(%2)"/>
      <w:numFmt w:val="upperLetter"/>
      <w:start w:val="7"/>
    </w:lvl>
  </w:abstractNum>
  <w:abstractNum w:abstractNumId="103">
    <w:nsid w:val="25413BEC"/>
    <w:multiLevelType w:val="hybridMultilevel"/>
    <w:lvl w:ilvl="0">
      <w:lvlJc w:val="left"/>
      <w:lvlText w:val="(%1)"/>
      <w:numFmt w:val="lowerLetter"/>
      <w:start w:val="2"/>
    </w:lvl>
    <w:lvl w:ilvl="1">
      <w:lvlJc w:val="left"/>
      <w:lvlText w:val="(%2)"/>
      <w:numFmt w:val="lowerRoman"/>
      <w:start w:val="1"/>
    </w:lvl>
  </w:abstractNum>
  <w:abstractNum w:abstractNumId="104">
    <w:nsid w:val="17180B0B"/>
    <w:multiLevelType w:val="hybridMultilevel"/>
    <w:lvl w:ilvl="0">
      <w:lvlJc w:val="left"/>
      <w:lvlText w:val="(%1)"/>
      <w:numFmt w:val="lowerRoman"/>
      <w:start w:val="4"/>
    </w:lvl>
  </w:abstractNum>
  <w:abstractNum w:abstractNumId="105">
    <w:nsid w:val="579328B9"/>
    <w:multiLevelType w:val="hybridMultilevel"/>
    <w:lvl w:ilvl="0">
      <w:lvlJc w:val="left"/>
      <w:lvlText w:val="%1"/>
      <w:numFmt w:val="lowerLetter"/>
      <w:start w:val="1"/>
    </w:lvl>
    <w:lvl w:ilvl="1">
      <w:lvlJc w:val="left"/>
      <w:lvlText w:val="(%2)"/>
      <w:numFmt w:val="lowerRoman"/>
      <w:start w:val="7"/>
    </w:lvl>
  </w:abstractNum>
  <w:abstractNum w:abstractNumId="106">
    <w:nsid w:val="5D205E20"/>
    <w:multiLevelType w:val="hybridMultilevel"/>
    <w:lvl w:ilvl="0">
      <w:lvlJc w:val="left"/>
      <w:lvlText w:val="(%1)"/>
      <w:numFmt w:val="lowerLetter"/>
      <w:start w:val="3"/>
    </w:lvl>
    <w:lvl w:ilvl="1">
      <w:lvlJc w:val="left"/>
      <w:lvlText w:val="(%2)"/>
      <w:numFmt w:val="lowerRoman"/>
      <w:start w:val="1"/>
    </w:lvl>
  </w:abstractNum>
  <w:abstractNum w:abstractNumId="107">
    <w:nsid w:val="11CCA8BA"/>
    <w:multiLevelType w:val="hybridMultilevel"/>
    <w:lvl w:ilvl="0">
      <w:lvlJc w:val="left"/>
      <w:lvlText w:val="(%1)"/>
      <w:numFmt w:val="lowerLetter"/>
      <w:start w:val="6"/>
    </w:lvl>
  </w:abstractNum>
  <w:abstractNum w:abstractNumId="108">
    <w:nsid w:val="4D32AB86"/>
    <w:multiLevelType w:val="hybridMultilevel"/>
    <w:lvl w:ilvl="0">
      <w:lvlJc w:val="left"/>
      <w:lvlText w:val="(%1)"/>
      <w:numFmt w:val="lowerLetter"/>
      <w:start w:val="6"/>
    </w:lvl>
  </w:abstractNum>
  <w:abstractNum w:abstractNumId="109">
    <w:nsid w:val="3F07ACC3"/>
    <w:multiLevelType w:val="hybridMultilevel"/>
    <w:lvl w:ilvl="0">
      <w:lvlJc w:val="left"/>
      <w:lvlText w:val="(%1)"/>
      <w:numFmt w:val="lowerLetter"/>
      <w:start w:val="2"/>
    </w:lvl>
  </w:abstractNum>
  <w:abstractNum w:abstractNumId="110">
    <w:nsid w:val="6B47F63E"/>
    <w:multiLevelType w:val="hybridMultilevel"/>
    <w:lvl w:ilvl="0">
      <w:lvlJc w:val="left"/>
      <w:lvlText w:val="(%1)"/>
      <w:numFmt w:val="lowerLetter"/>
      <w:start w:val="1"/>
    </w:lvl>
    <w:lvl w:ilvl="1">
      <w:lvlJc w:val="left"/>
      <w:lvlText w:val="(%2)"/>
      <w:numFmt w:val="lowerRoman"/>
      <w:start w:val="1"/>
    </w:lvl>
  </w:abstractNum>
  <w:abstractNum w:abstractNumId="111">
    <w:nsid w:val="5CB44A05"/>
    <w:multiLevelType w:val="hybridMultilevel"/>
    <w:lvl w:ilvl="0">
      <w:lvlJc w:val="left"/>
      <w:lvlText w:val="(%1)"/>
      <w:numFmt w:val="lowerRoman"/>
      <w:start w:val="3"/>
    </w:lvl>
  </w:abstractNum>
  <w:abstractNum w:abstractNumId="112">
    <w:nsid w:val="16CF80F1"/>
    <w:multiLevelType w:val="hybridMultilevel"/>
    <w:lvl w:ilvl="0">
      <w:lvlJc w:val="left"/>
      <w:lvlText w:val="(%1)"/>
      <w:numFmt w:val="lowerLetter"/>
      <w:start w:val="1"/>
    </w:lvl>
  </w:abstractNum>
  <w:abstractNum w:abstractNumId="113">
    <w:nsid w:val="1C695DEC"/>
    <w:multiLevelType w:val="hybridMultilevel"/>
    <w:lvl w:ilvl="0">
      <w:lvlJc w:val="left"/>
      <w:lvlText w:val="(%1)"/>
      <w:numFmt w:val="lowerLetter"/>
      <w:start w:val="1"/>
    </w:lvl>
  </w:abstractNum>
  <w:abstractNum w:abstractNumId="114">
    <w:nsid w:val="3FCFAED9"/>
    <w:multiLevelType w:val="hybridMultilevel"/>
    <w:lvl w:ilvl="0">
      <w:lvlJc w:val="left"/>
      <w:lvlText w:val="(%1)"/>
      <w:numFmt w:val="lowerLetter"/>
      <w:start w:val="1"/>
    </w:lvl>
  </w:abstractNum>
  <w:abstractNum w:abstractNumId="115">
    <w:nsid w:val="F856867"/>
    <w:multiLevelType w:val="hybridMultilevel"/>
    <w:lvl w:ilvl="0">
      <w:lvlJc w:val="left"/>
      <w:lvlText w:val="(%1)"/>
      <w:numFmt w:val="lowerRoman"/>
      <w:start w:val="1"/>
    </w:lvl>
  </w:abstractNum>
  <w:abstractNum w:abstractNumId="116">
    <w:nsid w:val="11B1CC33"/>
    <w:multiLevelType w:val="hybridMultilevel"/>
    <w:lvl w:ilvl="0">
      <w:lvlJc w:val="left"/>
      <w:lvlText w:val="(%1)"/>
      <w:numFmt w:val="lowerLetter"/>
      <w:start w:val="5"/>
    </w:lvl>
  </w:abstractNum>
  <w:abstractNum w:abstractNumId="117">
    <w:nsid w:val="2E22FBB7"/>
    <w:multiLevelType w:val="hybridMultilevel"/>
    <w:lvl w:ilvl="0">
      <w:lvlJc w:val="left"/>
      <w:lvlText w:val="(%1)"/>
      <w:numFmt w:val="lowerLetter"/>
      <w:start w:val="2"/>
    </w:lvl>
  </w:abstractNum>
  <w:abstractNum w:abstractNumId="118">
    <w:nsid w:val="29934699"/>
    <w:multiLevelType w:val="hybridMultilevel"/>
    <w:lvl w:ilvl="0">
      <w:lvlJc w:val="left"/>
      <w:lvlText w:val="(%1)"/>
      <w:numFmt w:val="lowerLetter"/>
      <w:start w:val="1"/>
    </w:lvl>
  </w:abstractNum>
  <w:abstractNum w:abstractNumId="119">
    <w:nsid w:val="77485850"/>
    <w:multiLevelType w:val="hybridMultilevel"/>
    <w:lvl w:ilvl="0">
      <w:lvlJc w:val="left"/>
      <w:lvlText w:val="(%1)"/>
      <w:numFmt w:val="lowerLetter"/>
      <w:start w:val="7"/>
    </w:lvl>
  </w:abstractNum>
  <w:abstractNum w:abstractNumId="120">
    <w:nsid w:val="744939A3"/>
    <w:multiLevelType w:val="hybridMultilevel"/>
    <w:lvl w:ilvl="0">
      <w:lvlJc w:val="left"/>
      <w:lvlText w:val="(%1)"/>
      <w:numFmt w:val="lowerLetter"/>
      <w:start w:val="1"/>
    </w:lvl>
  </w:abstractNum>
  <w:abstractNum w:abstractNumId="121">
    <w:nsid w:val="4FA0D2E3"/>
    <w:multiLevelType w:val="hybridMultilevel"/>
    <w:lvl w:ilvl="0">
      <w:lvlJc w:val="left"/>
      <w:lvlText w:val="(%1)"/>
      <w:numFmt w:val="lowerLetter"/>
      <w:start w:val="3"/>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Roman"/>
      <w:start w:val="10"/>
    </w:lvl>
  </w:abstractNum>
  <w:abstractNum w:abstractNumId="124">
    <w:nsid w:val="3F7F5DD9"/>
    <w:multiLevelType w:val="hybridMultilevel"/>
    <w:lvl w:ilvl="0">
      <w:lvlJc w:val="left"/>
      <w:lvlText w:val="(%1)"/>
      <w:numFmt w:val="lowerRoman"/>
      <w:start w:val="4"/>
    </w:lvl>
  </w:abstractNum>
  <w:abstractNum w:abstractNumId="125">
    <w:nsid w:val="2AE05A34"/>
    <w:multiLevelType w:val="hybridMultilevel"/>
    <w:lvl w:ilvl="0">
      <w:lvlJc w:val="left"/>
      <w:lvlText w:val="(%1)"/>
      <w:numFmt w:val="lowerLetter"/>
      <w:start w:val="2"/>
    </w:lvl>
  </w:abstractNum>
  <w:abstractNum w:abstractNumId="126">
    <w:nsid w:val="32794FF7"/>
    <w:multiLevelType w:val="hybridMultilevel"/>
    <w:lvl w:ilvl="0">
      <w:lvlJc w:val="left"/>
      <w:lvlText w:val="(%1)"/>
      <w:numFmt w:val="lowerLetter"/>
      <w:start w:val="4"/>
    </w:lvl>
  </w:abstractNum>
  <w:abstractNum w:abstractNumId="127">
    <w:nsid w:val="5454945E"/>
    <w:multiLevelType w:val="hybridMultilevel"/>
    <w:lvl w:ilvl="0">
      <w:lvlJc w:val="left"/>
      <w:lvlText w:val="(%1)"/>
      <w:numFmt w:val="lowerLetter"/>
      <w:start w:val="5"/>
    </w:lvl>
  </w:abstractNum>
  <w:abstractNum w:abstractNumId="128">
    <w:nsid w:val="4DEFDFA0"/>
    <w:multiLevelType w:val="hybridMultilevel"/>
    <w:lvl w:ilvl="0">
      <w:lvlJc w:val="left"/>
      <w:lvlText w:val="(%1)"/>
      <w:numFmt w:val="lowerLetter"/>
      <w:start w:val="2"/>
    </w:lvl>
  </w:abstractNum>
  <w:abstractNum w:abstractNumId="129">
    <w:nsid w:val="2123D5F2"/>
    <w:multiLevelType w:val="hybridMultilevel"/>
    <w:lvl w:ilvl="0">
      <w:lvlJc w:val="left"/>
      <w:lvlText w:val="%1"/>
      <w:numFmt w:val="lowerLetter"/>
      <w:start w:val="1"/>
    </w:lvl>
    <w:lvl w:ilvl="1">
      <w:lvlJc w:val="left"/>
      <w:lvlText w:val="(%2)"/>
      <w:numFmt w:val="lowerRoman"/>
      <w:start w:val="1"/>
    </w:lvl>
  </w:abstractNum>
  <w:abstractNum w:abstractNumId="130">
    <w:nsid w:val="135B8110"/>
    <w:multiLevelType w:val="hybridMultilevel"/>
    <w:lvl w:ilvl="0">
      <w:lvlJc w:val="left"/>
      <w:lvlText w:val="(%1)"/>
      <w:numFmt w:val="lowerLetter"/>
      <w:start w:val="2"/>
    </w:lvl>
    <w:lvl w:ilvl="1">
      <w:lvlJc w:val="left"/>
      <w:lvlText w:val="%2"/>
      <w:numFmt w:val="lowerRoman"/>
      <w:start w:val="1"/>
    </w:lvl>
  </w:abstractNum>
  <w:abstractNum w:abstractNumId="131">
    <w:nsid w:val="94927A8"/>
    <w:multiLevelType w:val="hybridMultilevel"/>
    <w:lvl w:ilvl="0">
      <w:lvlJc w:val="left"/>
      <w:lvlText w:val="(%1)"/>
      <w:numFmt w:val="lowerLetter"/>
      <w:start w:val="2"/>
    </w:lvl>
  </w:abstractNum>
  <w:abstractNum w:abstractNumId="132">
    <w:nsid w:val="DCDF8F6"/>
    <w:multiLevelType w:val="hybridMultilevel"/>
    <w:lvl w:ilvl="0">
      <w:lvlJc w:val="left"/>
      <w:lvlText w:val="(%1)"/>
      <w:numFmt w:val="lowerLetter"/>
      <w:start w:val="5"/>
    </w:lvl>
    <w:lvl w:ilvl="1">
      <w:lvlJc w:val="left"/>
      <w:lvlText w:val="(%2)"/>
      <w:numFmt w:val="lowerRoman"/>
      <w:start w:val="1"/>
    </w:lvl>
  </w:abstractNum>
  <w:abstractNum w:abstractNumId="133">
    <w:nsid w:val="52D7B105"/>
    <w:multiLevelType w:val="hybridMultilevel"/>
    <w:lvl w:ilvl="0">
      <w:lvlJc w:val="left"/>
      <w:lvlText w:val="(%1)"/>
      <w:numFmt w:val="lowerLetter"/>
      <w:start w:val="2"/>
    </w:lvl>
  </w:abstractNum>
  <w:abstractNum w:abstractNumId="134">
    <w:nsid w:val="2E8A6394"/>
    <w:multiLevelType w:val="hybridMultilevel"/>
    <w:lvl w:ilvl="0">
      <w:lvlJc w:val="left"/>
      <w:lvlText w:val="(%1)"/>
      <w:numFmt w:val="lowerRoman"/>
      <w:start w:val="1"/>
    </w:lvl>
  </w:abstractNum>
  <w:abstractNum w:abstractNumId="135">
    <w:nsid w:val="24E60401"/>
    <w:multiLevelType w:val="hybridMultilevel"/>
    <w:lvl w:ilvl="0">
      <w:lvlJc w:val="left"/>
      <w:lvlText w:val="(%1)"/>
      <w:numFmt w:val="lowerRoman"/>
      <w:start w:val="1"/>
    </w:lvl>
  </w:abstractNum>
  <w:abstractNum w:abstractNumId="136">
    <w:nsid w:val="2A6AD9BE"/>
    <w:multiLevelType w:val="hybridMultilevel"/>
    <w:lvl w:ilvl="0">
      <w:lvlJc w:val="left"/>
      <w:lvlText w:val="(%1)"/>
      <w:numFmt w:val="lowerLetter"/>
      <w:start w:val="2"/>
    </w:lvl>
  </w:abstractNum>
  <w:abstractNum w:abstractNumId="137">
    <w:nsid w:val="BAAC1B4"/>
    <w:multiLevelType w:val="hybridMultilevel"/>
    <w:lvl w:ilvl="0">
      <w:lvlJc w:val="left"/>
      <w:lvlText w:val="(%1)"/>
      <w:numFmt w:val="lowerLetter"/>
      <w:start w:val="3"/>
    </w:lvl>
  </w:abstractNum>
  <w:abstractNum w:abstractNumId="138">
    <w:nsid w:val="36B2ACBC"/>
    <w:multiLevelType w:val="hybridMultilevel"/>
    <w:lvl w:ilvl="0">
      <w:lvlJc w:val="left"/>
      <w:lvlText w:val="(%1)"/>
      <w:numFmt w:val="lowerLetter"/>
      <w:start w:val="2"/>
    </w:lvl>
  </w:abstractNum>
  <w:abstractNum w:abstractNumId="139">
    <w:nsid w:val="779D854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40">
    <w:nsid w:val="4AB26E78"/>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41">
    <w:nsid w:val="21FAA2FA"/>
    <w:multiLevelType w:val="hybridMultilevel"/>
    <w:lvl w:ilvl="0">
      <w:lvlJc w:val="left"/>
      <w:lvlText w:val="(%1)"/>
      <w:numFmt w:val="upperLetter"/>
      <w:start w:val="4"/>
    </w:lvl>
  </w:abstractNum>
  <w:abstractNum w:abstractNumId="142">
    <w:nsid w:val="5451CF49"/>
    <w:multiLevelType w:val="hybridMultilevel"/>
    <w:lvl w:ilvl="0">
      <w:lvlJc w:val="left"/>
      <w:lvlText w:val="(%1)"/>
      <w:numFmt w:val="lowerRoman"/>
      <w:start w:val="3"/>
    </w:lvl>
  </w:abstractNum>
  <w:abstractNum w:abstractNumId="143">
    <w:nsid w:val="6181EF69"/>
    <w:multiLevelType w:val="hybridMultilevel"/>
    <w:lvl w:ilvl="0">
      <w:lvlJc w:val="left"/>
      <w:lvlText w:val="(%1)"/>
      <w:numFmt w:val="lowerLetter"/>
      <w:start w:val="7"/>
    </w:lvl>
  </w:abstractNum>
  <w:abstractNum w:abstractNumId="144">
    <w:nsid w:val="3E6400E6"/>
    <w:multiLevelType w:val="hybridMultilevel"/>
    <w:lvl w:ilvl="0">
      <w:lvlJc w:val="left"/>
      <w:lvlText w:val="(%1)"/>
      <w:numFmt w:val="lowerLetter"/>
      <w:start w:val="8"/>
    </w:lvl>
  </w:abstractNum>
  <w:abstractNum w:abstractNumId="145">
    <w:nsid w:val="14217E23"/>
    <w:multiLevelType w:val="hybridMultilevel"/>
    <w:lvl w:ilvl="0">
      <w:lvlJc w:val="left"/>
      <w:lvlText w:val="%1"/>
      <w:numFmt w:val="lowerLetter"/>
      <w:start w:val="1"/>
    </w:lvl>
    <w:lvl w:ilvl="1">
      <w:lvlJc w:val="left"/>
      <w:lvlText w:val="(%2)"/>
      <w:numFmt w:val="lowerLetter"/>
      <w:start w:val="2"/>
    </w:lvl>
  </w:abstractNum>
  <w:abstractNum w:abstractNumId="146">
    <w:nsid w:val="710757D0"/>
    <w:multiLevelType w:val="hybridMultilevel"/>
    <w:lvl w:ilvl="0">
      <w:lvlJc w:val="left"/>
      <w:lvlText w:val="(%1)"/>
      <w:numFmt w:val="lowerLetter"/>
      <w:start w:val="1"/>
    </w:lvl>
    <w:lvl w:ilvl="1">
      <w:lvlJc w:val="left"/>
      <w:lvlText w:val="%2"/>
      <w:numFmt w:val="lowerLetter"/>
      <w:start w:val="1"/>
    </w:lvl>
  </w:abstractNum>
  <w:abstractNum w:abstractNumId="147">
    <w:nsid w:val="5015CD1A"/>
    <w:multiLevelType w:val="hybridMultilevel"/>
    <w:lvl w:ilvl="0">
      <w:lvlJc w:val="left"/>
      <w:lvlText w:val="(%1)"/>
      <w:numFmt w:val="lowerRoman"/>
      <w:start w:val="1"/>
    </w:lvl>
  </w:abstractNum>
  <w:abstractNum w:abstractNumId="148">
    <w:nsid w:val="424479DA"/>
    <w:multiLevelType w:val="hybridMultilevel"/>
    <w:lvl w:ilvl="0">
      <w:lvlJc w:val="left"/>
      <w:lvlText w:val="(%1)"/>
      <w:numFmt w:val="lowerLetter"/>
      <w:start w:val="2"/>
    </w:lvl>
  </w:abstractNum>
  <w:abstractNum w:abstractNumId="149">
    <w:nsid w:val="1A9A9E69"/>
    <w:multiLevelType w:val="hybridMultilevel"/>
    <w:lvl w:ilvl="0">
      <w:lvlJc w:val="left"/>
      <w:lvlText w:val="(%1)"/>
      <w:numFmt w:val="lowerLetter"/>
      <w:start w:val="3"/>
    </w:lvl>
  </w:abstractNum>
  <w:abstractNum w:abstractNumId="150">
    <w:nsid w:val="475E256A"/>
    <w:multiLevelType w:val="hybridMultilevel"/>
    <w:lvl w:ilvl="0">
      <w:lvlJc w:val="left"/>
      <w:lvlText w:val="(%1)"/>
      <w:numFmt w:val="lowerRoman"/>
      <w:start w:val="2"/>
    </w:lvl>
  </w:abstractNum>
  <w:abstractNum w:abstractNumId="151">
    <w:nsid w:val="368DB37E"/>
    <w:multiLevelType w:val="hybridMultilevel"/>
    <w:lvl w:ilvl="0">
      <w:lvlJc w:val="left"/>
      <w:lvlText w:val="(%1)"/>
      <w:numFmt w:val="lowerLetter"/>
      <w:start w:val="2"/>
    </w:lvl>
  </w:abstractNum>
  <w:abstractNum w:abstractNumId="152">
    <w:nsid w:val="6A3B714C"/>
    <w:multiLevelType w:val="hybridMultilevel"/>
    <w:lvl w:ilvl="0">
      <w:lvlJc w:val="left"/>
      <w:lvlText w:val="(%1)"/>
      <w:numFmt w:val="lowerLetter"/>
      <w:start w:val="1"/>
    </w:lvl>
    <w:lvl w:ilvl="1">
      <w:lvlJc w:val="left"/>
      <w:lvlText w:val="(%2)"/>
      <w:numFmt w:val="lowerRoman"/>
      <w:start w:val="1"/>
    </w:lvl>
  </w:abstractNum>
  <w:abstractNum w:abstractNumId="153">
    <w:nsid w:val="327B517E"/>
    <w:multiLevelType w:val="hybridMultilevel"/>
    <w:lvl w:ilvl="0">
      <w:lvlJc w:val="left"/>
      <w:lvlText w:val="(%1)"/>
      <w:numFmt w:val="lowerLetter"/>
      <w:start w:val="4"/>
    </w:lvl>
  </w:abstractNum>
  <w:abstractNum w:abstractNumId="154">
    <w:nsid w:val="1F461B51"/>
    <w:multiLevelType w:val="hybridMultilevel"/>
    <w:lvl w:ilvl="0">
      <w:lvlJc w:val="left"/>
      <w:lvlText w:val="(%1)"/>
      <w:numFmt w:val="lowerLetter"/>
      <w:start w:val="5"/>
    </w:lvl>
  </w:abstractNum>
  <w:abstractNum w:abstractNumId="155">
    <w:nsid w:val="29BACF25"/>
    <w:multiLevelType w:val="hybridMultilevel"/>
    <w:lvl w:ilvl="0">
      <w:lvlJc w:val="left"/>
      <w:lvlText w:val="(%1)"/>
      <w:numFmt w:val="lowerLetter"/>
      <w:start w:val="1"/>
    </w:lvl>
  </w:abstractNum>
  <w:abstractNum w:abstractNumId="156">
    <w:nsid w:val="5D5BABB3"/>
    <w:multiLevelType w:val="hybridMultilevel"/>
    <w:lvl w:ilvl="0">
      <w:lvlJc w:val="left"/>
      <w:lvlText w:val="(%1)"/>
      <w:numFmt w:val="lowerLetter"/>
      <w:start w:val="1"/>
    </w:lvl>
  </w:abstractNum>
  <w:abstractNum w:abstractNumId="157">
    <w:nsid w:val="51BF6B48"/>
    <w:multiLevelType w:val="hybridMultilevel"/>
    <w:lvl w:ilvl="0">
      <w:lvlJc w:val="left"/>
      <w:lvlText w:val="%1"/>
      <w:numFmt w:val="lowerLetter"/>
      <w:start w:val="1"/>
    </w:lvl>
    <w:lvl w:ilvl="1">
      <w:lvlJc w:val="left"/>
      <w:lvlText w:val="(%2)"/>
      <w:numFmt w:val="lowerLetter"/>
      <w:start w:val="6"/>
    </w:lvl>
  </w:abstractNum>
  <w:abstractNum w:abstractNumId="158">
    <w:nsid w:val="7E0F6384"/>
    <w:multiLevelType w:val="hybridMultilevel"/>
    <w:lvl w:ilvl="0">
      <w:lvlJc w:val="left"/>
      <w:lvlText w:val="(%1)"/>
      <w:numFmt w:val="lowerLetter"/>
      <w:start w:val="9"/>
    </w:lvl>
    <w:lvl w:ilvl="1">
      <w:lvlJc w:val="left"/>
      <w:lvlText w:val="(%2)"/>
      <w:numFmt w:val="lowerLetter"/>
      <w:start w:val="7"/>
    </w:lvl>
  </w:abstractNum>
  <w:abstractNum w:abstractNumId="159">
    <w:nsid w:val="2B4B8B53"/>
    <w:multiLevelType w:val="hybridMultilevel"/>
    <w:lvl w:ilvl="0">
      <w:lvlJc w:val="left"/>
      <w:lvlText w:val="(%1)"/>
      <w:numFmt w:val="lowerLetter"/>
      <w:start w:val="11"/>
    </w:lvl>
  </w:abstractNum>
  <w:abstractNum w:abstractNumId="160">
    <w:nsid w:val="72E3413A"/>
    <w:multiLevelType w:val="hybridMultilevel"/>
    <w:lvl w:ilvl="0">
      <w:lvlJc w:val="left"/>
      <w:lvlText w:val="(%1)"/>
      <w:numFmt w:val="lowerLetter"/>
      <w:start w:val="61"/>
    </w:lvl>
    <w:lvl w:ilvl="1">
      <w:lvlJc w:val="left"/>
      <w:lvlText w:val="(%2)"/>
      <w:numFmt w:val="lowerLetter"/>
      <w:start w:val="14"/>
    </w:lvl>
  </w:abstractNum>
  <w:abstractNum w:abstractNumId="161">
    <w:nsid w:val="116AE494"/>
    <w:multiLevelType w:val="hybridMultilevel"/>
    <w:lvl w:ilvl="0">
      <w:lvlJc w:val="left"/>
      <w:lvlText w:val="(%1)"/>
      <w:numFmt w:val="lowerLetter"/>
      <w:start w:val="15"/>
    </w:lvl>
  </w:abstractNum>
  <w:abstractNum w:abstractNumId="162">
    <w:nsid w:val="3494B2FB"/>
    <w:multiLevelType w:val="hybridMultilevel"/>
    <w:lvl w:ilvl="0">
      <w:lvlJc w:val="left"/>
      <w:lvlText w:val="(%1)"/>
      <w:numFmt w:val="lowerLetter"/>
      <w:start w:val="1"/>
    </w:lvl>
  </w:abstractNum>
  <w:abstractNum w:abstractNumId="163">
    <w:nsid w:val="B13A31"/>
    <w:multiLevelType w:val="hybridMultilevel"/>
    <w:lvl w:ilvl="0">
      <w:lvlJc w:val="left"/>
      <w:lvlText w:val="(%1)"/>
      <w:numFmt w:val="lowerLetter"/>
      <w:start w:val="6"/>
    </w:lvl>
    <w:lvl w:ilvl="1">
      <w:lvlJc w:val="left"/>
      <w:lvlText w:val="(%2)"/>
      <w:numFmt w:val="lowerRoman"/>
      <w:start w:val="1"/>
    </w:lvl>
  </w:abstractNum>
  <w:abstractNum w:abstractNumId="164">
    <w:nsid w:val="64429599"/>
    <w:multiLevelType w:val="hybridMultilevel"/>
    <w:lvl w:ilvl="0">
      <w:lvlJc w:val="left"/>
      <w:lvlText w:val="%1"/>
      <w:numFmt w:val="lowerRoman"/>
      <w:start w:val="1"/>
    </w:lvl>
    <w:lvl w:ilvl="1">
      <w:lvlJc w:val="left"/>
      <w:lvlText w:val="(%2)"/>
      <w:numFmt w:val="lowerRoman"/>
      <w:start w:val="4"/>
    </w:lvl>
  </w:abstractNum>
  <w:abstractNum w:abstractNumId="165">
    <w:nsid w:val="631F1690"/>
    <w:multiLevelType w:val="hybridMultilevel"/>
    <w:lvl w:ilvl="0">
      <w:lvlJc w:val="left"/>
      <w:lvlText w:val="(%1)"/>
      <w:numFmt w:val="lowerRoman"/>
      <w:start w:val="1"/>
    </w:lvl>
    <w:lvl w:ilvl="1">
      <w:lvlJc w:val="left"/>
      <w:lvlText w:val="(%2)"/>
      <w:numFmt w:val="lowerRoman"/>
      <w:start w:val="1"/>
    </w:lvl>
  </w:abstractNum>
  <w:abstractNum w:abstractNumId="166">
    <w:nsid w:val="25973E32"/>
    <w:multiLevelType w:val="hybridMultilevel"/>
    <w:lvl w:ilvl="0">
      <w:lvlJc w:val="left"/>
      <w:lvlText w:val="%1"/>
      <w:numFmt w:val="lowerLetter"/>
      <w:start w:val="1"/>
    </w:lvl>
    <w:lvl w:ilvl="1">
      <w:lvlJc w:val="left"/>
      <w:lvlText w:val="(%2)"/>
      <w:numFmt w:val="lowerRoman"/>
      <w:start w:val="4"/>
    </w:lvl>
  </w:abstractNum>
  <w:abstractNum w:abstractNumId="167">
    <w:nsid w:val="EAD6F57"/>
    <w:multiLevelType w:val="hybridMultilevel"/>
    <w:lvl w:ilvl="0">
      <w:lvlJc w:val="left"/>
      <w:lvlText w:val="(%1)"/>
      <w:numFmt w:val="lowerLetter"/>
      <w:start w:val="10"/>
    </w:lvl>
    <w:lvl w:ilvl="1">
      <w:lvlJc w:val="left"/>
      <w:lvlText w:val="%2"/>
      <w:numFmt w:val="lowerRoman"/>
      <w:start w:val="1"/>
    </w:lvl>
  </w:abstractNum>
  <w:abstractNum w:abstractNumId="168">
    <w:nsid w:val="6EC9D844"/>
    <w:multiLevelType w:val="hybridMultilevel"/>
    <w:lvl w:ilvl="0">
      <w:lvlJc w:val="left"/>
      <w:lvlText w:val="(%1)"/>
      <w:numFmt w:val="lowerLetter"/>
      <w:start w:val="23"/>
    </w:lvl>
  </w:abstractNum>
  <w:abstractNum w:abstractNumId="169">
    <w:nsid w:val="5C49EAEE"/>
    <w:multiLevelType w:val="hybridMultilevel"/>
    <w:lvl w:ilvl="0">
      <w:lvlJc w:val="left"/>
      <w:lvlText w:val="(%1)"/>
      <w:numFmt w:val="lowerLetter"/>
      <w:start w:val="1"/>
    </w:lvl>
    <w:lvl w:ilvl="1">
      <w:lvlJc w:val="left"/>
      <w:lvlText w:val="(%2)"/>
      <w:numFmt w:val="lowerRoman"/>
      <w:start w:val="1"/>
    </w:lvl>
  </w:abstractNum>
  <w:abstractNum w:abstractNumId="170">
    <w:nsid w:val="64AF49B"/>
    <w:multiLevelType w:val="hybridMultilevel"/>
    <w:lvl w:ilvl="0">
      <w:lvlJc w:val="left"/>
      <w:lvlText w:val="(%1)"/>
      <w:numFmt w:val="lowerRoman"/>
      <w:start w:val="4"/>
    </w:lvl>
  </w:abstractNum>
  <w:abstractNum w:abstractNumId="171">
    <w:nsid w:val="397C46BC"/>
    <w:multiLevelType w:val="hybridMultilevel"/>
    <w:lvl w:ilvl="0">
      <w:lvlJc w:val="left"/>
      <w:lvlText w:val="%1"/>
      <w:numFmt w:val="lowerLetter"/>
      <w:start w:val="1"/>
    </w:lvl>
    <w:lvl w:ilvl="1">
      <w:lvlJc w:val="left"/>
      <w:lvlText w:val="(%2)"/>
      <w:numFmt w:val="lowerRoman"/>
      <w:start w:val="8"/>
    </w:lvl>
  </w:abstractNum>
  <w:abstractNum w:abstractNumId="172">
    <w:nsid w:val="7E448DE9"/>
    <w:multiLevelType w:val="hybridMultilevel"/>
    <w:lvl w:ilvl="0">
      <w:lvlJc w:val="left"/>
      <w:lvlText w:val="(%1)"/>
      <w:numFmt w:val="lowerLetter"/>
      <w:start w:val="2"/>
    </w:lvl>
    <w:lvl w:ilvl="1">
      <w:lvlJc w:val="left"/>
      <w:lvlText w:val="(%2)"/>
      <w:numFmt w:val="lowerRoman"/>
      <w:start w:val="1"/>
    </w:lvl>
  </w:abstractNum>
  <w:abstractNum w:abstractNumId="173">
    <w:nsid w:val="5A9CC3E5"/>
    <w:multiLevelType w:val="hybridMultilevel"/>
    <w:lvl w:ilvl="0">
      <w:lvlJc w:val="left"/>
      <w:lvlText w:val="(%1)"/>
      <w:numFmt w:val="lowerRoman"/>
      <w:start w:val="3"/>
    </w:lvl>
  </w:abstractNum>
  <w:abstractNum w:abstractNumId="174">
    <w:nsid w:val="1AFE3625"/>
    <w:multiLevelType w:val="hybridMultilevel"/>
    <w:lvl w:ilvl="0">
      <w:lvlJc w:val="left"/>
      <w:lvlText w:val="(%1)"/>
      <w:numFmt w:val="lowerLetter"/>
      <w:start w:val="3"/>
    </w:lvl>
  </w:abstractNum>
  <w:abstractNum w:abstractNumId="175">
    <w:nsid w:val="3CA88ECF"/>
    <w:multiLevelType w:val="hybridMultilevel"/>
    <w:lvl w:ilvl="0">
      <w:lvlJc w:val="left"/>
      <w:lvlText w:val="(%1)"/>
      <w:numFmt w:val="lowerLetter"/>
      <w:start w:val="1"/>
    </w:lvl>
  </w:abstractNum>
  <w:abstractNum w:abstractNumId="176">
    <w:nsid w:val="6EBE4208"/>
    <w:multiLevelType w:val="hybridMultilevel"/>
    <w:lvl w:ilvl="0">
      <w:lvlJc w:val="left"/>
      <w:lvlText w:val="(%1)"/>
      <w:numFmt w:val="lowerLetter"/>
      <w:start w:val="1"/>
    </w:lvl>
  </w:abstractNum>
  <w:abstractNum w:abstractNumId="177">
    <w:nsid w:val="C058DF5"/>
    <w:multiLevelType w:val="hybridMultilevel"/>
    <w:lvl w:ilvl="0">
      <w:lvlJc w:val="left"/>
      <w:lvlText w:val="(%1)"/>
      <w:numFmt w:val="lowerLetter"/>
      <w:start w:val="4"/>
    </w:lvl>
  </w:abstractNum>
  <w:abstractNum w:abstractNumId="178">
    <w:nsid w:val="CBE5BE9"/>
    <w:multiLevelType w:val="hybridMultilevel"/>
    <w:lvl w:ilvl="0">
      <w:lvlJc w:val="left"/>
      <w:lvlText w:val="(%1)"/>
      <w:numFmt w:val="lowerLetter"/>
      <w:start w:val="5"/>
    </w:lvl>
  </w:abstractNum>
  <w:abstractNum w:abstractNumId="179">
    <w:nsid w:val="3102BBE2"/>
    <w:multiLevelType w:val="hybridMultilevel"/>
    <w:lvl w:ilvl="0">
      <w:lvlJc w:val="left"/>
      <w:lvlText w:val="(%1)"/>
      <w:numFmt w:val="lowerLetter"/>
      <w:start w:val="8"/>
    </w:lvl>
  </w:abstractNum>
  <w:abstractNum w:abstractNumId="180">
    <w:nsid w:val="26A02C5E"/>
    <w:multiLevelType w:val="hybridMultilevel"/>
    <w:lvl w:ilvl="0">
      <w:lvlJc w:val="left"/>
      <w:lvlText w:val="(%1)"/>
      <w:numFmt w:val="lowerLetter"/>
      <w:start w:val="2"/>
    </w:lvl>
  </w:abstractNum>
  <w:abstractNum w:abstractNumId="181">
    <w:nsid w:val="541C8153"/>
    <w:multiLevelType w:val="hybridMultilevel"/>
    <w:lvl w:ilvl="0">
      <w:lvlJc w:val="left"/>
      <w:lvlText w:val="(%1)"/>
      <w:numFmt w:val="lowerLetter"/>
      <w:start w:val="3"/>
    </w:lvl>
  </w:abstractNum>
  <w:abstractNum w:abstractNumId="182">
    <w:nsid w:val="67906F60"/>
    <w:multiLevelType w:val="hybridMultilevel"/>
    <w:lvl w:ilvl="0">
      <w:lvlJc w:val="left"/>
      <w:lvlText w:val="(%1)"/>
      <w:numFmt w:val="lowerLetter"/>
      <w:start w:val="2"/>
    </w:lvl>
  </w:abstractNum>
  <w:abstractNum w:abstractNumId="183">
    <w:nsid w:val="10DB9DAA"/>
    <w:multiLevelType w:val="hybridMultilevel"/>
    <w:lvl w:ilvl="0">
      <w:lvlJc w:val="left"/>
      <w:lvlText w:val="(%1)"/>
      <w:numFmt w:val="lowerLetter"/>
      <w:start w:val="3"/>
    </w:lvl>
  </w:abstractNum>
  <w:abstractNum w:abstractNumId="184">
    <w:nsid w:val="697D2D2"/>
    <w:multiLevelType w:val="hybridMultilevel"/>
    <w:lvl w:ilvl="0">
      <w:lvlJc w:val="left"/>
      <w:lvlText w:val="(%1)"/>
      <w:numFmt w:val="lowerRoman"/>
      <w:start w:val="1"/>
    </w:lvl>
  </w:abstractNum>
  <w:abstractNum w:abstractNumId="185">
    <w:nsid w:val="6D68AB2"/>
    <w:multiLevelType w:val="hybridMultilevel"/>
    <w:lvl w:ilvl="0">
      <w:lvlJc w:val="left"/>
      <w:lvlText w:val="%1"/>
      <w:numFmt w:val="upperLetter"/>
      <w:start w:val="1"/>
    </w:lvl>
    <w:lvl w:ilvl="1">
      <w:lvlJc w:val="left"/>
      <w:lvlText w:val="(%2)"/>
      <w:numFmt w:val="lowerRoman"/>
      <w:start w:val="3"/>
    </w:lvl>
  </w:abstractNum>
  <w:abstractNum w:abstractNumId="186">
    <w:nsid w:val="3A966CD0"/>
    <w:multiLevelType w:val="hybridMultilevel"/>
    <w:lvl w:ilvl="0">
      <w:lvlJc w:val="left"/>
      <w:lvlText w:val="(%1)"/>
      <w:numFmt w:val="upperLetter"/>
      <w:start w:val="3"/>
    </w:lvl>
    <w:lvl w:ilvl="1">
      <w:lvlJc w:val="left"/>
      <w:lvlText w:val="(%2)"/>
      <w:numFmt w:val="lowerRoman"/>
      <w:start w:val="4"/>
    </w:lvl>
  </w:abstractNum>
  <w:abstractNum w:abstractNumId="187">
    <w:nsid w:val="63F37E8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88">
    <w:nsid w:val="5895F5FA"/>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89">
    <w:nsid w:val="38A5D054"/>
    <w:multiLevelType w:val="hybridMultilevel"/>
    <w:lvl w:ilvl="0">
      <w:lvlJc w:val="left"/>
      <w:lvlText w:val="%1"/>
      <w:numFmt w:val="lowerLetter"/>
      <w:start w:val="1"/>
    </w:lvl>
    <w:lvl w:ilvl="1">
      <w:lvlJc w:val="left"/>
      <w:lvlText w:val="(%2)"/>
      <w:numFmt w:val="lowerRoman"/>
      <w:start w:val="3"/>
    </w:lvl>
  </w:abstractNum>
  <w:abstractNum w:abstractNumId="190">
    <w:nsid w:val="F3F09D8"/>
    <w:multiLevelType w:val="hybridMultilevel"/>
    <w:lvl w:ilvl="0">
      <w:lvlJc w:val="left"/>
      <w:lvlText w:val="(%1)"/>
      <w:numFmt w:val="lowerLetter"/>
      <w:start w:val="3"/>
    </w:lvl>
    <w:lvl w:ilvl="1">
      <w:lvlJc w:val="left"/>
      <w:lvlText w:val="%2"/>
      <w:numFmt w:val="lowerRoman"/>
      <w:start w:val="1"/>
    </w:lvl>
  </w:abstractNum>
  <w:abstractNum w:abstractNumId="191">
    <w:nsid w:val="4B793735"/>
    <w:multiLevelType w:val="hybridMultilevel"/>
    <w:lvl w:ilvl="0">
      <w:lvlJc w:val="left"/>
      <w:lvlText w:val="(%1)"/>
      <w:numFmt w:val="lowerRoman"/>
      <w:start w:val="1"/>
    </w:lvl>
  </w:abstractNum>
  <w:abstractNum w:abstractNumId="192">
    <w:nsid w:val="4A10B4E8"/>
    <w:multiLevelType w:val="hybridMultilevel"/>
    <w:lvl w:ilvl="0">
      <w:lvlJc w:val="left"/>
      <w:lvlText w:val="(%1)"/>
      <w:numFmt w:val="lowerRoman"/>
      <w:start w:val="2"/>
    </w:lvl>
  </w:abstractNum>
  <w:abstractNum w:abstractNumId="193">
    <w:nsid w:val="43D3BCD4"/>
    <w:multiLevelType w:val="hybridMultilevel"/>
    <w:lvl w:ilvl="0">
      <w:lvlJc w:val="left"/>
      <w:lvlText w:val="(%1)"/>
      <w:numFmt w:val="lowerLetter"/>
      <w:start w:val="2"/>
    </w:lvl>
  </w:abstractNum>
  <w:abstractNum w:abstractNumId="194">
    <w:nsid w:val="4C2A7166"/>
    <w:multiLevelType w:val="hybridMultilevel"/>
    <w:lvl w:ilvl="0">
      <w:lvlJc w:val="left"/>
      <w:lvlText w:val="(%1)"/>
      <w:numFmt w:val="lowerLetter"/>
      <w:start w:val="3"/>
    </w:lvl>
  </w:abstractNum>
  <w:abstractNum w:abstractNumId="195">
    <w:nsid w:val="2E534A82"/>
    <w:multiLevelType w:val="hybridMultilevel"/>
    <w:lvl w:ilvl="0">
      <w:lvlJc w:val="left"/>
      <w:lvlText w:val="(%1)"/>
      <w:numFmt w:val="lowerLetter"/>
      <w:start w:val="4"/>
    </w:lvl>
  </w:abstractNum>
  <w:abstractNum w:abstractNumId="196">
    <w:nsid w:val="26F2D364"/>
    <w:multiLevelType w:val="hybridMultilevel"/>
    <w:lvl w:ilvl="0">
      <w:lvlJc w:val="left"/>
      <w:lvlText w:val="(%1)"/>
      <w:numFmt w:val="lowerLetter"/>
      <w:start w:val="2"/>
    </w:lvl>
  </w:abstractNum>
  <w:abstractNum w:abstractNumId="197">
    <w:nsid w:val="71C1AF98"/>
    <w:multiLevelType w:val="hybridMultilevel"/>
    <w:lvl w:ilvl="0">
      <w:lvlJc w:val="left"/>
      <w:lvlText w:val="(%1)"/>
      <w:numFmt w:val="lowerLetter"/>
      <w:start w:val="3"/>
    </w:lvl>
  </w:abstractNum>
  <w:abstractNum w:abstractNumId="198">
    <w:nsid w:val="3D00B9D9"/>
    <w:multiLevelType w:val="hybridMultilevel"/>
    <w:lvl w:ilvl="0">
      <w:lvlJc w:val="left"/>
      <w:lvlText w:val="(%1)"/>
      <w:numFmt w:val="upperLetter"/>
      <w:start w:val="1"/>
    </w:lvl>
  </w:abstractNum>
  <w:abstractNum w:abstractNumId="199">
    <w:nsid w:val="15BCABA8"/>
    <w:multiLevelType w:val="hybridMultilevel"/>
    <w:lvl w:ilvl="0">
      <w:lvlJc w:val="left"/>
      <w:lvlText w:val="(%1)"/>
      <w:numFmt w:val="upperLetter"/>
      <w:start w:val="5"/>
    </w:lvl>
  </w:abstractNum>
  <w:abstractNum w:abstractNumId="200">
    <w:nsid w:val="4E0B9A87"/>
    <w:multiLevelType w:val="hybridMultilevel"/>
    <w:lvl w:ilvl="0">
      <w:lvlJc w:val="left"/>
      <w:lvlText w:val="(%1)"/>
      <w:numFmt w:val="upperLetter"/>
      <w:start w:val="6"/>
    </w:lvl>
  </w:abstractNum>
  <w:abstractNum w:abstractNumId="201">
    <w:nsid w:val="434BAE75"/>
    <w:multiLevelType w:val="hybridMultilevel"/>
    <w:lvl w:ilvl="0">
      <w:lvlJc w:val="left"/>
      <w:lvlText w:val="(%1)"/>
      <w:numFmt w:val="lowerLetter"/>
      <w:start w:val="2"/>
    </w:lvl>
    <w:lvl w:ilvl="1">
      <w:lvlJc w:val="left"/>
      <w:lvlText w:val="(%2)"/>
      <w:numFmt w:val="lowerRoman"/>
      <w:start w:val="1"/>
    </w:lvl>
  </w:abstractNum>
  <w:abstractNum w:abstractNumId="202">
    <w:nsid w:val="4F38F265"/>
    <w:multiLevelType w:val="hybridMultilevel"/>
    <w:lvl w:ilvl="0">
      <w:lvlJc w:val="left"/>
      <w:lvlText w:val="%1"/>
      <w:numFmt w:val="lowerLetter"/>
      <w:start w:val="1"/>
    </w:lvl>
    <w:lvl w:ilvl="1">
      <w:lvlJc w:val="left"/>
      <w:lvlText w:val="(%2)"/>
      <w:numFmt w:val="lowerRoman"/>
      <w:start w:val="8"/>
    </w:lvl>
  </w:abstractNum>
  <w:abstractNum w:abstractNumId="203">
    <w:nsid w:val="4C502870"/>
    <w:multiLevelType w:val="hybridMultilevel"/>
    <w:lvl w:ilvl="0">
      <w:lvlJc w:val="left"/>
      <w:lvlText w:val="(%1)"/>
      <w:numFmt w:val="lowerLetter"/>
      <w:start w:val="3"/>
    </w:lvl>
    <w:lvl w:ilvl="1">
      <w:lvlJc w:val="left"/>
      <w:lvlText w:val="%2"/>
      <w:numFmt w:val="lowerRoman"/>
      <w:start w:val="1"/>
    </w:lvl>
  </w:abstractNum>
  <w:abstractNum w:abstractNumId="204">
    <w:nsid w:val="1DE8725A"/>
    <w:multiLevelType w:val="hybridMultilevel"/>
    <w:lvl w:ilvl="0">
      <w:lvlJc w:val="left"/>
      <w:lvlText w:val="(%1)"/>
      <w:numFmt w:val="lowerLetter"/>
      <w:start w:val="5"/>
    </w:lvl>
    <w:lvl w:ilvl="1">
      <w:lvlJc w:val="left"/>
      <w:lvlText w:val="(%2)"/>
      <w:numFmt w:val="lowerRoman"/>
      <w:start w:val="1"/>
    </w:lvl>
  </w:abstractNum>
  <w:abstractNum w:abstractNumId="205">
    <w:nsid w:val="6A37288A"/>
    <w:multiLevelType w:val="hybridMultilevel"/>
    <w:lvl w:ilvl="0">
      <w:lvlJc w:val="left"/>
      <w:lvlText w:val="(%1)"/>
      <w:numFmt w:val="lowerLetter"/>
      <w:start w:val="6"/>
    </w:lvl>
  </w:abstractNum>
  <w:abstractNum w:abstractNumId="206">
    <w:nsid w:val="8F8B73F"/>
    <w:multiLevelType w:val="hybridMultilevel"/>
    <w:lvl w:ilvl="0">
      <w:lvlJc w:val="left"/>
      <w:lvlText w:val="(%1)"/>
      <w:numFmt w:val="lowerLetter"/>
      <w:start w:val="4"/>
    </w:lvl>
  </w:abstractNum>
  <w:abstractNum w:abstractNumId="207">
    <w:nsid w:val="CA6B462"/>
    <w:multiLevelType w:val="hybridMultilevel"/>
    <w:lvl w:ilvl="0">
      <w:lvlJc w:val="left"/>
      <w:lvlText w:val="(%1)"/>
      <w:numFmt w:val="lowerLetter"/>
      <w:start w:val="61"/>
    </w:lvl>
  </w:abstractNum>
  <w:abstractNum w:abstractNumId="208">
    <w:nsid w:val="763CB680"/>
    <w:multiLevelType w:val="hybridMultilevel"/>
    <w:lvl w:ilvl="0">
      <w:lvlJc w:val="left"/>
      <w:lvlText w:val="(%1)"/>
      <w:numFmt w:val="lowerLetter"/>
      <w:start w:val="2"/>
    </w:lvl>
  </w:abstractNum>
  <w:abstractNum w:abstractNumId="209">
    <w:nsid w:val="15B71329"/>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2019-12-28T19:47:26Z</dcterms:created>
  <dcterms:modified xsi:type="dcterms:W3CDTF">2019-12-28T19:47:26Z</dcterms:modified>
</cp:coreProperties>
</file>