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29"/>
          <w:szCs w:val="29"/>
          <w:b w:val="1"/>
          <w:bCs w:val="1"/>
          <w:color w:val="auto"/>
        </w:rPr>
        <w:t>UNITED STATES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Calibri" w:cs="Calibri" w:eastAsia="Calibri" w:hAnsi="Calibri"/>
          <w:sz w:val="16"/>
          <w:szCs w:val="16"/>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Calibri" w:cs="Calibri" w:eastAsia="Calibri" w:hAnsi="Calibri"/>
          <w:sz w:val="29"/>
          <w:szCs w:val="29"/>
          <w:b w:val="1"/>
          <w:bCs w:val="1"/>
          <w:color w:val="auto"/>
        </w:rPr>
        <w:t>FORM 10-Q</w:t>
      </w:r>
    </w:p>
    <w:p>
      <w:pPr>
        <w:spacing w:after="0" w:line="233" w:lineRule="auto"/>
        <w:rPr>
          <w:sz w:val="20"/>
          <w:szCs w:val="20"/>
          <w:color w:val="auto"/>
        </w:rPr>
      </w:pPr>
      <w:r>
        <w:rPr>
          <w:rFonts w:ascii="Calibri" w:cs="Calibri" w:eastAsia="Calibri" w:hAnsi="Calibri"/>
          <w:sz w:val="14"/>
          <w:szCs w:val="14"/>
          <w:b w:val="1"/>
          <w:bCs w:val="1"/>
          <w:color w:val="auto"/>
        </w:rPr>
        <w:t>(Mark One)</w:t>
      </w:r>
    </w:p>
    <w:p>
      <w:pPr>
        <w:spacing w:after="0" w:line="4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Calibri" w:cs="Calibri" w:eastAsia="Calibri" w:hAnsi="Calibri"/>
          <w:sz w:val="20"/>
          <w:szCs w:val="20"/>
          <w:b w:val="1"/>
          <w:bCs w:val="1"/>
          <w:color w:val="auto"/>
        </w:rPr>
        <w:t>QUARTERLY REPORT PURSUANT TO SECTION 13 OR 15(d) OF THE SECURITIES EXCHANGE ACT OF 1934</w:t>
      </w:r>
    </w:p>
    <w:p>
      <w:pPr>
        <w:spacing w:after="0" w:line="66" w:lineRule="exact"/>
        <w:rPr>
          <w:sz w:val="24"/>
          <w:szCs w:val="24"/>
          <w:color w:val="auto"/>
        </w:rPr>
      </w:pPr>
    </w:p>
    <w:p>
      <w:pPr>
        <w:spacing w:after="0"/>
        <w:rPr>
          <w:sz w:val="20"/>
          <w:szCs w:val="20"/>
          <w:color w:val="auto"/>
        </w:rPr>
      </w:pPr>
      <w:r>
        <w:rPr>
          <w:rFonts w:ascii="Calibri" w:cs="Calibri" w:eastAsia="Calibri" w:hAnsi="Calibri"/>
          <w:sz w:val="20"/>
          <w:szCs w:val="20"/>
          <w:color w:val="auto"/>
        </w:rPr>
        <w:t>For the quarterly period ended June 30, 2022</w:t>
      </w:r>
    </w:p>
    <w:p>
      <w:pPr>
        <w:spacing w:after="0" w:line="26" w:lineRule="exact"/>
        <w:rPr>
          <w:sz w:val="24"/>
          <w:szCs w:val="24"/>
          <w:color w:val="auto"/>
        </w:rPr>
      </w:pPr>
    </w:p>
    <w:p>
      <w:pPr>
        <w:jc w:val="center"/>
        <w:ind w:right="-19"/>
        <w:spacing w:after="0"/>
        <w:rPr>
          <w:sz w:val="20"/>
          <w:szCs w:val="20"/>
          <w:color w:val="auto"/>
        </w:rPr>
      </w:pPr>
      <w:r>
        <w:rPr>
          <w:rFonts w:ascii="Calibri" w:cs="Calibri" w:eastAsia="Calibri" w:hAnsi="Calibri"/>
          <w:sz w:val="20"/>
          <w:szCs w:val="20"/>
          <w:b w:val="1"/>
          <w:bCs w:val="1"/>
          <w:color w:val="auto"/>
        </w:rPr>
        <w:t>OR</w:t>
      </w:r>
    </w:p>
    <w:p>
      <w:pPr>
        <w:spacing w:after="0" w:line="6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Calibri" w:cs="Calibri" w:eastAsia="Calibri" w:hAnsi="Calibri"/>
          <w:sz w:val="20"/>
          <w:szCs w:val="20"/>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2500" w:type="dxa"/>
            <w:vAlign w:val="bottom"/>
          </w:tcPr>
          <w:p>
            <w:pPr>
              <w:spacing w:after="0"/>
              <w:rPr>
                <w:sz w:val="20"/>
                <w:szCs w:val="20"/>
                <w:color w:val="auto"/>
              </w:rPr>
            </w:pPr>
            <w:r>
              <w:rPr>
                <w:rFonts w:ascii="Calibri" w:cs="Calibri" w:eastAsia="Calibri" w:hAnsi="Calibri"/>
                <w:sz w:val="20"/>
                <w:szCs w:val="20"/>
                <w:color w:val="auto"/>
              </w:rPr>
              <w:t>For the transiton period from</w:t>
            </w:r>
          </w:p>
        </w:tc>
        <w:tc>
          <w:tcPr>
            <w:tcW w:w="1560" w:type="dxa"/>
            <w:vAlign w:val="bottom"/>
            <w:tcBorders>
              <w:bottom w:val="single" w:sz="8" w:color="auto"/>
            </w:tcBorders>
          </w:tcPr>
          <w:p>
            <w:pPr>
              <w:spacing w:after="0"/>
              <w:rPr>
                <w:sz w:val="21"/>
                <w:szCs w:val="21"/>
                <w:color w:val="auto"/>
              </w:rPr>
            </w:pPr>
          </w:p>
        </w:tc>
        <w:tc>
          <w:tcPr>
            <w:tcW w:w="260" w:type="dxa"/>
            <w:vAlign w:val="bottom"/>
          </w:tcPr>
          <w:p>
            <w:pPr>
              <w:ind w:left="40"/>
              <w:spacing w:after="0"/>
              <w:rPr>
                <w:sz w:val="20"/>
                <w:szCs w:val="20"/>
                <w:color w:val="auto"/>
              </w:rPr>
            </w:pPr>
            <w:r>
              <w:rPr>
                <w:rFonts w:ascii="Calibri" w:cs="Calibri" w:eastAsia="Calibri" w:hAnsi="Calibri"/>
                <w:sz w:val="20"/>
                <w:szCs w:val="20"/>
                <w:color w:val="auto"/>
              </w:rPr>
              <w:t>to</w:t>
            </w:r>
          </w:p>
        </w:tc>
        <w:tc>
          <w:tcPr>
            <w:tcW w:w="1560" w:type="dxa"/>
            <w:vAlign w:val="bottom"/>
            <w:tcBorders>
              <w:bottom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2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Commission File Number: 001-35565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8890</wp:posOffset>
            </wp:positionV>
            <wp:extent cx="140589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Calibri" w:cs="Calibri" w:eastAsia="Calibri" w:hAnsi="Calibri"/>
          <w:sz w:val="29"/>
          <w:szCs w:val="29"/>
          <w:b w:val="1"/>
          <w:bCs w:val="1"/>
          <w:color w:val="auto"/>
        </w:rPr>
        <w:t>AbbVie Inc.</w:t>
      </w:r>
    </w:p>
    <w:p>
      <w:pPr>
        <w:spacing w:after="0" w:line="36"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1440" w:right="339" w:bottom="1440" w:gutter="0" w:footer="0" w:header="0"/>
        </w:sectPr>
      </w:pPr>
    </w:p>
    <w:p>
      <w:pPr>
        <w:spacing w:after="0" w:line="32" w:lineRule="exact"/>
        <w:rPr>
          <w:sz w:val="24"/>
          <w:szCs w:val="24"/>
          <w:color w:val="auto"/>
        </w:rPr>
      </w:pPr>
    </w:p>
    <w:p>
      <w:pPr>
        <w:ind w:left="2460"/>
        <w:spacing w:after="0"/>
        <w:rPr>
          <w:sz w:val="20"/>
          <w:szCs w:val="20"/>
          <w:color w:val="auto"/>
        </w:rPr>
      </w:pPr>
      <w:r>
        <w:rPr>
          <w:rFonts w:ascii="Calibri" w:cs="Calibri" w:eastAsia="Calibri" w:hAnsi="Calibri"/>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32-0375147</w:t>
      </w:r>
    </w:p>
    <w:p>
      <w:pPr>
        <w:spacing w:after="0" w:line="32" w:lineRule="exact"/>
        <w:rPr>
          <w:sz w:val="24"/>
          <w:szCs w:val="24"/>
          <w:color w:val="auto"/>
        </w:rPr>
      </w:pPr>
    </w:p>
    <w:p>
      <w:pPr>
        <w:sectPr>
          <w:pgSz w:w="11900" w:h="16838" w:orient="portrait"/>
          <w:cols w:equalWidth="0" w:num="2">
            <w:col w:w="7420" w:space="720"/>
            <w:col w:w="3100"/>
          </w:cols>
          <w:pgMar w:left="320" w:top="1440" w:right="339" w:bottom="1440" w:gutter="0" w:footer="0" w:header="0"/>
          <w:type w:val="continuous"/>
        </w:sectPr>
      </w:pPr>
    </w:p>
    <w:p>
      <w:pPr>
        <w:ind w:left="1020"/>
        <w:spacing w:after="0"/>
        <w:rPr>
          <w:sz w:val="20"/>
          <w:szCs w:val="20"/>
          <w:color w:val="auto"/>
        </w:rPr>
      </w:pPr>
      <w:r>
        <w:rPr>
          <w:rFonts w:ascii="Calibri" w:cs="Calibri" w:eastAsia="Calibri" w:hAnsi="Calibri"/>
          <w:sz w:val="14"/>
          <w:szCs w:val="14"/>
          <w:color w:val="auto"/>
        </w:rPr>
        <w:t>(State or other jurisdicton of 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(I.R.S. employer identfcaton number)</w:t>
      </w:r>
    </w:p>
    <w:p>
      <w:pPr>
        <w:spacing w:after="0" w:line="140" w:lineRule="exact"/>
        <w:rPr>
          <w:sz w:val="24"/>
          <w:szCs w:val="24"/>
          <w:color w:val="auto"/>
        </w:rPr>
      </w:pPr>
    </w:p>
    <w:p>
      <w:pPr>
        <w:sectPr>
          <w:pgSz w:w="11900" w:h="16838" w:orient="portrait"/>
          <w:cols w:equalWidth="0" w:num="2">
            <w:col w:w="6640" w:space="720"/>
            <w:col w:w="3880"/>
          </w:cols>
          <w:pgMar w:left="320" w:top="1440" w:right="339" w:bottom="1440" w:gutter="0" w:footer="0" w:header="0"/>
          <w:type w:val="continuous"/>
        </w:sectPr>
      </w:pPr>
    </w:p>
    <w:p>
      <w:pPr>
        <w:jc w:val="center"/>
        <w:spacing w:after="0"/>
        <w:rPr>
          <w:sz w:val="20"/>
          <w:szCs w:val="20"/>
          <w:color w:val="auto"/>
        </w:rPr>
      </w:pPr>
      <w:r>
        <w:rPr>
          <w:rFonts w:ascii="Calibri" w:cs="Calibri" w:eastAsia="Calibri" w:hAnsi="Calibri"/>
          <w:sz w:val="14"/>
          <w:szCs w:val="14"/>
          <w:b w:val="1"/>
          <w:bCs w:val="1"/>
          <w:color w:val="auto"/>
        </w:rPr>
        <w:t>1 North Waukegan Road</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North Chicago, Illinois 60064-6400</w:t>
      </w:r>
    </w:p>
    <w:p>
      <w:pPr>
        <w:spacing w:after="0" w:line="99"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 xml:space="preserve">Telephone: </w:t>
      </w:r>
      <w:r>
        <w:rPr>
          <w:rFonts w:ascii="Calibri" w:cs="Calibri" w:eastAsia="Calibri" w:hAnsi="Calibri"/>
          <w:sz w:val="14"/>
          <w:szCs w:val="14"/>
          <w:b w:val="1"/>
          <w:bCs w:val="1"/>
          <w:color w:val="auto"/>
        </w:rPr>
        <w:t>(847) 932-7900</w:t>
      </w:r>
    </w:p>
    <w:p>
      <w:pPr>
        <w:sectPr>
          <w:pgSz w:w="11900" w:h="16838" w:orient="portrait"/>
          <w:cols w:equalWidth="0" w:num="1">
            <w:col w:w="11240"/>
          </w:cols>
          <w:pgMar w:left="320" w:top="1440" w:right="339" w:bottom="1440" w:gutter="0" w:footer="0" w:header="0"/>
          <w:type w:val="continuous"/>
        </w:sectPr>
      </w:pPr>
    </w:p>
    <w:p>
      <w:pPr>
        <w:spacing w:after="0" w:line="82" w:lineRule="exact"/>
        <w:rPr>
          <w:sz w:val="24"/>
          <w:szCs w:val="24"/>
          <w:color w:val="auto"/>
        </w:rPr>
      </w:pPr>
    </w:p>
    <w:p>
      <w:pPr>
        <w:ind w:right="140"/>
        <w:spacing w:after="0" w:line="235" w:lineRule="auto"/>
        <w:rPr>
          <w:sz w:val="20"/>
          <w:szCs w:val="20"/>
          <w:color w:val="auto"/>
        </w:rPr>
      </w:pPr>
      <w:r>
        <w:rPr>
          <w:rFonts w:ascii="Calibri" w:cs="Calibri" w:eastAsia="Calibri" w:hAnsi="Calibri"/>
          <w:sz w:val="16"/>
          <w:szCs w:val="16"/>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w:t>
      </w:r>
    </w:p>
    <w:p>
      <w:pPr>
        <w:spacing w:after="0" w:line="208" w:lineRule="exact"/>
        <w:tabs>
          <w:tab w:leader="none" w:pos="620" w:val="left"/>
        </w:tabs>
        <w:rPr>
          <w:sz w:val="20"/>
          <w:szCs w:val="20"/>
          <w:color w:val="auto"/>
        </w:rPr>
      </w:pPr>
      <w:r>
        <w:rPr>
          <w:rFonts w:ascii="Calibri" w:cs="Calibri" w:eastAsia="Calibri" w:hAnsi="Calibri"/>
          <w:sz w:val="16"/>
          <w:szCs w:val="16"/>
          <w:color w:val="auto"/>
        </w:rPr>
        <w:t>days.</w:t>
      </w:r>
      <w:r>
        <w:rPr>
          <w:sz w:val="20"/>
          <w:szCs w:val="20"/>
          <w:color w:val="auto"/>
        </w:rPr>
        <w:tab/>
      </w:r>
      <w:r>
        <w:rPr>
          <w:rFonts w:ascii="Calibri" w:cs="Calibri" w:eastAsia="Calibri" w:hAnsi="Calibri"/>
          <w:sz w:val="16"/>
          <w:szCs w:val="16"/>
          <w:color w:val="auto"/>
        </w:rPr>
        <w:t xml:space="preserve">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p>
      <w:pPr>
        <w:spacing w:after="0" w:line="85" w:lineRule="exact"/>
        <w:rPr>
          <w:sz w:val="24"/>
          <w:szCs w:val="24"/>
          <w:color w:val="auto"/>
        </w:rPr>
      </w:pPr>
    </w:p>
    <w:p>
      <w:pPr>
        <w:ind w:right="340"/>
        <w:spacing w:after="0" w:line="229"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ind w:right="120"/>
        <w:spacing w:after="0" w:line="239"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03" w:lineRule="exact"/>
        <w:rPr>
          <w:sz w:val="24"/>
          <w:szCs w:val="24"/>
          <w:color w:val="auto"/>
        </w:rPr>
      </w:pPr>
    </w:p>
    <w:tbl>
      <w:tblPr>
        <w:tblLayout w:type="fixed"/>
        <w:tblInd w:w="2000" w:type="dxa"/>
        <w:tblCellMar>
          <w:top w:w="0" w:type="dxa"/>
          <w:left w:w="0" w:type="dxa"/>
          <w:bottom w:w="0" w:type="dxa"/>
          <w:right w:w="0" w:type="dxa"/>
        </w:tblCellMar>
      </w:tblPr>
      <w:tr>
        <w:trPr>
          <w:trHeight w:val="230"/>
        </w:trPr>
        <w:tc>
          <w:tcPr>
            <w:tcW w:w="3820" w:type="dxa"/>
            <w:vAlign w:val="bottom"/>
          </w:tcPr>
          <w:p>
            <w:pPr>
              <w:jc w:val="right"/>
              <w:ind w:right="2059"/>
              <w:spacing w:after="0" w:line="208" w:lineRule="exact"/>
              <w:rPr>
                <w:sz w:val="20"/>
                <w:szCs w:val="20"/>
                <w:color w:val="auto"/>
              </w:rPr>
            </w:pPr>
            <w:r>
              <w:rPr>
                <w:rFonts w:ascii="Calibri" w:cs="Calibri" w:eastAsia="Calibri" w:hAnsi="Calibri"/>
                <w:sz w:val="16"/>
                <w:szCs w:val="16"/>
                <w:color w:val="auto"/>
                <w:w w:val="98"/>
              </w:rPr>
              <w:t xml:space="preserve">Large Accelerated Filer </w:t>
            </w:r>
            <w:r>
              <w:rPr>
                <w:rFonts w:ascii="MS PGothic" w:cs="MS PGothic" w:eastAsia="MS PGothic" w:hAnsi="MS PGothic"/>
                <w:sz w:val="17"/>
                <w:szCs w:val="17"/>
                <w:color w:val="auto"/>
                <w:w w:val="98"/>
              </w:rPr>
              <w:t>☒</w:t>
            </w: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Accelerated Filer </w:t>
            </w:r>
            <w:r>
              <w:rPr>
                <w:rFonts w:ascii="MS PGothic" w:cs="MS PGothic" w:eastAsia="MS PGothic" w:hAnsi="MS PGothic"/>
                <w:sz w:val="17"/>
                <w:szCs w:val="17"/>
                <w:color w:val="auto"/>
              </w:rPr>
              <w:t>☐</w:t>
            </w:r>
          </w:p>
        </w:tc>
      </w:tr>
      <w:tr>
        <w:trPr>
          <w:trHeight w:val="229"/>
        </w:trPr>
        <w:tc>
          <w:tcPr>
            <w:tcW w:w="3820" w:type="dxa"/>
            <w:vAlign w:val="bottom"/>
          </w:tcPr>
          <w:p>
            <w:pPr>
              <w:jc w:val="right"/>
              <w:ind w:right="2059"/>
              <w:spacing w:after="0" w:line="208" w:lineRule="exact"/>
              <w:rPr>
                <w:sz w:val="20"/>
                <w:szCs w:val="20"/>
                <w:color w:val="auto"/>
              </w:rPr>
            </w:pPr>
            <w:r>
              <w:rPr>
                <w:rFonts w:ascii="Calibri" w:cs="Calibri" w:eastAsia="Calibri" w:hAnsi="Calibri"/>
                <w:sz w:val="16"/>
                <w:szCs w:val="16"/>
                <w:color w:val="auto"/>
              </w:rPr>
              <w:t xml:space="preserve">Non-Accelerated Filer </w:t>
            </w:r>
            <w:r>
              <w:rPr>
                <w:rFonts w:ascii="MS PGothic" w:cs="MS PGothic" w:eastAsia="MS PGothic" w:hAnsi="MS PGothic"/>
                <w:sz w:val="17"/>
                <w:szCs w:val="17"/>
                <w:color w:val="auto"/>
              </w:rPr>
              <w:t>☐</w:t>
            </w: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Smaller reportng company </w:t>
            </w:r>
            <w:r>
              <w:rPr>
                <w:rFonts w:ascii="MS PGothic" w:cs="MS PGothic" w:eastAsia="MS PGothic" w:hAnsi="MS PGothic"/>
                <w:sz w:val="17"/>
                <w:szCs w:val="17"/>
                <w:color w:val="auto"/>
              </w:rPr>
              <w:t>☐</w:t>
            </w:r>
          </w:p>
        </w:tc>
      </w:tr>
      <w:tr>
        <w:trPr>
          <w:trHeight w:val="283"/>
        </w:trPr>
        <w:tc>
          <w:tcPr>
            <w:tcW w:w="3820" w:type="dxa"/>
            <w:vAlign w:val="bottom"/>
          </w:tcPr>
          <w:p>
            <w:pPr>
              <w:spacing w:after="0"/>
              <w:rPr>
                <w:sz w:val="24"/>
                <w:szCs w:val="24"/>
                <w:color w:val="auto"/>
              </w:rPr>
            </w:pP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Emerging growth company </w:t>
            </w:r>
            <w:r>
              <w:rPr>
                <w:rFonts w:ascii="MS PGothic" w:cs="MS PGothic" w:eastAsia="MS PGothic" w:hAnsi="MS PGothic"/>
                <w:sz w:val="17"/>
                <w:szCs w:val="17"/>
                <w:color w:val="auto"/>
              </w:rPr>
              <w:t>☐</w:t>
            </w:r>
          </w:p>
        </w:tc>
      </w:tr>
    </w:tbl>
    <w:p>
      <w:pPr>
        <w:spacing w:after="0" w:line="110" w:lineRule="exact"/>
        <w:rPr>
          <w:sz w:val="24"/>
          <w:szCs w:val="24"/>
          <w:color w:val="auto"/>
        </w:rPr>
      </w:pPr>
    </w:p>
    <w:p>
      <w:pPr>
        <w:ind w:right="460"/>
        <w:spacing w:after="0" w:line="211"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500" w:type="dxa"/>
            <w:vAlign w:val="bottom"/>
            <w:gridSpan w:val="5"/>
          </w:tcPr>
          <w:p>
            <w:pPr>
              <w:spacing w:after="0"/>
              <w:rPr>
                <w:sz w:val="20"/>
                <w:szCs w:val="20"/>
                <w:color w:val="auto"/>
              </w:rPr>
            </w:pPr>
            <w:r>
              <w:rPr>
                <w:rFonts w:ascii="Calibri" w:cs="Calibri" w:eastAsia="Calibri" w:hAnsi="Calibri"/>
                <w:sz w:val="16"/>
                <w:szCs w:val="16"/>
                <w:color w:val="auto"/>
              </w:rPr>
              <w:t>Indicate by check mark whether the registrant is a shell company (as defned in Rule 12b-2 of the Exchange Act).</w:t>
            </w:r>
          </w:p>
        </w:tc>
        <w:tc>
          <w:tcPr>
            <w:tcW w:w="3740" w:type="dxa"/>
            <w:vAlign w:val="bottom"/>
          </w:tcPr>
          <w:p>
            <w:pPr>
              <w:ind w:left="140"/>
              <w:spacing w:after="0" w:line="208" w:lineRule="exact"/>
              <w:rPr>
                <w:sz w:val="20"/>
                <w:szCs w:val="20"/>
                <w:color w:val="auto"/>
              </w:rPr>
            </w:pPr>
            <w:r>
              <w:rPr>
                <w:rFonts w:ascii="Calibri" w:cs="Calibri" w:eastAsia="Calibri" w:hAnsi="Calibri"/>
                <w:sz w:val="16"/>
                <w:szCs w:val="16"/>
                <w:color w:val="auto"/>
              </w:rPr>
              <w:t xml:space="preserve">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Calibri" w:cs="Calibri" w:eastAsia="Calibri" w:hAnsi="Calibri"/>
                <w:sz w:val="16"/>
                <w:szCs w:val="16"/>
                <w:color w:val="auto"/>
              </w:rPr>
              <w:t>Securites registered pursuant to Secton 12(b) of the Act:</w:t>
            </w: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Title of each class</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b w:val="1"/>
                <w:bCs w:val="1"/>
                <w:color w:val="auto"/>
              </w:rPr>
              <w:t>Trading Symbol(s)</w:t>
            </w:r>
          </w:p>
        </w:tc>
        <w:tc>
          <w:tcPr>
            <w:tcW w:w="3740" w:type="dxa"/>
            <w:vAlign w:val="bottom"/>
          </w:tcPr>
          <w:p>
            <w:pPr>
              <w:jc w:val="center"/>
              <w:ind w:right="427"/>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47"/>
        </w:trPr>
        <w:tc>
          <w:tcPr>
            <w:tcW w:w="4040" w:type="dxa"/>
            <w:vAlign w:val="bottom"/>
            <w:tcBorders>
              <w:bottom w:val="single" w:sz="8" w:color="auto"/>
            </w:tcBorders>
          </w:tcPr>
          <w:p>
            <w:pPr>
              <w:spacing w:after="0"/>
              <w:rPr>
                <w:sz w:val="4"/>
                <w:szCs w:val="4"/>
                <w:color w:val="auto"/>
              </w:rPr>
            </w:pPr>
          </w:p>
        </w:tc>
        <w:tc>
          <w:tcPr>
            <w:tcW w:w="420" w:type="dxa"/>
            <w:vAlign w:val="bottom"/>
            <w:vMerge w:val="restart"/>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42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40" w:type="dxa"/>
            <w:vAlign w:val="bottom"/>
          </w:tcPr>
          <w:p>
            <w:pPr>
              <w:jc w:val="center"/>
              <w:spacing w:after="0" w:line="164" w:lineRule="exact"/>
              <w:rPr>
                <w:sz w:val="20"/>
                <w:szCs w:val="20"/>
                <w:color w:val="auto"/>
              </w:rPr>
            </w:pPr>
            <w:r>
              <w:rPr>
                <w:rFonts w:ascii="Calibri" w:cs="Calibri" w:eastAsia="Calibri" w:hAnsi="Calibri"/>
                <w:sz w:val="14"/>
                <w:szCs w:val="14"/>
                <w:color w:val="auto"/>
              </w:rPr>
              <w:t>Common Stock, par value $0.01 per share</w:t>
            </w:r>
          </w:p>
        </w:tc>
        <w:tc>
          <w:tcPr>
            <w:tcW w:w="420" w:type="dxa"/>
            <w:vAlign w:val="bottom"/>
            <w:vMerge w:val="continue"/>
          </w:tcPr>
          <w:p>
            <w:pPr>
              <w:spacing w:after="0"/>
              <w:rPr>
                <w:sz w:val="14"/>
                <w:szCs w:val="14"/>
                <w:color w:val="auto"/>
              </w:rPr>
            </w:pPr>
          </w:p>
        </w:tc>
        <w:tc>
          <w:tcPr>
            <w:tcW w:w="2120" w:type="dxa"/>
            <w:vAlign w:val="bottom"/>
          </w:tcPr>
          <w:p>
            <w:pPr>
              <w:jc w:val="center"/>
              <w:spacing w:after="0" w:line="164" w:lineRule="exact"/>
              <w:rPr>
                <w:sz w:val="20"/>
                <w:szCs w:val="20"/>
                <w:color w:val="auto"/>
              </w:rPr>
            </w:pPr>
            <w:r>
              <w:rPr>
                <w:rFonts w:ascii="Calibri" w:cs="Calibri" w:eastAsia="Calibri" w:hAnsi="Calibri"/>
                <w:sz w:val="14"/>
                <w:szCs w:val="14"/>
                <w:color w:val="auto"/>
              </w:rPr>
              <w:t>ABBV</w:t>
            </w:r>
          </w:p>
        </w:tc>
        <w:tc>
          <w:tcPr>
            <w:tcW w:w="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740" w:type="dxa"/>
            <w:vAlign w:val="bottom"/>
          </w:tcPr>
          <w:p>
            <w:pPr>
              <w:jc w:val="center"/>
              <w:ind w:right="427"/>
              <w:spacing w:after="0" w:line="164" w:lineRule="exact"/>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Chicago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1.500% Senior Notes due 2023</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ABBV23B</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1.375% Senior Notes due 2024</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ABBV24</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2"/>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1.250% Senior Notes due 2024</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ABBV24B</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0.750% Senior Notes due 2027</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ABBV27</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2.125% Senior Notes due 2028</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ABBV28</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2.625% Senior Notes due 2028</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ABBV28B</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2.125% Senior Notes due 2029</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ABBV29</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1.250% Senior Notes due 2031</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ABBV31</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Calibri" w:cs="Calibri" w:eastAsia="Calibri" w:hAnsi="Calibri"/>
          <w:sz w:val="16"/>
          <w:szCs w:val="16"/>
          <w:color w:val="auto"/>
        </w:rPr>
        <w:t>As of July 27, 2022, AbbVie Inc. had 1,768,096,495 shares of common stock at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ind w:left="20"/>
              <w:spacing w:after="0"/>
              <w:rPr>
                <w:sz w:val="20"/>
                <w:szCs w:val="20"/>
                <w:color w:val="auto"/>
              </w:rPr>
            </w:pPr>
            <w:r>
              <w:rPr>
                <w:rFonts w:ascii="Calibri" w:cs="Calibri" w:eastAsia="Calibri" w:hAnsi="Calibri"/>
                <w:sz w:val="18"/>
                <w:szCs w:val="18"/>
                <w:b w:val="1"/>
                <w:bCs w:val="1"/>
                <w:color w:val="auto"/>
              </w:rPr>
              <w:t>PART I.</w:t>
            </w:r>
          </w:p>
        </w:tc>
        <w:tc>
          <w:tcPr>
            <w:tcW w:w="8800" w:type="dxa"/>
            <w:vAlign w:val="bottom"/>
          </w:tcPr>
          <w:p>
            <w:pPr>
              <w:ind w:left="200"/>
              <w:spacing w:after="0"/>
              <w:rPr>
                <w:sz w:val="20"/>
                <w:szCs w:val="20"/>
                <w:color w:val="auto"/>
              </w:rPr>
            </w:pPr>
            <w:r>
              <w:rPr>
                <w:rFonts w:ascii="Calibri" w:cs="Calibri" w:eastAsia="Calibri" w:hAnsi="Calibri"/>
                <w:sz w:val="18"/>
                <w:szCs w:val="18"/>
                <w:b w:val="1"/>
                <w:bCs w:val="1"/>
                <w:color w:val="auto"/>
              </w:rPr>
              <w:t>FINANCIAL INFORMATION</w:t>
            </w:r>
          </w:p>
        </w:tc>
        <w:tc>
          <w:tcPr>
            <w:tcW w:w="166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Page</w:t>
            </w:r>
          </w:p>
        </w:tc>
      </w:tr>
      <w:tr>
        <w:trPr>
          <w:trHeight w:val="50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1.</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FINANCIAL STATEMENTS AND SUPPLEMENTARY DATA</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2.</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MANAGEMENT’S DISCUSSION AND ANALYSIS OF FINANCIAL CONDITION AND RESULTS OF OPERATIONS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25</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3.</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QUANTITATIVE AND QUALITATIVE DISCLOSURES ABOUT MARKET RISK</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35</w:t>
            </w:r>
          </w:p>
        </w:tc>
      </w:tr>
      <w:tr>
        <w:trPr>
          <w:trHeight w:val="23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4.</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CONTROLS AND PROCEDURES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35</w:t>
            </w:r>
          </w:p>
        </w:tc>
      </w:tr>
      <w:tr>
        <w:trPr>
          <w:trHeight w:val="499"/>
        </w:trPr>
        <w:tc>
          <w:tcPr>
            <w:tcW w:w="780" w:type="dxa"/>
            <w:vAlign w:val="bottom"/>
          </w:tcPr>
          <w:p>
            <w:pPr>
              <w:ind w:left="20"/>
              <w:spacing w:after="0"/>
              <w:rPr>
                <w:sz w:val="20"/>
                <w:szCs w:val="20"/>
                <w:color w:val="auto"/>
              </w:rPr>
            </w:pPr>
            <w:r>
              <w:rPr>
                <w:rFonts w:ascii="Calibri" w:cs="Calibri" w:eastAsia="Calibri" w:hAnsi="Calibri"/>
                <w:sz w:val="18"/>
                <w:szCs w:val="18"/>
                <w:b w:val="1"/>
                <w:bCs w:val="1"/>
                <w:color w:val="auto"/>
              </w:rPr>
              <w:t>PART II.</w:t>
            </w:r>
          </w:p>
        </w:tc>
        <w:tc>
          <w:tcPr>
            <w:tcW w:w="8800" w:type="dxa"/>
            <w:vAlign w:val="bottom"/>
          </w:tcPr>
          <w:p>
            <w:pPr>
              <w:ind w:left="200"/>
              <w:spacing w:after="0"/>
              <w:rPr>
                <w:sz w:val="20"/>
                <w:szCs w:val="20"/>
                <w:color w:val="auto"/>
              </w:rPr>
            </w:pPr>
            <w:r>
              <w:rPr>
                <w:rFonts w:ascii="Calibri" w:cs="Calibri" w:eastAsia="Calibri" w:hAnsi="Calibri"/>
                <w:sz w:val="18"/>
                <w:szCs w:val="18"/>
                <w:b w:val="1"/>
                <w:bCs w:val="1"/>
                <w:color w:val="auto"/>
              </w:rPr>
              <w:t>OTHER INFORMATION</w:t>
            </w:r>
          </w:p>
        </w:tc>
        <w:tc>
          <w:tcPr>
            <w:tcW w:w="1660" w:type="dxa"/>
            <w:vAlign w:val="bottom"/>
          </w:tcPr>
          <w:p>
            <w:pPr>
              <w:spacing w:after="0"/>
              <w:rPr>
                <w:sz w:val="24"/>
                <w:szCs w:val="24"/>
                <w:color w:val="auto"/>
              </w:rPr>
            </w:pPr>
          </w:p>
        </w:tc>
      </w:tr>
      <w:tr>
        <w:trPr>
          <w:trHeight w:val="50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1.</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LEGAL PROCEEDINGS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2.</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UNREGISTERED SALES OF EQUITY SECURITIES AND USE OF PROCEEDS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6.</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EXHIBITS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38</w:t>
            </w:r>
          </w:p>
        </w:tc>
      </w:tr>
      <w:tr>
        <w:trPr>
          <w:trHeight w:val="1448"/>
        </w:trPr>
        <w:tc>
          <w:tcPr>
            <w:tcW w:w="78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 w:name="page3"/>
    <w:bookmarkEnd w:id="2"/>
    <w:p>
      <w:pPr>
        <w:spacing w:after="0"/>
        <w:rPr>
          <w:sz w:val="20"/>
          <w:szCs w:val="20"/>
          <w:color w:val="auto"/>
        </w:rPr>
      </w:pPr>
      <w:r>
        <w:rPr>
          <w:rFonts w:ascii="Calibri" w:cs="Calibri" w:eastAsia="Calibri" w:hAnsi="Calibri"/>
          <w:sz w:val="22"/>
          <w:szCs w:val="22"/>
          <w:b w:val="1"/>
          <w:bCs w:val="1"/>
          <w:color w:val="444867"/>
        </w:rPr>
        <w:t>PART I. FINANCIAL INFORMATION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1.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Earnings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6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90"/>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92"/>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98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92"/>
              <w:spacing w:after="0" w:line="164" w:lineRule="exact"/>
              <w:rPr>
                <w:sz w:val="20"/>
                <w:szCs w:val="20"/>
                <w:color w:val="auto"/>
              </w:rPr>
            </w:pPr>
            <w:r>
              <w:rPr>
                <w:rFonts w:ascii="Calibri" w:cs="Calibri" w:eastAsia="Calibri" w:hAnsi="Calibri"/>
                <w:sz w:val="14"/>
                <w:szCs w:val="14"/>
                <w:b w:val="1"/>
                <w:bCs w:val="1"/>
                <w:color w:val="auto"/>
              </w:rPr>
              <w:t>2022</w:t>
            </w:r>
          </w:p>
        </w:tc>
        <w:tc>
          <w:tcPr>
            <w:tcW w:w="560" w:type="dxa"/>
            <w:vAlign w:val="bottom"/>
          </w:tcPr>
          <w:p>
            <w:pPr>
              <w:spacing w:after="0"/>
              <w:rPr>
                <w:sz w:val="14"/>
                <w:szCs w:val="14"/>
                <w:color w:val="auto"/>
              </w:rPr>
            </w:pPr>
          </w:p>
        </w:tc>
        <w:tc>
          <w:tcPr>
            <w:tcW w:w="84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Net revenues</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14,583</w:t>
            </w:r>
          </w:p>
        </w:tc>
        <w:tc>
          <w:tcPr>
            <w:tcW w:w="42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13,959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28,121</w:t>
            </w:r>
          </w:p>
        </w:tc>
        <w:tc>
          <w:tcPr>
            <w:tcW w:w="56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26,969</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4,170</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8,222</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8,736</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5,412</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8,539</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6,006</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Research and development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Calibri" w:cs="Calibri" w:eastAsia="Calibri" w:hAnsi="Calibri"/>
                <w:sz w:val="18"/>
                <w:szCs w:val="18"/>
                <w:color w:val="auto"/>
              </w:rPr>
              <w:t>1,609</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Calibri" w:cs="Calibri" w:eastAsia="Calibri" w:hAnsi="Calibri"/>
                <w:sz w:val="18"/>
                <w:szCs w:val="18"/>
                <w:color w:val="auto"/>
              </w:rPr>
              <w:t>3,106</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3,434</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Acquired IPR&amp;D and milestones</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269</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414</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317</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operatng income</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(172)</w:t>
            </w: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(68)</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(172)</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operatng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11,288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9,518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20,109</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18,425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Operatng earnings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3,295</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8,012</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8,544</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532</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1,071</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1,228</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foreign exchange loss</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47</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72</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1,533</w:t>
            </w: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2,658</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757</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2,263</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Earnings before income tax expense</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1,183</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1,163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6,112</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5,030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255</w:t>
            </w: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394</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691</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706</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earnings</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928</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5,421</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4,324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earnings atributable to noncontrolling interest</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4</w:t>
            </w: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7</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Net earnings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924</w:t>
            </w:r>
          </w:p>
        </w:tc>
        <w:tc>
          <w:tcPr>
            <w:tcW w:w="42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5,414</w:t>
            </w:r>
          </w:p>
        </w:tc>
        <w:tc>
          <w:tcPr>
            <w:tcW w:w="56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4,319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Per share data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 atributable to AbbVie Inc.</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0.52</w:t>
            </w:r>
          </w:p>
        </w:tc>
        <w:tc>
          <w:tcPr>
            <w:tcW w:w="42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ind w:right="32"/>
              <w:spacing w:after="0" w:line="215" w:lineRule="exact"/>
              <w:rPr>
                <w:sz w:val="20"/>
                <w:szCs w:val="20"/>
                <w:color w:val="auto"/>
              </w:rPr>
            </w:pPr>
            <w:r>
              <w:rPr>
                <w:rFonts w:ascii="Calibri" w:cs="Calibri" w:eastAsia="Calibri" w:hAnsi="Calibri"/>
                <w:sz w:val="18"/>
                <w:szCs w:val="18"/>
                <w:color w:val="auto"/>
              </w:rPr>
              <w:t>3.04</w:t>
            </w:r>
          </w:p>
        </w:tc>
        <w:tc>
          <w:tcPr>
            <w:tcW w:w="56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Diluted earnings per share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0.51</w:t>
            </w:r>
          </w:p>
        </w:tc>
        <w:tc>
          <w:tcPr>
            <w:tcW w:w="42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0.42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ind w:right="32"/>
              <w:spacing w:after="0" w:line="215" w:lineRule="exact"/>
              <w:rPr>
                <w:sz w:val="20"/>
                <w:szCs w:val="20"/>
                <w:color w:val="auto"/>
              </w:rPr>
            </w:pPr>
            <w:r>
              <w:rPr>
                <w:rFonts w:ascii="Calibri" w:cs="Calibri" w:eastAsia="Calibri" w:hAnsi="Calibri"/>
                <w:sz w:val="18"/>
                <w:szCs w:val="18"/>
                <w:color w:val="auto"/>
              </w:rPr>
              <w:t>3.03</w:t>
            </w:r>
          </w:p>
        </w:tc>
        <w:tc>
          <w:tcPr>
            <w:tcW w:w="56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basic shares outstanding</w:t>
            </w: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1,770</w:t>
            </w:r>
          </w:p>
        </w:tc>
        <w:tc>
          <w:tcPr>
            <w:tcW w:w="42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1,769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1,770</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1,769</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1,776</w:t>
            </w: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1,776</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8"/>
                <w:szCs w:val="18"/>
                <w:color w:val="auto"/>
              </w:rPr>
              <w:t>1,777</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1,776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391795</wp:posOffset>
            </wp:positionV>
            <wp:extent cx="51435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1</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 w:name="page4"/>
    <w:bookmarkEnd w:id="3"/>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Comprehensive Income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ind w:left="200"/>
              <w:spacing w:after="0"/>
              <w:rPr>
                <w:sz w:val="20"/>
                <w:szCs w:val="20"/>
                <w:color w:val="auto"/>
              </w:rPr>
            </w:pPr>
            <w:r>
              <w:rPr>
                <w:rFonts w:ascii="Calibri" w:cs="Calibri" w:eastAsia="Calibri" w:hAnsi="Calibri"/>
                <w:sz w:val="14"/>
                <w:szCs w:val="14"/>
                <w:b w:val="1"/>
                <w:bCs w:val="1"/>
                <w:color w:val="auto"/>
              </w:rPr>
              <w:t>Three months ended</w:t>
            </w:r>
          </w:p>
        </w:tc>
        <w:tc>
          <w:tcPr>
            <w:tcW w:w="220" w:type="dxa"/>
            <w:vAlign w:val="bottom"/>
          </w:tcPr>
          <w:p>
            <w:pPr>
              <w:spacing w:after="0"/>
              <w:rPr>
                <w:sz w:val="14"/>
                <w:szCs w:val="14"/>
                <w:color w:val="auto"/>
              </w:rPr>
            </w:pPr>
          </w:p>
        </w:tc>
        <w:tc>
          <w:tcPr>
            <w:tcW w:w="1860" w:type="dxa"/>
            <w:vAlign w:val="bottom"/>
            <w:gridSpan w:val="3"/>
          </w:tcPr>
          <w:p>
            <w:pPr>
              <w:jc w:val="right"/>
              <w:ind w:right="41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72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720" w:type="dxa"/>
            <w:vAlign w:val="bottom"/>
          </w:tcPr>
          <w:p>
            <w:pPr>
              <w:jc w:val="right"/>
              <w:ind w:right="252"/>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Net earnings</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928</w:t>
            </w:r>
          </w:p>
        </w:tc>
        <w:tc>
          <w:tcPr>
            <w:tcW w:w="34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5,421</w:t>
            </w:r>
          </w:p>
        </w:tc>
        <w:tc>
          <w:tcPr>
            <w:tcW w:w="32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4,324</w:t>
            </w: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69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Foreign currency translaton adjustments, net of tax expense (beneft) of $(12) for the three</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20"/>
              <w:spacing w:after="0" w:line="189" w:lineRule="exact"/>
              <w:rPr>
                <w:sz w:val="20"/>
                <w:szCs w:val="20"/>
                <w:color w:val="auto"/>
              </w:rPr>
            </w:pPr>
            <w:r>
              <w:rPr>
                <w:rFonts w:ascii="Calibri" w:cs="Calibri" w:eastAsia="Calibri" w:hAnsi="Calibri"/>
                <w:sz w:val="18"/>
                <w:szCs w:val="18"/>
                <w:color w:val="auto"/>
                <w:w w:val="98"/>
              </w:rPr>
              <w:t>months and $(19) for the six months ended June 30, 2022 and $1 for the three months and $(24)</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for the six months ended June 30, 2021</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(823)</w:t>
            </w:r>
          </w:p>
        </w:tc>
        <w:tc>
          <w:tcPr>
            <w:tcW w:w="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(1,054)</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(433)</w:t>
            </w:r>
          </w:p>
        </w:tc>
        <w:tc>
          <w:tcPr>
            <w:tcW w:w="0" w:type="dxa"/>
            <w:vAlign w:val="bottom"/>
          </w:tcPr>
          <w:p>
            <w:pPr>
              <w:spacing w:after="0"/>
              <w:rPr>
                <w:sz w:val="1"/>
                <w:szCs w:val="1"/>
                <w:color w:val="auto"/>
              </w:rPr>
            </w:pPr>
          </w:p>
        </w:tc>
      </w:tr>
      <w:tr>
        <w:trPr>
          <w:trHeight w:val="167"/>
        </w:trPr>
        <w:tc>
          <w:tcPr>
            <w:tcW w:w="6980" w:type="dxa"/>
            <w:vAlign w:val="bottom"/>
          </w:tcPr>
          <w:p>
            <w:pPr>
              <w:ind w:left="20"/>
              <w:spacing w:after="0" w:line="166" w:lineRule="exact"/>
              <w:rPr>
                <w:sz w:val="20"/>
                <w:szCs w:val="20"/>
                <w:color w:val="auto"/>
              </w:rPr>
            </w:pPr>
            <w:r>
              <w:rPr>
                <w:rFonts w:ascii="Calibri" w:cs="Calibri" w:eastAsia="Calibri" w:hAnsi="Calibri"/>
                <w:sz w:val="18"/>
                <w:szCs w:val="18"/>
                <w:color w:val="auto"/>
              </w:rPr>
              <w:t>Net investment hedging actvites, net of tax expense (beneft) of $146 for the three months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line="189" w:lineRule="exact"/>
              <w:rPr>
                <w:sz w:val="20"/>
                <w:szCs w:val="20"/>
                <w:color w:val="auto"/>
              </w:rPr>
            </w:pPr>
            <w:r>
              <w:rPr>
                <w:rFonts w:ascii="Calibri" w:cs="Calibri" w:eastAsia="Calibri" w:hAnsi="Calibri"/>
                <w:sz w:val="18"/>
                <w:szCs w:val="18"/>
                <w:color w:val="auto"/>
                <w:w w:val="99"/>
              </w:rPr>
              <w:t>$183 for the six months ended June 30, 2022 and $(31) for the three months and $72 for the six</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months ended June 30, 2021</w:t>
            </w:r>
          </w:p>
        </w:tc>
        <w:tc>
          <w:tcPr>
            <w:tcW w:w="220" w:type="dxa"/>
            <w:vAlign w:val="bottom"/>
          </w:tcPr>
          <w:p>
            <w:pPr>
              <w:spacing w:after="0"/>
              <w:rPr>
                <w:sz w:val="18"/>
                <w:szCs w:val="18"/>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536</w:t>
            </w:r>
          </w:p>
        </w:tc>
        <w:tc>
          <w:tcPr>
            <w:tcW w:w="3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666</w:t>
            </w:r>
          </w:p>
        </w:tc>
        <w:tc>
          <w:tcPr>
            <w:tcW w:w="3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260</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9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w w:val="99"/>
              </w:rPr>
              <w:t>Pension and post-employment benefts, net of tax expense (beneft) of $11 for the three months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20"/>
              <w:spacing w:after="0" w:line="189" w:lineRule="exact"/>
              <w:rPr>
                <w:sz w:val="20"/>
                <w:szCs w:val="20"/>
                <w:color w:val="auto"/>
              </w:rPr>
            </w:pPr>
            <w:r>
              <w:rPr>
                <w:rFonts w:ascii="Calibri" w:cs="Calibri" w:eastAsia="Calibri" w:hAnsi="Calibri"/>
                <w:sz w:val="18"/>
                <w:szCs w:val="18"/>
                <w:color w:val="auto"/>
                <w:w w:val="97"/>
              </w:rPr>
              <w:t>and $21 for the six months ended June 30, 2022 and $14 for the three months and $33 for the six</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months ended June 30, 2021</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48</w:t>
            </w:r>
          </w:p>
        </w:tc>
        <w:tc>
          <w:tcPr>
            <w:tcW w:w="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76</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w:t>
            </w:r>
          </w:p>
        </w:tc>
        <w:tc>
          <w:tcPr>
            <w:tcW w:w="0" w:type="dxa"/>
            <w:vAlign w:val="bottom"/>
          </w:tcPr>
          <w:p>
            <w:pPr>
              <w:spacing w:after="0"/>
              <w:rPr>
                <w:sz w:val="1"/>
                <w:szCs w:val="1"/>
                <w:color w:val="auto"/>
              </w:rPr>
            </w:pPr>
          </w:p>
        </w:tc>
      </w:tr>
      <w:tr>
        <w:trPr>
          <w:trHeight w:val="167"/>
        </w:trPr>
        <w:tc>
          <w:tcPr>
            <w:tcW w:w="6980" w:type="dxa"/>
            <w:vAlign w:val="bottom"/>
          </w:tcPr>
          <w:p>
            <w:pPr>
              <w:ind w:left="20"/>
              <w:spacing w:after="0" w:line="166" w:lineRule="exact"/>
              <w:rPr>
                <w:sz w:val="20"/>
                <w:szCs w:val="20"/>
                <w:color w:val="auto"/>
              </w:rPr>
            </w:pPr>
            <w:r>
              <w:rPr>
                <w:rFonts w:ascii="Calibri" w:cs="Calibri" w:eastAsia="Calibri" w:hAnsi="Calibri"/>
                <w:sz w:val="18"/>
                <w:szCs w:val="18"/>
                <w:color w:val="auto"/>
              </w:rPr>
              <w:t>Cash fow hedging actvites, net of tax expense (beneft) of $5 for the three months and $3 for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line="189" w:lineRule="exact"/>
              <w:rPr>
                <w:sz w:val="20"/>
                <w:szCs w:val="20"/>
                <w:color w:val="auto"/>
              </w:rPr>
            </w:pPr>
            <w:r>
              <w:rPr>
                <w:rFonts w:ascii="Calibri" w:cs="Calibri" w:eastAsia="Calibri" w:hAnsi="Calibri"/>
                <w:sz w:val="18"/>
                <w:szCs w:val="18"/>
                <w:color w:val="auto"/>
              </w:rPr>
              <w:t>the six months ended June 30, 2022 and $— for the three months and $3 for the six months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ended June 30, 2021</w:t>
            </w:r>
          </w:p>
        </w:tc>
        <w:tc>
          <w:tcPr>
            <w:tcW w:w="220" w:type="dxa"/>
            <w:vAlign w:val="bottom"/>
          </w:tcPr>
          <w:p>
            <w:pPr>
              <w:spacing w:after="0"/>
              <w:rPr>
                <w:sz w:val="18"/>
                <w:szCs w:val="18"/>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27</w:t>
            </w:r>
          </w:p>
        </w:tc>
        <w:tc>
          <w:tcPr>
            <w:tcW w:w="3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15</w:t>
            </w:r>
          </w:p>
        </w:tc>
        <w:tc>
          <w:tcPr>
            <w:tcW w:w="3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(212)</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(297)</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22"/>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Comprehensive income</w:t>
            </w:r>
          </w:p>
        </w:tc>
        <w:tc>
          <w:tcPr>
            <w:tcW w:w="220" w:type="dxa"/>
            <w:vAlign w:val="bottom"/>
          </w:tcPr>
          <w:p>
            <w:pPr>
              <w:spacing w:after="0"/>
              <w:rPr>
                <w:sz w:val="19"/>
                <w:szCs w:val="19"/>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716</w:t>
            </w:r>
          </w:p>
        </w:tc>
        <w:tc>
          <w:tcPr>
            <w:tcW w:w="3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5,124</w:t>
            </w:r>
          </w:p>
        </w:tc>
        <w:tc>
          <w:tcPr>
            <w:tcW w:w="32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4,338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Comprehensive income atributable to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4</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Calibri" w:cs="Calibri" w:eastAsia="Calibri" w:hAnsi="Calibri"/>
                <w:sz w:val="18"/>
                <w:szCs w:val="18"/>
                <w:color w:val="auto"/>
              </w:rPr>
              <w:t>7</w:t>
            </w: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Comprehensive income atributable to AbbVie Inc.</w:t>
            </w: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712</w:t>
            </w:r>
          </w:p>
        </w:tc>
        <w:tc>
          <w:tcPr>
            <w:tcW w:w="34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5,117</w:t>
            </w:r>
          </w:p>
        </w:tc>
        <w:tc>
          <w:tcPr>
            <w:tcW w:w="3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4,333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1009015</wp:posOffset>
            </wp:positionV>
            <wp:extent cx="51435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2</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 w:name="page5"/>
    <w:bookmarkEnd w:id="4"/>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Balance Sheets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share data)</w:t>
            </w:r>
          </w:p>
        </w:tc>
        <w:tc>
          <w:tcPr>
            <w:tcW w:w="160" w:type="dxa"/>
            <w:vAlign w:val="bottom"/>
          </w:tcPr>
          <w:p>
            <w:pPr>
              <w:spacing w:after="0"/>
              <w:rPr>
                <w:sz w:val="14"/>
                <w:szCs w:val="14"/>
                <w:color w:val="auto"/>
              </w:rPr>
            </w:pPr>
          </w:p>
        </w:tc>
        <w:tc>
          <w:tcPr>
            <w:tcW w:w="1040" w:type="dxa"/>
            <w:vAlign w:val="bottom"/>
          </w:tcPr>
          <w:p>
            <w:pPr>
              <w:jc w:val="center"/>
              <w:ind w:right="91"/>
              <w:spacing w:after="0"/>
              <w:rPr>
                <w:sz w:val="20"/>
                <w:szCs w:val="20"/>
                <w:color w:val="auto"/>
              </w:rPr>
            </w:pPr>
            <w:r>
              <w:rPr>
                <w:rFonts w:ascii="Calibri" w:cs="Calibri" w:eastAsia="Calibri" w:hAnsi="Calibri"/>
                <w:sz w:val="14"/>
                <w:szCs w:val="14"/>
                <w:b w:val="1"/>
                <w:bCs w:val="1"/>
                <w:color w:val="auto"/>
              </w:rPr>
              <w:t>June 30,</w:t>
            </w:r>
          </w:p>
        </w:tc>
        <w:tc>
          <w:tcPr>
            <w:tcW w:w="300" w:type="dxa"/>
            <w:vAlign w:val="bottom"/>
          </w:tcPr>
          <w:p>
            <w:pPr>
              <w:spacing w:after="0"/>
              <w:rPr>
                <w:sz w:val="14"/>
                <w:szCs w:val="14"/>
                <w:color w:val="auto"/>
              </w:rPr>
            </w:pPr>
          </w:p>
        </w:tc>
        <w:tc>
          <w:tcPr>
            <w:tcW w:w="1360" w:type="dxa"/>
            <w:vAlign w:val="bottom"/>
          </w:tcPr>
          <w:p>
            <w:pPr>
              <w:jc w:val="right"/>
              <w:ind w:right="311"/>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8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1"/>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1360" w:type="dxa"/>
            <w:vAlign w:val="bottom"/>
          </w:tcPr>
          <w:p>
            <w:pPr>
              <w:jc w:val="right"/>
              <w:ind w:right="571"/>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8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1"/>
              <w:spacing w:after="0" w:line="208" w:lineRule="exact"/>
              <w:rPr>
                <w:sz w:val="20"/>
                <w:szCs w:val="20"/>
                <w:color w:val="auto"/>
              </w:rPr>
            </w:pPr>
            <w:r>
              <w:rPr>
                <w:rFonts w:ascii="Calibri" w:cs="Calibri" w:eastAsia="Calibri" w:hAnsi="Calibri"/>
                <w:sz w:val="18"/>
                <w:szCs w:val="18"/>
                <w:color w:val="auto"/>
                <w:w w:val="97"/>
              </w:rPr>
              <w:t>(unaudited)</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80" w:type="dxa"/>
            <w:vAlign w:val="bottom"/>
          </w:tcPr>
          <w:p>
            <w:pPr>
              <w:ind w:left="20"/>
              <w:spacing w:after="0"/>
              <w:rPr>
                <w:sz w:val="20"/>
                <w:szCs w:val="20"/>
                <w:color w:val="auto"/>
              </w:rPr>
            </w:pPr>
            <w:r>
              <w:rPr>
                <w:rFonts w:ascii="Calibri" w:cs="Calibri" w:eastAsia="Calibri" w:hAnsi="Calibri"/>
                <w:sz w:val="18"/>
                <w:szCs w:val="18"/>
                <w:b w:val="1"/>
                <w:bCs w:val="1"/>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180"/>
              <w:spacing w:after="0"/>
              <w:rPr>
                <w:sz w:val="20"/>
                <w:szCs w:val="20"/>
                <w:color w:val="auto"/>
              </w:rPr>
            </w:pPr>
            <w:r>
              <w:rPr>
                <w:rFonts w:ascii="Calibri" w:cs="Calibri" w:eastAsia="Calibri" w:hAnsi="Calibri"/>
                <w:sz w:val="18"/>
                <w:szCs w:val="18"/>
                <w:b w:val="1"/>
                <w:bCs w:val="1"/>
                <w:color w:val="auto"/>
              </w:rPr>
              <w:t>Current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Cash and equivalents</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8,521</w:t>
            </w:r>
          </w:p>
        </w:tc>
        <w:tc>
          <w:tcPr>
            <w:tcW w:w="30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9,746</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Short-term investments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1,440</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Accounts receivable, net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11,237</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9,977</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Inventories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3,396</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3,128</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Calibri" w:cs="Calibri" w:eastAsia="Calibri" w:hAnsi="Calibri"/>
                <w:sz w:val="18"/>
                <w:szCs w:val="18"/>
                <w:color w:val="auto"/>
              </w:rPr>
              <w:t>Prepaid expenses and other</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4,506</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4,993</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Total current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29,100</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27,928</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Investments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244</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277</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Property and equipment, net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4,958</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5,110</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Intangible assets, net</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71,823</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75,951</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Goodwill</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32,028</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32,379</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5,033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4,884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auto"/>
            </w:tcBorders>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143,186</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146,529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Liabilites and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b w:val="1"/>
                <w:bCs w:val="1"/>
                <w:color w:val="auto"/>
              </w:rPr>
              <w:t>Current liabilites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Current porton of long-term debt and fnance lease obligatons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11,913</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12,481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Calibri" w:cs="Calibri" w:eastAsia="Calibri" w:hAnsi="Calibri"/>
                <w:sz w:val="18"/>
                <w:szCs w:val="18"/>
                <w:color w:val="auto"/>
              </w:rPr>
              <w:t>Accounts payable and accrued liabilites</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22,543</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22,699</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Total current liabilites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34,473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35,194</w:t>
            </w:r>
          </w:p>
        </w:tc>
        <w:tc>
          <w:tcPr>
            <w:tcW w:w="0" w:type="dxa"/>
            <w:vAlign w:val="bottom"/>
          </w:tcPr>
          <w:p>
            <w:pPr>
              <w:spacing w:after="0"/>
              <w:rPr>
                <w:sz w:val="1"/>
                <w:szCs w:val="1"/>
                <w:color w:val="auto"/>
              </w:rPr>
            </w:pPr>
          </w:p>
        </w:tc>
      </w:tr>
      <w:tr>
        <w:trPr>
          <w:trHeight w:val="149"/>
        </w:trPr>
        <w:tc>
          <w:tcPr>
            <w:tcW w:w="8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Long-term debt and fnance lease obligatons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61,002</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64,189</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Deferred income taxes</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2,255</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3,009</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Other long-term liabilites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30,768</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28,701</w:t>
            </w:r>
          </w:p>
        </w:tc>
        <w:tc>
          <w:tcPr>
            <w:tcW w:w="0" w:type="dxa"/>
            <w:vAlign w:val="bottom"/>
          </w:tcPr>
          <w:p>
            <w:pPr>
              <w:spacing w:after="0"/>
              <w:rPr>
                <w:sz w:val="1"/>
                <w:szCs w:val="1"/>
                <w:color w:val="auto"/>
              </w:rPr>
            </w:pPr>
          </w:p>
        </w:tc>
      </w:tr>
      <w:tr>
        <w:trPr>
          <w:trHeight w:val="169"/>
        </w:trPr>
        <w:tc>
          <w:tcPr>
            <w:tcW w:w="8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Commitments and contngencies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b w:val="1"/>
                <w:bCs w:val="1"/>
                <w:color w:val="auto"/>
              </w:rPr>
              <w:t>Stockholders' equity</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380" w:type="dxa"/>
            <w:vAlign w:val="bottom"/>
            <w:shd w:val="clear" w:color="auto" w:fill="CCEEFF"/>
          </w:tcPr>
          <w:p>
            <w:pPr>
              <w:ind w:left="180"/>
              <w:spacing w:after="0" w:line="174" w:lineRule="exact"/>
              <w:rPr>
                <w:sz w:val="20"/>
                <w:szCs w:val="20"/>
                <w:color w:val="auto"/>
              </w:rPr>
            </w:pPr>
            <w:r>
              <w:rPr>
                <w:rFonts w:ascii="Calibri" w:cs="Calibri" w:eastAsia="Calibri" w:hAnsi="Calibri"/>
                <w:sz w:val="18"/>
                <w:szCs w:val="18"/>
                <w:color w:val="auto"/>
                <w:w w:val="97"/>
              </w:rPr>
              <w:t>Common stock, $0.01 par value, 4,000,000,000 shares authorized, 1,812,622,099 shares issued as of June 30, 2022</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and 1,803,195,293 as of December 31, 2021</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18</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167"/>
        </w:trPr>
        <w:tc>
          <w:tcPr>
            <w:tcW w:w="8380" w:type="dxa"/>
            <w:vAlign w:val="bottom"/>
          </w:tcPr>
          <w:p>
            <w:pPr>
              <w:ind w:left="180"/>
              <w:spacing w:after="0" w:line="166" w:lineRule="exact"/>
              <w:rPr>
                <w:sz w:val="20"/>
                <w:szCs w:val="20"/>
                <w:color w:val="auto"/>
              </w:rPr>
            </w:pPr>
            <w:r>
              <w:rPr>
                <w:rFonts w:ascii="Calibri" w:cs="Calibri" w:eastAsia="Calibri" w:hAnsi="Calibri"/>
                <w:sz w:val="18"/>
                <w:szCs w:val="18"/>
                <w:color w:val="auto"/>
                <w:w w:val="98"/>
              </w:rPr>
              <w:t>Common stock held in treasury, at cost, 44,595,448 shares as of June 30, 2022 and 34,857,597 as of December 31,</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2021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(4,591)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auto"/>
              </w:rPr>
              <w:t>(3,143)</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Additonal paid-in capital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18,906</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18,305</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Retained earnings</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3,516</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3,127</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Calibri" w:cs="Calibri" w:eastAsia="Calibri" w:hAnsi="Calibri"/>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(3,196)</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(2,899)</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b w:val="1"/>
                <w:bCs w:val="1"/>
                <w:color w:val="auto"/>
              </w:rPr>
              <w:t>Total stockholders' equity</w:t>
            </w:r>
          </w:p>
        </w:tc>
        <w:tc>
          <w:tcPr>
            <w:tcW w:w="160" w:type="dxa"/>
            <w:vAlign w:val="bottom"/>
          </w:tcPr>
          <w:p>
            <w:pPr>
              <w:spacing w:after="0"/>
              <w:rPr>
                <w:sz w:val="19"/>
                <w:szCs w:val="19"/>
                <w:color w:val="auto"/>
              </w:rPr>
            </w:pPr>
          </w:p>
        </w:tc>
        <w:tc>
          <w:tcPr>
            <w:tcW w:w="104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14,653</w:t>
            </w:r>
          </w:p>
        </w:tc>
        <w:tc>
          <w:tcPr>
            <w:tcW w:w="30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15,408</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Calibri" w:cs="Calibri" w:eastAsia="Calibri" w:hAnsi="Calibri"/>
                <w:sz w:val="18"/>
                <w:szCs w:val="18"/>
                <w:color w:val="auto"/>
              </w:rPr>
              <w:t>Noncontrolling interest</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35</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Total equity</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14,688</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15,436</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Total liabilites and equity</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143,186</w:t>
            </w:r>
          </w:p>
        </w:tc>
        <w:tc>
          <w:tcPr>
            <w:tcW w:w="3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146,529</w:t>
            </w:r>
          </w:p>
        </w:tc>
        <w:tc>
          <w:tcPr>
            <w:tcW w:w="0" w:type="dxa"/>
            <w:vAlign w:val="bottom"/>
          </w:tcPr>
          <w:p>
            <w:pPr>
              <w:spacing w:after="0"/>
              <w:rPr>
                <w:sz w:val="1"/>
                <w:szCs w:val="1"/>
                <w:color w:val="auto"/>
              </w:rPr>
            </w:pPr>
          </w:p>
        </w:tc>
      </w:tr>
      <w:tr>
        <w:trPr>
          <w:trHeight w:val="27"/>
        </w:trPr>
        <w:tc>
          <w:tcPr>
            <w:tcW w:w="8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400685</wp:posOffset>
            </wp:positionV>
            <wp:extent cx="514350"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3</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Equity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24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Common</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Additonal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Accumulated other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6"/>
        </w:trPr>
        <w:tc>
          <w:tcPr>
            <w:tcW w:w="2900" w:type="dxa"/>
            <w:vAlign w:val="bottom"/>
          </w:tcPr>
          <w:p>
            <w:pPr>
              <w:spacing w:after="0"/>
              <w:rPr>
                <w:sz w:val="11"/>
                <w:szCs w:val="11"/>
                <w:color w:val="auto"/>
              </w:rPr>
            </w:pPr>
          </w:p>
        </w:tc>
        <w:tc>
          <w:tcPr>
            <w:tcW w:w="1240" w:type="dxa"/>
            <w:vAlign w:val="bottom"/>
          </w:tcPr>
          <w:p>
            <w:pPr>
              <w:jc w:val="center"/>
              <w:ind w:left="108"/>
              <w:spacing w:after="0" w:line="136" w:lineRule="exact"/>
              <w:rPr>
                <w:sz w:val="20"/>
                <w:szCs w:val="20"/>
                <w:color w:val="auto"/>
              </w:rPr>
            </w:pPr>
            <w:r>
              <w:rPr>
                <w:rFonts w:ascii="Calibri" w:cs="Calibri" w:eastAsia="Calibri" w:hAnsi="Calibri"/>
                <w:sz w:val="14"/>
                <w:szCs w:val="14"/>
                <w:b w:val="1"/>
                <w:bCs w:val="1"/>
                <w:color w:val="auto"/>
              </w:rPr>
              <w:t>shares</w:t>
            </w:r>
          </w:p>
        </w:tc>
        <w:tc>
          <w:tcPr>
            <w:tcW w:w="160" w:type="dxa"/>
            <w:vAlign w:val="bottom"/>
          </w:tcPr>
          <w:p>
            <w:pPr>
              <w:spacing w:after="0"/>
              <w:rPr>
                <w:sz w:val="11"/>
                <w:szCs w:val="11"/>
                <w:color w:val="auto"/>
              </w:rPr>
            </w:pPr>
          </w:p>
        </w:tc>
        <w:tc>
          <w:tcPr>
            <w:tcW w:w="700" w:type="dxa"/>
            <w:vAlign w:val="bottom"/>
          </w:tcPr>
          <w:p>
            <w:pPr>
              <w:jc w:val="right"/>
              <w:ind w:right="68"/>
              <w:spacing w:after="0" w:line="136" w:lineRule="exact"/>
              <w:rPr>
                <w:sz w:val="20"/>
                <w:szCs w:val="20"/>
                <w:color w:val="auto"/>
              </w:rPr>
            </w:pPr>
            <w:r>
              <w:rPr>
                <w:rFonts w:ascii="Calibri" w:cs="Calibri" w:eastAsia="Calibri" w:hAnsi="Calibri"/>
                <w:sz w:val="14"/>
                <w:szCs w:val="14"/>
                <w:b w:val="1"/>
                <w:bCs w:val="1"/>
                <w:color w:val="auto"/>
              </w:rPr>
              <w:t>Common</w:t>
            </w:r>
          </w:p>
        </w:tc>
        <w:tc>
          <w:tcPr>
            <w:tcW w:w="200" w:type="dxa"/>
            <w:vAlign w:val="bottom"/>
          </w:tcPr>
          <w:p>
            <w:pPr>
              <w:spacing w:after="0"/>
              <w:rPr>
                <w:sz w:val="11"/>
                <w:szCs w:val="11"/>
                <w:color w:val="auto"/>
              </w:rPr>
            </w:pPr>
          </w:p>
        </w:tc>
        <w:tc>
          <w:tcPr>
            <w:tcW w:w="720" w:type="dxa"/>
            <w:vAlign w:val="bottom"/>
          </w:tcPr>
          <w:p>
            <w:pPr>
              <w:jc w:val="right"/>
              <w:ind w:right="108"/>
              <w:spacing w:after="0" w:line="136" w:lineRule="exact"/>
              <w:rPr>
                <w:sz w:val="20"/>
                <w:szCs w:val="20"/>
                <w:color w:val="auto"/>
              </w:rPr>
            </w:pPr>
            <w:r>
              <w:rPr>
                <w:rFonts w:ascii="Calibri" w:cs="Calibri" w:eastAsia="Calibri" w:hAnsi="Calibri"/>
                <w:sz w:val="14"/>
                <w:szCs w:val="14"/>
                <w:b w:val="1"/>
                <w:bCs w:val="1"/>
                <w:color w:val="auto"/>
              </w:rPr>
              <w:t>Treasury</w:t>
            </w:r>
          </w:p>
        </w:tc>
        <w:tc>
          <w:tcPr>
            <w:tcW w:w="160" w:type="dxa"/>
            <w:vAlign w:val="bottom"/>
          </w:tcPr>
          <w:p>
            <w:pPr>
              <w:spacing w:after="0"/>
              <w:rPr>
                <w:sz w:val="11"/>
                <w:szCs w:val="11"/>
                <w:color w:val="auto"/>
              </w:rPr>
            </w:pPr>
          </w:p>
        </w:tc>
        <w:tc>
          <w:tcPr>
            <w:tcW w:w="800" w:type="dxa"/>
            <w:vAlign w:val="bottom"/>
          </w:tcPr>
          <w:p>
            <w:pPr>
              <w:jc w:val="center"/>
              <w:ind w:right="68"/>
              <w:spacing w:after="0" w:line="136" w:lineRule="exact"/>
              <w:rPr>
                <w:sz w:val="20"/>
                <w:szCs w:val="20"/>
                <w:color w:val="auto"/>
              </w:rPr>
            </w:pPr>
            <w:r>
              <w:rPr>
                <w:rFonts w:ascii="Calibri" w:cs="Calibri" w:eastAsia="Calibri" w:hAnsi="Calibri"/>
                <w:sz w:val="14"/>
                <w:szCs w:val="14"/>
                <w:b w:val="1"/>
                <w:bCs w:val="1"/>
                <w:color w:val="auto"/>
              </w:rPr>
              <w:t>paid-in</w:t>
            </w:r>
          </w:p>
        </w:tc>
        <w:tc>
          <w:tcPr>
            <w:tcW w:w="180" w:type="dxa"/>
            <w:vAlign w:val="bottom"/>
          </w:tcPr>
          <w:p>
            <w:pPr>
              <w:spacing w:after="0"/>
              <w:rPr>
                <w:sz w:val="11"/>
                <w:szCs w:val="11"/>
                <w:color w:val="auto"/>
              </w:rPr>
            </w:pPr>
          </w:p>
        </w:tc>
        <w:tc>
          <w:tcPr>
            <w:tcW w:w="740" w:type="dxa"/>
            <w:vAlign w:val="bottom"/>
          </w:tcPr>
          <w:p>
            <w:pPr>
              <w:jc w:val="right"/>
              <w:ind w:right="108"/>
              <w:spacing w:after="0" w:line="136" w:lineRule="exact"/>
              <w:rPr>
                <w:sz w:val="20"/>
                <w:szCs w:val="20"/>
                <w:color w:val="auto"/>
              </w:rPr>
            </w:pPr>
            <w:r>
              <w:rPr>
                <w:rFonts w:ascii="Calibri" w:cs="Calibri" w:eastAsia="Calibri" w:hAnsi="Calibri"/>
                <w:sz w:val="14"/>
                <w:szCs w:val="14"/>
                <w:b w:val="1"/>
                <w:bCs w:val="1"/>
                <w:color w:val="auto"/>
              </w:rPr>
              <w:t>Retained</w:t>
            </w:r>
          </w:p>
        </w:tc>
        <w:tc>
          <w:tcPr>
            <w:tcW w:w="160" w:type="dxa"/>
            <w:vAlign w:val="bottom"/>
          </w:tcPr>
          <w:p>
            <w:pPr>
              <w:spacing w:after="0"/>
              <w:rPr>
                <w:sz w:val="11"/>
                <w:szCs w:val="11"/>
                <w:color w:val="auto"/>
              </w:rPr>
            </w:pPr>
          </w:p>
        </w:tc>
        <w:tc>
          <w:tcPr>
            <w:tcW w:w="1140" w:type="dxa"/>
            <w:vAlign w:val="bottom"/>
          </w:tcPr>
          <w:p>
            <w:pPr>
              <w:jc w:val="right"/>
              <w:ind w:right="128"/>
              <w:spacing w:after="0" w:line="136" w:lineRule="exact"/>
              <w:rPr>
                <w:sz w:val="20"/>
                <w:szCs w:val="20"/>
                <w:color w:val="auto"/>
              </w:rPr>
            </w:pPr>
            <w:r>
              <w:rPr>
                <w:rFonts w:ascii="Calibri" w:cs="Calibri" w:eastAsia="Calibri" w:hAnsi="Calibri"/>
                <w:sz w:val="14"/>
                <w:szCs w:val="14"/>
                <w:b w:val="1"/>
                <w:bCs w:val="1"/>
                <w:color w:val="auto"/>
              </w:rPr>
              <w:t>comprehensive</w:t>
            </w:r>
          </w:p>
        </w:tc>
        <w:tc>
          <w:tcPr>
            <w:tcW w:w="160" w:type="dxa"/>
            <w:vAlign w:val="bottom"/>
          </w:tcPr>
          <w:p>
            <w:pPr>
              <w:spacing w:after="0"/>
              <w:rPr>
                <w:sz w:val="11"/>
                <w:szCs w:val="11"/>
                <w:color w:val="auto"/>
              </w:rPr>
            </w:pPr>
          </w:p>
        </w:tc>
        <w:tc>
          <w:tcPr>
            <w:tcW w:w="1100" w:type="dxa"/>
            <w:vAlign w:val="bottom"/>
          </w:tcPr>
          <w:p>
            <w:pPr>
              <w:jc w:val="right"/>
              <w:ind w:right="108"/>
              <w:spacing w:after="0" w:line="136" w:lineRule="exact"/>
              <w:rPr>
                <w:sz w:val="20"/>
                <w:szCs w:val="20"/>
                <w:color w:val="auto"/>
              </w:rPr>
            </w:pPr>
            <w:r>
              <w:rPr>
                <w:rFonts w:ascii="Calibri" w:cs="Calibri" w:eastAsia="Calibri" w:hAnsi="Calibri"/>
                <w:sz w:val="14"/>
                <w:szCs w:val="14"/>
                <w:b w:val="1"/>
                <w:bCs w:val="1"/>
                <w:color w:val="auto"/>
              </w:rPr>
              <w:t>Noncontrolling</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3"/>
        </w:trPr>
        <w:tc>
          <w:tcPr>
            <w:tcW w:w="290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240" w:type="dxa"/>
            <w:vAlign w:val="bottom"/>
          </w:tcPr>
          <w:p>
            <w:pPr>
              <w:jc w:val="center"/>
              <w:ind w:left="128"/>
              <w:spacing w:after="0"/>
              <w:rPr>
                <w:sz w:val="20"/>
                <w:szCs w:val="20"/>
                <w:color w:val="auto"/>
              </w:rPr>
            </w:pPr>
            <w:r>
              <w:rPr>
                <w:rFonts w:ascii="Calibri" w:cs="Calibri" w:eastAsia="Calibri" w:hAnsi="Calibri"/>
                <w:sz w:val="14"/>
                <w:szCs w:val="14"/>
                <w:b w:val="1"/>
                <w:bCs w:val="1"/>
                <w:color w:val="auto"/>
              </w:rPr>
              <w:t>outstanding</w:t>
            </w:r>
          </w:p>
        </w:tc>
        <w:tc>
          <w:tcPr>
            <w:tcW w:w="16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stock</w:t>
            </w:r>
          </w:p>
        </w:tc>
        <w:tc>
          <w:tcPr>
            <w:tcW w:w="20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stock</w:t>
            </w:r>
          </w:p>
        </w:tc>
        <w:tc>
          <w:tcPr>
            <w:tcW w:w="16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capital</w:t>
            </w:r>
          </w:p>
        </w:tc>
        <w:tc>
          <w:tcPr>
            <w:tcW w:w="18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earnings</w:t>
            </w:r>
          </w:p>
        </w:tc>
        <w:tc>
          <w:tcPr>
            <w:tcW w:w="160" w:type="dxa"/>
            <w:vAlign w:val="bottom"/>
          </w:tcPr>
          <w:p>
            <w:pPr>
              <w:spacing w:after="0"/>
              <w:rPr>
                <w:sz w:val="15"/>
                <w:szCs w:val="15"/>
                <w:color w:val="auto"/>
              </w:rPr>
            </w:pPr>
          </w:p>
        </w:tc>
        <w:tc>
          <w:tcPr>
            <w:tcW w:w="1140" w:type="dxa"/>
            <w:vAlign w:val="bottom"/>
          </w:tcPr>
          <w:p>
            <w:pPr>
              <w:jc w:val="right"/>
              <w:ind w:right="468"/>
              <w:spacing w:after="0"/>
              <w:rPr>
                <w:sz w:val="20"/>
                <w:szCs w:val="20"/>
                <w:color w:val="auto"/>
              </w:rPr>
            </w:pPr>
            <w:r>
              <w:rPr>
                <w:rFonts w:ascii="Calibri" w:cs="Calibri" w:eastAsia="Calibri" w:hAnsi="Calibri"/>
                <w:sz w:val="14"/>
                <w:szCs w:val="14"/>
                <w:b w:val="1"/>
                <w:bCs w:val="1"/>
                <w:color w:val="auto"/>
              </w:rPr>
              <w:t>loss</w:t>
            </w:r>
          </w:p>
        </w:tc>
        <w:tc>
          <w:tcPr>
            <w:tcW w:w="160" w:type="dxa"/>
            <w:vAlign w:val="bottom"/>
          </w:tcPr>
          <w:p>
            <w:pPr>
              <w:spacing w:after="0"/>
              <w:rPr>
                <w:sz w:val="15"/>
                <w:szCs w:val="15"/>
                <w:color w:val="auto"/>
              </w:rPr>
            </w:pPr>
          </w:p>
        </w:tc>
        <w:tc>
          <w:tcPr>
            <w:tcW w:w="1100" w:type="dxa"/>
            <w:vAlign w:val="bottom"/>
          </w:tcPr>
          <w:p>
            <w:pPr>
              <w:jc w:val="right"/>
              <w:ind w:right="328"/>
              <w:spacing w:after="0"/>
              <w:rPr>
                <w:sz w:val="20"/>
                <w:szCs w:val="20"/>
                <w:color w:val="auto"/>
              </w:rPr>
            </w:pPr>
            <w:r>
              <w:rPr>
                <w:rFonts w:ascii="Calibri" w:cs="Calibri" w:eastAsia="Calibri" w:hAnsi="Calibri"/>
                <w:sz w:val="14"/>
                <w:szCs w:val="14"/>
                <w:b w:val="1"/>
                <w:bCs w:val="1"/>
                <w:color w:val="auto"/>
              </w:rPr>
              <w:t>interest</w:t>
            </w:r>
          </w:p>
        </w:tc>
        <w:tc>
          <w:tcPr>
            <w:tcW w:w="24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March 31, 2021</w:t>
            </w:r>
          </w:p>
        </w:tc>
        <w:tc>
          <w:tcPr>
            <w:tcW w:w="12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1,766</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(3,017)</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17,712</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2,292</w:t>
            </w:r>
          </w:p>
        </w:tc>
        <w:tc>
          <w:tcPr>
            <w:tcW w:w="160" w:type="dxa"/>
            <w:vAlign w:val="bottom"/>
            <w:tcBorders>
              <w:bottom w:val="single" w:sz="8" w:color="CCEEFF"/>
            </w:tcBorders>
            <w:shd w:val="clear" w:color="auto" w:fill="CCEEFF"/>
          </w:tcPr>
          <w:p>
            <w:pPr>
              <w:ind w:left="60"/>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(3,295)</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23</w:t>
            </w:r>
          </w:p>
        </w:tc>
        <w:tc>
          <w:tcPr>
            <w:tcW w:w="2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13,733</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766</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766</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comprehensive income, net of tax</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192</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192</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Dividends declared</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alibri" w:cs="Calibri" w:eastAsia="Calibri" w:hAnsi="Calibri"/>
                <w:sz w:val="14"/>
                <w:szCs w:val="14"/>
                <w:color w:val="auto"/>
              </w:rPr>
              <w:t>(2,318)</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(2,318)</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Purchases of treasury stock</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(10)</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5</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224</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229</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w:t>
            </w:r>
          </w:p>
        </w:tc>
      </w:tr>
      <w:tr>
        <w:trPr>
          <w:trHeight w:val="163"/>
        </w:trPr>
        <w:tc>
          <w:tcPr>
            <w:tcW w:w="29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2021</w:t>
            </w:r>
          </w:p>
        </w:tc>
        <w:tc>
          <w:tcPr>
            <w:tcW w:w="124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1,767</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2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(3,022)</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17,936</w:t>
            </w:r>
          </w:p>
        </w:tc>
        <w:tc>
          <w:tcPr>
            <w:tcW w:w="1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740</w:t>
            </w:r>
          </w:p>
        </w:tc>
        <w:tc>
          <w:tcPr>
            <w:tcW w:w="160" w:type="dxa"/>
            <w:vAlign w:val="bottom"/>
            <w:tcBorders>
              <w:top w:val="single" w:sz="8" w:color="auto"/>
            </w:tcBorders>
          </w:tcPr>
          <w:p>
            <w:pPr>
              <w:ind w:left="60"/>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(3,103)</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25</w:t>
            </w:r>
          </w:p>
        </w:tc>
        <w:tc>
          <w:tcPr>
            <w:tcW w:w="2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12,594</w:t>
            </w:r>
          </w:p>
        </w:tc>
      </w:tr>
      <w:tr>
        <w:trPr>
          <w:trHeight w:val="33"/>
        </w:trPr>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2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b w:val="1"/>
                <w:bCs w:val="1"/>
                <w:color w:val="auto"/>
              </w:rPr>
              <w:t>Balance at March 31, 2022</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1,767</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18</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8"/>
              <w:spacing w:after="0"/>
              <w:rPr>
                <w:sz w:val="20"/>
                <w:szCs w:val="20"/>
                <w:color w:val="auto"/>
              </w:rPr>
            </w:pPr>
            <w:r>
              <w:rPr>
                <w:rFonts w:ascii="Calibri" w:cs="Calibri" w:eastAsia="Calibri" w:hAnsi="Calibri"/>
                <w:sz w:val="14"/>
                <w:szCs w:val="14"/>
                <w:color w:val="auto"/>
              </w:rPr>
              <w:t>(4,585)</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18,731</w:t>
            </w:r>
          </w:p>
        </w:tc>
        <w:tc>
          <w:tcPr>
            <w:tcW w:w="1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5,103</w:t>
            </w:r>
          </w:p>
        </w:tc>
        <w:tc>
          <w:tcPr>
            <w:tcW w:w="160" w:type="dxa"/>
            <w:vAlign w:val="bottom"/>
          </w:tcPr>
          <w:p>
            <w:pPr>
              <w:ind w:left="60"/>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8"/>
              <w:spacing w:after="0"/>
              <w:rPr>
                <w:sz w:val="20"/>
                <w:szCs w:val="20"/>
                <w:color w:val="auto"/>
              </w:rPr>
            </w:pPr>
            <w:r>
              <w:rPr>
                <w:rFonts w:ascii="Calibri" w:cs="Calibri" w:eastAsia="Calibri" w:hAnsi="Calibri"/>
                <w:sz w:val="14"/>
                <w:szCs w:val="14"/>
                <w:color w:val="auto"/>
              </w:rPr>
              <w:t>(2,984)</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31</w:t>
            </w:r>
          </w:p>
        </w:tc>
        <w:tc>
          <w:tcPr>
            <w:tcW w:w="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16,314</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924</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924</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alibri" w:cs="Calibri" w:eastAsia="Calibri" w:hAnsi="Calibri"/>
                <w:sz w:val="14"/>
                <w:szCs w:val="14"/>
                <w:color w:val="auto"/>
              </w:rPr>
              <w:t>(212)</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(212)</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Dividends declared</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(2,511)</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(2,511)</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Purchases of treasury stock</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alibri" w:cs="Calibri" w:eastAsia="Calibri" w:hAnsi="Calibri"/>
                <w:sz w:val="14"/>
                <w:szCs w:val="14"/>
                <w:color w:val="auto"/>
              </w:rPr>
              <w:t>(9)</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(9)</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3</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175</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178</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4</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4</w:t>
            </w:r>
          </w:p>
        </w:tc>
      </w:tr>
      <w:tr>
        <w:trPr>
          <w:trHeight w:val="33"/>
        </w:trPr>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1"/>
        </w:trPr>
        <w:tc>
          <w:tcPr>
            <w:tcW w:w="290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2022</w:t>
            </w:r>
          </w:p>
        </w:tc>
        <w:tc>
          <w:tcPr>
            <w:tcW w:w="12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1,768</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(4,591)</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18,906</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3,516</w:t>
            </w:r>
          </w:p>
        </w:tc>
        <w:tc>
          <w:tcPr>
            <w:tcW w:w="160" w:type="dxa"/>
            <w:vAlign w:val="bottom"/>
            <w:tcBorders>
              <w:bottom w:val="single" w:sz="8" w:color="CCEEFF"/>
            </w:tcBorders>
            <w:shd w:val="clear" w:color="auto" w:fill="CCEEFF"/>
          </w:tcPr>
          <w:p>
            <w:pPr>
              <w:ind w:left="60"/>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(3,196)</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35</w:t>
            </w:r>
          </w:p>
        </w:tc>
        <w:tc>
          <w:tcPr>
            <w:tcW w:w="2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14,688</w:t>
            </w:r>
          </w:p>
        </w:tc>
      </w:tr>
      <w:tr>
        <w:trPr>
          <w:trHeight w:val="20"/>
        </w:trPr>
        <w:tc>
          <w:tcPr>
            <w:tcW w:w="29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Balance at December 31, 2020</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1,765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(2,264)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17,384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1,055</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Calibri" w:cs="Calibri" w:eastAsia="Calibri" w:hAnsi="Calibri"/>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(3,117)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21</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13,097</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4,319</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4,319</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comprehensive income, net of tax</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14</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Dividends declared</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alibri" w:cs="Calibri" w:eastAsia="Calibri" w:hAnsi="Calibri"/>
                <w:sz w:val="14"/>
                <w:szCs w:val="14"/>
                <w:color w:val="auto"/>
              </w:rPr>
              <w:t>(4,634)</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(4,634)</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Purchases of treasury stock</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(7)</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(797)</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(797)</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9</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39</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552</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591</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w:t>
            </w:r>
          </w:p>
        </w:tc>
      </w:tr>
      <w:tr>
        <w:trPr>
          <w:trHeight w:val="163"/>
        </w:trPr>
        <w:tc>
          <w:tcPr>
            <w:tcW w:w="29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2021</w:t>
            </w:r>
          </w:p>
        </w:tc>
        <w:tc>
          <w:tcPr>
            <w:tcW w:w="124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1,767</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2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(3,022)</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17,936</w:t>
            </w:r>
          </w:p>
        </w:tc>
        <w:tc>
          <w:tcPr>
            <w:tcW w:w="1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740</w:t>
            </w:r>
          </w:p>
        </w:tc>
        <w:tc>
          <w:tcPr>
            <w:tcW w:w="160" w:type="dxa"/>
            <w:vAlign w:val="bottom"/>
            <w:tcBorders>
              <w:top w:val="single" w:sz="8" w:color="auto"/>
            </w:tcBorders>
          </w:tcPr>
          <w:p>
            <w:pPr>
              <w:ind w:left="60"/>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(3,103)</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25</w:t>
            </w:r>
          </w:p>
        </w:tc>
        <w:tc>
          <w:tcPr>
            <w:tcW w:w="2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12,594</w:t>
            </w:r>
          </w:p>
        </w:tc>
      </w:tr>
      <w:tr>
        <w:trPr>
          <w:trHeight w:val="33"/>
        </w:trPr>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2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b w:val="1"/>
                <w:bCs w:val="1"/>
                <w:color w:val="auto"/>
              </w:rPr>
              <w:t>Balance at December 31, 2021</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1,768</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18</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ind w:right="8"/>
              <w:spacing w:after="0"/>
              <w:rPr>
                <w:sz w:val="20"/>
                <w:szCs w:val="20"/>
                <w:color w:val="auto"/>
              </w:rPr>
            </w:pPr>
            <w:r>
              <w:rPr>
                <w:rFonts w:ascii="Calibri" w:cs="Calibri" w:eastAsia="Calibri" w:hAnsi="Calibri"/>
                <w:sz w:val="14"/>
                <w:szCs w:val="14"/>
                <w:color w:val="auto"/>
              </w:rPr>
              <w:t>(3,143)</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18,305</w:t>
            </w:r>
          </w:p>
        </w:tc>
        <w:tc>
          <w:tcPr>
            <w:tcW w:w="1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3,127</w:t>
            </w:r>
          </w:p>
        </w:tc>
        <w:tc>
          <w:tcPr>
            <w:tcW w:w="160" w:type="dxa"/>
            <w:vAlign w:val="bottom"/>
          </w:tcPr>
          <w:p>
            <w:pPr>
              <w:ind w:left="60"/>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8"/>
              <w:spacing w:after="0"/>
              <w:rPr>
                <w:sz w:val="20"/>
                <w:szCs w:val="20"/>
                <w:color w:val="auto"/>
              </w:rPr>
            </w:pPr>
            <w:r>
              <w:rPr>
                <w:rFonts w:ascii="Calibri" w:cs="Calibri" w:eastAsia="Calibri" w:hAnsi="Calibri"/>
                <w:sz w:val="14"/>
                <w:szCs w:val="14"/>
                <w:color w:val="auto"/>
              </w:rPr>
              <w:t>(2,899)</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28</w:t>
            </w:r>
          </w:p>
        </w:tc>
        <w:tc>
          <w:tcPr>
            <w:tcW w:w="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15,436</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5,414</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5,414</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alibri" w:cs="Calibri" w:eastAsia="Calibri" w:hAnsi="Calibri"/>
                <w:sz w:val="14"/>
                <w:szCs w:val="14"/>
                <w:color w:val="auto"/>
              </w:rPr>
              <w:t>(297)</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(297)</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Dividends declared</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(5,025)</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(5,025)</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Purchases of treasury stock</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(10)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alibri" w:cs="Calibri" w:eastAsia="Calibri" w:hAnsi="Calibri"/>
                <w:sz w:val="14"/>
                <w:szCs w:val="14"/>
                <w:color w:val="auto"/>
              </w:rPr>
              <w:t>(1,479)</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(1,479)</w:t>
            </w:r>
          </w:p>
        </w:tc>
      </w:tr>
      <w:tr>
        <w:trPr>
          <w:trHeight w:val="33"/>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10</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31</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601</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632</w:t>
            </w:r>
          </w:p>
        </w:tc>
      </w:tr>
      <w:tr>
        <w:trPr>
          <w:trHeight w:val="170"/>
        </w:trPr>
        <w:tc>
          <w:tcPr>
            <w:tcW w:w="2900" w:type="dxa"/>
            <w:vAlign w:val="bottom"/>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7</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7</w:t>
            </w:r>
          </w:p>
        </w:tc>
      </w:tr>
      <w:tr>
        <w:trPr>
          <w:trHeight w:val="33"/>
        </w:trPr>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1"/>
        </w:trPr>
        <w:tc>
          <w:tcPr>
            <w:tcW w:w="290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2022</w:t>
            </w:r>
          </w:p>
        </w:tc>
        <w:tc>
          <w:tcPr>
            <w:tcW w:w="12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1,768</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(4,591)</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18,906</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3,516</w:t>
            </w:r>
          </w:p>
        </w:tc>
        <w:tc>
          <w:tcPr>
            <w:tcW w:w="160" w:type="dxa"/>
            <w:vAlign w:val="bottom"/>
            <w:tcBorders>
              <w:bottom w:val="single" w:sz="8" w:color="CCEEFF"/>
            </w:tcBorders>
            <w:shd w:val="clear" w:color="auto" w:fill="CCEEFF"/>
          </w:tcPr>
          <w:p>
            <w:pPr>
              <w:ind w:left="60"/>
              <w:spacing w:after="0" w:line="164"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(3,196)</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35</w:t>
            </w:r>
          </w:p>
        </w:tc>
        <w:tc>
          <w:tcPr>
            <w:tcW w:w="2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14,688</w:t>
            </w:r>
          </w:p>
        </w:tc>
      </w:tr>
      <w:tr>
        <w:trPr>
          <w:trHeight w:val="20"/>
        </w:trPr>
        <w:tc>
          <w:tcPr>
            <w:tcW w:w="29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400685</wp:posOffset>
            </wp:positionV>
            <wp:extent cx="51435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4</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 w:name="page7"/>
    <w:bookmarkEnd w:id="6"/>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Cash Flows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cash outlows)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1"/>
              <w:spacing w:after="0" w:line="164" w:lineRule="exact"/>
              <w:rPr>
                <w:sz w:val="20"/>
                <w:szCs w:val="20"/>
                <w:color w:val="auto"/>
              </w:rPr>
            </w:pPr>
            <w:r>
              <w:rPr>
                <w:rFonts w:ascii="Calibri" w:cs="Calibri" w:eastAsia="Calibri" w:hAnsi="Calibri"/>
                <w:sz w:val="14"/>
                <w:szCs w:val="14"/>
                <w:b w:val="1"/>
                <w:bCs w:val="1"/>
                <w:color w:val="auto"/>
              </w:rPr>
              <w:t>2022</w:t>
            </w:r>
          </w:p>
        </w:tc>
        <w:tc>
          <w:tcPr>
            <w:tcW w:w="560" w:type="dxa"/>
            <w:vAlign w:val="bottom"/>
          </w:tcPr>
          <w:p>
            <w:pPr>
              <w:spacing w:after="0"/>
              <w:rPr>
                <w:sz w:val="14"/>
                <w:szCs w:val="14"/>
                <w:color w:val="auto"/>
              </w:rPr>
            </w:pPr>
          </w:p>
        </w:tc>
        <w:tc>
          <w:tcPr>
            <w:tcW w:w="860" w:type="dxa"/>
            <w:vAlign w:val="bottom"/>
          </w:tcPr>
          <w:p>
            <w:pPr>
              <w:jc w:val="right"/>
              <w:ind w:right="451"/>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8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operatng actvites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5,421</w:t>
            </w:r>
          </w:p>
        </w:tc>
        <w:tc>
          <w:tcPr>
            <w:tcW w:w="56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4,324</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Adjustments to reconcile net earnings to net cash from operatng actvites: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Depreciaton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401</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407</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Amortzaton of intangible assets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3,704</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4,008</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Deferred income taxes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(794)</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(119)</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Change in fair value of contngent consideraton liabilites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861</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2,349</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Stock-based compensaton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413</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428</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Acquired IPR&amp;D and milestones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414</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317</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Gain on divesttures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Non-cash litgaton reserve adjustments, net of cash payments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2,190</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97</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Other, net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Changes in operatng assets and liabilites, net of acquisitons: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Accounts receivable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(1,396)</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(1,162)</w:t>
            </w:r>
          </w:p>
        </w:tc>
        <w:tc>
          <w:tcPr>
            <w:tcW w:w="0" w:type="dxa"/>
            <w:vAlign w:val="bottom"/>
          </w:tcPr>
          <w:p>
            <w:pPr>
              <w:spacing w:after="0"/>
              <w:rPr>
                <w:sz w:val="1"/>
                <w:szCs w:val="1"/>
                <w:color w:val="auto"/>
              </w:rPr>
            </w:pPr>
          </w:p>
        </w:tc>
      </w:tr>
      <w:tr>
        <w:trPr>
          <w:trHeight w:val="222"/>
        </w:trPr>
        <w:tc>
          <w:tcPr>
            <w:tcW w:w="8400" w:type="dxa"/>
            <w:vAlign w:val="bottom"/>
          </w:tcPr>
          <w:p>
            <w:pPr>
              <w:ind w:left="340"/>
              <w:spacing w:after="0" w:line="215" w:lineRule="exact"/>
              <w:rPr>
                <w:sz w:val="20"/>
                <w:szCs w:val="20"/>
                <w:color w:val="auto"/>
              </w:rPr>
            </w:pPr>
            <w:r>
              <w:rPr>
                <w:rFonts w:ascii="Calibri" w:cs="Calibri" w:eastAsia="Calibri" w:hAnsi="Calibri"/>
                <w:sz w:val="18"/>
                <w:szCs w:val="18"/>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(499)</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(249)</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Prepaid expenses and other assets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14</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(281)</w:t>
            </w:r>
          </w:p>
        </w:tc>
        <w:tc>
          <w:tcPr>
            <w:tcW w:w="0" w:type="dxa"/>
            <w:vAlign w:val="bottom"/>
          </w:tcPr>
          <w:p>
            <w:pPr>
              <w:spacing w:after="0"/>
              <w:rPr>
                <w:sz w:val="1"/>
                <w:szCs w:val="1"/>
                <w:color w:val="auto"/>
              </w:rPr>
            </w:pPr>
          </w:p>
        </w:tc>
      </w:tr>
      <w:tr>
        <w:trPr>
          <w:trHeight w:val="222"/>
        </w:trPr>
        <w:tc>
          <w:tcPr>
            <w:tcW w:w="8400" w:type="dxa"/>
            <w:vAlign w:val="bottom"/>
          </w:tcPr>
          <w:p>
            <w:pPr>
              <w:ind w:left="340"/>
              <w:spacing w:after="0" w:line="215" w:lineRule="exact"/>
              <w:rPr>
                <w:sz w:val="20"/>
                <w:szCs w:val="20"/>
                <w:color w:val="auto"/>
              </w:rPr>
            </w:pPr>
            <w:r>
              <w:rPr>
                <w:rFonts w:ascii="Calibri" w:cs="Calibri" w:eastAsia="Calibri" w:hAnsi="Calibri"/>
                <w:sz w:val="18"/>
                <w:szCs w:val="18"/>
                <w:color w:val="auto"/>
              </w:rPr>
              <w:t>Accounts payable and other liabilites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(448)</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308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Calibri" w:cs="Calibri" w:eastAsia="Calibri" w:hAnsi="Calibri"/>
                <w:sz w:val="18"/>
                <w:szCs w:val="18"/>
                <w:color w:val="auto"/>
              </w:rPr>
              <w:t>Income tax assets and liabilites, net</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(562)</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operatng actvites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9,913</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9,767</w:t>
            </w:r>
          </w:p>
        </w:tc>
        <w:tc>
          <w:tcPr>
            <w:tcW w:w="0" w:type="dxa"/>
            <w:vAlign w:val="bottom"/>
          </w:tcPr>
          <w:p>
            <w:pPr>
              <w:spacing w:after="0"/>
              <w:rPr>
                <w:sz w:val="1"/>
                <w:szCs w:val="1"/>
                <w:color w:val="auto"/>
              </w:rPr>
            </w:pPr>
          </w:p>
        </w:tc>
      </w:tr>
      <w:tr>
        <w:trPr>
          <w:trHeight w:val="115"/>
        </w:trPr>
        <w:tc>
          <w:tcPr>
            <w:tcW w:w="8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Acquisitons and investments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(394)</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(345)</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Acquisitons of property and equipment</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(305)</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(383)</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Purchases of investment securites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(1,411)</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Sales and maturites of investment securites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50</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net</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599</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135</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(1,461)</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(584)</w:t>
            </w:r>
          </w:p>
        </w:tc>
        <w:tc>
          <w:tcPr>
            <w:tcW w:w="0" w:type="dxa"/>
            <w:vAlign w:val="bottom"/>
          </w:tcPr>
          <w:p>
            <w:pPr>
              <w:spacing w:after="0"/>
              <w:rPr>
                <w:sz w:val="1"/>
                <w:szCs w:val="1"/>
                <w:color w:val="auto"/>
              </w:rPr>
            </w:pPr>
          </w:p>
        </w:tc>
      </w:tr>
      <w:tr>
        <w:trPr>
          <w:trHeight w:val="115"/>
        </w:trPr>
        <w:tc>
          <w:tcPr>
            <w:tcW w:w="8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Proceeds from issuance of long-term debt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2,000</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Repayments of long-term debt and fnance lease obligatons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(4,881)</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(3,461)</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Dividends paid</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(5,033)</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(4,632)</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Purchases of treasury stock</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(1,479)</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(797)</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Proceeds from the exercise of stock optons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198</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144</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Payments of contngent consideraton liabilites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(482)</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(313)</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net</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26</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(9,651)</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(9,058)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Efect of exchange rate changes on cash and equivalents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Net change in cash and equivalents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(1,225)</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Cash and equivalents, beginning of period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9,746</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8,449</w:t>
            </w:r>
          </w:p>
        </w:tc>
        <w:tc>
          <w:tcPr>
            <w:tcW w:w="0" w:type="dxa"/>
            <w:vAlign w:val="bottom"/>
          </w:tcPr>
          <w:p>
            <w:pPr>
              <w:spacing w:after="0"/>
              <w:rPr>
                <w:sz w:val="1"/>
                <w:szCs w:val="1"/>
                <w:color w:val="auto"/>
              </w:rPr>
            </w:pPr>
          </w:p>
        </w:tc>
      </w:tr>
      <w:tr>
        <w:trPr>
          <w:trHeight w:val="95"/>
        </w:trPr>
        <w:tc>
          <w:tcPr>
            <w:tcW w:w="8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840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Cash and equivalents, end of period</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8,521</w:t>
            </w:r>
          </w:p>
        </w:tc>
        <w:tc>
          <w:tcPr>
            <w:tcW w:w="56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8,546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391795</wp:posOffset>
            </wp:positionV>
            <wp:extent cx="51435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5</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 w:name="page8"/>
    <w:bookmarkEnd w:id="7"/>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Basis of Historical Presentaton</w:t>
      </w:r>
    </w:p>
    <w:p>
      <w:pPr>
        <w:spacing w:after="0" w:line="55"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unaudited interim condensed consolidated fnancial statements of AbbVie Inc. (AbbVie or the company) have been prepared pursuant to the rules and regulatons of the U.S. Securites and Exchange Commission. Accordingly, certain informaton and footnote disclosures normally included in annual fnancial statements prepared in accordance with generally accepted accountng principles in the United States (U.S. GAAP) have been omited. These unaudited interim condensed consolidated fnancial statements should be read in conjuncton with the company’s audited consolidated fnancial statements and notes included in the company’s Annual Report on Form 10-K for the year ended December 31, 2021.</w:t>
      </w:r>
    </w:p>
    <w:p>
      <w:pPr>
        <w:spacing w:after="0" w:line="153" w:lineRule="exact"/>
        <w:rPr>
          <w:sz w:val="20"/>
          <w:szCs w:val="20"/>
          <w:color w:val="auto"/>
        </w:rPr>
      </w:pPr>
    </w:p>
    <w:p>
      <w:pPr>
        <w:ind w:right="240"/>
        <w:spacing w:after="0" w:line="258" w:lineRule="auto"/>
        <w:rPr>
          <w:sz w:val="20"/>
          <w:szCs w:val="20"/>
          <w:color w:val="auto"/>
        </w:rPr>
      </w:pPr>
      <w:r>
        <w:rPr>
          <w:rFonts w:ascii="Calibri" w:cs="Calibri" w:eastAsia="Calibri" w:hAnsi="Calibri"/>
          <w:sz w:val="17"/>
          <w:szCs w:val="17"/>
          <w:color w:val="auto"/>
        </w:rPr>
        <w:t>It is management’s opinion that these fnancial statements include all normal and recurring adjustments necessary for a fair presentaton of the company’s fnancial positon and operatng results. Net revenues and net earnings for any interim period are not necessarily indicatve of future or annual results.</w:t>
      </w:r>
    </w:p>
    <w:p>
      <w:pPr>
        <w:spacing w:after="0" w:line="134"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During the three months ended March 31, 2022, AbbVie revised its classifcaton of development milestone expense associated with licensing and collaboraton arrangements in the consolidated statement of earnings. Milestone payments incurred prior to regulatory approval, which were previously included in research and development expense, are now presented as acquired IPR&amp;D and milestones expense. The reclassifcaton decreased research and development expense and increased acquired IPR&amp;D and milestones expense by $35 million for the three months and $150 million for the six months ended June 30, 2021. The company believes this presentaton assists users of the fnancial statements to beter understand the total upfront and subsequent development milestone payments incurred to acquire in-process research and development projects. Prior periods have been reclassifed to conform to the current period presentaton. The reclassifcaton had no impact on total operatng costs and expenses, operatng earnings, net earnings, net earnings atributable to AbbVie, Inc., earnings per share, or total equity. Certain other reclassifcatons were made to conform the prior period interim condensed consolidated fnancial statements to the current period presentaton.</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2 Supplemental Financial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Interest Expense, Net</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92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Three months ended</w:t>
            </w:r>
          </w:p>
        </w:tc>
        <w:tc>
          <w:tcPr>
            <w:tcW w:w="840" w:type="dxa"/>
            <w:vAlign w:val="bottom"/>
          </w:tcPr>
          <w:p>
            <w:pPr>
              <w:spacing w:after="0"/>
              <w:rPr>
                <w:sz w:val="14"/>
                <w:szCs w:val="14"/>
                <w:color w:val="auto"/>
              </w:rPr>
            </w:pPr>
          </w:p>
        </w:tc>
        <w:tc>
          <w:tcPr>
            <w:tcW w:w="1960" w:type="dxa"/>
            <w:vAlign w:val="bottom"/>
          </w:tcPr>
          <w:p>
            <w:pPr>
              <w:jc w:val="center"/>
              <w:ind w:right="788"/>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2"/>
          </w:tcPr>
          <w:p>
            <w:pPr>
              <w:jc w:val="center"/>
              <w:ind w:right="110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1960" w:type="dxa"/>
            <w:vAlign w:val="bottom"/>
          </w:tcPr>
          <w:p>
            <w:pPr>
              <w:jc w:val="center"/>
              <w:ind w:right="768"/>
              <w:spacing w:after="0"/>
              <w:rPr>
                <w:sz w:val="20"/>
                <w:szCs w:val="20"/>
                <w:color w:val="auto"/>
              </w:rPr>
            </w:pPr>
            <w:r>
              <w:rPr>
                <w:rFonts w:ascii="Calibri" w:cs="Calibri" w:eastAsia="Calibri" w:hAnsi="Calibri"/>
                <w:sz w:val="14"/>
                <w:szCs w:val="14"/>
                <w:b w:val="1"/>
                <w:bCs w:val="1"/>
                <w:color w:val="auto"/>
              </w:rPr>
              <w:t>June 30,</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Calibri" w:cs="Calibri" w:eastAsia="Calibri" w:hAnsi="Calibri"/>
                <w:sz w:val="14"/>
                <w:szCs w:val="14"/>
                <w:b w:val="1"/>
                <w:bCs w:val="1"/>
                <w:color w:val="auto"/>
              </w:rPr>
              <w:t>(in millions)</w:t>
            </w:r>
          </w:p>
        </w:tc>
        <w:tc>
          <w:tcPr>
            <w:tcW w:w="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00" w:type="dxa"/>
            <w:vAlign w:val="bottom"/>
            <w:vMerge w:val="continue"/>
          </w:tcPr>
          <w:p>
            <w:pPr>
              <w:spacing w:after="0"/>
              <w:rPr>
                <w:sz w:val="14"/>
                <w:szCs w:val="14"/>
                <w:color w:val="auto"/>
              </w:rPr>
            </w:pPr>
          </w:p>
        </w:tc>
        <w:tc>
          <w:tcPr>
            <w:tcW w:w="980" w:type="dxa"/>
            <w:vAlign w:val="bottom"/>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2022</w:t>
            </w:r>
          </w:p>
        </w:tc>
        <w:tc>
          <w:tcPr>
            <w:tcW w:w="1820" w:type="dxa"/>
            <w:vAlign w:val="bottom"/>
          </w:tcPr>
          <w:p>
            <w:pPr>
              <w:jc w:val="right"/>
              <w:ind w:right="448"/>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1960" w:type="dxa"/>
            <w:vAlign w:val="bottom"/>
          </w:tcPr>
          <w:p>
            <w:pPr>
              <w:jc w:val="right"/>
              <w:ind w:right="448"/>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Interest expense</w:t>
            </w:r>
          </w:p>
        </w:tc>
        <w:tc>
          <w:tcPr>
            <w:tcW w:w="2540" w:type="dxa"/>
            <w:vAlign w:val="bottom"/>
            <w:tcBorders>
              <w:top w:val="single" w:sz="8" w:color="auto"/>
            </w:tcBorders>
            <w:shd w:val="clear" w:color="auto" w:fill="CCEEFF"/>
          </w:tcPr>
          <w:p>
            <w:pPr>
              <w:jc w:val="right"/>
              <w:ind w:right="370"/>
              <w:spacing w:after="0"/>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tcBorders>
            <w:shd w:val="clear" w:color="auto" w:fill="CCEEFF"/>
          </w:tcPr>
          <w:p>
            <w:pPr>
              <w:ind w:left="460"/>
              <w:spacing w:after="0"/>
              <w:rPr>
                <w:sz w:val="20"/>
                <w:szCs w:val="20"/>
                <w:color w:val="auto"/>
              </w:rPr>
            </w:pPr>
            <w:r>
              <w:rPr>
                <w:rFonts w:ascii="Calibri" w:cs="Calibri" w:eastAsia="Calibri" w:hAnsi="Calibri"/>
                <w:sz w:val="18"/>
                <w:szCs w:val="18"/>
                <w:color w:val="auto"/>
              </w:rPr>
              <w:t>556</w:t>
            </w:r>
          </w:p>
        </w:tc>
        <w:tc>
          <w:tcPr>
            <w:tcW w:w="620" w:type="dxa"/>
            <w:vAlign w:val="bottom"/>
            <w:tcBorders>
              <w:top w:val="single" w:sz="8" w:color="auto"/>
            </w:tcBorders>
            <w:shd w:val="clear" w:color="auto" w:fill="CCEEFF"/>
          </w:tcPr>
          <w:p>
            <w:pPr>
              <w:jc w:val="right"/>
              <w:ind w:right="370"/>
              <w:spacing w:after="0"/>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Calibri" w:cs="Calibri" w:eastAsia="Calibri" w:hAnsi="Calibri"/>
                <w:sz w:val="18"/>
                <w:szCs w:val="18"/>
                <w:color w:val="auto"/>
              </w:rPr>
              <w:t>615</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Calibri" w:cs="Calibri" w:eastAsia="Calibri" w:hAnsi="Calibri"/>
                <w:sz w:val="18"/>
                <w:szCs w:val="18"/>
                <w:color w:val="auto"/>
              </w:rPr>
              <w:t>1,104</w:t>
            </w:r>
          </w:p>
        </w:tc>
        <w:tc>
          <w:tcPr>
            <w:tcW w:w="24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1,247</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2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80"/>
              <w:spacing w:after="0" w:line="215" w:lineRule="exact"/>
              <w:rPr>
                <w:sz w:val="20"/>
                <w:szCs w:val="20"/>
                <w:color w:val="auto"/>
              </w:rPr>
            </w:pPr>
            <w:r>
              <w:rPr>
                <w:rFonts w:ascii="Calibri" w:cs="Calibri" w:eastAsia="Calibri" w:hAnsi="Calibri"/>
                <w:sz w:val="18"/>
                <w:szCs w:val="18"/>
                <w:color w:val="auto"/>
              </w:rPr>
              <w:t>(24)</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540" w:type="dxa"/>
            <w:vAlign w:val="bottom"/>
            <w:tcBorders>
              <w:bottom w:val="single" w:sz="8" w:color="auto"/>
            </w:tcBorders>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ind w:left="460"/>
              <w:spacing w:after="0" w:line="215" w:lineRule="exact"/>
              <w:rPr>
                <w:sz w:val="20"/>
                <w:szCs w:val="20"/>
                <w:color w:val="auto"/>
              </w:rPr>
            </w:pPr>
            <w:r>
              <w:rPr>
                <w:rFonts w:ascii="Calibri" w:cs="Calibri" w:eastAsia="Calibri" w:hAnsi="Calibri"/>
                <w:sz w:val="18"/>
                <w:szCs w:val="18"/>
                <w:color w:val="auto"/>
              </w:rPr>
              <w:t>532</w:t>
            </w:r>
          </w:p>
        </w:tc>
        <w:tc>
          <w:tcPr>
            <w:tcW w:w="620" w:type="dxa"/>
            <w:vAlign w:val="bottom"/>
            <w:tcBorders>
              <w:bottom w:val="single" w:sz="8" w:color="auto"/>
            </w:tcBorders>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606</w:t>
            </w:r>
          </w:p>
        </w:tc>
        <w:tc>
          <w:tcPr>
            <w:tcW w:w="34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1,071</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1,228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540" w:type="dxa"/>
            <w:vAlign w:val="bottom"/>
          </w:tcPr>
          <w:p>
            <w:pPr>
              <w:spacing w:after="0"/>
              <w:rPr>
                <w:sz w:val="20"/>
                <w:szCs w:val="20"/>
                <w:color w:val="auto"/>
              </w:rPr>
            </w:pPr>
            <w:r>
              <w:rPr>
                <w:rFonts w:ascii="Calibri" w:cs="Calibri" w:eastAsia="Calibri" w:hAnsi="Calibri"/>
                <w:sz w:val="18"/>
                <w:szCs w:val="18"/>
                <w:b w:val="1"/>
                <w:bCs w:val="1"/>
                <w:color w:val="444867"/>
              </w:rPr>
              <w:t>Inventories</w:t>
            </w:r>
          </w:p>
        </w:tc>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Calibri" w:cs="Calibri" w:eastAsia="Calibri" w:hAnsi="Calibri"/>
                <w:sz w:val="14"/>
                <w:szCs w:val="14"/>
                <w:b w:val="1"/>
                <w:bCs w:val="1"/>
                <w:color w:val="auto"/>
              </w:rPr>
              <w:t>June 30,</w:t>
            </w:r>
          </w:p>
        </w:tc>
        <w:tc>
          <w:tcPr>
            <w:tcW w:w="240" w:type="dxa"/>
            <w:vAlign w:val="bottom"/>
          </w:tcPr>
          <w:p>
            <w:pPr>
              <w:spacing w:after="0"/>
              <w:rPr>
                <w:sz w:val="14"/>
                <w:szCs w:val="14"/>
                <w:color w:val="auto"/>
              </w:rPr>
            </w:pPr>
          </w:p>
        </w:tc>
        <w:tc>
          <w:tcPr>
            <w:tcW w:w="1180" w:type="dxa"/>
            <w:vAlign w:val="bottom"/>
          </w:tcPr>
          <w:p>
            <w:pPr>
              <w:jc w:val="right"/>
              <w:ind w:right="194"/>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46"/>
        </w:trPr>
        <w:tc>
          <w:tcPr>
            <w:tcW w:w="35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Finished goods</w:t>
            </w:r>
          </w:p>
        </w:tc>
        <w:tc>
          <w:tcPr>
            <w:tcW w:w="2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1,158</w:t>
            </w:r>
          </w:p>
        </w:tc>
        <w:tc>
          <w:tcPr>
            <w:tcW w:w="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932</w:t>
            </w: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line="215" w:lineRule="exact"/>
              <w:rPr>
                <w:sz w:val="20"/>
                <w:szCs w:val="20"/>
                <w:color w:val="auto"/>
              </w:rPr>
            </w:pPr>
            <w:r>
              <w:rPr>
                <w:rFonts w:ascii="Calibri" w:cs="Calibri" w:eastAsia="Calibri" w:hAnsi="Calibri"/>
                <w:sz w:val="18"/>
                <w:szCs w:val="18"/>
                <w:color w:val="auto"/>
              </w:rPr>
              <w:t>Work-in-process</w:t>
            </w: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4"/>
              <w:spacing w:after="0" w:line="215" w:lineRule="exact"/>
              <w:rPr>
                <w:sz w:val="20"/>
                <w:szCs w:val="20"/>
                <w:color w:val="auto"/>
              </w:rPr>
            </w:pPr>
            <w:r>
              <w:rPr>
                <w:rFonts w:ascii="Calibri" w:cs="Calibri" w:eastAsia="Calibri" w:hAnsi="Calibri"/>
                <w:sz w:val="18"/>
                <w:szCs w:val="18"/>
                <w:color w:val="auto"/>
              </w:rPr>
              <w:t>1,250</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1,193</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Raw materials</w:t>
            </w:r>
          </w:p>
        </w:tc>
        <w:tc>
          <w:tcPr>
            <w:tcW w:w="2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Calibri" w:cs="Calibri" w:eastAsia="Calibri" w:hAnsi="Calibri"/>
                <w:sz w:val="18"/>
                <w:szCs w:val="18"/>
                <w:color w:val="auto"/>
              </w:rPr>
              <w:t>988</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1,003</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Inventories</w:t>
            </w:r>
          </w:p>
        </w:tc>
        <w:tc>
          <w:tcPr>
            <w:tcW w:w="2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3,396</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3,128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522605</wp:posOffset>
            </wp:positionV>
            <wp:extent cx="51435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6</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444867"/>
        </w:rPr>
        <w:t>Property and Equipment,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360" w:type="dxa"/>
            <w:vAlign w:val="bottom"/>
          </w:tcPr>
          <w:p>
            <w:pPr>
              <w:spacing w:after="0"/>
              <w:rPr>
                <w:sz w:val="14"/>
                <w:szCs w:val="14"/>
                <w:color w:val="auto"/>
              </w:rPr>
            </w:pPr>
          </w:p>
        </w:tc>
        <w:tc>
          <w:tcPr>
            <w:tcW w:w="1140" w:type="dxa"/>
            <w:vAlign w:val="bottom"/>
          </w:tcPr>
          <w:p>
            <w:pPr>
              <w:jc w:val="right"/>
              <w:ind w:right="397"/>
              <w:spacing w:after="0"/>
              <w:rPr>
                <w:sz w:val="20"/>
                <w:szCs w:val="20"/>
                <w:color w:val="auto"/>
              </w:rPr>
            </w:pPr>
            <w:r>
              <w:rPr>
                <w:rFonts w:ascii="Calibri" w:cs="Calibri" w:eastAsia="Calibri" w:hAnsi="Calibri"/>
                <w:sz w:val="14"/>
                <w:szCs w:val="14"/>
                <w:b w:val="1"/>
                <w:bCs w:val="1"/>
                <w:color w:val="auto"/>
              </w:rPr>
              <w:t>June 30,</w:t>
            </w:r>
          </w:p>
        </w:tc>
        <w:tc>
          <w:tcPr>
            <w:tcW w:w="24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53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140" w:type="dxa"/>
            <w:vAlign w:val="bottom"/>
          </w:tcPr>
          <w:p>
            <w:pPr>
              <w:jc w:val="right"/>
              <w:ind w:right="497"/>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46"/>
        </w:trPr>
        <w:tc>
          <w:tcPr>
            <w:tcW w:w="532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Property and equipment, gross</w:t>
            </w:r>
          </w:p>
        </w:tc>
        <w:tc>
          <w:tcPr>
            <w:tcW w:w="33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10,827</w:t>
            </w:r>
          </w:p>
        </w:tc>
        <w:tc>
          <w:tcPr>
            <w:tcW w:w="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10,727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3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(5,869)</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(5,617)</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Property and equipment, net</w:t>
            </w:r>
          </w:p>
        </w:tc>
        <w:tc>
          <w:tcPr>
            <w:tcW w:w="33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4,958</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Depreciaton expense was $203 million for the three months and $401 million for the six months ended June 30, 2022 and $201 million for the three months and $407 million for the six months ended June 30, 2021.</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AbbVie grants certain restricted stock units (RSUs) that are considered to be partcipatng securites. Due to the presence of partcipatng securites, AbbVie calculates earnings per share (EPS) using the more dilutve of the treasury stock or the two-class method. For all periods presented, the two-class method was more dilutve.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impact of the two-class method: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6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90"/>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2022</w:t>
            </w:r>
          </w:p>
        </w:tc>
        <w:tc>
          <w:tcPr>
            <w:tcW w:w="440" w:type="dxa"/>
            <w:vAlign w:val="bottom"/>
          </w:tcPr>
          <w:p>
            <w:pPr>
              <w:spacing w:after="0"/>
              <w:rPr>
                <w:sz w:val="14"/>
                <w:szCs w:val="14"/>
                <w:color w:val="auto"/>
              </w:rPr>
            </w:pPr>
          </w:p>
        </w:tc>
        <w:tc>
          <w:tcPr>
            <w:tcW w:w="98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84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Basic EPS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earnings atributable to AbbVie Inc.</w:t>
            </w: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4"/>
              <w:spacing w:after="0"/>
              <w:rPr>
                <w:sz w:val="20"/>
                <w:szCs w:val="20"/>
                <w:color w:val="auto"/>
              </w:rPr>
            </w:pPr>
            <w:r>
              <w:rPr>
                <w:rFonts w:ascii="Calibri" w:cs="Calibri" w:eastAsia="Calibri" w:hAnsi="Calibri"/>
                <w:sz w:val="18"/>
                <w:szCs w:val="18"/>
                <w:color w:val="auto"/>
              </w:rPr>
              <w:t>924</w:t>
            </w:r>
          </w:p>
        </w:tc>
        <w:tc>
          <w:tcPr>
            <w:tcW w:w="44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4"/>
              <w:spacing w:after="0"/>
              <w:rPr>
                <w:sz w:val="20"/>
                <w:szCs w:val="20"/>
                <w:color w:val="auto"/>
              </w:rPr>
            </w:pPr>
            <w:r>
              <w:rPr>
                <w:rFonts w:ascii="Calibri" w:cs="Calibri" w:eastAsia="Calibri" w:hAnsi="Calibri"/>
                <w:sz w:val="18"/>
                <w:szCs w:val="18"/>
                <w:color w:val="auto"/>
              </w:rPr>
              <w:t>5,414</w:t>
            </w:r>
          </w:p>
        </w:tc>
        <w:tc>
          <w:tcPr>
            <w:tcW w:w="58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4,319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Earnings allocated to partcipatng securites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11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26</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Earnings available to common shareholders</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913</w:t>
            </w:r>
          </w:p>
        </w:tc>
        <w:tc>
          <w:tcPr>
            <w:tcW w:w="44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749</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5,388</w:t>
            </w:r>
          </w:p>
        </w:tc>
        <w:tc>
          <w:tcPr>
            <w:tcW w:w="58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4,285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Borders>
              <w:bottom w:val="single" w:sz="8" w:color="auto"/>
            </w:tcBorders>
          </w:tcPr>
          <w:p>
            <w:pPr>
              <w:ind w:left="20"/>
              <w:spacing w:after="0" w:line="203" w:lineRule="exact"/>
              <w:rPr>
                <w:sz w:val="20"/>
                <w:szCs w:val="20"/>
                <w:color w:val="auto"/>
              </w:rPr>
            </w:pPr>
            <w:r>
              <w:rPr>
                <w:rFonts w:ascii="Calibri" w:cs="Calibri" w:eastAsia="Calibri" w:hAnsi="Calibri"/>
                <w:sz w:val="18"/>
                <w:szCs w:val="18"/>
                <w:color w:val="auto"/>
              </w:rPr>
              <w:t>Weighted-average basic shares outstanding</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3" w:lineRule="exact"/>
              <w:rPr>
                <w:sz w:val="20"/>
                <w:szCs w:val="20"/>
                <w:color w:val="auto"/>
              </w:rPr>
            </w:pPr>
            <w:r>
              <w:rPr>
                <w:rFonts w:ascii="Calibri" w:cs="Calibri" w:eastAsia="Calibri" w:hAnsi="Calibri"/>
                <w:sz w:val="18"/>
                <w:szCs w:val="18"/>
                <w:color w:val="auto"/>
              </w:rPr>
              <w:t>1,770</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1,769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3" w:lineRule="exact"/>
              <w:rPr>
                <w:sz w:val="20"/>
                <w:szCs w:val="20"/>
                <w:color w:val="auto"/>
              </w:rPr>
            </w:pPr>
            <w:r>
              <w:rPr>
                <w:rFonts w:ascii="Calibri" w:cs="Calibri" w:eastAsia="Calibri" w:hAnsi="Calibri"/>
                <w:sz w:val="18"/>
                <w:szCs w:val="18"/>
                <w:color w:val="auto"/>
              </w:rPr>
              <w:t>1,770</w:t>
            </w: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1,769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 atributable to AbbVie Inc.</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0.52</w:t>
            </w:r>
          </w:p>
        </w:tc>
        <w:tc>
          <w:tcPr>
            <w:tcW w:w="44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0.42</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3.04</w:t>
            </w:r>
          </w:p>
        </w:tc>
        <w:tc>
          <w:tcPr>
            <w:tcW w:w="58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Diluted EPS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earnings atributable to AbbVie Inc.</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rPr>
              <w:t>924</w:t>
            </w:r>
          </w:p>
        </w:tc>
        <w:tc>
          <w:tcPr>
            <w:tcW w:w="4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766</w:t>
            </w:r>
          </w:p>
        </w:tc>
        <w:tc>
          <w:tcPr>
            <w:tcW w:w="12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rPr>
              <w:t>5,414</w:t>
            </w:r>
          </w:p>
        </w:tc>
        <w:tc>
          <w:tcPr>
            <w:tcW w:w="5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4,319</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Earnings allocated to partcipatng securites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Calibri" w:cs="Calibri" w:eastAsia="Calibri" w:hAnsi="Calibri"/>
                <w:sz w:val="18"/>
                <w:szCs w:val="18"/>
                <w:color w:val="auto"/>
              </w:rPr>
              <w:t>11</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Calibri" w:cs="Calibri" w:eastAsia="Calibri" w:hAnsi="Calibri"/>
                <w:sz w:val="18"/>
                <w:szCs w:val="18"/>
                <w:color w:val="auto"/>
              </w:rPr>
              <w:t>26</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Earnings available to common shareholders</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913</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749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5,388</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4,285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Weighted-average shares of common stock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1,770</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Efect of dilutve securites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7</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1,777</w:t>
            </w: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Diluted earnings per share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0.51</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0.42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3.03</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shares issuable under stock-based compensaton plans were excluded from the computaton of EPS because the efect would have been antdilutve.</w:t>
      </w:r>
    </w:p>
    <w:p>
      <w:pPr>
        <w:spacing w:after="0" w:line="235" w:lineRule="auto"/>
        <w:rPr>
          <w:sz w:val="20"/>
          <w:szCs w:val="20"/>
          <w:color w:val="auto"/>
        </w:rPr>
      </w:pPr>
      <w:r>
        <w:rPr>
          <w:rFonts w:ascii="Calibri" w:cs="Calibri" w:eastAsia="Calibri" w:hAnsi="Calibri"/>
          <w:sz w:val="18"/>
          <w:szCs w:val="18"/>
          <w:color w:val="auto"/>
        </w:rPr>
        <w:t>The number of common shares excluded was insignifcant for all periods presented.</w:t>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4 Licensing, Acquisitons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Cash outlows related to acquisitons and investments totaled $394 million for the six months ended June 30, 2022 and $345 million for the six months ended June 30, 2021. AbbVie recorded acquired IPR&amp;D and milestones charges of $269 million for the three months and $414 million for the six months ended June 30, 2022 and $132 million for the three months and $317 million for the six months ended June 30,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Syndesi Therapeutcs SA</w:t>
      </w:r>
    </w:p>
    <w:p>
      <w:pPr>
        <w:spacing w:after="0" w:line="150"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In February 2022, AbbVie acquired Syndesi Therapeutcs SA and its portolio of novel modulators of the synaptc vesicle protein 2A, including its lead molecule SDI-118 and accounted for the transacton as an asset acquisiton. SDI-118 is a small molecule currently in Phase 1b studies, which is being evaluated to target nerve terminals to enhance synaptc efciency. Under the terms of the agreement, AbbVie made an upfront payment of $130 million which was recorded to acquired IPR&amp;D and milestones expense in the</w:t>
      </w:r>
    </w:p>
    <w:p>
      <w:pPr>
        <w:sectPr>
          <w:pgSz w:w="11900" w:h="16838" w:orient="portrait"/>
          <w:cols w:equalWidth="0" w:num="1">
            <w:col w:w="11240"/>
          </w:cols>
          <w:pgMar w:left="320" w:top="1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 xml:space="preserve">| </w:t>
      </w:r>
      <w:r>
        <w:rPr>
          <w:sz w:val="1"/>
          <w:szCs w:val="1"/>
          <w:color w:val="auto"/>
        </w:rPr>
        <w:drawing>
          <wp:inline distT="0" distB="0" distL="0" distR="0">
            <wp:extent cx="514350" cy="946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18"/>
          <w:szCs w:val="18"/>
          <w:b w:val="1"/>
          <w:bCs w:val="1"/>
          <w:i w:val="1"/>
          <w:i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type w:val="continuous"/>
        </w:sectPr>
      </w:pPr>
    </w:p>
    <w:bookmarkStart w:id="9" w:name="page10"/>
    <w:bookmarkEnd w:id="9"/>
    <w:p>
      <w:pPr>
        <w:ind w:right="360"/>
        <w:spacing w:after="0" w:line="235" w:lineRule="auto"/>
        <w:rPr>
          <w:sz w:val="20"/>
          <w:szCs w:val="20"/>
          <w:color w:val="auto"/>
        </w:rPr>
      </w:pPr>
      <w:r>
        <w:rPr>
          <w:rFonts w:ascii="Calibri" w:cs="Calibri" w:eastAsia="Calibri" w:hAnsi="Calibri"/>
          <w:sz w:val="18"/>
          <w:szCs w:val="18"/>
          <w:color w:val="auto"/>
        </w:rPr>
        <w:t>condensed consolidated statement of earnings in the frst quarter of 2022. The agreement also includes additonal future payments of up to $870 million upon the achievement of certain development, regulatory and commercial milestones.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Juvise Pharmaceutcals</w:t>
      </w:r>
    </w:p>
    <w:p>
      <w:pPr>
        <w:spacing w:after="0" w:line="136" w:lineRule="exact"/>
        <w:rPr>
          <w:sz w:val="20"/>
          <w:szCs w:val="20"/>
          <w:color w:val="auto"/>
        </w:rPr>
      </w:pPr>
    </w:p>
    <w:p>
      <w:pPr>
        <w:ind w:right="60"/>
        <w:spacing w:after="0" w:line="223" w:lineRule="auto"/>
        <w:rPr>
          <w:sz w:val="20"/>
          <w:szCs w:val="20"/>
          <w:color w:val="auto"/>
        </w:rPr>
      </w:pPr>
      <w:r>
        <w:rPr>
          <w:rFonts w:ascii="Calibri" w:cs="Calibri" w:eastAsia="Calibri" w:hAnsi="Calibri"/>
          <w:sz w:val="18"/>
          <w:szCs w:val="18"/>
          <w:color w:val="auto"/>
        </w:rPr>
        <w:t>In June 2022, AbbVie and Laboratories Juvise Pharmaceutcals (Juvise) entered into an asset purchase agreement where Juvise acquired worldwide commercial rights of a mature brand Pylera, which is used for the treatment of peptc ulcers with an infecton by the bacterium Helicobacter pylori. The transacton was accounted for as the sale of an asset. Upon completon of the transacton, AbbVie received net cash proceeds of $215 million and recognized a pre-tax gain of $172 million which was recorded in other operatng income in the condensed consolidated statement of earnings in the second quarter of 2022.</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5 Collaboratons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The company has ongoing transactons with other enttes through collaboraton agreements. The following represent the signifcant collaboraton agreements impactng the periods ended June 30, 2022 and 2021.</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Collaboraton with Janssen Biotech, Inc.</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December 2011, Pharmacyclics, a wholly-owned subsidiary of AbbVie, entered into a worldwide collaboraton and license agreement with Janssen Biotech, Inc. and its afliates (Janssen), one of the Janssen Pharmaceutcal companies of Johnson &amp; Johnson, for the joint development and commercializaton of Imbruvica, a novel, orally actve, selectve covalent inhibitor of Bruton’s tyrosine kinase and certain compounds structurally related to Imbruvica, for oncology and other indicatons, excluding all immune and infammatory mediated diseases or conditons and all psychiatric or psychological diseases or conditons, in the United States and outside the United States.</w:t>
      </w:r>
    </w:p>
    <w:p>
      <w:pPr>
        <w:spacing w:after="0" w:line="13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collaboraton provides Janssen with an exclusive license to commercialize Imbruvica outside of the United States and co-exclusively with AbbVie in the United States. Both partes are responsible for the development, manufacturing and marketng of any products generated as a result of the collaboraton. The collaboraton has no set duraton or specifc expiraton date and provides for potental future development, regulatory and approval milestone payments of up to $200 million to AbbVie. The collaboraton also includes a cost sharing arrangement for associated collaboraton actvites. Except in certain cases, Janssen is responsible for approximately 60% of collaboraton development costs and AbbVie is responsible for the remaining 40% of collaboraton development costs.</w:t>
      </w:r>
    </w:p>
    <w:p>
      <w:pPr>
        <w:spacing w:after="0" w:line="15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the United States, both partes have co-exclusive rights to commercialize the products; however, AbbVie is the principal in the end-customer product sales. AbbVie and Janssen share pre-tax profts and losses equally from the commercializaton of products. Sales of Imbruvica are included in AbbVie's net revenues. Janssen's share of profts is included in AbbVie's cost of products sold. Other costs incurred under the collaboraton are reported in their respectve expense line items, net of Janssen's share.</w:t>
      </w:r>
    </w:p>
    <w:p>
      <w:pPr>
        <w:spacing w:after="0" w:line="15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Outside the United States, Janssen is responsible for and has exclusive rights to commercialize Imbruvica. AbbVie and Janssen share pre-tax profts and losses equally from the commercializaton of products. AbbVie's share of profts is included in AbbVie's net revenues. Other costs incurred under the collaboraton are reported in their respectve expense line items, net of Janssen's share.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proft and cost sharing relatonship between Janssen and AbbVie: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20" w:type="dxa"/>
            <w:vAlign w:val="bottom"/>
            <w:gridSpan w:val="3"/>
          </w:tcPr>
          <w:p>
            <w:pPr>
              <w:jc w:val="center"/>
              <w:ind w:left="262"/>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center"/>
              <w:ind w:right="17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Calibri" w:cs="Calibri" w:eastAsia="Calibri" w:hAnsi="Calibri"/>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left="419"/>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United States - Janssen's share of profts (included in cost of products sold)</w:t>
            </w:r>
          </w:p>
        </w:tc>
        <w:tc>
          <w:tcPr>
            <w:tcW w:w="680" w:type="dxa"/>
            <w:vAlign w:val="bottom"/>
            <w:shd w:val="clear" w:color="auto" w:fill="CCEEFF"/>
          </w:tcPr>
          <w:p>
            <w:pPr>
              <w:jc w:val="right"/>
              <w:ind w:right="502"/>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404</w:t>
            </w:r>
          </w:p>
        </w:tc>
        <w:tc>
          <w:tcPr>
            <w:tcW w:w="760" w:type="dxa"/>
            <w:vAlign w:val="bottom"/>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812</w:t>
            </w:r>
          </w:p>
        </w:tc>
        <w:tc>
          <w:tcPr>
            <w:tcW w:w="3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979</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Internatonal - AbbVie's share of profts (included in net revenues)</w:t>
            </w:r>
          </w:p>
        </w:tc>
        <w:tc>
          <w:tcPr>
            <w:tcW w:w="680" w:type="dxa"/>
            <w:vAlign w:val="bottom"/>
          </w:tcPr>
          <w:p>
            <w:pPr>
              <w:spacing w:after="0"/>
              <w:rPr>
                <w:sz w:val="19"/>
                <w:szCs w:val="19"/>
                <w:color w:val="auto"/>
              </w:rPr>
            </w:pPr>
          </w:p>
        </w:tc>
        <w:tc>
          <w:tcPr>
            <w:tcW w:w="38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w w:val="94"/>
              </w:rPr>
              <w:t>283</w:t>
            </w:r>
          </w:p>
        </w:tc>
        <w:tc>
          <w:tcPr>
            <w:tcW w:w="760" w:type="dxa"/>
            <w:vAlign w:val="bottom"/>
          </w:tcPr>
          <w:p>
            <w:pPr>
              <w:spacing w:after="0"/>
              <w:rPr>
                <w:sz w:val="19"/>
                <w:szCs w:val="19"/>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582</w:t>
            </w:r>
          </w:p>
        </w:tc>
        <w:tc>
          <w:tcPr>
            <w:tcW w:w="38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551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Global - AbbVie's share of other costs (included in respectve line items)</w:t>
            </w:r>
          </w:p>
        </w:tc>
        <w:tc>
          <w:tcPr>
            <w:tcW w:w="6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69</w:t>
            </w: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74</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133</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color w:val="auto"/>
        </w:rPr>
        <w:t>AbbVie’s receivable from Janssen, included in accounts receivable, net, was $310 million at June 30, 2022 and $294 million at December 31, 2021. AbbVie’s payable to Janssen, included in accounts payable and accrued liabilites, was $389 million at June 30, 2022 and $509 million at December 31, 2021.</w:t>
      </w:r>
    </w:p>
    <w:p>
      <w:pPr>
        <w:spacing w:after="0" w:line="1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Collaboraton with Genentech, Inc.</w:t>
      </w:r>
    </w:p>
    <w:p>
      <w:pPr>
        <w:spacing w:after="0" w:line="150"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AbbVie and Genentech, Inc. (Genentech), a member of the Roche Group, are partes to a collaboraton and license agreement executed in 2007 to jointly research, develop and commercialize human therapeutc products containing BCL-2 inhibitors and certain other compound inhibitors which includes Venclexta, a BCL-2 inhibitor used to treat certain hematological malignancies. AbbVie</w:t>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 xml:space="preserve">| </w:t>
      </w:r>
      <w:r>
        <w:rPr>
          <w:sz w:val="1"/>
          <w:szCs w:val="1"/>
          <w:color w:val="auto"/>
        </w:rPr>
        <w:drawing>
          <wp:inline distT="0" distB="0" distL="0" distR="0">
            <wp:extent cx="514350" cy="946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36"/>
          <w:szCs w:val="36"/>
          <w:b w:val="1"/>
          <w:bCs w:val="1"/>
          <w:i w:val="1"/>
          <w:iCs w:val="1"/>
          <w:color w:val="auto"/>
          <w:vertAlign w:val="superscript"/>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10" w:name="page11"/>
    <w:bookmarkEnd w:id="10"/>
    <w:p>
      <w:pPr>
        <w:ind w:right="400"/>
        <w:spacing w:after="0" w:line="235" w:lineRule="auto"/>
        <w:rPr>
          <w:sz w:val="20"/>
          <w:szCs w:val="20"/>
          <w:color w:val="auto"/>
        </w:rPr>
      </w:pPr>
      <w:r>
        <w:rPr>
          <w:rFonts w:ascii="Calibri" w:cs="Calibri" w:eastAsia="Calibri" w:hAnsi="Calibri"/>
          <w:sz w:val="18"/>
          <w:szCs w:val="18"/>
          <w:color w:val="auto"/>
        </w:rPr>
        <w:t>shares equally with Genentech all pre-tax profts and losses from the development and commercializaton of Venclexta in the United States. AbbVie pays royaltes on Venclexta net revenues outside the United States.</w:t>
      </w:r>
    </w:p>
    <w:p>
      <w:pPr>
        <w:spacing w:after="0" w:line="13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manufactures and distributes Venclexta globally and is the principal in the end-customer product sales. Sales of Venclexta are included in AbbVie’s net revenues. Genentech’s share of United States profts is included in AbbVie’s cost of products sold. AbbVie records sales and marketng costs associated with the United States collaboraton as part of selling, general and administratve (SG&amp;A) expenses and global development costs as part of research and development (R&amp;D) expenses, net of Genentech’s share. Royaltes paid for Venclexta revenues outside the United States are also included in AbbVie’s cost of products sold.</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proft and cost sharing relatonship between Genentech and AbbVie: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20" w:type="dxa"/>
            <w:vAlign w:val="bottom"/>
            <w:gridSpan w:val="3"/>
          </w:tcPr>
          <w:p>
            <w:pPr>
              <w:jc w:val="center"/>
              <w:ind w:left="262"/>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center"/>
              <w:ind w:right="17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Calibri" w:cs="Calibri" w:eastAsia="Calibri" w:hAnsi="Calibri"/>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left="419"/>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2022</w:t>
            </w:r>
          </w:p>
        </w:tc>
        <w:tc>
          <w:tcPr>
            <w:tcW w:w="3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Genentech's share of profts, including royaltes (included in cost of products sold)</w:t>
            </w:r>
          </w:p>
        </w:tc>
        <w:tc>
          <w:tcPr>
            <w:tcW w:w="680" w:type="dxa"/>
            <w:vAlign w:val="bottom"/>
            <w:shd w:val="clear" w:color="auto" w:fill="CCEEFF"/>
          </w:tcPr>
          <w:p>
            <w:pPr>
              <w:jc w:val="right"/>
              <w:ind w:right="502"/>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196</w:t>
            </w:r>
          </w:p>
        </w:tc>
        <w:tc>
          <w:tcPr>
            <w:tcW w:w="760" w:type="dxa"/>
            <w:vAlign w:val="bottom"/>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374</w:t>
            </w:r>
          </w:p>
        </w:tc>
        <w:tc>
          <w:tcPr>
            <w:tcW w:w="3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327</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AbbVie's share of sales and marketng costs from U.S. collaboraton (included in SG&amp;A)</w:t>
            </w:r>
          </w:p>
        </w:tc>
        <w:tc>
          <w:tcPr>
            <w:tcW w:w="680" w:type="dxa"/>
            <w:vAlign w:val="bottom"/>
          </w:tcPr>
          <w:p>
            <w:pPr>
              <w:spacing w:after="0"/>
              <w:rPr>
                <w:sz w:val="19"/>
                <w:szCs w:val="19"/>
                <w:color w:val="auto"/>
              </w:rPr>
            </w:pPr>
          </w:p>
        </w:tc>
        <w:tc>
          <w:tcPr>
            <w:tcW w:w="38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5</w:t>
            </w:r>
          </w:p>
        </w:tc>
        <w:tc>
          <w:tcPr>
            <w:tcW w:w="760" w:type="dxa"/>
            <w:vAlign w:val="bottom"/>
          </w:tcPr>
          <w:p>
            <w:pPr>
              <w:spacing w:after="0"/>
              <w:rPr>
                <w:sz w:val="19"/>
                <w:szCs w:val="19"/>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38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AbbVie's share of development costs (included in R&amp;D)</w:t>
            </w:r>
          </w:p>
        </w:tc>
        <w:tc>
          <w:tcPr>
            <w:tcW w:w="6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31</w:t>
            </w: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58</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6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Goodwill</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changes in the carrying amount of goodwill:</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Balance as of December 31, 2021</w:t>
            </w:r>
          </w:p>
        </w:tc>
        <w:tc>
          <w:tcPr>
            <w:tcW w:w="3920" w:type="dxa"/>
            <w:vAlign w:val="bottom"/>
            <w:tcBorders>
              <w:top w:val="single" w:sz="8" w:color="auto"/>
            </w:tcBorders>
            <w:shd w:val="clear" w:color="auto" w:fill="CCEEFF"/>
          </w:tcPr>
          <w:p>
            <w:pPr>
              <w:jc w:val="right"/>
              <w:ind w:right="270"/>
              <w:spacing w:after="0"/>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32,379</w:t>
            </w:r>
          </w:p>
        </w:tc>
      </w:tr>
      <w:tr>
        <w:trPr>
          <w:trHeight w:val="223"/>
        </w:trPr>
        <w:tc>
          <w:tcPr>
            <w:tcW w:w="64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Foreign currency translaton adjustments</w:t>
            </w:r>
          </w:p>
        </w:tc>
        <w:tc>
          <w:tcPr>
            <w:tcW w:w="3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(351)</w:t>
            </w:r>
          </w:p>
        </w:tc>
      </w:tr>
      <w:tr>
        <w:trPr>
          <w:trHeight w:val="248"/>
        </w:trPr>
        <w:tc>
          <w:tcPr>
            <w:tcW w:w="64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June 30, 2022</w:t>
            </w:r>
          </w:p>
        </w:tc>
        <w:tc>
          <w:tcPr>
            <w:tcW w:w="392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32,028</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company performs its annual goodwill impairment assessment in the third quarter, or earlier if impairment indicators exist. As of June 30, 2022, there were no accumulated goodwill impairment losses.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Intangible Assets, Net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Calibri" w:cs="Calibri" w:eastAsia="Calibri" w:hAnsi="Calibri"/>
                <w:sz w:val="14"/>
                <w:szCs w:val="14"/>
                <w:b w:val="1"/>
                <w:bCs w:val="1"/>
                <w:color w:val="auto"/>
              </w:rPr>
              <w:t>June 30, 2022</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December 31, 2021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ind w:right="198"/>
              <w:spacing w:after="0" w:line="115" w:lineRule="exact"/>
              <w:rPr>
                <w:sz w:val="20"/>
                <w:szCs w:val="20"/>
                <w:color w:val="auto"/>
              </w:rPr>
            </w:pPr>
            <w:r>
              <w:rPr>
                <w:rFonts w:ascii="Calibri" w:cs="Calibri" w:eastAsia="Calibri" w:hAnsi="Calibri"/>
                <w:sz w:val="12"/>
                <w:szCs w:val="12"/>
                <w:b w:val="1"/>
                <w:bCs w:val="1"/>
                <w:color w:val="auto"/>
              </w:rPr>
              <w:t>Gross</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Net</w:t>
            </w:r>
          </w:p>
        </w:tc>
        <w:tc>
          <w:tcPr>
            <w:tcW w:w="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Gross</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Net</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2"/>
                <w:szCs w:val="12"/>
                <w:color w:val="auto"/>
              </w:rPr>
            </w:pPr>
          </w:p>
        </w:tc>
        <w:tc>
          <w:tcPr>
            <w:tcW w:w="960" w:type="dxa"/>
            <w:vAlign w:val="bottom"/>
          </w:tcPr>
          <w:p>
            <w:pPr>
              <w:jc w:val="center"/>
              <w:ind w:right="198"/>
              <w:spacing w:after="0" w:line="149" w:lineRule="exact"/>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Calibri" w:cs="Calibri" w:eastAsia="Calibri" w:hAnsi="Calibri"/>
                <w:sz w:val="14"/>
                <w:szCs w:val="14"/>
                <w:b w:val="1"/>
                <w:bCs w:val="1"/>
                <w:color w:val="auto"/>
              </w:rPr>
              <w:t>Accumulated</w:t>
            </w:r>
          </w:p>
        </w:tc>
        <w:tc>
          <w:tcPr>
            <w:tcW w:w="2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2"/>
                <w:szCs w:val="12"/>
                <w:color w:val="auto"/>
              </w:rPr>
            </w:pPr>
          </w:p>
        </w:tc>
        <w:tc>
          <w:tcPr>
            <w:tcW w:w="940" w:type="dxa"/>
            <w:vAlign w:val="bottom"/>
          </w:tcPr>
          <w:p>
            <w:pPr>
              <w:jc w:val="center"/>
              <w:ind w:right="178"/>
              <w:spacing w:after="0" w:line="149" w:lineRule="exact"/>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Calibri" w:cs="Calibri" w:eastAsia="Calibri" w:hAnsi="Calibri"/>
                <w:sz w:val="14"/>
                <w:szCs w:val="14"/>
                <w:b w:val="1"/>
                <w:bCs w:val="1"/>
                <w:color w:val="auto"/>
              </w:rPr>
              <w:t>Accumulated</w:t>
            </w:r>
          </w:p>
        </w:tc>
        <w:tc>
          <w:tcPr>
            <w:tcW w:w="26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Calibri" w:cs="Calibri" w:eastAsia="Calibri" w:hAnsi="Calibri"/>
                <w:sz w:val="14"/>
                <w:szCs w:val="14"/>
                <w:b w:val="1"/>
                <w:bCs w:val="1"/>
                <w:color w:val="auto"/>
              </w:rPr>
              <w:t>carrying</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58"/>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amortzaton</w:t>
            </w:r>
          </w:p>
        </w:tc>
        <w:tc>
          <w:tcPr>
            <w:tcW w:w="2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940" w:type="dxa"/>
            <w:vAlign w:val="bottom"/>
          </w:tcPr>
          <w:p>
            <w:pPr>
              <w:jc w:val="center"/>
              <w:ind w:right="158"/>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tcPr>
          <w:p>
            <w:pPr>
              <w:jc w:val="center"/>
              <w:ind w:right="115"/>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4"/>
                <w:szCs w:val="14"/>
                <w:color w:val="auto"/>
              </w:rPr>
            </w:pPr>
          </w:p>
        </w:tc>
        <w:tc>
          <w:tcPr>
            <w:tcW w:w="920" w:type="dxa"/>
            <w:vAlign w:val="bottom"/>
          </w:tcPr>
          <w:p>
            <w:pPr>
              <w:jc w:val="center"/>
              <w:ind w:right="138"/>
              <w:spacing w:after="0"/>
              <w:rPr>
                <w:sz w:val="20"/>
                <w:szCs w:val="20"/>
                <w:color w:val="auto"/>
              </w:rPr>
            </w:pPr>
            <w:r>
              <w:rPr>
                <w:rFonts w:ascii="Calibri" w:cs="Calibri" w:eastAsia="Calibri" w:hAnsi="Calibri"/>
                <w:sz w:val="14"/>
                <w:szCs w:val="14"/>
                <w:b w:val="1"/>
                <w:bCs w:val="1"/>
                <w:color w:val="auto"/>
              </w:rPr>
              <w:t>amount</w:t>
            </w:r>
          </w:p>
        </w:tc>
        <w:tc>
          <w:tcPr>
            <w:tcW w:w="0" w:type="dxa"/>
            <w:vAlign w:val="bottom"/>
          </w:tcPr>
          <w:p>
            <w:pPr>
              <w:spacing w:after="0"/>
              <w:rPr>
                <w:sz w:val="1"/>
                <w:szCs w:val="1"/>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Defnite-lived intangible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Developed product rights</w:t>
            </w: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ind w:right="18"/>
              <w:spacing w:after="0"/>
              <w:rPr>
                <w:sz w:val="20"/>
                <w:szCs w:val="20"/>
                <w:color w:val="auto"/>
              </w:rPr>
            </w:pPr>
            <w:r>
              <w:rPr>
                <w:rFonts w:ascii="Calibri" w:cs="Calibri" w:eastAsia="Calibri" w:hAnsi="Calibri"/>
                <w:sz w:val="18"/>
                <w:szCs w:val="18"/>
                <w:color w:val="auto"/>
              </w:rPr>
              <w:t>88,443</w:t>
            </w: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(21,679)</w:t>
            </w:r>
          </w:p>
        </w:tc>
        <w:tc>
          <w:tcPr>
            <w:tcW w:w="28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66,764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88,945</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(18,463)</w:t>
            </w:r>
          </w:p>
        </w:tc>
        <w:tc>
          <w:tcPr>
            <w:tcW w:w="26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70,482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License agreements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8"/>
              <w:spacing w:after="0" w:line="215" w:lineRule="exact"/>
              <w:rPr>
                <w:sz w:val="20"/>
                <w:szCs w:val="20"/>
                <w:color w:val="auto"/>
              </w:rPr>
            </w:pPr>
            <w:r>
              <w:rPr>
                <w:rFonts w:ascii="Calibri" w:cs="Calibri" w:eastAsia="Calibri" w:hAnsi="Calibri"/>
                <w:sz w:val="18"/>
                <w:szCs w:val="18"/>
                <w:color w:val="auto"/>
              </w:rPr>
              <w:t>8,487</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4,389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8,487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(3,688)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4,799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defnite-lived intangible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line="215" w:lineRule="exact"/>
              <w:rPr>
                <w:sz w:val="20"/>
                <w:szCs w:val="20"/>
                <w:color w:val="auto"/>
              </w:rPr>
            </w:pPr>
            <w:r>
              <w:rPr>
                <w:rFonts w:ascii="Calibri" w:cs="Calibri" w:eastAsia="Calibri" w:hAnsi="Calibri"/>
                <w:sz w:val="18"/>
                <w:szCs w:val="18"/>
                <w:color w:val="auto"/>
              </w:rPr>
              <w:t>96,930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(25,777)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97,432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(22,151)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75,281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Indefnite-lived intangible assets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8"/>
              <w:spacing w:after="0" w:line="215" w:lineRule="exact"/>
              <w:rPr>
                <w:sz w:val="20"/>
                <w:szCs w:val="20"/>
                <w:color w:val="auto"/>
              </w:rPr>
            </w:pPr>
            <w:r>
              <w:rPr>
                <w:rFonts w:ascii="Calibri" w:cs="Calibri" w:eastAsia="Calibri" w:hAnsi="Calibri"/>
                <w:sz w:val="18"/>
                <w:szCs w:val="18"/>
                <w:color w:val="auto"/>
              </w:rPr>
              <w:t>670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670</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intangible assets, net</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ind w:right="18"/>
              <w:spacing w:after="0" w:line="215" w:lineRule="exact"/>
              <w:rPr>
                <w:sz w:val="20"/>
                <w:szCs w:val="20"/>
                <w:color w:val="auto"/>
              </w:rPr>
            </w:pPr>
            <w:r>
              <w:rPr>
                <w:rFonts w:ascii="Calibri" w:cs="Calibri" w:eastAsia="Calibri" w:hAnsi="Calibri"/>
                <w:sz w:val="18"/>
                <w:szCs w:val="18"/>
                <w:color w:val="auto"/>
              </w:rPr>
              <w:t>97,600</w:t>
            </w:r>
          </w:p>
        </w:tc>
        <w:tc>
          <w:tcPr>
            <w:tcW w:w="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(25,777)</w:t>
            </w:r>
          </w:p>
        </w:tc>
        <w:tc>
          <w:tcPr>
            <w:tcW w:w="28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71,823</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98,102</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(22,151)</w:t>
            </w:r>
          </w:p>
        </w:tc>
        <w:tc>
          <w:tcPr>
            <w:tcW w:w="26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75,951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Defnite-Lived Intangible Assets</w:t>
      </w:r>
    </w:p>
    <w:p>
      <w:pPr>
        <w:spacing w:after="0" w:line="15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Amortzaton expense was $1.8 billion for the three months and $3.7 billion for the six months ended June 30, 2022 and $2.0 billion for the three months and $4.0 billion for the six months ended June 30, 2021. Amortzaton expense was included in cost of products sold in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9</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i w:val="1"/>
          <w:iCs w:val="1"/>
          <w:color w:val="auto"/>
        </w:rPr>
        <w:t>Indefnite-Lived Intangible Assets</w:t>
      </w:r>
    </w:p>
    <w:p>
      <w:pPr>
        <w:spacing w:after="0" w:line="13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Indefnite-lived intangible assets represent in-process research and development associated with products that have not yet received regulatory approval. The company performs its annual impairment assessment of indefnite-lived intangible assets in the third quarter, or earlier if impairment indicators exist.</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7 Integraton and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Allergan Integraton Plan</w:t>
      </w:r>
    </w:p>
    <w:p>
      <w:pPr>
        <w:spacing w:after="0" w:line="1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Following the closing of the Allergan acquisiton, AbbVie implemented an integraton plan designed to reduce costs, integrate and optmize the combined organizaton. To achieve these integraton objectves, AbbVie expects to incur total cumulatve charges of approximately $2 billion through 2022. These costs consist of severance and employee beneft costs (cash severance, non-cash severance including accelerated equity award compensaton expense, retenton and other terminaton benefts) and other integraton expenses.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charges (benefts) associated with the Allergan acquisiton integraton plan: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Severance and employee benefts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4"/>
          </w:tcPr>
          <w:p>
            <w:pPr>
              <w:jc w:val="right"/>
              <w:ind w:right="418"/>
              <w:spacing w:after="0"/>
              <w:rPr>
                <w:sz w:val="20"/>
                <w:szCs w:val="20"/>
                <w:color w:val="auto"/>
              </w:rPr>
            </w:pPr>
            <w:r>
              <w:rPr>
                <w:rFonts w:ascii="Calibri" w:cs="Calibri" w:eastAsia="Calibri" w:hAnsi="Calibri"/>
                <w:sz w:val="14"/>
                <w:szCs w:val="14"/>
                <w:b w:val="1"/>
                <w:bCs w:val="1"/>
                <w:color w:val="auto"/>
              </w:rPr>
              <w:t>Other integraton</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4"/>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4"/>
          </w:tcPr>
          <w:p>
            <w:pPr>
              <w:ind w:left="140"/>
              <w:spacing w:after="0" w:line="127" w:lineRule="exact"/>
              <w:rPr>
                <w:sz w:val="20"/>
                <w:szCs w:val="20"/>
                <w:color w:val="auto"/>
              </w:rPr>
            </w:pPr>
            <w:r>
              <w:rPr>
                <w:rFonts w:ascii="Calibri" w:cs="Calibri" w:eastAsia="Calibri" w:hAnsi="Calibri"/>
                <w:sz w:val="13"/>
                <w:szCs w:val="13"/>
                <w:b w:val="1"/>
                <w:bCs w:val="1"/>
                <w:color w:val="auto"/>
              </w:rPr>
              <w:t>Three months ended</w:t>
            </w:r>
          </w:p>
        </w:tc>
        <w:tc>
          <w:tcPr>
            <w:tcW w:w="200" w:type="dxa"/>
            <w:vAlign w:val="bottom"/>
          </w:tcPr>
          <w:p>
            <w:pPr>
              <w:spacing w:after="0"/>
              <w:rPr>
                <w:sz w:val="11"/>
                <w:szCs w:val="11"/>
                <w:color w:val="auto"/>
              </w:rPr>
            </w:pPr>
          </w:p>
        </w:tc>
        <w:tc>
          <w:tcPr>
            <w:tcW w:w="1720" w:type="dxa"/>
            <w:vAlign w:val="bottom"/>
            <w:gridSpan w:val="3"/>
          </w:tcPr>
          <w:p>
            <w:pPr>
              <w:jc w:val="center"/>
              <w:ind w:right="94"/>
              <w:spacing w:after="0" w:line="127" w:lineRule="exact"/>
              <w:rPr>
                <w:sz w:val="20"/>
                <w:szCs w:val="20"/>
                <w:color w:val="auto"/>
              </w:rPr>
            </w:pPr>
            <w:r>
              <w:rPr>
                <w:rFonts w:ascii="Calibri" w:cs="Calibri" w:eastAsia="Calibri" w:hAnsi="Calibri"/>
                <w:sz w:val="13"/>
                <w:szCs w:val="13"/>
                <w:b w:val="1"/>
                <w:bCs w:val="1"/>
                <w:color w:val="auto"/>
              </w:rPr>
              <w:t>Six months ended</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ind w:left="100"/>
              <w:spacing w:after="0" w:line="127" w:lineRule="exact"/>
              <w:rPr>
                <w:sz w:val="20"/>
                <w:szCs w:val="20"/>
                <w:color w:val="auto"/>
              </w:rPr>
            </w:pPr>
            <w:r>
              <w:rPr>
                <w:rFonts w:ascii="Calibri" w:cs="Calibri" w:eastAsia="Calibri" w:hAnsi="Calibri"/>
                <w:sz w:val="13"/>
                <w:szCs w:val="13"/>
                <w:b w:val="1"/>
                <w:bCs w:val="1"/>
                <w:color w:val="auto"/>
              </w:rPr>
              <w:t>Three months ended</w:t>
            </w:r>
          </w:p>
        </w:tc>
        <w:tc>
          <w:tcPr>
            <w:tcW w:w="220" w:type="dxa"/>
            <w:vAlign w:val="bottom"/>
          </w:tcPr>
          <w:p>
            <w:pPr>
              <w:spacing w:after="0"/>
              <w:rPr>
                <w:sz w:val="11"/>
                <w:szCs w:val="11"/>
                <w:color w:val="auto"/>
              </w:rPr>
            </w:pPr>
          </w:p>
        </w:tc>
        <w:tc>
          <w:tcPr>
            <w:tcW w:w="1760" w:type="dxa"/>
            <w:vAlign w:val="bottom"/>
            <w:gridSpan w:val="3"/>
          </w:tcPr>
          <w:p>
            <w:pPr>
              <w:jc w:val="right"/>
              <w:ind w:right="374"/>
              <w:spacing w:after="0" w:line="127" w:lineRule="exact"/>
              <w:rPr>
                <w:sz w:val="20"/>
                <w:szCs w:val="20"/>
                <w:color w:val="auto"/>
              </w:rPr>
            </w:pPr>
            <w:r>
              <w:rPr>
                <w:rFonts w:ascii="Calibri" w:cs="Calibri" w:eastAsia="Calibri" w:hAnsi="Calibri"/>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left="378"/>
              <w:spacing w:after="0"/>
              <w:rPr>
                <w:sz w:val="20"/>
                <w:szCs w:val="20"/>
                <w:color w:val="auto"/>
              </w:rPr>
            </w:pPr>
            <w:r>
              <w:rPr>
                <w:rFonts w:ascii="Calibri" w:cs="Calibri" w:eastAsia="Calibri" w:hAnsi="Calibri"/>
                <w:sz w:val="14"/>
                <w:szCs w:val="14"/>
                <w:b w:val="1"/>
                <w:bCs w:val="1"/>
                <w:color w:val="auto"/>
              </w:rPr>
              <w:t>June 30,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1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8"/>
              <w:spacing w:after="0" w:line="164" w:lineRule="exact"/>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66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8"/>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66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18"/>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640" w:type="dxa"/>
            <w:vAlign w:val="bottom"/>
          </w:tcPr>
          <w:p>
            <w:pPr>
              <w:jc w:val="right"/>
              <w:ind w:right="236"/>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8"/>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68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w:t>
            </w:r>
          </w:p>
        </w:tc>
        <w:tc>
          <w:tcPr>
            <w:tcW w:w="340" w:type="dxa"/>
            <w:vAlign w:val="bottom"/>
            <w:shd w:val="clear" w:color="auto" w:fill="CCEEFF"/>
          </w:tcPr>
          <w:p>
            <w:pPr>
              <w:jc w:val="right"/>
              <w:ind w:right="76"/>
              <w:spacing w:after="0" w:line="215" w:lineRule="exact"/>
              <w:rPr>
                <w:sz w:val="20"/>
                <w:szCs w:val="20"/>
                <w:color w:val="auto"/>
              </w:rPr>
            </w:pPr>
            <w:r>
              <w:rPr>
                <w:rFonts w:ascii="Calibri" w:cs="Calibri" w:eastAsia="Calibri" w:hAnsi="Calibri"/>
                <w:sz w:val="18"/>
                <w:szCs w:val="18"/>
                <w:color w:val="auto"/>
              </w:rPr>
              <w:t>$</w:t>
            </w:r>
          </w:p>
        </w:tc>
        <w:tc>
          <w:tcPr>
            <w:tcW w:w="74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CEEFF"/>
          </w:tcPr>
          <w:p>
            <w:pPr>
              <w:ind w:left="500"/>
              <w:spacing w:after="0" w:line="215" w:lineRule="exact"/>
              <w:rPr>
                <w:sz w:val="20"/>
                <w:szCs w:val="20"/>
                <w:color w:val="auto"/>
              </w:rPr>
            </w:pPr>
            <w:r>
              <w:rPr>
                <w:rFonts w:ascii="Calibri" w:cs="Calibri" w:eastAsia="Calibri" w:hAnsi="Calibri"/>
                <w:sz w:val="18"/>
                <w:szCs w:val="18"/>
                <w:color w:val="auto"/>
              </w:rPr>
              <w:t>(4)</w:t>
            </w:r>
          </w:p>
        </w:tc>
        <w:tc>
          <w:tcPr>
            <w:tcW w:w="28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ind w:right="18"/>
              <w:spacing w:after="0" w:line="215" w:lineRule="exact"/>
              <w:rPr>
                <w:sz w:val="20"/>
                <w:szCs w:val="20"/>
                <w:color w:val="auto"/>
              </w:rPr>
            </w:pPr>
            <w:r>
              <w:rPr>
                <w:rFonts w:ascii="Calibri" w:cs="Calibri" w:eastAsia="Calibri" w:hAnsi="Calibri"/>
                <w:sz w:val="18"/>
                <w:szCs w:val="18"/>
                <w:color w:val="auto"/>
              </w:rPr>
              <w:t>61</w:t>
            </w:r>
          </w:p>
        </w:tc>
        <w:tc>
          <w:tcPr>
            <w:tcW w:w="32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w:t>
            </w:r>
          </w:p>
        </w:tc>
        <w:tc>
          <w:tcPr>
            <w:tcW w:w="0" w:type="dxa"/>
            <w:vAlign w:val="bottom"/>
          </w:tcPr>
          <w:p>
            <w:pPr>
              <w:spacing w:after="0"/>
              <w:rPr>
                <w:sz w:val="1"/>
                <w:szCs w:val="1"/>
                <w:color w:val="auto"/>
              </w:rPr>
            </w:pPr>
          </w:p>
        </w:tc>
      </w:tr>
      <w:tr>
        <w:trPr>
          <w:trHeight w:val="222"/>
        </w:trPr>
        <w:tc>
          <w:tcPr>
            <w:tcW w:w="316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22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tcPr>
          <w:p>
            <w:pPr>
              <w:spacing w:after="0"/>
              <w:rPr>
                <w:sz w:val="19"/>
                <w:szCs w:val="19"/>
                <w:color w:val="auto"/>
              </w:rPr>
            </w:pPr>
          </w:p>
        </w:tc>
        <w:tc>
          <w:tcPr>
            <w:tcW w:w="7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9"/>
                <w:szCs w:val="19"/>
                <w:color w:val="auto"/>
              </w:rPr>
            </w:pPr>
          </w:p>
        </w:tc>
        <w:tc>
          <w:tcPr>
            <w:tcW w:w="880" w:type="dxa"/>
            <w:vAlign w:val="bottom"/>
            <w:gridSpan w:val="3"/>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300" w:type="dxa"/>
            <w:vAlign w:val="bottom"/>
          </w:tcPr>
          <w:p>
            <w:pPr>
              <w:spacing w:after="0"/>
              <w:rPr>
                <w:sz w:val="19"/>
                <w:szCs w:val="19"/>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8"/>
              <w:spacing w:after="0" w:line="215" w:lineRule="exact"/>
              <w:rPr>
                <w:sz w:val="20"/>
                <w:szCs w:val="20"/>
                <w:color w:val="auto"/>
              </w:rPr>
            </w:pPr>
            <w:r>
              <w:rPr>
                <w:rFonts w:ascii="Calibri" w:cs="Calibri" w:eastAsia="Calibri" w:hAnsi="Calibri"/>
                <w:sz w:val="18"/>
                <w:szCs w:val="18"/>
                <w:color w:val="auto"/>
              </w:rPr>
              <w:t>9</w:t>
            </w:r>
          </w:p>
        </w:tc>
        <w:tc>
          <w:tcPr>
            <w:tcW w:w="32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3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29</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80</w:t>
            </w:r>
          </w:p>
        </w:tc>
        <w:tc>
          <w:tcPr>
            <w:tcW w:w="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75</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Calibri" w:cs="Calibri" w:eastAsia="Calibri" w:hAnsi="Calibri"/>
                <w:sz w:val="18"/>
                <w:szCs w:val="18"/>
                <w:color w:val="auto"/>
              </w:rPr>
              <w:t>146</w:t>
            </w:r>
          </w:p>
        </w:tc>
        <w:tc>
          <w:tcPr>
            <w:tcW w:w="3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125</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charges (benefts)</w:t>
            </w: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340" w:type="dxa"/>
            <w:vAlign w:val="bottom"/>
            <w:tcBorders>
              <w:bottom w:val="single" w:sz="8" w:color="auto"/>
            </w:tcBorders>
          </w:tcPr>
          <w:p>
            <w:pPr>
              <w:jc w:val="right"/>
              <w:ind w:right="76"/>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auto"/>
            </w:tcBorders>
          </w:tcPr>
          <w:p>
            <w:pPr>
              <w:ind w:left="500"/>
              <w:spacing w:after="0" w:line="215" w:lineRule="exact"/>
              <w:rPr>
                <w:sz w:val="20"/>
                <w:szCs w:val="20"/>
                <w:color w:val="auto"/>
              </w:rPr>
            </w:pPr>
            <w:r>
              <w:rPr>
                <w:rFonts w:ascii="Calibri" w:cs="Calibri" w:eastAsia="Calibri" w:hAnsi="Calibri"/>
                <w:sz w:val="18"/>
                <w:szCs w:val="18"/>
                <w:color w:val="auto"/>
              </w:rPr>
              <w:t>(3)</w:t>
            </w: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w:t>
            </w: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auto"/>
            </w:tcBorders>
          </w:tcPr>
          <w:p>
            <w:pPr>
              <w:jc w:val="right"/>
              <w:ind w:right="18"/>
              <w:spacing w:after="0" w:line="215" w:lineRule="exact"/>
              <w:rPr>
                <w:sz w:val="20"/>
                <w:szCs w:val="20"/>
                <w:color w:val="auto"/>
              </w:rPr>
            </w:pPr>
            <w:r>
              <w:rPr>
                <w:rFonts w:ascii="Calibri" w:cs="Calibri" w:eastAsia="Calibri" w:hAnsi="Calibri"/>
                <w:sz w:val="18"/>
                <w:szCs w:val="18"/>
                <w:color w:val="auto"/>
              </w:rPr>
              <w:t>216</w:t>
            </w:r>
          </w:p>
        </w:tc>
        <w:tc>
          <w:tcPr>
            <w:tcW w:w="3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cash actvity in the recorded liability associated with the integraton plan for the six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Severance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140" w:type="dxa"/>
            <w:vAlign w:val="bottom"/>
          </w:tcPr>
          <w:p>
            <w:pPr>
              <w:spacing w:after="0"/>
              <w:rPr>
                <w:sz w:val="12"/>
                <w:szCs w:val="12"/>
                <w:color w:val="auto"/>
              </w:rPr>
            </w:pPr>
          </w:p>
        </w:tc>
        <w:tc>
          <w:tcPr>
            <w:tcW w:w="1060" w:type="dxa"/>
            <w:vAlign w:val="bottom"/>
          </w:tcPr>
          <w:p>
            <w:pPr>
              <w:jc w:val="center"/>
              <w:ind w:right="78"/>
              <w:spacing w:after="0" w:line="149" w:lineRule="exact"/>
              <w:rPr>
                <w:sz w:val="20"/>
                <w:szCs w:val="20"/>
                <w:color w:val="auto"/>
              </w:rPr>
            </w:pPr>
            <w:r>
              <w:rPr>
                <w:rFonts w:ascii="Calibri" w:cs="Calibri" w:eastAsia="Calibri" w:hAnsi="Calibri"/>
                <w:sz w:val="14"/>
                <w:szCs w:val="14"/>
                <w:b w:val="1"/>
                <w:bCs w:val="1"/>
                <w:color w:val="auto"/>
              </w:rPr>
              <w:t>employee</w:t>
            </w:r>
          </w:p>
        </w:tc>
        <w:tc>
          <w:tcPr>
            <w:tcW w:w="160" w:type="dxa"/>
            <w:vAlign w:val="bottom"/>
          </w:tcPr>
          <w:p>
            <w:pPr>
              <w:spacing w:after="0"/>
              <w:rPr>
                <w:sz w:val="12"/>
                <w:szCs w:val="12"/>
                <w:color w:val="auto"/>
              </w:rPr>
            </w:pPr>
          </w:p>
        </w:tc>
        <w:tc>
          <w:tcPr>
            <w:tcW w:w="820" w:type="dxa"/>
            <w:vAlign w:val="bottom"/>
          </w:tcPr>
          <w:p>
            <w:pPr>
              <w:jc w:val="right"/>
              <w:ind w:right="216"/>
              <w:spacing w:after="0" w:line="149" w:lineRule="exact"/>
              <w:rPr>
                <w:sz w:val="20"/>
                <w:szCs w:val="20"/>
                <w:color w:val="auto"/>
              </w:rPr>
            </w:pPr>
            <w:r>
              <w:rPr>
                <w:rFonts w:ascii="Calibri" w:cs="Calibri" w:eastAsia="Calibri" w:hAnsi="Calibri"/>
                <w:sz w:val="14"/>
                <w:szCs w:val="14"/>
                <w:b w:val="1"/>
                <w:bCs w:val="1"/>
                <w:color w:val="auto"/>
              </w:rPr>
              <w:t>Other</w:t>
            </w:r>
          </w:p>
        </w:tc>
        <w:tc>
          <w:tcPr>
            <w:tcW w:w="0" w:type="dxa"/>
            <w:vAlign w:val="bottom"/>
          </w:tcPr>
          <w:p>
            <w:pPr>
              <w:spacing w:after="0"/>
              <w:rPr>
                <w:sz w:val="1"/>
                <w:szCs w:val="1"/>
                <w:color w:val="auto"/>
              </w:rPr>
            </w:pPr>
          </w:p>
        </w:tc>
      </w:tr>
      <w:tr>
        <w:trPr>
          <w:trHeight w:val="170"/>
        </w:trPr>
        <w:tc>
          <w:tcPr>
            <w:tcW w:w="606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benefts</w:t>
            </w:r>
          </w:p>
        </w:tc>
        <w:tc>
          <w:tcPr>
            <w:tcW w:w="16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Calibri" w:cs="Calibri" w:eastAsia="Calibri" w:hAnsi="Calibri"/>
                <w:sz w:val="14"/>
                <w:szCs w:val="14"/>
                <w:b w:val="1"/>
                <w:bCs w:val="1"/>
                <w:color w:val="auto"/>
              </w:rPr>
              <w:t>integraton</w:t>
            </w:r>
          </w:p>
        </w:tc>
        <w:tc>
          <w:tcPr>
            <w:tcW w:w="0" w:type="dxa"/>
            <w:vAlign w:val="bottom"/>
          </w:tcPr>
          <w:p>
            <w:pPr>
              <w:spacing w:after="0"/>
              <w:rPr>
                <w:sz w:val="1"/>
                <w:szCs w:val="1"/>
                <w:color w:val="auto"/>
              </w:rPr>
            </w:pPr>
          </w:p>
        </w:tc>
      </w:tr>
      <w:tr>
        <w:trPr>
          <w:trHeight w:val="46"/>
        </w:trPr>
        <w:tc>
          <w:tcPr>
            <w:tcW w:w="60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Accrued balance as of December 31, 2021</w:t>
            </w:r>
          </w:p>
        </w:tc>
        <w:tc>
          <w:tcPr>
            <w:tcW w:w="3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ind w:right="38"/>
              <w:spacing w:after="0" w:line="215" w:lineRule="exact"/>
              <w:rPr>
                <w:sz w:val="20"/>
                <w:szCs w:val="20"/>
                <w:color w:val="auto"/>
              </w:rPr>
            </w:pPr>
            <w:r>
              <w:rPr>
                <w:rFonts w:ascii="Calibri" w:cs="Calibri" w:eastAsia="Calibri" w:hAnsi="Calibri"/>
                <w:sz w:val="18"/>
                <w:szCs w:val="18"/>
                <w:color w:val="auto"/>
              </w:rPr>
              <w:t>222</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w:t>
            </w: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line="215" w:lineRule="exact"/>
              <w:rPr>
                <w:sz w:val="20"/>
                <w:szCs w:val="20"/>
                <w:color w:val="auto"/>
              </w:rPr>
            </w:pPr>
            <w:r>
              <w:rPr>
                <w:rFonts w:ascii="Calibri" w:cs="Calibri" w:eastAsia="Calibri" w:hAnsi="Calibri"/>
                <w:sz w:val="18"/>
                <w:szCs w:val="18"/>
                <w:color w:val="auto"/>
              </w:rPr>
              <w:t>Charges (benefts)</w:t>
            </w:r>
          </w:p>
        </w:tc>
        <w:tc>
          <w:tcPr>
            <w:tcW w:w="314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199</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Payments and other adjustments</w:t>
            </w:r>
          </w:p>
        </w:tc>
        <w:tc>
          <w:tcPr>
            <w:tcW w:w="3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(90)</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(220)</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Accrued balance as of June 30, 2022</w:t>
            </w:r>
          </w:p>
        </w:tc>
        <w:tc>
          <w:tcPr>
            <w:tcW w:w="3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129</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Other Restructuring</w:t>
      </w:r>
    </w:p>
    <w:p>
      <w:pPr>
        <w:spacing w:after="0" w:line="150"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AbbVie recorded restructuring charges of $36 million for the three months and $93 million for the six months ended June 30, 2022 and $5 million for the three months and $43 million for the six months ended June 30,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cash actvity in the restructuring reserve for the six months ended June 30, 2022:</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Accrued balance as of December 31, 2021</w:t>
            </w:r>
          </w:p>
        </w:tc>
        <w:tc>
          <w:tcPr>
            <w:tcW w:w="4000" w:type="dxa"/>
            <w:vAlign w:val="bottom"/>
            <w:tcBorders>
              <w:top w:val="single" w:sz="8" w:color="auto"/>
            </w:tcBorders>
            <w:shd w:val="clear" w:color="auto" w:fill="CCEEFF"/>
          </w:tcPr>
          <w:p>
            <w:pPr>
              <w:jc w:val="right"/>
              <w:ind w:right="390"/>
              <w:spacing w:after="0"/>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tcBorders>
            <w:shd w:val="clear" w:color="auto" w:fill="CCEEFF"/>
          </w:tcPr>
          <w:p>
            <w:pPr>
              <w:jc w:val="center"/>
              <w:ind w:left="390"/>
              <w:spacing w:after="0"/>
              <w:rPr>
                <w:sz w:val="20"/>
                <w:szCs w:val="20"/>
                <w:color w:val="auto"/>
              </w:rPr>
            </w:pPr>
            <w:r>
              <w:rPr>
                <w:rFonts w:ascii="Calibri" w:cs="Calibri" w:eastAsia="Calibri" w:hAnsi="Calibri"/>
                <w:sz w:val="18"/>
                <w:szCs w:val="18"/>
                <w:color w:val="auto"/>
                <w:w w:val="98"/>
              </w:rPr>
              <w:t>33</w:t>
            </w:r>
          </w:p>
        </w:tc>
      </w:tr>
      <w:tr>
        <w:trPr>
          <w:trHeight w:val="222"/>
        </w:trPr>
        <w:tc>
          <w:tcPr>
            <w:tcW w:w="64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charges</w:t>
            </w:r>
          </w:p>
        </w:tc>
        <w:tc>
          <w:tcPr>
            <w:tcW w:w="4000" w:type="dxa"/>
            <w:vAlign w:val="bottom"/>
          </w:tcPr>
          <w:p>
            <w:pPr>
              <w:spacing w:after="0"/>
              <w:rPr>
                <w:sz w:val="19"/>
                <w:szCs w:val="19"/>
                <w:color w:val="auto"/>
              </w:rPr>
            </w:pPr>
          </w:p>
        </w:tc>
        <w:tc>
          <w:tcPr>
            <w:tcW w:w="78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98"/>
              </w:rPr>
              <w:t>72</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Payments and other adjustments</w:t>
            </w:r>
          </w:p>
        </w:tc>
        <w:tc>
          <w:tcPr>
            <w:tcW w:w="40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350"/>
              <w:spacing w:after="0"/>
              <w:rPr>
                <w:sz w:val="20"/>
                <w:szCs w:val="20"/>
                <w:color w:val="auto"/>
              </w:rPr>
            </w:pPr>
            <w:r>
              <w:rPr>
                <w:rFonts w:ascii="Calibri" w:cs="Calibri" w:eastAsia="Calibri" w:hAnsi="Calibri"/>
                <w:sz w:val="18"/>
                <w:szCs w:val="18"/>
                <w:color w:val="auto"/>
              </w:rPr>
              <w:t>(13)</w:t>
            </w:r>
          </w:p>
        </w:tc>
      </w:tr>
      <w:tr>
        <w:trPr>
          <w:trHeight w:val="223"/>
        </w:trPr>
        <w:tc>
          <w:tcPr>
            <w:tcW w:w="64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Accrued balance as of June 30, 2022</w:t>
            </w:r>
          </w:p>
        </w:tc>
        <w:tc>
          <w:tcPr>
            <w:tcW w:w="400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tcPr>
          <w:p>
            <w:pPr>
              <w:jc w:val="center"/>
              <w:ind w:left="390"/>
              <w:spacing w:after="0" w:line="215" w:lineRule="exact"/>
              <w:rPr>
                <w:sz w:val="20"/>
                <w:szCs w:val="20"/>
                <w:color w:val="auto"/>
              </w:rPr>
            </w:pPr>
            <w:r>
              <w:rPr>
                <w:rFonts w:ascii="Calibri" w:cs="Calibri" w:eastAsia="Calibri" w:hAnsi="Calibri"/>
                <w:sz w:val="18"/>
                <w:szCs w:val="18"/>
                <w:color w:val="auto"/>
                <w:w w:val="98"/>
              </w:rPr>
              <w:t>92</w:t>
            </w:r>
          </w:p>
        </w:tc>
      </w:tr>
      <w:tr>
        <w:trPr>
          <w:trHeight w:val="27"/>
        </w:trPr>
        <w:tc>
          <w:tcPr>
            <w:tcW w:w="64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8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Risk Management Policy</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Note 11 to the company’s Annual Report on Form 10-K for the year ended December 31, 2021 for a summary of AbbVie’s risk management policy and use of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444867"/>
        </w:rPr>
        <w:t>Financial Instruments</w:t>
      </w:r>
    </w:p>
    <w:p>
      <w:pPr>
        <w:spacing w:after="0" w:line="13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Various AbbVie foreign subsidiaries enter into foreign currency forward exchange contracts to manage exposures to changes in foreign exchange rates for antcipated intercompany transactons denominated in a currency other than the functonal currency of the local entty. These contracts, with notonal amounts totaling $1.7 billion at June 30, 2022 and $1.1 billion at December 31, 2021, are designated as cash fow hedges and are recorded at fair value. The duratons of these forward exchange contracts were generally less than 18 months. Accumulated gains and losses as of June 30, 2022 are reclassifed from accumulated other comprehensive income (loss) (AOCI) and included in cost of products sold at the tme the products are sold, generally not exceeding six months from the date of setlement.</w:t>
      </w:r>
    </w:p>
    <w:p>
      <w:pPr>
        <w:spacing w:after="0" w:line="15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the third quarter of 2019, the company entered into treasury rate lock agreements with notonal amounts totaling $10.0 billion to hedge exposure to variability in future cash fows resultng from changes in interest rates related to the issuance of long-term debt in connecton with the acquisiton of Allergan. The treasury rate lock agreements were designated as cash fow hedges and recorded at fair value. The agreements were net setled upon issuance of the senior notes in November 2019 and the resultng net gain was recognized in other comprehensive income (loss). This gain is reclassifed to interest expense, net over the term of the related debt.</w:t>
      </w:r>
    </w:p>
    <w:p>
      <w:pPr>
        <w:spacing w:after="0" w:line="153"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company is a party to interest rate swap contracts designated as cash fow hedges with notonal amounts totaling $750 million at June 30, 2022 and December 31, 2021. The efect of the hedge contracts is to change a foatng-rate interest obligaton to a fxed rate for that porton of the foatng-rate debt. Realized and unrealized gains or losses are included in AOCI and are reclassifed to interest expense, net over the lives of the foatng-rate debt.</w:t>
      </w:r>
    </w:p>
    <w:p>
      <w:pPr>
        <w:spacing w:after="0" w:line="13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Resultng gains or losses are refected in net foreign exchange gain or loss in the condensed consolidated statements of earnings and are generally ofset by losses or gains on the foreign currency exposure being managed. These contracts had notonal amounts totaling $7.2 billion at June 30, 2022 and $8.2 billion at December 31, 2021.</w:t>
      </w:r>
    </w:p>
    <w:p>
      <w:pPr>
        <w:spacing w:after="0" w:line="152"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company also uses foreign currency forward exchange contracts or foreign currency denominated debt to hedge its net investments in certain foreign subsidiaries and afliates. The company had foreign currency forward exchange contracts designated as net investment hedges with notonal amounts totaling €4.8 billion at June 30, 2022 and €4.3 billion at December 31, 2021. The company also had an aggregate principal amount of senior Euro notes designated as net investment hedges of €5.9 billion at June 30, 2022 and December 31, 2021. The company uses the spot method of assessing hedge efectveness for derivatve instruments designated as net investment hedges. Realized and unrealized gains and losses from these hedges are included in AOCI and the inital fair value of hedge components excluded from the assessment of efectveness is recognized in interest expense, net over the life of the hedging instrument.</w:t>
      </w:r>
    </w:p>
    <w:p>
      <w:pPr>
        <w:spacing w:after="0" w:line="154" w:lineRule="exact"/>
        <w:rPr>
          <w:sz w:val="20"/>
          <w:szCs w:val="20"/>
          <w:color w:val="auto"/>
        </w:rPr>
      </w:pPr>
    </w:p>
    <w:p>
      <w:pPr>
        <w:jc w:val="both"/>
        <w:ind w:right="540"/>
        <w:spacing w:after="0" w:line="235" w:lineRule="auto"/>
        <w:rPr>
          <w:sz w:val="20"/>
          <w:szCs w:val="20"/>
          <w:color w:val="auto"/>
        </w:rPr>
      </w:pPr>
      <w:r>
        <w:rPr>
          <w:rFonts w:ascii="Calibri" w:cs="Calibri" w:eastAsia="Calibri" w:hAnsi="Calibri"/>
          <w:sz w:val="18"/>
          <w:szCs w:val="18"/>
          <w:color w:val="auto"/>
        </w:rPr>
        <w:t>The company is a party to interest rate swap contracts designated as fair value hedges with notonal amounts totaling $4.5 billion at June 30, 2022 and December 31, 2021. The efect of the hedge contracts is to change a fxed-rate interest obligaton to a foatng rate for that porton of the debt. AbbVie records the contracts at fair value and adjusts the carrying amount of the fxed-rate debt by an ofsetng amount.</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No amounts are excluded from the assessment of efectveness for cash fow hedges or 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486410</wp:posOffset>
            </wp:positionV>
            <wp:extent cx="51435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color w:val="auto"/>
        </w:rPr>
        <w:t>The following table summarizes the amounts and locaton of AbbVie’s derivatve instruments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Fair value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Fair value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Derivatves in asset positon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Derivatves in liability positon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58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5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6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Balance sheet capton</w:t>
            </w:r>
          </w:p>
        </w:tc>
        <w:tc>
          <w:tcPr>
            <w:tcW w:w="94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auto"/>
              </w:rPr>
              <w:t>June 30, 2022</w:t>
            </w:r>
          </w:p>
        </w:tc>
        <w:tc>
          <w:tcPr>
            <w:tcW w:w="160" w:type="dxa"/>
            <w:vAlign w:val="bottom"/>
          </w:tcPr>
          <w:p>
            <w:pPr>
              <w:spacing w:after="0"/>
              <w:rPr>
                <w:sz w:val="10"/>
                <w:szCs w:val="10"/>
                <w:color w:val="auto"/>
              </w:rPr>
            </w:pPr>
          </w:p>
        </w:tc>
        <w:tc>
          <w:tcPr>
            <w:tcW w:w="1020" w:type="dxa"/>
            <w:vAlign w:val="bottom"/>
          </w:tcPr>
          <w:p>
            <w:pPr>
              <w:jc w:val="right"/>
              <w:ind w:right="89"/>
              <w:spacing w:after="0" w:line="115" w:lineRule="exact"/>
              <w:rPr>
                <w:sz w:val="20"/>
                <w:szCs w:val="20"/>
                <w:color w:val="auto"/>
              </w:rPr>
            </w:pPr>
            <w:r>
              <w:rPr>
                <w:rFonts w:ascii="Calibri" w:cs="Calibri" w:eastAsia="Calibri" w:hAnsi="Calibri"/>
                <w:sz w:val="12"/>
                <w:szCs w:val="12"/>
                <w:b w:val="1"/>
                <w:bCs w:val="1"/>
                <w:color w:val="auto"/>
              </w:rPr>
              <w:t>December 31,</w:t>
            </w:r>
          </w:p>
        </w:tc>
        <w:tc>
          <w:tcPr>
            <w:tcW w:w="100" w:type="dxa"/>
            <w:vAlign w:val="bottom"/>
            <w:vMerge w:val="continue"/>
          </w:tcPr>
          <w:p>
            <w:pPr>
              <w:spacing w:after="0"/>
              <w:rPr>
                <w:sz w:val="10"/>
                <w:szCs w:val="10"/>
                <w:color w:val="auto"/>
              </w:rPr>
            </w:pPr>
          </w:p>
        </w:tc>
        <w:tc>
          <w:tcPr>
            <w:tcW w:w="1680" w:type="dxa"/>
            <w:vAlign w:val="bottom"/>
            <w:vMerge w:val="restart"/>
          </w:tcPr>
          <w:p>
            <w:pPr>
              <w:jc w:val="right"/>
              <w:ind w:right="110"/>
              <w:spacing w:after="0"/>
              <w:rPr>
                <w:sz w:val="20"/>
                <w:szCs w:val="20"/>
                <w:color w:val="auto"/>
              </w:rPr>
            </w:pPr>
            <w:r>
              <w:rPr>
                <w:rFonts w:ascii="Calibri" w:cs="Calibri" w:eastAsia="Calibri" w:hAnsi="Calibri"/>
                <w:sz w:val="14"/>
                <w:szCs w:val="14"/>
                <w:b w:val="1"/>
                <w:bCs w:val="1"/>
                <w:color w:val="auto"/>
              </w:rPr>
              <w:t>Balance sheet capton</w:t>
            </w:r>
          </w:p>
        </w:tc>
        <w:tc>
          <w:tcPr>
            <w:tcW w:w="94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auto"/>
              </w:rPr>
              <w:t>June 30, 2022</w:t>
            </w:r>
          </w:p>
        </w:tc>
        <w:tc>
          <w:tcPr>
            <w:tcW w:w="180" w:type="dxa"/>
            <w:vAlign w:val="bottom"/>
          </w:tcPr>
          <w:p>
            <w:pPr>
              <w:spacing w:after="0"/>
              <w:rPr>
                <w:sz w:val="10"/>
                <w:szCs w:val="10"/>
                <w:color w:val="auto"/>
              </w:rPr>
            </w:pPr>
          </w:p>
        </w:tc>
        <w:tc>
          <w:tcPr>
            <w:tcW w:w="980" w:type="dxa"/>
            <w:vAlign w:val="bottom"/>
          </w:tcPr>
          <w:p>
            <w:pPr>
              <w:jc w:val="right"/>
              <w:ind w:right="89"/>
              <w:spacing w:after="0" w:line="115" w:lineRule="exact"/>
              <w:rPr>
                <w:sz w:val="20"/>
                <w:szCs w:val="20"/>
                <w:color w:val="auto"/>
              </w:rPr>
            </w:pPr>
            <w:r>
              <w:rPr>
                <w:rFonts w:ascii="Calibri" w:cs="Calibri" w:eastAsia="Calibri" w:hAnsi="Calibri"/>
                <w:sz w:val="12"/>
                <w:szCs w:val="12"/>
                <w:b w:val="1"/>
                <w:bCs w:val="1"/>
                <w:color w:val="auto"/>
              </w:rPr>
              <w:t>December 31,</w:t>
            </w:r>
          </w:p>
        </w:tc>
        <w:tc>
          <w:tcPr>
            <w:tcW w:w="0" w:type="dxa"/>
            <w:vAlign w:val="bottom"/>
          </w:tcPr>
          <w:p>
            <w:pPr>
              <w:spacing w:after="0"/>
              <w:rPr>
                <w:sz w:val="1"/>
                <w:szCs w:val="1"/>
                <w:color w:val="auto"/>
              </w:rPr>
            </w:pPr>
          </w:p>
        </w:tc>
      </w:tr>
      <w:tr>
        <w:trPr>
          <w:trHeight w:val="170"/>
        </w:trPr>
        <w:tc>
          <w:tcPr>
            <w:tcW w:w="35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80" w:type="dxa"/>
            <w:vAlign w:val="bottom"/>
          </w:tcPr>
          <w:p>
            <w:pPr>
              <w:ind w:left="20"/>
              <w:spacing w:after="0" w:line="164" w:lineRule="exact"/>
              <w:rPr>
                <w:sz w:val="20"/>
                <w:szCs w:val="20"/>
                <w:color w:val="auto"/>
              </w:rPr>
            </w:pPr>
            <w:r>
              <w:rPr>
                <w:rFonts w:ascii="Calibri" w:cs="Calibri" w:eastAsia="Calibri" w:hAnsi="Calibri"/>
                <w:sz w:val="14"/>
                <w:szCs w:val="14"/>
                <w:color w:val="auto"/>
              </w:rPr>
              <w:t>Foreign currency forward exchange contracts</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58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Designated as cash fow hedges</w:t>
            </w:r>
          </w:p>
        </w:tc>
        <w:tc>
          <w:tcPr>
            <w:tcW w:w="2280" w:type="dxa"/>
            <w:vAlign w:val="bottom"/>
            <w:gridSpan w:val="2"/>
            <w:vMerge w:val="restart"/>
            <w:shd w:val="clear" w:color="auto" w:fill="CCEEFF"/>
          </w:tcPr>
          <w:p>
            <w:pPr>
              <w:jc w:val="right"/>
              <w:ind w:right="448"/>
              <w:spacing w:after="0"/>
              <w:rPr>
                <w:sz w:val="20"/>
                <w:szCs w:val="20"/>
                <w:color w:val="auto"/>
              </w:rPr>
            </w:pPr>
            <w:r>
              <w:rPr>
                <w:rFonts w:ascii="Calibri" w:cs="Calibri" w:eastAsia="Calibri" w:hAnsi="Calibri"/>
                <w:sz w:val="14"/>
                <w:szCs w:val="14"/>
                <w:color w:val="auto"/>
              </w:rPr>
              <w:t>Prepaid expenses and other $</w:t>
            </w: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47</w:t>
            </w:r>
          </w:p>
        </w:tc>
        <w:tc>
          <w:tcPr>
            <w:tcW w:w="1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51</w:t>
            </w: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2" w:lineRule="exact"/>
              <w:rPr>
                <w:sz w:val="20"/>
                <w:szCs w:val="20"/>
                <w:color w:val="auto"/>
              </w:rPr>
            </w:pPr>
            <w:r>
              <w:rPr>
                <w:rFonts w:ascii="Calibri" w:cs="Calibri" w:eastAsia="Calibri" w:hAnsi="Calibri"/>
                <w:sz w:val="13"/>
                <w:szCs w:val="13"/>
                <w:color w:val="auto"/>
              </w:rPr>
              <w:t>Accounts payable and</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5</w:t>
            </w:r>
          </w:p>
        </w:tc>
        <w:tc>
          <w:tcPr>
            <w:tcW w:w="180" w:type="dxa"/>
            <w:vAlign w:val="bottom"/>
            <w:vMerge w:val="restart"/>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vMerge w:val="continue"/>
            <w:shd w:val="clear" w:color="auto" w:fill="CCEEFF"/>
          </w:tcPr>
          <w:p>
            <w:pPr>
              <w:spacing w:after="0"/>
              <w:rPr>
                <w:sz w:val="17"/>
                <w:szCs w:val="17"/>
                <w:color w:val="auto"/>
              </w:rPr>
            </w:pPr>
          </w:p>
        </w:tc>
        <w:tc>
          <w:tcPr>
            <w:tcW w:w="2280" w:type="dxa"/>
            <w:vAlign w:val="bottom"/>
            <w:tcBorders>
              <w:bottom w:val="single" w:sz="8" w:color="CCEEFF"/>
            </w:tcBorders>
            <w:gridSpan w:val="2"/>
            <w:vMerge w:val="continue"/>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Calibri" w:cs="Calibri" w:eastAsia="Calibri" w:hAnsi="Calibri"/>
                <w:sz w:val="14"/>
                <w:szCs w:val="14"/>
                <w:color w:val="auto"/>
              </w:rPr>
              <w:t>accrued liabilites $</w:t>
            </w: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vMerge w:val="continue"/>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20"/>
              <w:spacing w:after="0"/>
              <w:rPr>
                <w:sz w:val="20"/>
                <w:szCs w:val="20"/>
                <w:color w:val="auto"/>
              </w:rPr>
            </w:pPr>
            <w:r>
              <w:rPr>
                <w:rFonts w:ascii="Calibri" w:cs="Calibri" w:eastAsia="Calibri" w:hAnsi="Calibri"/>
                <w:sz w:val="14"/>
                <w:szCs w:val="14"/>
                <w:color w:val="auto"/>
              </w:rPr>
              <w:t>Designated as cash fow hedges</w:t>
            </w:r>
          </w:p>
        </w:tc>
        <w:tc>
          <w:tcPr>
            <w:tcW w:w="1660" w:type="dxa"/>
            <w:vAlign w:val="bottom"/>
          </w:tcPr>
          <w:p>
            <w:pPr>
              <w:jc w:val="right"/>
              <w:spacing w:after="0"/>
              <w:rPr>
                <w:sz w:val="20"/>
                <w:szCs w:val="20"/>
                <w:color w:val="auto"/>
              </w:rPr>
            </w:pPr>
            <w:r>
              <w:rPr>
                <w:rFonts w:ascii="Calibri" w:cs="Calibri" w:eastAsia="Calibri" w:hAnsi="Calibri"/>
                <w:sz w:val="14"/>
                <w:szCs w:val="14"/>
                <w:color w:val="auto"/>
              </w:rPr>
              <w:t>Other assets</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1680" w:type="dxa"/>
            <w:vAlign w:val="bottom"/>
          </w:tcPr>
          <w:p>
            <w:pPr>
              <w:jc w:val="right"/>
              <w:spacing w:after="0"/>
              <w:rPr>
                <w:sz w:val="20"/>
                <w:szCs w:val="20"/>
                <w:color w:val="auto"/>
              </w:rPr>
            </w:pPr>
            <w:r>
              <w:rPr>
                <w:rFonts w:ascii="Calibri" w:cs="Calibri" w:eastAsia="Calibri" w:hAnsi="Calibri"/>
                <w:sz w:val="14"/>
                <w:szCs w:val="14"/>
                <w:color w:val="auto"/>
              </w:rPr>
              <w:t>Other long-term liabilites</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58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Designated as net investment hedges</w:t>
            </w:r>
          </w:p>
        </w:tc>
        <w:tc>
          <w:tcPr>
            <w:tcW w:w="1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Prepaid expenses and other</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32</w:t>
            </w:r>
          </w:p>
        </w:tc>
        <w:tc>
          <w:tcPr>
            <w:tcW w:w="1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149</w:t>
            </w: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2" w:lineRule="exact"/>
              <w:rPr>
                <w:sz w:val="20"/>
                <w:szCs w:val="20"/>
                <w:color w:val="auto"/>
              </w:rPr>
            </w:pPr>
            <w:r>
              <w:rPr>
                <w:rFonts w:ascii="Calibri" w:cs="Calibri" w:eastAsia="Calibri" w:hAnsi="Calibri"/>
                <w:sz w:val="13"/>
                <w:szCs w:val="13"/>
                <w:color w:val="auto"/>
              </w:rPr>
              <w:t>Accounts payable and</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vMerge w:val="continue"/>
            <w:shd w:val="clear" w:color="auto" w:fill="CCEEFF"/>
          </w:tcPr>
          <w:p>
            <w:pPr>
              <w:spacing w:after="0"/>
              <w:rPr>
                <w:sz w:val="17"/>
                <w:szCs w:val="17"/>
                <w:color w:val="auto"/>
              </w:rPr>
            </w:pPr>
          </w:p>
        </w:tc>
        <w:tc>
          <w:tcPr>
            <w:tcW w:w="16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accrued liabilites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20"/>
              <w:spacing w:after="0"/>
              <w:rPr>
                <w:sz w:val="20"/>
                <w:szCs w:val="20"/>
                <w:color w:val="auto"/>
              </w:rPr>
            </w:pPr>
            <w:r>
              <w:rPr>
                <w:rFonts w:ascii="Calibri" w:cs="Calibri" w:eastAsia="Calibri" w:hAnsi="Calibri"/>
                <w:sz w:val="14"/>
                <w:szCs w:val="14"/>
                <w:color w:val="auto"/>
              </w:rPr>
              <w:t>Designated as net investment hedges</w:t>
            </w:r>
          </w:p>
        </w:tc>
        <w:tc>
          <w:tcPr>
            <w:tcW w:w="1660" w:type="dxa"/>
            <w:vAlign w:val="bottom"/>
          </w:tcPr>
          <w:p>
            <w:pPr>
              <w:jc w:val="right"/>
              <w:spacing w:after="0"/>
              <w:rPr>
                <w:sz w:val="20"/>
                <w:szCs w:val="20"/>
                <w:color w:val="auto"/>
              </w:rPr>
            </w:pPr>
            <w:r>
              <w:rPr>
                <w:rFonts w:ascii="Calibri" w:cs="Calibri" w:eastAsia="Calibri" w:hAnsi="Calibri"/>
                <w:sz w:val="14"/>
                <w:szCs w:val="14"/>
                <w:color w:val="auto"/>
              </w:rPr>
              <w:t>Other assets</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129</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auto"/>
              </w:rPr>
              <w:t>15</w:t>
            </w: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alibri" w:cs="Calibri" w:eastAsia="Calibri" w:hAnsi="Calibri"/>
                <w:sz w:val="14"/>
                <w:szCs w:val="14"/>
                <w:color w:val="auto"/>
              </w:rPr>
              <w:t>Other long-term liabilites</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58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Not designated as hedges</w:t>
            </w:r>
          </w:p>
        </w:tc>
        <w:tc>
          <w:tcPr>
            <w:tcW w:w="1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Prepaid expenses and other</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22</w:t>
            </w:r>
          </w:p>
        </w:tc>
        <w:tc>
          <w:tcPr>
            <w:tcW w:w="1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26</w:t>
            </w: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2" w:lineRule="exact"/>
              <w:rPr>
                <w:sz w:val="20"/>
                <w:szCs w:val="20"/>
                <w:color w:val="auto"/>
              </w:rPr>
            </w:pPr>
            <w:r>
              <w:rPr>
                <w:rFonts w:ascii="Calibri" w:cs="Calibri" w:eastAsia="Calibri" w:hAnsi="Calibri"/>
                <w:sz w:val="13"/>
                <w:szCs w:val="13"/>
                <w:color w:val="auto"/>
              </w:rPr>
              <w:t>Accounts payable and</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41</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vMerge w:val="continue"/>
            <w:shd w:val="clear" w:color="auto" w:fill="CCEEFF"/>
          </w:tcPr>
          <w:p>
            <w:pPr>
              <w:spacing w:after="0"/>
              <w:rPr>
                <w:sz w:val="17"/>
                <w:szCs w:val="17"/>
                <w:color w:val="auto"/>
              </w:rPr>
            </w:pPr>
          </w:p>
        </w:tc>
        <w:tc>
          <w:tcPr>
            <w:tcW w:w="16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accrued liabilites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Calibri" w:cs="Calibri" w:eastAsia="Calibri" w:hAnsi="Calibri"/>
                <w:sz w:val="14"/>
                <w:szCs w:val="14"/>
                <w:color w:val="auto"/>
              </w:rPr>
              <w:t>Interest rate swap contracts</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58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Designated as cash fow hedges</w:t>
            </w:r>
          </w:p>
        </w:tc>
        <w:tc>
          <w:tcPr>
            <w:tcW w:w="166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Prepaid expenses and other</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2</w:t>
            </w: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1680" w:type="dxa"/>
            <w:vAlign w:val="bottom"/>
            <w:shd w:val="clear" w:color="auto" w:fill="CCEEFF"/>
          </w:tcPr>
          <w:p>
            <w:pPr>
              <w:jc w:val="right"/>
              <w:spacing w:after="0" w:line="122" w:lineRule="exact"/>
              <w:rPr>
                <w:sz w:val="20"/>
                <w:szCs w:val="20"/>
                <w:color w:val="auto"/>
              </w:rPr>
            </w:pPr>
            <w:r>
              <w:rPr>
                <w:rFonts w:ascii="Calibri" w:cs="Calibri" w:eastAsia="Calibri" w:hAnsi="Calibri"/>
                <w:sz w:val="13"/>
                <w:szCs w:val="13"/>
                <w:color w:val="auto"/>
              </w:rPr>
              <w:t>Accounts payable and</w:t>
            </w:r>
          </w:p>
        </w:tc>
        <w:tc>
          <w:tcPr>
            <w:tcW w:w="6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7</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vMerge w:val="continue"/>
            <w:shd w:val="clear" w:color="auto" w:fill="CCEEFF"/>
          </w:tcPr>
          <w:p>
            <w:pPr>
              <w:spacing w:after="0"/>
              <w:rPr>
                <w:sz w:val="17"/>
                <w:szCs w:val="17"/>
                <w:color w:val="auto"/>
              </w:rPr>
            </w:pPr>
          </w:p>
        </w:tc>
        <w:tc>
          <w:tcPr>
            <w:tcW w:w="16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vMerge w:val="continue"/>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accrued liabilites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580" w:type="dxa"/>
            <w:vAlign w:val="bottom"/>
            <w:vMerge w:val="restart"/>
          </w:tcPr>
          <w:p>
            <w:pPr>
              <w:ind w:left="220"/>
              <w:spacing w:after="0"/>
              <w:rPr>
                <w:sz w:val="20"/>
                <w:szCs w:val="20"/>
                <w:color w:val="auto"/>
              </w:rPr>
            </w:pPr>
            <w:r>
              <w:rPr>
                <w:rFonts w:ascii="Calibri" w:cs="Calibri" w:eastAsia="Calibri" w:hAnsi="Calibri"/>
                <w:sz w:val="14"/>
                <w:szCs w:val="14"/>
                <w:color w:val="auto"/>
              </w:rPr>
              <w:t>Designated as fair value hedges</w:t>
            </w:r>
          </w:p>
        </w:tc>
        <w:tc>
          <w:tcPr>
            <w:tcW w:w="1660" w:type="dxa"/>
            <w:vAlign w:val="bottom"/>
            <w:vMerge w:val="restart"/>
          </w:tcPr>
          <w:p>
            <w:pPr>
              <w:jc w:val="right"/>
              <w:spacing w:after="0"/>
              <w:rPr>
                <w:sz w:val="20"/>
                <w:szCs w:val="20"/>
                <w:color w:val="auto"/>
              </w:rPr>
            </w:pPr>
            <w:r>
              <w:rPr>
                <w:rFonts w:ascii="Calibri" w:cs="Calibri" w:eastAsia="Calibri" w:hAnsi="Calibri"/>
                <w:sz w:val="14"/>
                <w:szCs w:val="14"/>
                <w:color w:val="auto"/>
              </w:rPr>
              <w:t>Prepaid expenses and other</w:t>
            </w:r>
          </w:p>
        </w:tc>
        <w:tc>
          <w:tcPr>
            <w:tcW w:w="6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w:t>
            </w:r>
          </w:p>
        </w:tc>
        <w:tc>
          <w:tcPr>
            <w:tcW w:w="1680" w:type="dxa"/>
            <w:vAlign w:val="bottom"/>
          </w:tcPr>
          <w:p>
            <w:pPr>
              <w:jc w:val="right"/>
              <w:spacing w:after="0" w:line="122" w:lineRule="exact"/>
              <w:rPr>
                <w:sz w:val="20"/>
                <w:szCs w:val="20"/>
                <w:color w:val="auto"/>
              </w:rPr>
            </w:pPr>
            <w:r>
              <w:rPr>
                <w:rFonts w:ascii="Calibri" w:cs="Calibri" w:eastAsia="Calibri" w:hAnsi="Calibri"/>
                <w:sz w:val="13"/>
                <w:szCs w:val="13"/>
                <w:color w:val="auto"/>
              </w:rPr>
              <w:t>Accounts payable and</w:t>
            </w:r>
          </w:p>
        </w:tc>
        <w:tc>
          <w:tcPr>
            <w:tcW w:w="6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4"/>
                <w:szCs w:val="14"/>
                <w:color w:val="auto"/>
              </w:rPr>
              <w:t>16</w:t>
            </w:r>
          </w:p>
        </w:tc>
        <w:tc>
          <w:tcPr>
            <w:tcW w:w="1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5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80" w:type="dxa"/>
            <w:vAlign w:val="bottom"/>
          </w:tcPr>
          <w:p>
            <w:pPr>
              <w:jc w:val="right"/>
              <w:spacing w:after="0"/>
              <w:rPr>
                <w:sz w:val="20"/>
                <w:szCs w:val="20"/>
                <w:color w:val="auto"/>
              </w:rPr>
            </w:pPr>
            <w:r>
              <w:rPr>
                <w:rFonts w:ascii="Calibri" w:cs="Calibri" w:eastAsia="Calibri" w:hAnsi="Calibri"/>
                <w:sz w:val="14"/>
                <w:szCs w:val="14"/>
                <w:color w:val="auto"/>
              </w:rPr>
              <w:t>accrued liabilites</w:t>
            </w:r>
          </w:p>
        </w:tc>
        <w:tc>
          <w:tcPr>
            <w:tcW w:w="6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5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58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Designated as fair value hedges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Other assets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Other long-term liabilites</w:t>
            </w: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256</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15</w:t>
            </w:r>
          </w:p>
        </w:tc>
        <w:tc>
          <w:tcPr>
            <w:tcW w:w="0" w:type="dxa"/>
            <w:vAlign w:val="bottom"/>
          </w:tcPr>
          <w:p>
            <w:pPr>
              <w:spacing w:after="0"/>
              <w:rPr>
                <w:sz w:val="1"/>
                <w:szCs w:val="1"/>
                <w:color w:val="auto"/>
              </w:rPr>
            </w:pPr>
          </w:p>
        </w:tc>
      </w:tr>
      <w:tr>
        <w:trPr>
          <w:trHeight w:val="163"/>
        </w:trPr>
        <w:tc>
          <w:tcPr>
            <w:tcW w:w="35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derivatves</w:t>
            </w:r>
          </w:p>
        </w:tc>
        <w:tc>
          <w:tcPr>
            <w:tcW w:w="16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448"/>
              <w:spacing w:after="0" w:line="164" w:lineRule="exact"/>
              <w:rPr>
                <w:sz w:val="20"/>
                <w:szCs w:val="20"/>
                <w:color w:val="auto"/>
              </w:rPr>
            </w:pPr>
            <w:r>
              <w:rPr>
                <w:rFonts w:ascii="Calibri" w:cs="Calibri" w:eastAsia="Calibri" w:hAnsi="Calibri"/>
                <w:sz w:val="14"/>
                <w:szCs w:val="14"/>
                <w:color w:val="auto"/>
              </w:rPr>
              <w:t>$</w:t>
            </w:r>
          </w:p>
        </w:tc>
        <w:tc>
          <w:tcPr>
            <w:tcW w:w="3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236</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267</w:t>
            </w: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468"/>
              <w:spacing w:after="0" w:line="164" w:lineRule="exact"/>
              <w:rPr>
                <w:sz w:val="20"/>
                <w:szCs w:val="20"/>
                <w:color w:val="auto"/>
              </w:rPr>
            </w:pPr>
            <w:r>
              <w:rPr>
                <w:rFonts w:ascii="Calibri" w:cs="Calibri" w:eastAsia="Calibri" w:hAnsi="Calibri"/>
                <w:sz w:val="14"/>
                <w:szCs w:val="14"/>
                <w:color w:val="auto"/>
                <w:w w:val="83"/>
              </w:rPr>
              <w:t>$</w:t>
            </w:r>
          </w:p>
        </w:tc>
        <w:tc>
          <w:tcPr>
            <w:tcW w:w="3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318</w:t>
            </w: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37</w:t>
            </w:r>
          </w:p>
        </w:tc>
        <w:tc>
          <w:tcPr>
            <w:tcW w:w="0" w:type="dxa"/>
            <w:vAlign w:val="bottom"/>
          </w:tcPr>
          <w:p>
            <w:pPr>
              <w:spacing w:after="0"/>
              <w:rPr>
                <w:sz w:val="1"/>
                <w:szCs w:val="1"/>
                <w:color w:val="auto"/>
              </w:rPr>
            </w:pPr>
          </w:p>
        </w:tc>
      </w:tr>
      <w:tr>
        <w:trPr>
          <w:trHeight w:val="33"/>
        </w:trPr>
        <w:tc>
          <w:tcPr>
            <w:tcW w:w="3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While certain derivatves are subject to netng arrangements with the company’s counterpartes, the company does not ofset derivatve assets and liabilites within the condensed consolidated balance sheets.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the pre-tax amounts of gains (losses) from derivatve instruments recognized in other comprehensive income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center"/>
              <w:ind w:right="300"/>
              <w:spacing w:after="0"/>
              <w:rPr>
                <w:sz w:val="20"/>
                <w:szCs w:val="20"/>
                <w:color w:val="auto"/>
              </w:rPr>
            </w:pPr>
            <w:r>
              <w:rPr>
                <w:rFonts w:ascii="Calibri" w:cs="Calibri" w:eastAsia="Calibri" w:hAnsi="Calibri"/>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3"/>
          </w:tcPr>
          <w:p>
            <w:pPr>
              <w:jc w:val="center"/>
              <w:ind w:right="11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left="359"/>
              <w:spacing w:after="0"/>
              <w:rPr>
                <w:sz w:val="20"/>
                <w:szCs w:val="20"/>
                <w:color w:val="auto"/>
              </w:rPr>
            </w:pPr>
            <w:r>
              <w:rPr>
                <w:rFonts w:ascii="Calibri" w:cs="Calibri" w:eastAsia="Calibri" w:hAnsi="Calibri"/>
                <w:sz w:val="14"/>
                <w:szCs w:val="14"/>
                <w:b w:val="1"/>
                <w:bCs w:val="1"/>
                <w:color w:val="auto"/>
              </w:rPr>
              <w:t>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359"/>
              <w:spacing w:after="0"/>
              <w:rPr>
                <w:sz w:val="20"/>
                <w:szCs w:val="20"/>
                <w:color w:val="auto"/>
              </w:rPr>
            </w:pPr>
            <w:r>
              <w:rPr>
                <w:rFonts w:ascii="Calibri" w:cs="Calibri" w:eastAsia="Calibri" w:hAnsi="Calibri"/>
                <w:sz w:val="14"/>
                <w:szCs w:val="14"/>
                <w:b w:val="1"/>
                <w:bCs w:val="1"/>
                <w:color w:val="auto"/>
              </w:rPr>
              <w:t>June 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9"/>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620" w:type="dxa"/>
            <w:vAlign w:val="bottom"/>
          </w:tcPr>
          <w:p>
            <w:pPr>
              <w:jc w:val="right"/>
              <w:ind w:right="195"/>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9"/>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640" w:type="dxa"/>
            <w:vAlign w:val="bottom"/>
          </w:tcPr>
          <w:p>
            <w:pPr>
              <w:jc w:val="right"/>
              <w:ind w:right="215"/>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forward exchange contracts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Designated as cash fow hedges</w:t>
            </w: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ind w:right="19"/>
              <w:spacing w:after="0"/>
              <w:rPr>
                <w:sz w:val="20"/>
                <w:szCs w:val="20"/>
                <w:color w:val="auto"/>
              </w:rPr>
            </w:pPr>
            <w:r>
              <w:rPr>
                <w:rFonts w:ascii="Calibri" w:cs="Calibri" w:eastAsia="Calibri" w:hAnsi="Calibri"/>
                <w:sz w:val="18"/>
                <w:szCs w:val="18"/>
                <w:color w:val="auto"/>
              </w:rPr>
              <w:t>53</w:t>
            </w:r>
          </w:p>
        </w:tc>
        <w:tc>
          <w:tcPr>
            <w:tcW w:w="32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7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w:t>
            </w:r>
          </w:p>
        </w:tc>
        <w:tc>
          <w:tcPr>
            <w:tcW w:w="3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w:t>
            </w:r>
          </w:p>
        </w:tc>
        <w:tc>
          <w:tcPr>
            <w:tcW w:w="0" w:type="dxa"/>
            <w:vAlign w:val="bottom"/>
          </w:tcPr>
          <w:p>
            <w:pPr>
              <w:spacing w:after="0"/>
              <w:rPr>
                <w:sz w:val="1"/>
                <w:szCs w:val="1"/>
                <w:color w:val="auto"/>
              </w:rPr>
            </w:pPr>
          </w:p>
        </w:tc>
      </w:tr>
      <w:tr>
        <w:trPr>
          <w:trHeight w:val="222"/>
        </w:trPr>
        <w:tc>
          <w:tcPr>
            <w:tcW w:w="7400" w:type="dxa"/>
            <w:vAlign w:val="bottom"/>
          </w:tcPr>
          <w:p>
            <w:pPr>
              <w:ind w:left="220"/>
              <w:spacing w:after="0" w:line="215" w:lineRule="exact"/>
              <w:rPr>
                <w:sz w:val="20"/>
                <w:szCs w:val="20"/>
                <w:color w:val="auto"/>
              </w:rPr>
            </w:pPr>
            <w:r>
              <w:rPr>
                <w:rFonts w:ascii="Calibri" w:cs="Calibri" w:eastAsia="Calibri" w:hAnsi="Calibri"/>
                <w:sz w:val="18"/>
                <w:szCs w:val="18"/>
                <w:color w:val="auto"/>
              </w:rPr>
              <w:t>Designated as net investment hedges</w:t>
            </w:r>
          </w:p>
        </w:tc>
        <w:tc>
          <w:tcPr>
            <w:tcW w:w="200" w:type="dxa"/>
            <w:vAlign w:val="bottom"/>
          </w:tcPr>
          <w:p>
            <w:pPr>
              <w:spacing w:after="0"/>
              <w:rPr>
                <w:sz w:val="19"/>
                <w:szCs w:val="19"/>
                <w:color w:val="auto"/>
              </w:rPr>
            </w:pPr>
          </w:p>
        </w:tc>
        <w:tc>
          <w:tcPr>
            <w:tcW w:w="720" w:type="dxa"/>
            <w:vAlign w:val="bottom"/>
          </w:tcPr>
          <w:p>
            <w:pPr>
              <w:jc w:val="right"/>
              <w:ind w:right="19"/>
              <w:spacing w:after="0" w:line="215" w:lineRule="exact"/>
              <w:rPr>
                <w:sz w:val="20"/>
                <w:szCs w:val="20"/>
                <w:color w:val="auto"/>
              </w:rPr>
            </w:pPr>
            <w:r>
              <w:rPr>
                <w:rFonts w:ascii="Calibri" w:cs="Calibri" w:eastAsia="Calibri" w:hAnsi="Calibri"/>
                <w:sz w:val="18"/>
                <w:szCs w:val="18"/>
                <w:color w:val="auto"/>
              </w:rPr>
              <w:t>304</w:t>
            </w:r>
          </w:p>
        </w:tc>
        <w:tc>
          <w:tcPr>
            <w:tcW w:w="32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386</w:t>
            </w:r>
          </w:p>
        </w:tc>
        <w:tc>
          <w:tcPr>
            <w:tcW w:w="320" w:type="dxa"/>
            <w:vAlign w:val="bottom"/>
          </w:tcPr>
          <w:p>
            <w:pPr>
              <w:spacing w:after="0"/>
              <w:rPr>
                <w:sz w:val="19"/>
                <w:szCs w:val="19"/>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 designated as cash fow hedges</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8"/>
                <w:szCs w:val="18"/>
                <w:color w:val="auto"/>
              </w:rPr>
              <w:t>2</w:t>
            </w: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Calibri" w:cs="Calibri" w:eastAsia="Calibri" w:hAnsi="Calibri"/>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w:t>
            </w:r>
          </w:p>
        </w:tc>
        <w:tc>
          <w:tcPr>
            <w:tcW w:w="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Assuming market rates remain constant through contract maturites, the company expects to reclassify pre-tax gains of $73 million into cost of products sold for foreign currency cash fow hedges, pre-tax gains of $2 million into interest expense, net for interest rate swap cash fow hedges and pre-tax gains of $24 million into interest expense, net for treasury rate lock agreement cash fow hedges during the next 12 months.</w:t>
      </w:r>
    </w:p>
    <w:p>
      <w:pPr>
        <w:spacing w:after="0" w:line="1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Related to AbbVie’s non-derivatve, foreign currency denominated debt designated as net investment hedges, the company recognized in other comprehensive income (loss) pre-tax gains of $402 million for three months and pre-tax gains of $501 million for the six months ended June 30, 2022 and pre-tax losses of $126 million for the three months and pre-tax gains of $256 million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4" w:name="page15"/>
    <w:bookmarkEnd w:id="14"/>
    <w:p>
      <w:pPr>
        <w:ind w:right="60"/>
        <w:spacing w:after="0" w:line="235" w:lineRule="auto"/>
        <w:rPr>
          <w:sz w:val="20"/>
          <w:szCs w:val="20"/>
          <w:color w:val="auto"/>
        </w:rPr>
      </w:pPr>
      <w:r>
        <w:rPr>
          <w:rFonts w:ascii="Calibri" w:cs="Calibri" w:eastAsia="Calibri" w:hAnsi="Calibri"/>
          <w:sz w:val="18"/>
          <w:szCs w:val="18"/>
          <w:color w:val="auto"/>
        </w:rPr>
        <w:t>The following table summarizes the pre-tax amounts and locaton of derivatve instrument net gains (losses) recognized in the condensed consolidated statements of earnings, including the net gains (losses) reclassifed out of AOCI into net earnings. See Note 10 for the amount of net gains (losses) reclassifed out of AOCI.</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1480" w:type="dxa"/>
            <w:vAlign w:val="bottom"/>
            <w:gridSpan w:val="3"/>
          </w:tcPr>
          <w:p>
            <w:pPr>
              <w:jc w:val="center"/>
              <w:ind w:right="9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left="315"/>
              <w:spacing w:after="0"/>
              <w:rPr>
                <w:sz w:val="20"/>
                <w:szCs w:val="20"/>
                <w:color w:val="auto"/>
              </w:rPr>
            </w:pPr>
            <w:r>
              <w:rPr>
                <w:rFonts w:ascii="Calibri" w:cs="Calibri" w:eastAsia="Calibri" w:hAnsi="Calibri"/>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left="295"/>
              <w:spacing w:after="0"/>
              <w:rPr>
                <w:sz w:val="20"/>
                <w:szCs w:val="20"/>
                <w:color w:val="auto"/>
              </w:rPr>
            </w:pPr>
            <w:r>
              <w:rPr>
                <w:rFonts w:ascii="Calibri" w:cs="Calibri" w:eastAsia="Calibri" w:hAnsi="Calibri"/>
                <w:sz w:val="14"/>
                <w:szCs w:val="14"/>
                <w:b w:val="1"/>
                <w:bCs w:val="1"/>
                <w:color w:val="auto"/>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1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600" w:type="dxa"/>
            <w:vAlign w:val="bottom"/>
            <w:vMerge w:val="restart"/>
          </w:tcPr>
          <w:p>
            <w:pPr>
              <w:jc w:val="right"/>
              <w:ind w:right="32"/>
              <w:spacing w:after="0"/>
              <w:rPr>
                <w:sz w:val="20"/>
                <w:szCs w:val="20"/>
                <w:color w:val="auto"/>
              </w:rPr>
            </w:pPr>
            <w:r>
              <w:rPr>
                <w:rFonts w:ascii="Calibri" w:cs="Calibri" w:eastAsia="Calibri" w:hAnsi="Calibri"/>
                <w:sz w:val="14"/>
                <w:szCs w:val="14"/>
                <w:b w:val="1"/>
                <w:bCs w:val="1"/>
                <w:color w:val="auto"/>
              </w:rPr>
              <w:t>Statement of earnings capton</w:t>
            </w: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10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5"/>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600" w:type="dxa"/>
            <w:vAlign w:val="bottom"/>
          </w:tcPr>
          <w:p>
            <w:pPr>
              <w:jc w:val="right"/>
              <w:ind w:right="172"/>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5"/>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560" w:type="dxa"/>
            <w:vAlign w:val="bottom"/>
          </w:tcPr>
          <w:p>
            <w:pPr>
              <w:jc w:val="right"/>
              <w:ind w:right="152"/>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5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forward exchange contracts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Designated as cash fow hedges</w:t>
            </w:r>
          </w:p>
        </w:tc>
        <w:tc>
          <w:tcPr>
            <w:tcW w:w="2800" w:type="dxa"/>
            <w:vAlign w:val="bottom"/>
            <w:gridSpan w:val="2"/>
            <w:shd w:val="clear" w:color="auto" w:fill="CCEEFF"/>
          </w:tcPr>
          <w:p>
            <w:pPr>
              <w:ind w:left="980"/>
              <w:spacing w:after="0"/>
              <w:rPr>
                <w:sz w:val="20"/>
                <w:szCs w:val="20"/>
                <w:color w:val="auto"/>
              </w:rPr>
            </w:pPr>
            <w:r>
              <w:rPr>
                <w:rFonts w:ascii="Calibri" w:cs="Calibri" w:eastAsia="Calibri" w:hAnsi="Calibri"/>
                <w:sz w:val="18"/>
                <w:szCs w:val="18"/>
                <w:color w:val="auto"/>
              </w:rPr>
              <w:t>Cost of products sold  $</w:t>
            </w:r>
          </w:p>
        </w:tc>
        <w:tc>
          <w:tcPr>
            <w:tcW w:w="720" w:type="dxa"/>
            <w:vAlign w:val="bottom"/>
            <w:shd w:val="clear" w:color="auto" w:fill="CCEEFF"/>
          </w:tcPr>
          <w:p>
            <w:pPr>
              <w:jc w:val="right"/>
              <w:ind w:right="35"/>
              <w:spacing w:after="0"/>
              <w:rPr>
                <w:sz w:val="20"/>
                <w:szCs w:val="20"/>
                <w:color w:val="auto"/>
              </w:rPr>
            </w:pPr>
            <w:r>
              <w:rPr>
                <w:rFonts w:ascii="Calibri" w:cs="Calibri" w:eastAsia="Calibri" w:hAnsi="Calibri"/>
                <w:sz w:val="18"/>
                <w:szCs w:val="18"/>
                <w:color w:val="auto"/>
              </w:rPr>
              <w:t>18</w:t>
            </w:r>
          </w:p>
        </w:tc>
        <w:tc>
          <w:tcPr>
            <w:tcW w:w="26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15"/>
              <w:spacing w:after="0"/>
              <w:rPr>
                <w:sz w:val="20"/>
                <w:szCs w:val="20"/>
                <w:color w:val="auto"/>
              </w:rPr>
            </w:pPr>
            <w:r>
              <w:rPr>
                <w:rFonts w:ascii="Calibri" w:cs="Calibri" w:eastAsia="Calibri" w:hAnsi="Calibri"/>
                <w:sz w:val="18"/>
                <w:szCs w:val="18"/>
                <w:color w:val="auto"/>
              </w:rPr>
              <w:t>26</w:t>
            </w:r>
          </w:p>
        </w:tc>
        <w:tc>
          <w:tcPr>
            <w:tcW w:w="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22"/>
        </w:trPr>
        <w:tc>
          <w:tcPr>
            <w:tcW w:w="5100" w:type="dxa"/>
            <w:vAlign w:val="bottom"/>
          </w:tcPr>
          <w:p>
            <w:pPr>
              <w:ind w:left="240"/>
              <w:spacing w:after="0" w:line="215" w:lineRule="exact"/>
              <w:rPr>
                <w:sz w:val="20"/>
                <w:szCs w:val="20"/>
                <w:color w:val="auto"/>
              </w:rPr>
            </w:pPr>
            <w:r>
              <w:rPr>
                <w:rFonts w:ascii="Calibri" w:cs="Calibri" w:eastAsia="Calibri" w:hAnsi="Calibri"/>
                <w:sz w:val="18"/>
                <w:szCs w:val="18"/>
                <w:color w:val="auto"/>
              </w:rPr>
              <w:t>Designated as net investment hedges</w:t>
            </w:r>
          </w:p>
        </w:tc>
        <w:tc>
          <w:tcPr>
            <w:tcW w:w="28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24</w:t>
            </w:r>
          </w:p>
        </w:tc>
        <w:tc>
          <w:tcPr>
            <w:tcW w:w="2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38</w:t>
            </w:r>
          </w:p>
        </w:tc>
        <w:tc>
          <w:tcPr>
            <w:tcW w:w="2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Not designated as hedges</w:t>
            </w:r>
          </w:p>
        </w:tc>
        <w:tc>
          <w:tcPr>
            <w:tcW w:w="280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8"/>
                <w:szCs w:val="18"/>
                <w:color w:val="auto"/>
              </w:rPr>
              <w:t>Net foreign exchange loss</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(123)</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(164)</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Treasury rate lock agreements designated as cash fow hedges</w:t>
            </w:r>
          </w:p>
        </w:tc>
        <w:tc>
          <w:tcPr>
            <w:tcW w:w="28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6</w:t>
            </w:r>
          </w:p>
        </w:tc>
        <w:tc>
          <w:tcPr>
            <w:tcW w:w="2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w:t>
            </w:r>
          </w:p>
        </w:tc>
        <w:tc>
          <w:tcPr>
            <w:tcW w:w="2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240"/>
              <w:spacing w:after="0" w:line="215" w:lineRule="exact"/>
              <w:rPr>
                <w:sz w:val="20"/>
                <w:szCs w:val="20"/>
                <w:color w:val="auto"/>
              </w:rPr>
            </w:pPr>
            <w:r>
              <w:rPr>
                <w:rFonts w:ascii="Calibri" w:cs="Calibri" w:eastAsia="Calibri" w:hAnsi="Calibri"/>
                <w:sz w:val="18"/>
                <w:szCs w:val="18"/>
                <w:color w:val="auto"/>
              </w:rPr>
              <w:t>Designated as cash fow hedges</w:t>
            </w:r>
          </w:p>
        </w:tc>
        <w:tc>
          <w:tcPr>
            <w:tcW w:w="28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Designated as fair value hedges</w:t>
            </w:r>
          </w:p>
        </w:tc>
        <w:tc>
          <w:tcPr>
            <w:tcW w:w="280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8"/>
                <w:szCs w:val="18"/>
                <w:color w:val="auto"/>
              </w:rPr>
              <w:t>Interest expense, net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(283)</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Debt designated as hedged item in fair value hedges</w:t>
            </w:r>
          </w:p>
        </w:tc>
        <w:tc>
          <w:tcPr>
            <w:tcW w:w="2800" w:type="dxa"/>
            <w:vAlign w:val="bottom"/>
            <w:tcBorders>
              <w:bottom w:val="single" w:sz="8" w:color="auto"/>
            </w:tcBorders>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99</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283</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Fair Value Measures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 hierarchy consists of the following three levels:</w:t>
      </w:r>
    </w:p>
    <w:p>
      <w:pPr>
        <w:spacing w:after="0" w:line="131" w:lineRule="exact"/>
        <w:rPr>
          <w:sz w:val="20"/>
          <w:szCs w:val="20"/>
          <w:color w:val="auto"/>
        </w:rPr>
      </w:pPr>
    </w:p>
    <w:p>
      <w:pPr>
        <w:ind w:left="480" w:hanging="189"/>
        <w:spacing w:after="0"/>
        <w:tabs>
          <w:tab w:leader="none" w:pos="4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1 – Valuatons based on unadjusted quoted prices in actve markets for identcal assets that the company has the ability to access;</w:t>
      </w:r>
    </w:p>
    <w:p>
      <w:pPr>
        <w:spacing w:after="0" w:line="149" w:lineRule="exact"/>
        <w:rPr>
          <w:rFonts w:ascii="Calibri" w:cs="Calibri" w:eastAsia="Calibri" w:hAnsi="Calibri"/>
          <w:sz w:val="18"/>
          <w:szCs w:val="18"/>
          <w:color w:val="auto"/>
        </w:rPr>
      </w:pPr>
    </w:p>
    <w:p>
      <w:pPr>
        <w:ind w:left="500" w:right="80" w:hanging="209"/>
        <w:spacing w:after="0" w:line="235" w:lineRule="auto"/>
        <w:tabs>
          <w:tab w:leader="none" w:pos="4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2 – Valuatons based on quoted prices for similar instruments in actve markets, quoted prices for identcal or similar instruments in markets that are not actve and model-based valuatons in which all signifcant inputs are observable in the market; and</w:t>
      </w:r>
    </w:p>
    <w:p>
      <w:pPr>
        <w:spacing w:after="0" w:line="150" w:lineRule="exact"/>
        <w:rPr>
          <w:rFonts w:ascii="Calibri" w:cs="Calibri" w:eastAsia="Calibri" w:hAnsi="Calibri"/>
          <w:sz w:val="18"/>
          <w:szCs w:val="18"/>
          <w:color w:val="auto"/>
        </w:rPr>
      </w:pPr>
    </w:p>
    <w:p>
      <w:pPr>
        <w:ind w:left="500" w:right="20" w:hanging="209"/>
        <w:spacing w:after="0" w:line="235" w:lineRule="auto"/>
        <w:tabs>
          <w:tab w:leader="none" w:pos="4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3 – Valuatons using signifcant inputs that are unobservable in the market and include the use of judgment by the company’s management about the assumptons market partcipants would use in pricing the asset or liability.</w:t>
      </w:r>
    </w:p>
    <w:p>
      <w:pPr>
        <w:spacing w:after="0" w:line="137" w:lineRule="exact"/>
        <w:rPr>
          <w:sz w:val="20"/>
          <w:szCs w:val="20"/>
          <w:color w:val="auto"/>
        </w:rPr>
      </w:pPr>
    </w:p>
    <w:p>
      <w:pPr>
        <w:ind w:right="880"/>
        <w:spacing w:after="0" w:line="235" w:lineRule="auto"/>
        <w:rPr>
          <w:sz w:val="20"/>
          <w:szCs w:val="20"/>
          <w:color w:val="auto"/>
        </w:rPr>
      </w:pPr>
      <w:r>
        <w:rPr>
          <w:rFonts w:ascii="Calibri" w:cs="Calibri" w:eastAsia="Calibri" w:hAnsi="Calibri"/>
          <w:sz w:val="18"/>
          <w:szCs w:val="18"/>
          <w:color w:val="auto"/>
        </w:rPr>
        <w:t>The following table summarizes the bases used to measure certain assets and liabilites carried at fair value on a recurring basis on the condensed consolidated balance sheet as of June 30,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4"/>
          </w:tcPr>
          <w:p>
            <w:pPr>
              <w:jc w:val="center"/>
              <w:ind w:left="896"/>
              <w:spacing w:after="0"/>
              <w:rPr>
                <w:sz w:val="20"/>
                <w:szCs w:val="20"/>
                <w:color w:val="auto"/>
              </w:rPr>
            </w:pPr>
            <w:r>
              <w:rPr>
                <w:rFonts w:ascii="Calibri" w:cs="Calibri" w:eastAsia="Calibri" w:hAnsi="Calibri"/>
                <w:sz w:val="14"/>
                <w:szCs w:val="14"/>
                <w:b w:val="1"/>
                <w:bCs w:val="1"/>
                <w:color w:val="auto"/>
              </w:rPr>
              <w:t>Basis of fair value measurement</w:t>
            </w:r>
          </w:p>
        </w:tc>
        <w:tc>
          <w:tcPr>
            <w:tcW w:w="1100" w:type="dxa"/>
            <w:vAlign w:val="bottom"/>
          </w:tcPr>
          <w:p>
            <w:pPr>
              <w:spacing w:after="0"/>
              <w:rPr>
                <w:sz w:val="14"/>
                <w:szCs w:val="14"/>
                <w:color w:val="auto"/>
              </w:rPr>
            </w:pPr>
          </w:p>
        </w:tc>
      </w:tr>
      <w:tr>
        <w:trPr>
          <w:trHeight w:val="47"/>
        </w:trPr>
        <w:tc>
          <w:tcPr>
            <w:tcW w:w="4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28"/>
        </w:trPr>
        <w:tc>
          <w:tcPr>
            <w:tcW w:w="4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56"/>
              <w:spacing w:after="0" w:line="127" w:lineRule="exact"/>
              <w:rPr>
                <w:sz w:val="20"/>
                <w:szCs w:val="20"/>
                <w:color w:val="auto"/>
              </w:rPr>
            </w:pPr>
            <w:r>
              <w:rPr>
                <w:rFonts w:ascii="Calibri" w:cs="Calibri" w:eastAsia="Calibri" w:hAnsi="Calibri"/>
                <w:sz w:val="13"/>
                <w:szCs w:val="13"/>
                <w:b w:val="1"/>
                <w:bCs w:val="1"/>
                <w:color w:val="auto"/>
              </w:rPr>
              <w:t>Quoted prices in</w:t>
            </w:r>
          </w:p>
        </w:tc>
        <w:tc>
          <w:tcPr>
            <w:tcW w:w="240" w:type="dxa"/>
            <w:vAlign w:val="bottom"/>
          </w:tcPr>
          <w:p>
            <w:pPr>
              <w:spacing w:after="0"/>
              <w:rPr>
                <w:sz w:val="11"/>
                <w:szCs w:val="11"/>
                <w:color w:val="auto"/>
              </w:rPr>
            </w:pPr>
          </w:p>
        </w:tc>
        <w:tc>
          <w:tcPr>
            <w:tcW w:w="1240" w:type="dxa"/>
            <w:vAlign w:val="bottom"/>
          </w:tcPr>
          <w:p>
            <w:pPr>
              <w:jc w:val="center"/>
              <w:ind w:right="95"/>
              <w:spacing w:after="0" w:line="127" w:lineRule="exact"/>
              <w:rPr>
                <w:sz w:val="20"/>
                <w:szCs w:val="20"/>
                <w:color w:val="auto"/>
              </w:rPr>
            </w:pPr>
            <w:r>
              <w:rPr>
                <w:rFonts w:ascii="Calibri" w:cs="Calibri" w:eastAsia="Calibri" w:hAnsi="Calibri"/>
                <w:sz w:val="13"/>
                <w:szCs w:val="13"/>
                <w:b w:val="1"/>
                <w:bCs w:val="1"/>
                <w:color w:val="auto"/>
              </w:rPr>
              <w:t>Signifcant other</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76"/>
              <w:spacing w:after="0" w:line="149" w:lineRule="exact"/>
              <w:rPr>
                <w:sz w:val="20"/>
                <w:szCs w:val="20"/>
                <w:color w:val="auto"/>
              </w:rPr>
            </w:pPr>
            <w:r>
              <w:rPr>
                <w:rFonts w:ascii="Calibri" w:cs="Calibri" w:eastAsia="Calibri" w:hAnsi="Calibri"/>
                <w:sz w:val="14"/>
                <w:szCs w:val="14"/>
                <w:b w:val="1"/>
                <w:bCs w:val="1"/>
                <w:color w:val="auto"/>
              </w:rPr>
              <w:t>actve markets for</w:t>
            </w:r>
          </w:p>
        </w:tc>
        <w:tc>
          <w:tcPr>
            <w:tcW w:w="240" w:type="dxa"/>
            <w:vAlign w:val="bottom"/>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Calibri" w:cs="Calibri" w:eastAsia="Calibri" w:hAnsi="Calibri"/>
                <w:sz w:val="14"/>
                <w:szCs w:val="14"/>
                <w:b w:val="1"/>
                <w:bCs w:val="1"/>
                <w:color w:val="auto"/>
              </w:rPr>
              <w:t>observable</w:t>
            </w:r>
          </w:p>
        </w:tc>
        <w:tc>
          <w:tcPr>
            <w:tcW w:w="360" w:type="dxa"/>
            <w:vAlign w:val="bottom"/>
          </w:tcPr>
          <w:p>
            <w:pPr>
              <w:spacing w:after="0"/>
              <w:rPr>
                <w:sz w:val="12"/>
                <w:szCs w:val="12"/>
                <w:color w:val="auto"/>
              </w:rPr>
            </w:pPr>
          </w:p>
        </w:tc>
        <w:tc>
          <w:tcPr>
            <w:tcW w:w="1100" w:type="dxa"/>
            <w:vAlign w:val="bottom"/>
          </w:tcPr>
          <w:p>
            <w:pPr>
              <w:jc w:val="center"/>
              <w:ind w:right="193"/>
              <w:spacing w:after="0" w:line="149" w:lineRule="exact"/>
              <w:rPr>
                <w:sz w:val="20"/>
                <w:szCs w:val="20"/>
                <w:color w:val="auto"/>
              </w:rPr>
            </w:pPr>
            <w:r>
              <w:rPr>
                <w:rFonts w:ascii="Calibri" w:cs="Calibri" w:eastAsia="Calibri" w:hAnsi="Calibri"/>
                <w:sz w:val="14"/>
                <w:szCs w:val="14"/>
                <w:b w:val="1"/>
                <w:bCs w:val="1"/>
                <w:color w:val="auto"/>
              </w:rPr>
              <w:t>Signifcant</w:t>
            </w:r>
          </w:p>
        </w:tc>
      </w:tr>
      <w:tr>
        <w:trPr>
          <w:trHeight w:val="136"/>
        </w:trPr>
        <w:tc>
          <w:tcPr>
            <w:tcW w:w="4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96"/>
              <w:spacing w:after="0" w:line="136" w:lineRule="exact"/>
              <w:rPr>
                <w:sz w:val="20"/>
                <w:szCs w:val="20"/>
                <w:color w:val="auto"/>
              </w:rPr>
            </w:pPr>
            <w:r>
              <w:rPr>
                <w:rFonts w:ascii="Calibri" w:cs="Calibri" w:eastAsia="Calibri" w:hAnsi="Calibri"/>
                <w:sz w:val="14"/>
                <w:szCs w:val="14"/>
                <w:b w:val="1"/>
                <w:bCs w:val="1"/>
                <w:color w:val="auto"/>
              </w:rPr>
              <w:t>identcal assets</w:t>
            </w:r>
          </w:p>
        </w:tc>
        <w:tc>
          <w:tcPr>
            <w:tcW w:w="240" w:type="dxa"/>
            <w:vAlign w:val="bottom"/>
          </w:tcPr>
          <w:p>
            <w:pPr>
              <w:spacing w:after="0"/>
              <w:rPr>
                <w:sz w:val="11"/>
                <w:szCs w:val="11"/>
                <w:color w:val="auto"/>
              </w:rPr>
            </w:pPr>
          </w:p>
        </w:tc>
        <w:tc>
          <w:tcPr>
            <w:tcW w:w="1240" w:type="dxa"/>
            <w:vAlign w:val="bottom"/>
          </w:tcPr>
          <w:p>
            <w:pPr>
              <w:jc w:val="center"/>
              <w:ind w:right="135"/>
              <w:spacing w:after="0" w:line="136" w:lineRule="exact"/>
              <w:rPr>
                <w:sz w:val="20"/>
                <w:szCs w:val="20"/>
                <w:color w:val="auto"/>
              </w:rPr>
            </w:pPr>
            <w:r>
              <w:rPr>
                <w:rFonts w:ascii="Calibri" w:cs="Calibri" w:eastAsia="Calibri" w:hAnsi="Calibri"/>
                <w:sz w:val="14"/>
                <w:szCs w:val="14"/>
                <w:b w:val="1"/>
                <w:bCs w:val="1"/>
                <w:color w:val="auto"/>
              </w:rPr>
              <w:t>inputs</w:t>
            </w:r>
          </w:p>
        </w:tc>
        <w:tc>
          <w:tcPr>
            <w:tcW w:w="1460" w:type="dxa"/>
            <w:vAlign w:val="bottom"/>
            <w:gridSpan w:val="2"/>
          </w:tcPr>
          <w:p>
            <w:pPr>
              <w:jc w:val="center"/>
              <w:spacing w:after="0" w:line="136" w:lineRule="exact"/>
              <w:rPr>
                <w:sz w:val="20"/>
                <w:szCs w:val="20"/>
                <w:color w:val="auto"/>
              </w:rPr>
            </w:pPr>
            <w:r>
              <w:rPr>
                <w:rFonts w:ascii="Calibri" w:cs="Calibri" w:eastAsia="Calibri" w:hAnsi="Calibri"/>
                <w:sz w:val="14"/>
                <w:szCs w:val="14"/>
                <w:b w:val="1"/>
                <w:bCs w:val="1"/>
                <w:color w:val="auto"/>
              </w:rPr>
              <w:t>unobservable inputs</w:t>
            </w:r>
          </w:p>
        </w:tc>
      </w:tr>
      <w:tr>
        <w:trPr>
          <w:trHeight w:val="183"/>
        </w:trPr>
        <w:tc>
          <w:tcPr>
            <w:tcW w:w="41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0" w:type="dxa"/>
            <w:vAlign w:val="bottom"/>
          </w:tcPr>
          <w:p>
            <w:pPr>
              <w:spacing w:after="0"/>
              <w:rPr>
                <w:sz w:val="15"/>
                <w:szCs w:val="15"/>
                <w:color w:val="auto"/>
              </w:rPr>
            </w:pPr>
          </w:p>
        </w:tc>
        <w:tc>
          <w:tcPr>
            <w:tcW w:w="116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5"/>
                <w:szCs w:val="15"/>
                <w:color w:val="auto"/>
              </w:rPr>
            </w:pPr>
          </w:p>
        </w:tc>
        <w:tc>
          <w:tcPr>
            <w:tcW w:w="1280" w:type="dxa"/>
            <w:vAlign w:val="bottom"/>
          </w:tcPr>
          <w:p>
            <w:pPr>
              <w:jc w:val="center"/>
              <w:ind w:right="56"/>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5"/>
                <w:szCs w:val="15"/>
                <w:color w:val="auto"/>
              </w:rPr>
            </w:pPr>
          </w:p>
        </w:tc>
        <w:tc>
          <w:tcPr>
            <w:tcW w:w="1240" w:type="dxa"/>
            <w:vAlign w:val="bottom"/>
          </w:tcPr>
          <w:p>
            <w:pPr>
              <w:jc w:val="center"/>
              <w:ind w:right="95"/>
              <w:spacing w:after="0"/>
              <w:rPr>
                <w:sz w:val="20"/>
                <w:szCs w:val="20"/>
                <w:color w:val="auto"/>
              </w:rPr>
            </w:pPr>
            <w:r>
              <w:rPr>
                <w:rFonts w:ascii="Calibri" w:cs="Calibri" w:eastAsia="Calibri" w:hAnsi="Calibri"/>
                <w:sz w:val="14"/>
                <w:szCs w:val="14"/>
                <w:b w:val="1"/>
                <w:bCs w:val="1"/>
                <w:color w:val="auto"/>
              </w:rPr>
              <w:t>(Level 2)</w:t>
            </w:r>
          </w:p>
        </w:tc>
        <w:tc>
          <w:tcPr>
            <w:tcW w:w="360" w:type="dxa"/>
            <w:vAlign w:val="bottom"/>
          </w:tcPr>
          <w:p>
            <w:pPr>
              <w:spacing w:after="0"/>
              <w:rPr>
                <w:sz w:val="15"/>
                <w:szCs w:val="15"/>
                <w:color w:val="auto"/>
              </w:rPr>
            </w:pPr>
          </w:p>
        </w:tc>
        <w:tc>
          <w:tcPr>
            <w:tcW w:w="1100" w:type="dxa"/>
            <w:vAlign w:val="bottom"/>
          </w:tcPr>
          <w:p>
            <w:pPr>
              <w:jc w:val="center"/>
              <w:ind w:right="193"/>
              <w:spacing w:after="0"/>
              <w:rPr>
                <w:sz w:val="20"/>
                <w:szCs w:val="20"/>
                <w:color w:val="auto"/>
              </w:rPr>
            </w:pPr>
            <w:r>
              <w:rPr>
                <w:rFonts w:ascii="Calibri" w:cs="Calibri" w:eastAsia="Calibri" w:hAnsi="Calibri"/>
                <w:sz w:val="14"/>
                <w:szCs w:val="14"/>
                <w:b w:val="1"/>
                <w:bCs w:val="1"/>
                <w:color w:val="auto"/>
              </w:rPr>
              <w:t>(Level 3)</w:t>
            </w:r>
          </w:p>
        </w:tc>
      </w:tr>
      <w:tr>
        <w:trPr>
          <w:trHeight w:val="33"/>
        </w:trPr>
        <w:tc>
          <w:tcPr>
            <w:tcW w:w="4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equivalents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8,521</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4,212</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4,309</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Money market funds and tme deposits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1,425</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1,425</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Debt securites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37</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74</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54</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Foreign currency contracts</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234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48"/>
        </w:trPr>
        <w:tc>
          <w:tcPr>
            <w:tcW w:w="41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assets</w:t>
            </w:r>
          </w:p>
        </w:tc>
        <w:tc>
          <w:tcPr>
            <w:tcW w:w="16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92"/>
              <w:spacing w:after="0" w:line="215" w:lineRule="exact"/>
              <w:rPr>
                <w:sz w:val="20"/>
                <w:szCs w:val="20"/>
                <w:color w:val="auto"/>
              </w:rPr>
            </w:pPr>
            <w:r>
              <w:rPr>
                <w:rFonts w:ascii="Calibri" w:cs="Calibri" w:eastAsia="Calibri" w:hAnsi="Calibri"/>
                <w:sz w:val="18"/>
                <w:szCs w:val="18"/>
                <w:color w:val="auto"/>
              </w:rPr>
              <w:t>10,293</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4,266</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6,027</w:t>
            </w:r>
          </w:p>
        </w:tc>
        <w:tc>
          <w:tcPr>
            <w:tcW w:w="360" w:type="dxa"/>
            <w:vAlign w:val="bottom"/>
            <w:tcBorders>
              <w:bottom w:val="single" w:sz="8" w:color="auto"/>
            </w:tcBorders>
            <w:shd w:val="clear" w:color="auto" w:fill="CCEEFF"/>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Liabilites</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272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272</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contracts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46</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46</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Contngent consideraton</w:t>
            </w:r>
          </w:p>
        </w:tc>
        <w:tc>
          <w:tcPr>
            <w:tcW w:w="1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15,178</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15,178</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16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15,496</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318</w:t>
            </w:r>
          </w:p>
        </w:tc>
        <w:tc>
          <w:tcPr>
            <w:tcW w:w="360" w:type="dxa"/>
            <w:vAlign w:val="bottom"/>
            <w:tcBorders>
              <w:bottom w:val="single" w:sz="8" w:color="auto"/>
            </w:tcBorders>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15,178</w:t>
            </w:r>
          </w:p>
        </w:tc>
      </w:tr>
      <w:tr>
        <w:trPr>
          <w:trHeight w:val="27"/>
        </w:trPr>
        <w:tc>
          <w:tcPr>
            <w:tcW w:w="4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531495</wp:posOffset>
            </wp:positionV>
            <wp:extent cx="51435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13</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 w:name="page16"/>
    <w:bookmarkEnd w:id="15"/>
    <w:p>
      <w:pPr>
        <w:ind w:right="880"/>
        <w:spacing w:after="0" w:line="235" w:lineRule="auto"/>
        <w:rPr>
          <w:sz w:val="20"/>
          <w:szCs w:val="20"/>
          <w:color w:val="auto"/>
        </w:rPr>
      </w:pPr>
      <w:r>
        <w:rPr>
          <w:rFonts w:ascii="Calibri" w:cs="Calibri" w:eastAsia="Calibri" w:hAnsi="Calibri"/>
          <w:sz w:val="18"/>
          <w:szCs w:val="18"/>
          <w:color w:val="auto"/>
        </w:rPr>
        <w:t>The following table summarizes the bases used to measure certain assets and liabilites carried at fair value on a recurring basis on the condensed consolidated balance sheet as of December 31,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4"/>
          </w:tcPr>
          <w:p>
            <w:pPr>
              <w:jc w:val="center"/>
              <w:ind w:left="896"/>
              <w:spacing w:after="0"/>
              <w:rPr>
                <w:sz w:val="20"/>
                <w:szCs w:val="20"/>
                <w:color w:val="auto"/>
              </w:rPr>
            </w:pPr>
            <w:r>
              <w:rPr>
                <w:rFonts w:ascii="Calibri" w:cs="Calibri" w:eastAsia="Calibri" w:hAnsi="Calibri"/>
                <w:sz w:val="14"/>
                <w:szCs w:val="14"/>
                <w:b w:val="1"/>
                <w:bCs w:val="1"/>
                <w:color w:val="auto"/>
              </w:rPr>
              <w:t>Basis of fair value measurement</w:t>
            </w:r>
          </w:p>
        </w:tc>
        <w:tc>
          <w:tcPr>
            <w:tcW w:w="1100" w:type="dxa"/>
            <w:vAlign w:val="bottom"/>
          </w:tcPr>
          <w:p>
            <w:pPr>
              <w:spacing w:after="0"/>
              <w:rPr>
                <w:sz w:val="14"/>
                <w:szCs w:val="14"/>
                <w:color w:val="auto"/>
              </w:rPr>
            </w:pPr>
          </w:p>
        </w:tc>
      </w:tr>
      <w:tr>
        <w:trPr>
          <w:trHeight w:val="47"/>
        </w:trPr>
        <w:tc>
          <w:tcPr>
            <w:tcW w:w="4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15"/>
        </w:trPr>
        <w:tc>
          <w:tcPr>
            <w:tcW w:w="4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ind w:right="56"/>
              <w:spacing w:after="0" w:line="115" w:lineRule="exact"/>
              <w:rPr>
                <w:sz w:val="20"/>
                <w:szCs w:val="20"/>
                <w:color w:val="auto"/>
              </w:rPr>
            </w:pPr>
            <w:r>
              <w:rPr>
                <w:rFonts w:ascii="Calibri" w:cs="Calibri" w:eastAsia="Calibri" w:hAnsi="Calibri"/>
                <w:sz w:val="12"/>
                <w:szCs w:val="12"/>
                <w:b w:val="1"/>
                <w:bCs w:val="1"/>
                <w:color w:val="auto"/>
              </w:rPr>
              <w:t>Quoted prices in</w:t>
            </w:r>
          </w:p>
        </w:tc>
        <w:tc>
          <w:tcPr>
            <w:tcW w:w="240" w:type="dxa"/>
            <w:vAlign w:val="bottom"/>
          </w:tcPr>
          <w:p>
            <w:pPr>
              <w:spacing w:after="0"/>
              <w:rPr>
                <w:sz w:val="10"/>
                <w:szCs w:val="10"/>
                <w:color w:val="auto"/>
              </w:rPr>
            </w:pPr>
          </w:p>
        </w:tc>
        <w:tc>
          <w:tcPr>
            <w:tcW w:w="1240" w:type="dxa"/>
            <w:vAlign w:val="bottom"/>
          </w:tcPr>
          <w:p>
            <w:pPr>
              <w:jc w:val="center"/>
              <w:ind w:right="96"/>
              <w:spacing w:after="0" w:line="115" w:lineRule="exact"/>
              <w:rPr>
                <w:sz w:val="20"/>
                <w:szCs w:val="20"/>
                <w:color w:val="auto"/>
              </w:rPr>
            </w:pPr>
            <w:r>
              <w:rPr>
                <w:rFonts w:ascii="Calibri" w:cs="Calibri" w:eastAsia="Calibri" w:hAnsi="Calibri"/>
                <w:sz w:val="12"/>
                <w:szCs w:val="12"/>
                <w:b w:val="1"/>
                <w:bCs w:val="1"/>
                <w:color w:val="auto"/>
              </w:rPr>
              <w:t>Signifcant other</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8"/>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76"/>
              <w:spacing w:after="0" w:line="149" w:lineRule="exact"/>
              <w:rPr>
                <w:sz w:val="20"/>
                <w:szCs w:val="20"/>
                <w:color w:val="auto"/>
              </w:rPr>
            </w:pPr>
            <w:r>
              <w:rPr>
                <w:rFonts w:ascii="Calibri" w:cs="Calibri" w:eastAsia="Calibri" w:hAnsi="Calibri"/>
                <w:sz w:val="14"/>
                <w:szCs w:val="14"/>
                <w:b w:val="1"/>
                <w:bCs w:val="1"/>
                <w:color w:val="auto"/>
              </w:rPr>
              <w:t>actve markets for</w:t>
            </w:r>
          </w:p>
        </w:tc>
        <w:tc>
          <w:tcPr>
            <w:tcW w:w="240" w:type="dxa"/>
            <w:vAlign w:val="bottom"/>
          </w:tcPr>
          <w:p>
            <w:pPr>
              <w:spacing w:after="0"/>
              <w:rPr>
                <w:sz w:val="12"/>
                <w:szCs w:val="12"/>
                <w:color w:val="auto"/>
              </w:rPr>
            </w:pPr>
          </w:p>
        </w:tc>
        <w:tc>
          <w:tcPr>
            <w:tcW w:w="1240" w:type="dxa"/>
            <w:vAlign w:val="bottom"/>
          </w:tcPr>
          <w:p>
            <w:pPr>
              <w:jc w:val="center"/>
              <w:ind w:right="96"/>
              <w:spacing w:after="0" w:line="149" w:lineRule="exact"/>
              <w:rPr>
                <w:sz w:val="20"/>
                <w:szCs w:val="20"/>
                <w:color w:val="auto"/>
              </w:rPr>
            </w:pPr>
            <w:r>
              <w:rPr>
                <w:rFonts w:ascii="Calibri" w:cs="Calibri" w:eastAsia="Calibri" w:hAnsi="Calibri"/>
                <w:sz w:val="14"/>
                <w:szCs w:val="14"/>
                <w:b w:val="1"/>
                <w:bCs w:val="1"/>
                <w:color w:val="auto"/>
              </w:rPr>
              <w:t>observable</w:t>
            </w:r>
          </w:p>
        </w:tc>
        <w:tc>
          <w:tcPr>
            <w:tcW w:w="360" w:type="dxa"/>
            <w:vAlign w:val="bottom"/>
          </w:tcPr>
          <w:p>
            <w:pPr>
              <w:spacing w:after="0"/>
              <w:rPr>
                <w:sz w:val="12"/>
                <w:szCs w:val="12"/>
                <w:color w:val="auto"/>
              </w:rPr>
            </w:pPr>
          </w:p>
        </w:tc>
        <w:tc>
          <w:tcPr>
            <w:tcW w:w="1100" w:type="dxa"/>
            <w:vAlign w:val="bottom"/>
          </w:tcPr>
          <w:p>
            <w:pPr>
              <w:jc w:val="center"/>
              <w:ind w:right="193"/>
              <w:spacing w:after="0" w:line="149" w:lineRule="exact"/>
              <w:rPr>
                <w:sz w:val="20"/>
                <w:szCs w:val="20"/>
                <w:color w:val="auto"/>
              </w:rPr>
            </w:pPr>
            <w:r>
              <w:rPr>
                <w:rFonts w:ascii="Calibri" w:cs="Calibri" w:eastAsia="Calibri" w:hAnsi="Calibri"/>
                <w:sz w:val="14"/>
                <w:szCs w:val="14"/>
                <w:b w:val="1"/>
                <w:bCs w:val="1"/>
                <w:color w:val="auto"/>
              </w:rPr>
              <w:t>Signifcant</w:t>
            </w:r>
          </w:p>
        </w:tc>
      </w:tr>
      <w:tr>
        <w:trPr>
          <w:trHeight w:val="148"/>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96"/>
              <w:spacing w:after="0" w:line="148" w:lineRule="exact"/>
              <w:rPr>
                <w:sz w:val="20"/>
                <w:szCs w:val="20"/>
                <w:color w:val="auto"/>
              </w:rPr>
            </w:pPr>
            <w:r>
              <w:rPr>
                <w:rFonts w:ascii="Calibri" w:cs="Calibri" w:eastAsia="Calibri" w:hAnsi="Calibri"/>
                <w:sz w:val="14"/>
                <w:szCs w:val="14"/>
                <w:b w:val="1"/>
                <w:bCs w:val="1"/>
                <w:color w:val="auto"/>
              </w:rPr>
              <w:t>identcal assets</w:t>
            </w:r>
          </w:p>
        </w:tc>
        <w:tc>
          <w:tcPr>
            <w:tcW w:w="240" w:type="dxa"/>
            <w:vAlign w:val="bottom"/>
          </w:tcPr>
          <w:p>
            <w:pPr>
              <w:spacing w:after="0"/>
              <w:rPr>
                <w:sz w:val="12"/>
                <w:szCs w:val="12"/>
                <w:color w:val="auto"/>
              </w:rPr>
            </w:pPr>
          </w:p>
        </w:tc>
        <w:tc>
          <w:tcPr>
            <w:tcW w:w="1240" w:type="dxa"/>
            <w:vAlign w:val="bottom"/>
          </w:tcPr>
          <w:p>
            <w:pPr>
              <w:jc w:val="center"/>
              <w:ind w:right="136"/>
              <w:spacing w:after="0" w:line="148" w:lineRule="exact"/>
              <w:rPr>
                <w:sz w:val="20"/>
                <w:szCs w:val="20"/>
                <w:color w:val="auto"/>
              </w:rPr>
            </w:pPr>
            <w:r>
              <w:rPr>
                <w:rFonts w:ascii="Calibri" w:cs="Calibri" w:eastAsia="Calibri" w:hAnsi="Calibri"/>
                <w:sz w:val="14"/>
                <w:szCs w:val="14"/>
                <w:b w:val="1"/>
                <w:bCs w:val="1"/>
                <w:color w:val="auto"/>
              </w:rPr>
              <w:t>inputs</w:t>
            </w:r>
          </w:p>
        </w:tc>
        <w:tc>
          <w:tcPr>
            <w:tcW w:w="1460" w:type="dxa"/>
            <w:vAlign w:val="bottom"/>
            <w:gridSpan w:val="2"/>
          </w:tcPr>
          <w:p>
            <w:pPr>
              <w:jc w:val="center"/>
              <w:spacing w:after="0" w:line="148" w:lineRule="exact"/>
              <w:rPr>
                <w:sz w:val="20"/>
                <w:szCs w:val="20"/>
                <w:color w:val="auto"/>
              </w:rPr>
            </w:pPr>
            <w:r>
              <w:rPr>
                <w:rFonts w:ascii="Calibri" w:cs="Calibri" w:eastAsia="Calibri" w:hAnsi="Calibri"/>
                <w:sz w:val="14"/>
                <w:szCs w:val="14"/>
                <w:b w:val="1"/>
                <w:bCs w:val="1"/>
                <w:color w:val="auto"/>
              </w:rPr>
              <w:t>unobservable inputs</w:t>
            </w: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0" w:type="dxa"/>
            <w:vAlign w:val="bottom"/>
          </w:tcPr>
          <w:p>
            <w:pPr>
              <w:spacing w:after="0"/>
              <w:rPr>
                <w:sz w:val="14"/>
                <w:szCs w:val="14"/>
                <w:color w:val="auto"/>
              </w:rPr>
            </w:pPr>
          </w:p>
        </w:tc>
        <w:tc>
          <w:tcPr>
            <w:tcW w:w="116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4"/>
                <w:szCs w:val="14"/>
                <w:color w:val="auto"/>
              </w:rPr>
            </w:pPr>
          </w:p>
        </w:tc>
        <w:tc>
          <w:tcPr>
            <w:tcW w:w="1280" w:type="dxa"/>
            <w:vAlign w:val="bottom"/>
          </w:tcPr>
          <w:p>
            <w:pPr>
              <w:jc w:val="center"/>
              <w:ind w:right="56"/>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tcPr>
          <w:p>
            <w:pPr>
              <w:jc w:val="center"/>
              <w:ind w:right="96"/>
              <w:spacing w:after="0"/>
              <w:rPr>
                <w:sz w:val="20"/>
                <w:szCs w:val="20"/>
                <w:color w:val="auto"/>
              </w:rPr>
            </w:pPr>
            <w:r>
              <w:rPr>
                <w:rFonts w:ascii="Calibri" w:cs="Calibri" w:eastAsia="Calibri" w:hAnsi="Calibri"/>
                <w:sz w:val="14"/>
                <w:szCs w:val="14"/>
                <w:b w:val="1"/>
                <w:bCs w:val="1"/>
                <w:color w:val="auto"/>
              </w:rPr>
              <w:t>(Level 2)</w:t>
            </w:r>
          </w:p>
        </w:tc>
        <w:tc>
          <w:tcPr>
            <w:tcW w:w="360" w:type="dxa"/>
            <w:vAlign w:val="bottom"/>
          </w:tcPr>
          <w:p>
            <w:pPr>
              <w:spacing w:after="0"/>
              <w:rPr>
                <w:sz w:val="14"/>
                <w:szCs w:val="14"/>
                <w:color w:val="auto"/>
              </w:rPr>
            </w:pPr>
          </w:p>
        </w:tc>
        <w:tc>
          <w:tcPr>
            <w:tcW w:w="1100" w:type="dxa"/>
            <w:vAlign w:val="bottom"/>
          </w:tcPr>
          <w:p>
            <w:pPr>
              <w:jc w:val="center"/>
              <w:ind w:right="193"/>
              <w:spacing w:after="0"/>
              <w:rPr>
                <w:sz w:val="20"/>
                <w:szCs w:val="20"/>
                <w:color w:val="auto"/>
              </w:rPr>
            </w:pPr>
            <w:r>
              <w:rPr>
                <w:rFonts w:ascii="Calibri" w:cs="Calibri" w:eastAsia="Calibri" w:hAnsi="Calibri"/>
                <w:sz w:val="14"/>
                <w:szCs w:val="14"/>
                <w:b w:val="1"/>
                <w:bCs w:val="1"/>
                <w:color w:val="auto"/>
              </w:rPr>
              <w:t>(Level 3)</w:t>
            </w:r>
          </w:p>
        </w:tc>
      </w:tr>
      <w:tr>
        <w:trPr>
          <w:trHeight w:val="47"/>
        </w:trPr>
        <w:tc>
          <w:tcPr>
            <w:tcW w:w="4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16"/>
        </w:trPr>
        <w:tc>
          <w:tcPr>
            <w:tcW w:w="4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equivalents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9,746</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4,451</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5,295</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Money market funds and tme deposits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45</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Debt securites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46</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121</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100</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26</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Foreign currency contracts</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241</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48"/>
        </w:trPr>
        <w:tc>
          <w:tcPr>
            <w:tcW w:w="41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assets</w:t>
            </w:r>
          </w:p>
        </w:tc>
        <w:tc>
          <w:tcPr>
            <w:tcW w:w="16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92"/>
              <w:spacing w:after="0" w:line="215" w:lineRule="exact"/>
              <w:rPr>
                <w:sz w:val="20"/>
                <w:szCs w:val="20"/>
                <w:color w:val="auto"/>
              </w:rPr>
            </w:pPr>
            <w:r>
              <w:rPr>
                <w:rFonts w:ascii="Calibri" w:cs="Calibri" w:eastAsia="Calibri" w:hAnsi="Calibri"/>
                <w:sz w:val="18"/>
                <w:szCs w:val="18"/>
                <w:color w:val="auto"/>
              </w:rPr>
              <w:t>10,225</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4,551</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5,674</w:t>
            </w:r>
          </w:p>
        </w:tc>
        <w:tc>
          <w:tcPr>
            <w:tcW w:w="360" w:type="dxa"/>
            <w:vAlign w:val="bottom"/>
            <w:tcBorders>
              <w:bottom w:val="single" w:sz="8" w:color="auto"/>
            </w:tcBorders>
            <w:shd w:val="clear" w:color="auto" w:fill="CCEEFF"/>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Liabilites</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rate swap contracts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22</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contracts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15</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Contngent consideraton</w:t>
            </w:r>
          </w:p>
        </w:tc>
        <w:tc>
          <w:tcPr>
            <w:tcW w:w="1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14,887</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14,887</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16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14,924</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w:t>
            </w:r>
          </w:p>
        </w:tc>
        <w:tc>
          <w:tcPr>
            <w:tcW w:w="360" w:type="dxa"/>
            <w:vAlign w:val="bottom"/>
            <w:tcBorders>
              <w:bottom w:val="single" w:sz="8" w:color="auto"/>
            </w:tcBorders>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14,887</w:t>
            </w:r>
          </w:p>
        </w:tc>
      </w:tr>
      <w:tr>
        <w:trPr>
          <w:trHeight w:val="27"/>
        </w:trPr>
        <w:tc>
          <w:tcPr>
            <w:tcW w:w="4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Money market funds and tme deposits are valued using relevant observable market inputs including quoted prices for similar assets and interest rate curves. Equity securites consist of investments for which the fair values were determined by using the published market price per unit multplied by the number of units held, without consideraton of transacton costs. The derivatves entered into by the company were valued using observable market inputs including published interest rate curves and both forward and spot prices for foreign currencies.</w:t>
      </w:r>
    </w:p>
    <w:p>
      <w:pPr>
        <w:spacing w:after="0" w:line="15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fair value measurements of contngent consideraton liabilites were determined based on signifcant unobservable inputs, including the discount rate, estmated probabilites and tming of achieving specifed development, regulatory and commercial milestones and the estmated amount of future sales of the acquired products.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probabilites of achieving the milestones, tme required to achieve the milestones and estmated future sales. Signifcant judgment is employed in determining the appropriateness of certain of these inputs. Changes to the inputs described above could have a material impact on the company's fnancial positon and results of operatons in any given period.</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 of the company's contngent consideraton liabilites was calculated using the following signifcant unobservable inputs: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700" w:type="dxa"/>
            <w:vAlign w:val="bottom"/>
            <w:gridSpan w:val="3"/>
          </w:tcPr>
          <w:p>
            <w:pPr>
              <w:ind w:left="900"/>
              <w:spacing w:after="0"/>
              <w:rPr>
                <w:sz w:val="20"/>
                <w:szCs w:val="20"/>
                <w:color w:val="auto"/>
              </w:rPr>
            </w:pPr>
            <w:r>
              <w:rPr>
                <w:rFonts w:ascii="Calibri" w:cs="Calibri" w:eastAsia="Calibri" w:hAnsi="Calibri"/>
                <w:sz w:val="14"/>
                <w:szCs w:val="14"/>
                <w:b w:val="1"/>
                <w:bCs w:val="1"/>
                <w:color w:val="auto"/>
              </w:rPr>
              <w:t>June 30, 2022</w:t>
            </w:r>
          </w:p>
        </w:tc>
        <w:tc>
          <w:tcPr>
            <w:tcW w:w="2600" w:type="dxa"/>
            <w:vAlign w:val="bottom"/>
            <w:gridSpan w:val="2"/>
          </w:tcPr>
          <w:p>
            <w:pPr>
              <w:jc w:val="right"/>
              <w:ind w:right="634"/>
              <w:spacing w:after="0"/>
              <w:rPr>
                <w:sz w:val="20"/>
                <w:szCs w:val="20"/>
                <w:color w:val="auto"/>
              </w:rPr>
            </w:pPr>
            <w:r>
              <w:rPr>
                <w:rFonts w:ascii="Calibri" w:cs="Calibri" w:eastAsia="Calibri" w:hAnsi="Calibri"/>
                <w:sz w:val="14"/>
                <w:szCs w:val="14"/>
                <w:b w:val="1"/>
                <w:bCs w:val="1"/>
                <w:color w:val="auto"/>
              </w:rPr>
              <w:t>December 31, 2021</w:t>
            </w:r>
          </w:p>
        </w:tc>
        <w:tc>
          <w:tcPr>
            <w:tcW w:w="0" w:type="dxa"/>
            <w:vAlign w:val="bottom"/>
          </w:tcPr>
          <w:p>
            <w:pPr>
              <w:spacing w:after="0"/>
              <w:rPr>
                <w:sz w:val="1"/>
                <w:szCs w:val="1"/>
                <w:color w:val="auto"/>
              </w:rPr>
            </w:pPr>
          </w:p>
        </w:tc>
      </w:tr>
      <w:tr>
        <w:trPr>
          <w:trHeight w:val="47"/>
        </w:trPr>
        <w:tc>
          <w:tcPr>
            <w:tcW w:w="5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6"/>
              <w:spacing w:after="0"/>
              <w:rPr>
                <w:sz w:val="20"/>
                <w:szCs w:val="20"/>
                <w:color w:val="auto"/>
              </w:rPr>
            </w:pPr>
            <w:r>
              <w:rPr>
                <w:rFonts w:ascii="Calibri" w:cs="Calibri" w:eastAsia="Calibri" w:hAnsi="Calibri"/>
                <w:sz w:val="14"/>
                <w:szCs w:val="14"/>
                <w:b w:val="1"/>
                <w:bCs w:val="1"/>
                <w:color w:val="auto"/>
              </w:rPr>
              <w:t>Range</w:t>
            </w:r>
          </w:p>
        </w:tc>
        <w:tc>
          <w:tcPr>
            <w:tcW w:w="128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4"/>
                <w:szCs w:val="14"/>
                <w:b w:val="1"/>
                <w:bCs w:val="1"/>
                <w:color w:val="auto"/>
              </w:rPr>
              <w:t>Weighted average</w:t>
            </w:r>
            <w:r>
              <w:rPr>
                <w:rFonts w:ascii="Calibri" w:cs="Calibri" w:eastAsia="Calibri" w:hAnsi="Calibri"/>
                <w:sz w:val="18"/>
                <w:szCs w:val="18"/>
                <w:b w:val="1"/>
                <w:bCs w:val="1"/>
                <w:color w:val="auto"/>
                <w:vertAlign w:val="superscript"/>
              </w:rPr>
              <w:t>(a)</w:t>
            </w: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right"/>
              <w:ind w:right="396"/>
              <w:spacing w:after="0"/>
              <w:rPr>
                <w:sz w:val="20"/>
                <w:szCs w:val="20"/>
                <w:color w:val="auto"/>
              </w:rPr>
            </w:pPr>
            <w:r>
              <w:rPr>
                <w:rFonts w:ascii="Calibri" w:cs="Calibri" w:eastAsia="Calibri" w:hAnsi="Calibri"/>
                <w:sz w:val="14"/>
                <w:szCs w:val="14"/>
                <w:b w:val="1"/>
                <w:bCs w:val="1"/>
                <w:color w:val="auto"/>
              </w:rPr>
              <w:t>Range</w:t>
            </w:r>
          </w:p>
        </w:tc>
        <w:tc>
          <w:tcPr>
            <w:tcW w:w="128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4"/>
                <w:szCs w:val="14"/>
                <w:b w:val="1"/>
                <w:bCs w:val="1"/>
                <w:color w:val="auto"/>
              </w:rPr>
              <w:t>Weighted average</w:t>
            </w:r>
            <w:r>
              <w:rPr>
                <w:rFonts w:ascii="Calibri" w:cs="Calibri" w:eastAsia="Calibri" w:hAnsi="Calibri"/>
                <w:sz w:val="18"/>
                <w:szCs w:val="18"/>
                <w:b w:val="1"/>
                <w:bCs w:val="1"/>
                <w:color w:val="auto"/>
                <w:vertAlign w:val="superscript"/>
              </w:rPr>
              <w:t>(a)</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Discount rate</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 - 4.8%</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0.2%- 2.6%</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w:t>
            </w:r>
          </w:p>
        </w:tc>
        <w:tc>
          <w:tcPr>
            <w:tcW w:w="0" w:type="dxa"/>
            <w:vAlign w:val="bottom"/>
          </w:tcPr>
          <w:p>
            <w:pPr>
              <w:spacing w:after="0"/>
              <w:rPr>
                <w:sz w:val="1"/>
                <w:szCs w:val="1"/>
                <w:color w:val="auto"/>
              </w:rPr>
            </w:pPr>
          </w:p>
        </w:tc>
      </w:tr>
      <w:tr>
        <w:trPr>
          <w:trHeight w:val="222"/>
        </w:trPr>
        <w:tc>
          <w:tcPr>
            <w:tcW w:w="5940" w:type="dxa"/>
            <w:vAlign w:val="bottom"/>
          </w:tcPr>
          <w:p>
            <w:pPr>
              <w:ind w:left="20"/>
              <w:spacing w:after="0" w:line="215" w:lineRule="exact"/>
              <w:rPr>
                <w:sz w:val="20"/>
                <w:szCs w:val="20"/>
                <w:color w:val="auto"/>
              </w:rPr>
            </w:pPr>
            <w:r>
              <w:rPr>
                <w:rFonts w:ascii="Calibri" w:cs="Calibri" w:eastAsia="Calibri" w:hAnsi="Calibri"/>
                <w:sz w:val="18"/>
                <w:szCs w:val="18"/>
                <w:color w:val="auto"/>
              </w:rPr>
              <w:t>Probability of payment for unachieved milestones</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89% - 100%</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95%</w:t>
            </w:r>
          </w:p>
        </w:tc>
        <w:tc>
          <w:tcPr>
            <w:tcW w:w="10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89% - 100%</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90%</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Probability of payment for royaltes by indicaton</w:t>
            </w:r>
            <w:r>
              <w:rPr>
                <w:rFonts w:ascii="Calibri" w:cs="Calibri" w:eastAsia="Calibri" w:hAnsi="Calibri"/>
                <w:sz w:val="23"/>
                <w:szCs w:val="23"/>
                <w:color w:val="auto"/>
                <w:vertAlign w:val="superscript"/>
              </w:rPr>
              <w:t>(b)</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 - 100%</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 - 100%</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Projected year of payments</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2022 - 2034</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2022 - 2034</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40" w:hanging="232"/>
        <w:spacing w:after="0"/>
        <w:tabs>
          <w:tab w:leader="none" w:pos="2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Unobservable inputs were weighted by the relatve fair value of the contngent consideraton liabilites.</w:t>
      </w:r>
    </w:p>
    <w:p>
      <w:pPr>
        <w:spacing w:after="0" w:line="131" w:lineRule="exact"/>
        <w:rPr>
          <w:rFonts w:ascii="Calibri" w:cs="Calibri" w:eastAsia="Calibri" w:hAnsi="Calibri"/>
          <w:sz w:val="18"/>
          <w:szCs w:val="18"/>
          <w:color w:val="auto"/>
        </w:rPr>
      </w:pPr>
    </w:p>
    <w:p>
      <w:pPr>
        <w:ind w:left="240" w:hanging="232"/>
        <w:spacing w:after="0"/>
        <w:tabs>
          <w:tab w:leader="none" w:pos="2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Excluding approved indicatons, the estmated probability of payment ranged from 56% to 89% at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486410</wp:posOffset>
            </wp:positionV>
            <wp:extent cx="51435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14</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6" w:name="page17"/>
    <w:bookmarkEnd w:id="16"/>
    <w:p>
      <w:pPr>
        <w:ind w:right="220"/>
        <w:spacing w:after="0" w:line="235" w:lineRule="auto"/>
        <w:rPr>
          <w:sz w:val="20"/>
          <w:szCs w:val="20"/>
          <w:color w:val="auto"/>
        </w:rPr>
      </w:pPr>
      <w:r>
        <w:rPr>
          <w:rFonts w:ascii="Calibri" w:cs="Calibri" w:eastAsia="Calibri" w:hAnsi="Calibri"/>
          <w:sz w:val="18"/>
          <w:szCs w:val="18"/>
          <w:color w:val="auto"/>
        </w:rPr>
        <w:t>There have been no transfers of assets or liabilites into or out of Level 3 of the fair value hierarchy. The following table presents the changes in fair value of total contngent consideraton liabilites which are measured using Level 3 inputs: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10"/>
              <w:spacing w:after="0"/>
              <w:rPr>
                <w:sz w:val="20"/>
                <w:szCs w:val="20"/>
                <w:color w:val="auto"/>
              </w:rPr>
            </w:pPr>
            <w:r>
              <w:rPr>
                <w:rFonts w:ascii="Calibri" w:cs="Calibri" w:eastAsia="Calibri" w:hAnsi="Calibri"/>
                <w:sz w:val="14"/>
                <w:szCs w:val="14"/>
                <w:b w:val="1"/>
                <w:bCs w:val="1"/>
                <w:color w:val="auto"/>
              </w:rPr>
              <w:t>June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8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8"/>
              <w:spacing w:after="0" w:line="164" w:lineRule="exact"/>
              <w:rPr>
                <w:sz w:val="20"/>
                <w:szCs w:val="20"/>
                <w:color w:val="auto"/>
              </w:rPr>
            </w:pPr>
            <w:r>
              <w:rPr>
                <w:rFonts w:ascii="Calibri" w:cs="Calibri" w:eastAsia="Calibri" w:hAnsi="Calibri"/>
                <w:sz w:val="14"/>
                <w:szCs w:val="14"/>
                <w:b w:val="1"/>
                <w:bCs w:val="1"/>
                <w:color w:val="auto"/>
              </w:rPr>
              <w:t>2022</w:t>
            </w:r>
          </w:p>
        </w:tc>
        <w:tc>
          <w:tcPr>
            <w:tcW w:w="540" w:type="dxa"/>
            <w:vAlign w:val="bottom"/>
          </w:tcPr>
          <w:p>
            <w:pPr>
              <w:spacing w:after="0"/>
              <w:rPr>
                <w:sz w:val="14"/>
                <w:szCs w:val="14"/>
                <w:color w:val="auto"/>
              </w:rPr>
            </w:pPr>
          </w:p>
        </w:tc>
        <w:tc>
          <w:tcPr>
            <w:tcW w:w="820" w:type="dxa"/>
            <w:vAlign w:val="bottom"/>
          </w:tcPr>
          <w:p>
            <w:pPr>
              <w:jc w:val="right"/>
              <w:ind w:right="414"/>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Beginning balance</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38"/>
              <w:spacing w:after="0" w:line="215" w:lineRule="exact"/>
              <w:rPr>
                <w:sz w:val="20"/>
                <w:szCs w:val="20"/>
                <w:color w:val="auto"/>
              </w:rPr>
            </w:pPr>
            <w:r>
              <w:rPr>
                <w:rFonts w:ascii="Calibri" w:cs="Calibri" w:eastAsia="Calibri" w:hAnsi="Calibri"/>
                <w:sz w:val="18"/>
                <w:szCs w:val="18"/>
                <w:color w:val="auto"/>
              </w:rPr>
              <w:t>14,887</w:t>
            </w:r>
          </w:p>
        </w:tc>
        <w:tc>
          <w:tcPr>
            <w:tcW w:w="540" w:type="dxa"/>
            <w:vAlign w:val="bottom"/>
            <w:shd w:val="clear" w:color="auto" w:fill="CCEEFF"/>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12,997</w:t>
            </w:r>
          </w:p>
        </w:tc>
        <w:tc>
          <w:tcPr>
            <w:tcW w:w="0" w:type="dxa"/>
            <w:vAlign w:val="bottom"/>
          </w:tcPr>
          <w:p>
            <w:pPr>
              <w:spacing w:after="0"/>
              <w:rPr>
                <w:sz w:val="1"/>
                <w:szCs w:val="1"/>
                <w:color w:val="auto"/>
              </w:rPr>
            </w:pP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fair value recognized in net earnings</w:t>
            </w:r>
          </w:p>
        </w:tc>
        <w:tc>
          <w:tcPr>
            <w:tcW w:w="300" w:type="dxa"/>
            <w:vAlign w:val="bottom"/>
          </w:tcPr>
          <w:p>
            <w:pPr>
              <w:spacing w:after="0"/>
              <w:rPr>
                <w:sz w:val="19"/>
                <w:szCs w:val="19"/>
                <w:color w:val="auto"/>
              </w:rPr>
            </w:pPr>
          </w:p>
        </w:tc>
        <w:tc>
          <w:tcPr>
            <w:tcW w:w="106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861</w:t>
            </w:r>
          </w:p>
        </w:tc>
        <w:tc>
          <w:tcPr>
            <w:tcW w:w="54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2,349</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Payments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(570)</w:t>
            </w: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(357)</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Ending balance</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15,178</w:t>
            </w:r>
          </w:p>
        </w:tc>
        <w:tc>
          <w:tcPr>
            <w:tcW w:w="54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14,989</w:t>
            </w: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color w:val="auto"/>
        </w:rPr>
        <w:t>The change in fair value recognized in net earnings is recorded in other expense, net in the condensed consolidated statements of earnings.</w:t>
      </w:r>
    </w:p>
    <w:p>
      <w:pPr>
        <w:spacing w:after="0" w:line="150"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Certain fnancial instruments are carried at historical cost or some basis other than fair value. The book values, approximate fair values and bases used to measure the approximate fair values of certain fnancial instruments as of June 30, 2022 are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5"/>
          </w:tcPr>
          <w:p>
            <w:pPr>
              <w:jc w:val="center"/>
              <w:ind w:right="20"/>
              <w:spacing w:after="0"/>
              <w:rPr>
                <w:sz w:val="20"/>
                <w:szCs w:val="20"/>
                <w:color w:val="auto"/>
              </w:rPr>
            </w:pPr>
            <w:r>
              <w:rPr>
                <w:rFonts w:ascii="Calibri" w:cs="Calibri" w:eastAsia="Calibri" w:hAnsi="Calibri"/>
                <w:sz w:val="14"/>
                <w:szCs w:val="14"/>
                <w:b w:val="1"/>
                <w:bCs w:val="1"/>
                <w:color w:val="auto"/>
              </w:rPr>
              <w:t>Basis of fair value measurement</w:t>
            </w:r>
          </w:p>
        </w:tc>
      </w:tr>
      <w:tr>
        <w:trPr>
          <w:trHeight w:val="47"/>
        </w:trPr>
        <w:tc>
          <w:tcPr>
            <w:tcW w:w="4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28"/>
        </w:trPr>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60"/>
              <w:spacing w:after="0" w:line="127" w:lineRule="exact"/>
              <w:rPr>
                <w:sz w:val="20"/>
                <w:szCs w:val="20"/>
                <w:color w:val="auto"/>
              </w:rPr>
            </w:pPr>
            <w:r>
              <w:rPr>
                <w:rFonts w:ascii="Calibri" w:cs="Calibri" w:eastAsia="Calibri" w:hAnsi="Calibri"/>
                <w:sz w:val="13"/>
                <w:szCs w:val="13"/>
                <w:b w:val="1"/>
                <w:bCs w:val="1"/>
                <w:color w:val="auto"/>
              </w:rPr>
              <w:t>Quoted prices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00"/>
              <w:spacing w:after="0" w:line="127" w:lineRule="exact"/>
              <w:rPr>
                <w:sz w:val="20"/>
                <w:szCs w:val="20"/>
                <w:color w:val="auto"/>
              </w:rPr>
            </w:pPr>
            <w:r>
              <w:rPr>
                <w:rFonts w:ascii="Calibri" w:cs="Calibri" w:eastAsia="Calibri" w:hAnsi="Calibri"/>
                <w:sz w:val="13"/>
                <w:szCs w:val="13"/>
                <w:b w:val="1"/>
                <w:bCs w:val="1"/>
                <w:color w:val="auto"/>
              </w:rPr>
              <w:t>Signifcant</w:t>
            </w:r>
          </w:p>
        </w:tc>
      </w:tr>
      <w:tr>
        <w:trPr>
          <w:trHeight w:val="148"/>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Calibri" w:cs="Calibri" w:eastAsia="Calibri" w:hAnsi="Calibri"/>
                <w:sz w:val="14"/>
                <w:szCs w:val="14"/>
                <w:b w:val="1"/>
                <w:bCs w:val="1"/>
                <w:color w:val="auto"/>
              </w:rPr>
              <w:t>in actve markets</w:t>
            </w:r>
          </w:p>
        </w:tc>
        <w:tc>
          <w:tcPr>
            <w:tcW w:w="180" w:type="dxa"/>
            <w:vAlign w:val="bottom"/>
          </w:tcPr>
          <w:p>
            <w:pPr>
              <w:spacing w:after="0"/>
              <w:rPr>
                <w:sz w:val="12"/>
                <w:szCs w:val="12"/>
                <w:color w:val="auto"/>
              </w:rPr>
            </w:pPr>
          </w:p>
        </w:tc>
        <w:tc>
          <w:tcPr>
            <w:tcW w:w="1160" w:type="dxa"/>
            <w:vAlign w:val="bottom"/>
          </w:tcPr>
          <w:p>
            <w:pPr>
              <w:jc w:val="center"/>
              <w:ind w:right="96"/>
              <w:spacing w:after="0" w:line="149" w:lineRule="exact"/>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Calibri" w:cs="Calibri" w:eastAsia="Calibri" w:hAnsi="Calibri"/>
                <w:sz w:val="14"/>
                <w:szCs w:val="14"/>
                <w:b w:val="1"/>
                <w:bCs w:val="1"/>
                <w:color w:val="auto"/>
              </w:rPr>
              <w:t>unobservable</w:t>
            </w:r>
          </w:p>
        </w:tc>
      </w:tr>
      <w:tr>
        <w:trPr>
          <w:trHeight w:val="136"/>
        </w:trPr>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ind w:right="136"/>
              <w:spacing w:after="0" w:line="136" w:lineRule="exact"/>
              <w:rPr>
                <w:sz w:val="20"/>
                <w:szCs w:val="20"/>
                <w:color w:val="auto"/>
              </w:rPr>
            </w:pPr>
            <w:r>
              <w:rPr>
                <w:rFonts w:ascii="Calibri" w:cs="Calibri" w:eastAsia="Calibri" w:hAnsi="Calibri"/>
                <w:sz w:val="14"/>
                <w:szCs w:val="14"/>
                <w:b w:val="1"/>
                <w:bCs w:val="1"/>
                <w:color w:val="auto"/>
              </w:rPr>
              <w:t>Approximate fair</w:t>
            </w:r>
          </w:p>
        </w:tc>
        <w:tc>
          <w:tcPr>
            <w:tcW w:w="1280" w:type="dxa"/>
            <w:vAlign w:val="bottom"/>
            <w:gridSpan w:val="2"/>
          </w:tcPr>
          <w:p>
            <w:pPr>
              <w:jc w:val="center"/>
              <w:spacing w:after="0" w:line="136" w:lineRule="exact"/>
              <w:rPr>
                <w:sz w:val="20"/>
                <w:szCs w:val="20"/>
                <w:color w:val="auto"/>
              </w:rPr>
            </w:pPr>
            <w:r>
              <w:rPr>
                <w:rFonts w:ascii="Calibri" w:cs="Calibri" w:eastAsia="Calibri" w:hAnsi="Calibri"/>
                <w:sz w:val="14"/>
                <w:szCs w:val="14"/>
                <w:b w:val="1"/>
                <w:bCs w:val="1"/>
                <w:color w:val="auto"/>
              </w:rPr>
              <w:t>for identcal assets</w:t>
            </w:r>
          </w:p>
        </w:tc>
        <w:tc>
          <w:tcPr>
            <w:tcW w:w="1340" w:type="dxa"/>
            <w:vAlign w:val="bottom"/>
            <w:gridSpan w:val="2"/>
          </w:tcPr>
          <w:p>
            <w:pPr>
              <w:jc w:val="center"/>
              <w:spacing w:after="0" w:line="136" w:lineRule="exact"/>
              <w:rPr>
                <w:sz w:val="20"/>
                <w:szCs w:val="20"/>
                <w:color w:val="auto"/>
              </w:rPr>
            </w:pPr>
            <w:r>
              <w:rPr>
                <w:rFonts w:ascii="Calibri" w:cs="Calibri" w:eastAsia="Calibri" w:hAnsi="Calibri"/>
                <w:sz w:val="14"/>
                <w:szCs w:val="14"/>
                <w:b w:val="1"/>
                <w:bCs w:val="1"/>
                <w:color w:val="auto"/>
              </w:rPr>
              <w:t>observable inputs</w:t>
            </w:r>
          </w:p>
        </w:tc>
        <w:tc>
          <w:tcPr>
            <w:tcW w:w="240" w:type="dxa"/>
            <w:vAlign w:val="bottom"/>
          </w:tcPr>
          <w:p>
            <w:pPr>
              <w:spacing w:after="0"/>
              <w:rPr>
                <w:sz w:val="11"/>
                <w:szCs w:val="11"/>
                <w:color w:val="auto"/>
              </w:rPr>
            </w:pPr>
          </w:p>
        </w:tc>
        <w:tc>
          <w:tcPr>
            <w:tcW w:w="1080" w:type="dxa"/>
            <w:vAlign w:val="bottom"/>
          </w:tcPr>
          <w:p>
            <w:pPr>
              <w:jc w:val="center"/>
              <w:ind w:right="120"/>
              <w:spacing w:after="0" w:line="136" w:lineRule="exact"/>
              <w:rPr>
                <w:sz w:val="20"/>
                <w:szCs w:val="20"/>
                <w:color w:val="auto"/>
              </w:rPr>
            </w:pPr>
            <w:r>
              <w:rPr>
                <w:rFonts w:ascii="Calibri" w:cs="Calibri" w:eastAsia="Calibri" w:hAnsi="Calibri"/>
                <w:sz w:val="14"/>
                <w:szCs w:val="14"/>
                <w:b w:val="1"/>
                <w:bCs w:val="1"/>
                <w:color w:val="auto"/>
                <w:w w:val="98"/>
              </w:rPr>
              <w:t>inputs</w:t>
            </w:r>
          </w:p>
        </w:tc>
      </w:tr>
      <w:tr>
        <w:trPr>
          <w:trHeight w:val="183"/>
        </w:trPr>
        <w:tc>
          <w:tcPr>
            <w:tcW w:w="472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5"/>
                <w:szCs w:val="15"/>
                <w:color w:val="auto"/>
              </w:rPr>
            </w:pPr>
          </w:p>
        </w:tc>
        <w:tc>
          <w:tcPr>
            <w:tcW w:w="1000" w:type="dxa"/>
            <w:vAlign w:val="bottom"/>
          </w:tcPr>
          <w:p>
            <w:pPr>
              <w:jc w:val="right"/>
              <w:ind w:right="174"/>
              <w:spacing w:after="0"/>
              <w:rPr>
                <w:sz w:val="20"/>
                <w:szCs w:val="20"/>
                <w:color w:val="auto"/>
              </w:rPr>
            </w:pPr>
            <w:r>
              <w:rPr>
                <w:rFonts w:ascii="Calibri" w:cs="Calibri" w:eastAsia="Calibri" w:hAnsi="Calibri"/>
                <w:sz w:val="14"/>
                <w:szCs w:val="14"/>
                <w:b w:val="1"/>
                <w:bCs w:val="1"/>
                <w:color w:val="auto"/>
              </w:rPr>
              <w:t>Book value</w:t>
            </w:r>
          </w:p>
        </w:tc>
        <w:tc>
          <w:tcPr>
            <w:tcW w:w="140" w:type="dxa"/>
            <w:vAlign w:val="bottom"/>
          </w:tcPr>
          <w:p>
            <w:pPr>
              <w:spacing w:after="0"/>
              <w:rPr>
                <w:sz w:val="15"/>
                <w:szCs w:val="15"/>
                <w:color w:val="auto"/>
              </w:rPr>
            </w:pPr>
          </w:p>
        </w:tc>
        <w:tc>
          <w:tcPr>
            <w:tcW w:w="1240" w:type="dxa"/>
            <w:vAlign w:val="bottom"/>
          </w:tcPr>
          <w:p>
            <w:pPr>
              <w:jc w:val="right"/>
              <w:ind w:right="476"/>
              <w:spacing w:after="0"/>
              <w:rPr>
                <w:sz w:val="20"/>
                <w:szCs w:val="20"/>
                <w:color w:val="auto"/>
              </w:rPr>
            </w:pPr>
            <w:r>
              <w:rPr>
                <w:rFonts w:ascii="Calibri" w:cs="Calibri" w:eastAsia="Calibri" w:hAnsi="Calibri"/>
                <w:sz w:val="14"/>
                <w:szCs w:val="14"/>
                <w:b w:val="1"/>
                <w:bCs w:val="1"/>
                <w:color w:val="auto"/>
              </w:rPr>
              <w:t>value</w:t>
            </w:r>
          </w:p>
        </w:tc>
        <w:tc>
          <w:tcPr>
            <w:tcW w:w="100" w:type="dxa"/>
            <w:vAlign w:val="bottom"/>
          </w:tcPr>
          <w:p>
            <w:pPr>
              <w:spacing w:after="0"/>
              <w:rPr>
                <w:sz w:val="15"/>
                <w:szCs w:val="15"/>
                <w:color w:val="auto"/>
              </w:rPr>
            </w:pPr>
          </w:p>
        </w:tc>
        <w:tc>
          <w:tcPr>
            <w:tcW w:w="1180" w:type="dxa"/>
            <w:vAlign w:val="bottom"/>
          </w:tcPr>
          <w:p>
            <w:pPr>
              <w:jc w:val="center"/>
              <w:ind w:right="60"/>
              <w:spacing w:after="0"/>
              <w:rPr>
                <w:sz w:val="20"/>
                <w:szCs w:val="20"/>
                <w:color w:val="auto"/>
              </w:rPr>
            </w:pPr>
            <w:r>
              <w:rPr>
                <w:rFonts w:ascii="Calibri" w:cs="Calibri" w:eastAsia="Calibri" w:hAnsi="Calibri"/>
                <w:sz w:val="14"/>
                <w:szCs w:val="14"/>
                <w:b w:val="1"/>
                <w:bCs w:val="1"/>
                <w:color w:val="auto"/>
              </w:rPr>
              <w:t>(Level 1)</w:t>
            </w:r>
          </w:p>
        </w:tc>
        <w:tc>
          <w:tcPr>
            <w:tcW w:w="180" w:type="dxa"/>
            <w:vAlign w:val="bottom"/>
          </w:tcPr>
          <w:p>
            <w:pPr>
              <w:spacing w:after="0"/>
              <w:rPr>
                <w:sz w:val="15"/>
                <w:szCs w:val="15"/>
                <w:color w:val="auto"/>
              </w:rPr>
            </w:pPr>
          </w:p>
        </w:tc>
        <w:tc>
          <w:tcPr>
            <w:tcW w:w="1160" w:type="dxa"/>
            <w:vAlign w:val="bottom"/>
          </w:tcPr>
          <w:p>
            <w:pPr>
              <w:jc w:val="center"/>
              <w:ind w:right="56"/>
              <w:spacing w:after="0"/>
              <w:rPr>
                <w:sz w:val="20"/>
                <w:szCs w:val="20"/>
                <w:color w:val="auto"/>
              </w:rPr>
            </w:pPr>
            <w:r>
              <w:rPr>
                <w:rFonts w:ascii="Calibri" w:cs="Calibri" w:eastAsia="Calibri" w:hAnsi="Calibri"/>
                <w:sz w:val="14"/>
                <w:szCs w:val="14"/>
                <w:b w:val="1"/>
                <w:bCs w:val="1"/>
                <w:color w:val="auto"/>
              </w:rPr>
              <w:t>(Level 2)</w:t>
            </w:r>
          </w:p>
        </w:tc>
        <w:tc>
          <w:tcPr>
            <w:tcW w:w="240" w:type="dxa"/>
            <w:vAlign w:val="bottom"/>
          </w:tcPr>
          <w:p>
            <w:pPr>
              <w:spacing w:after="0"/>
              <w:rPr>
                <w:sz w:val="15"/>
                <w:szCs w:val="15"/>
                <w:color w:val="auto"/>
              </w:rPr>
            </w:pPr>
          </w:p>
        </w:tc>
        <w:tc>
          <w:tcPr>
            <w:tcW w:w="1080" w:type="dxa"/>
            <w:vAlign w:val="bottom"/>
          </w:tcPr>
          <w:p>
            <w:pPr>
              <w:jc w:val="center"/>
              <w:ind w:right="80"/>
              <w:spacing w:after="0"/>
              <w:rPr>
                <w:sz w:val="20"/>
                <w:szCs w:val="20"/>
                <w:color w:val="auto"/>
              </w:rPr>
            </w:pPr>
            <w:r>
              <w:rPr>
                <w:rFonts w:ascii="Calibri" w:cs="Calibri" w:eastAsia="Calibri" w:hAnsi="Calibri"/>
                <w:sz w:val="14"/>
                <w:szCs w:val="14"/>
                <w:b w:val="1"/>
                <w:bCs w:val="1"/>
                <w:color w:val="auto"/>
              </w:rPr>
              <w:t>(Level 3)</w:t>
            </w:r>
          </w:p>
        </w:tc>
      </w:tr>
      <w:tr>
        <w:trPr>
          <w:trHeight w:val="33"/>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4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Short-term borrowings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6"/>
              <w:spacing w:after="0"/>
              <w:rPr>
                <w:sz w:val="20"/>
                <w:szCs w:val="20"/>
                <w:color w:val="auto"/>
              </w:rPr>
            </w:pPr>
            <w:r>
              <w:rPr>
                <w:rFonts w:ascii="Calibri" w:cs="Calibri" w:eastAsia="Calibri" w:hAnsi="Calibri"/>
                <w:sz w:val="18"/>
                <w:szCs w:val="18"/>
                <w:color w:val="auto"/>
              </w:rPr>
              <w:t>17</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2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17</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ind w:left="860"/>
              <w:spacing w:after="0"/>
              <w:rPr>
                <w:sz w:val="20"/>
                <w:szCs w:val="20"/>
                <w:color w:val="auto"/>
              </w:rPr>
            </w:pPr>
            <w:r>
              <w:rPr>
                <w:rFonts w:ascii="Calibri" w:cs="Calibri" w:eastAsia="Calibri" w:hAnsi="Calibri"/>
                <w:sz w:val="18"/>
                <w:szCs w:val="18"/>
                <w:color w:val="auto"/>
              </w:rPr>
              <w:t>—</w:t>
            </w:r>
          </w:p>
        </w:tc>
      </w:tr>
      <w:tr>
        <w:trPr>
          <w:trHeight w:val="180"/>
        </w:trPr>
        <w:tc>
          <w:tcPr>
            <w:tcW w:w="4720" w:type="dxa"/>
            <w:vAlign w:val="bottom"/>
          </w:tcPr>
          <w:p>
            <w:pPr>
              <w:ind w:left="20"/>
              <w:spacing w:after="0" w:line="180" w:lineRule="exact"/>
              <w:rPr>
                <w:sz w:val="20"/>
                <w:szCs w:val="20"/>
                <w:color w:val="auto"/>
              </w:rPr>
            </w:pPr>
            <w:r>
              <w:rPr>
                <w:rFonts w:ascii="Calibri" w:cs="Calibri" w:eastAsia="Calibri" w:hAnsi="Calibri"/>
                <w:sz w:val="18"/>
                <w:szCs w:val="18"/>
                <w:color w:val="auto"/>
              </w:rPr>
              <w:t>Current porton of long-term debt and fnance lease obligatons,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excluding fair value hedges</w:t>
            </w:r>
          </w:p>
        </w:tc>
        <w:tc>
          <w:tcPr>
            <w:tcW w:w="2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11,918</w:t>
            </w:r>
          </w:p>
        </w:tc>
        <w:tc>
          <w:tcPr>
            <w:tcW w:w="140" w:type="dxa"/>
            <w:vAlign w:val="bottom"/>
          </w:tcPr>
          <w:p>
            <w:pPr>
              <w:spacing w:after="0"/>
              <w:rPr>
                <w:sz w:val="18"/>
                <w:szCs w:val="18"/>
                <w:color w:val="auto"/>
              </w:rPr>
            </w:pPr>
          </w:p>
        </w:tc>
        <w:tc>
          <w:tcPr>
            <w:tcW w:w="1240" w:type="dxa"/>
            <w:vAlign w:val="bottom"/>
          </w:tcPr>
          <w:p>
            <w:pPr>
              <w:jc w:val="right"/>
              <w:ind w:right="96"/>
              <w:spacing w:after="0" w:line="215" w:lineRule="exact"/>
              <w:rPr>
                <w:sz w:val="20"/>
                <w:szCs w:val="20"/>
                <w:color w:val="auto"/>
              </w:rPr>
            </w:pPr>
            <w:r>
              <w:rPr>
                <w:rFonts w:ascii="Calibri" w:cs="Calibri" w:eastAsia="Calibri" w:hAnsi="Calibri"/>
                <w:sz w:val="18"/>
                <w:szCs w:val="18"/>
                <w:color w:val="auto"/>
              </w:rPr>
              <w:t>11,906</w:t>
            </w:r>
          </w:p>
        </w:tc>
        <w:tc>
          <w:tcPr>
            <w:tcW w:w="100" w:type="dxa"/>
            <w:vAlign w:val="bottom"/>
          </w:tcPr>
          <w:p>
            <w:pPr>
              <w:spacing w:after="0"/>
              <w:rPr>
                <w:sz w:val="18"/>
                <w:szCs w:val="18"/>
                <w:color w:val="auto"/>
              </w:rPr>
            </w:pPr>
          </w:p>
        </w:tc>
        <w:tc>
          <w:tcPr>
            <w:tcW w:w="1180" w:type="dxa"/>
            <w:vAlign w:val="bottom"/>
          </w:tcPr>
          <w:p>
            <w:pPr>
              <w:jc w:val="right"/>
              <w:ind w:right="20"/>
              <w:spacing w:after="0" w:line="215" w:lineRule="exact"/>
              <w:rPr>
                <w:sz w:val="20"/>
                <w:szCs w:val="20"/>
                <w:color w:val="auto"/>
              </w:rPr>
            </w:pPr>
            <w:r>
              <w:rPr>
                <w:rFonts w:ascii="Calibri" w:cs="Calibri" w:eastAsia="Calibri" w:hAnsi="Calibri"/>
                <w:sz w:val="18"/>
                <w:szCs w:val="18"/>
                <w:color w:val="auto"/>
              </w:rPr>
              <w:t>11,549</w:t>
            </w:r>
          </w:p>
        </w:tc>
        <w:tc>
          <w:tcPr>
            <w:tcW w:w="180" w:type="dxa"/>
            <w:vAlign w:val="bottom"/>
          </w:tcPr>
          <w:p>
            <w:pPr>
              <w:spacing w:after="0"/>
              <w:rPr>
                <w:sz w:val="18"/>
                <w:szCs w:val="18"/>
                <w:color w:val="auto"/>
              </w:rPr>
            </w:pPr>
          </w:p>
        </w:tc>
        <w:tc>
          <w:tcPr>
            <w:tcW w:w="116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357</w:t>
            </w:r>
          </w:p>
        </w:tc>
        <w:tc>
          <w:tcPr>
            <w:tcW w:w="240" w:type="dxa"/>
            <w:vAlign w:val="bottom"/>
          </w:tcPr>
          <w:p>
            <w:pPr>
              <w:spacing w:after="0"/>
              <w:rPr>
                <w:sz w:val="18"/>
                <w:szCs w:val="18"/>
                <w:color w:val="auto"/>
              </w:rPr>
            </w:pPr>
          </w:p>
        </w:tc>
        <w:tc>
          <w:tcPr>
            <w:tcW w:w="1080" w:type="dxa"/>
            <w:vAlign w:val="bottom"/>
          </w:tcPr>
          <w:p>
            <w:pPr>
              <w:ind w:left="86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0"/>
        </w:trPr>
        <w:tc>
          <w:tcPr>
            <w:tcW w:w="4720" w:type="dxa"/>
            <w:vAlign w:val="bottom"/>
            <w:shd w:val="clear" w:color="auto" w:fill="CCEEFF"/>
          </w:tcPr>
          <w:p>
            <w:pPr>
              <w:ind w:left="20"/>
              <w:spacing w:after="0" w:line="180" w:lineRule="exact"/>
              <w:rPr>
                <w:sz w:val="20"/>
                <w:szCs w:val="20"/>
                <w:color w:val="auto"/>
              </w:rPr>
            </w:pPr>
            <w:r>
              <w:rPr>
                <w:rFonts w:ascii="Calibri" w:cs="Calibri" w:eastAsia="Calibri" w:hAnsi="Calibri"/>
                <w:sz w:val="18"/>
                <w:szCs w:val="18"/>
                <w:color w:val="auto"/>
                <w:w w:val="99"/>
              </w:rPr>
              <w:t>Long-term debt and fnance lease obligatons, excluding fair value</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472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hedges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61,202</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57,471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56,674</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797</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86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472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73,137</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bottom w:val="single" w:sz="8" w:color="auto"/>
            </w:tcBorders>
          </w:tcPr>
          <w:p>
            <w:pPr>
              <w:jc w:val="right"/>
              <w:ind w:right="96"/>
              <w:spacing w:after="0" w:line="215" w:lineRule="exact"/>
              <w:rPr>
                <w:sz w:val="20"/>
                <w:szCs w:val="20"/>
                <w:color w:val="auto"/>
              </w:rPr>
            </w:pPr>
            <w:r>
              <w:rPr>
                <w:rFonts w:ascii="Calibri" w:cs="Calibri" w:eastAsia="Calibri" w:hAnsi="Calibri"/>
                <w:sz w:val="18"/>
                <w:szCs w:val="18"/>
                <w:color w:val="auto"/>
              </w:rPr>
              <w:t>69,394</w:t>
            </w: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tcPr>
          <w:p>
            <w:pPr>
              <w:jc w:val="right"/>
              <w:ind w:right="20"/>
              <w:spacing w:after="0" w:line="215" w:lineRule="exact"/>
              <w:rPr>
                <w:sz w:val="20"/>
                <w:szCs w:val="20"/>
                <w:color w:val="auto"/>
              </w:rPr>
            </w:pPr>
            <w:r>
              <w:rPr>
                <w:rFonts w:ascii="Calibri" w:cs="Calibri" w:eastAsia="Calibri" w:hAnsi="Calibri"/>
                <w:sz w:val="18"/>
                <w:szCs w:val="18"/>
                <w:color w:val="auto"/>
              </w:rPr>
              <w:t>68,223</w:t>
            </w: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1,171</w:t>
            </w:r>
          </w:p>
        </w:tc>
        <w:tc>
          <w:tcPr>
            <w:tcW w:w="2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ind w:left="860"/>
              <w:spacing w:after="0" w:line="215" w:lineRule="exact"/>
              <w:rPr>
                <w:sz w:val="20"/>
                <w:szCs w:val="20"/>
                <w:color w:val="auto"/>
              </w:rPr>
            </w:pPr>
            <w:r>
              <w:rPr>
                <w:rFonts w:ascii="Calibri" w:cs="Calibri" w:eastAsia="Calibri" w:hAnsi="Calibri"/>
                <w:sz w:val="18"/>
                <w:szCs w:val="18"/>
                <w:color w:val="auto"/>
              </w:rPr>
              <w:t>—</w:t>
            </w: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book values, approximate fair values and bases used to measure the approximate fair values of certain fnancial instruments as of December 31, 2021 are shown in the table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5"/>
          </w:tcPr>
          <w:p>
            <w:pPr>
              <w:jc w:val="center"/>
              <w:ind w:right="20"/>
              <w:spacing w:after="0"/>
              <w:rPr>
                <w:sz w:val="20"/>
                <w:szCs w:val="20"/>
                <w:color w:val="auto"/>
              </w:rPr>
            </w:pPr>
            <w:r>
              <w:rPr>
                <w:rFonts w:ascii="Calibri" w:cs="Calibri" w:eastAsia="Calibri" w:hAnsi="Calibri"/>
                <w:sz w:val="14"/>
                <w:szCs w:val="14"/>
                <w:b w:val="1"/>
                <w:bCs w:val="1"/>
                <w:color w:val="auto"/>
              </w:rPr>
              <w:t>Basis of fair value measurement</w:t>
            </w:r>
          </w:p>
        </w:tc>
        <w:tc>
          <w:tcPr>
            <w:tcW w:w="0" w:type="dxa"/>
            <w:vAlign w:val="bottom"/>
          </w:tcPr>
          <w:p>
            <w:pPr>
              <w:spacing w:after="0"/>
              <w:rPr>
                <w:sz w:val="1"/>
                <w:szCs w:val="1"/>
                <w:color w:val="auto"/>
              </w:rPr>
            </w:pPr>
          </w:p>
        </w:tc>
      </w:tr>
      <w:tr>
        <w:trPr>
          <w:trHeight w:val="47"/>
        </w:trPr>
        <w:tc>
          <w:tcPr>
            <w:tcW w:w="4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60"/>
              <w:spacing w:after="0" w:line="115" w:lineRule="exact"/>
              <w:rPr>
                <w:sz w:val="20"/>
                <w:szCs w:val="20"/>
                <w:color w:val="auto"/>
              </w:rPr>
            </w:pPr>
            <w:r>
              <w:rPr>
                <w:rFonts w:ascii="Calibri" w:cs="Calibri" w:eastAsia="Calibri" w:hAnsi="Calibri"/>
                <w:sz w:val="12"/>
                <w:szCs w:val="12"/>
                <w:b w:val="1"/>
                <w:bCs w:val="1"/>
                <w:color w:val="auto"/>
              </w:rPr>
              <w:t>Quoted prices</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00"/>
              <w:spacing w:after="0" w:line="115" w:lineRule="exact"/>
              <w:rPr>
                <w:sz w:val="20"/>
                <w:szCs w:val="20"/>
                <w:color w:val="auto"/>
              </w:rPr>
            </w:pPr>
            <w:r>
              <w:rPr>
                <w:rFonts w:ascii="Calibri" w:cs="Calibri" w:eastAsia="Calibri" w:hAnsi="Calibri"/>
                <w:sz w:val="12"/>
                <w:szCs w:val="12"/>
                <w:b w:val="1"/>
                <w:bCs w:val="1"/>
                <w:color w:val="auto"/>
              </w:rPr>
              <w:t>Signifcant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Calibri" w:cs="Calibri" w:eastAsia="Calibri" w:hAnsi="Calibri"/>
                <w:sz w:val="14"/>
                <w:szCs w:val="14"/>
                <w:b w:val="1"/>
                <w:bCs w:val="1"/>
                <w:color w:val="auto"/>
              </w:rPr>
              <w:t>in actve markets</w:t>
            </w:r>
          </w:p>
        </w:tc>
        <w:tc>
          <w:tcPr>
            <w:tcW w:w="180" w:type="dxa"/>
            <w:vAlign w:val="bottom"/>
          </w:tcPr>
          <w:p>
            <w:pPr>
              <w:spacing w:after="0"/>
              <w:rPr>
                <w:sz w:val="12"/>
                <w:szCs w:val="12"/>
                <w:color w:val="auto"/>
              </w:rPr>
            </w:pPr>
          </w:p>
        </w:tc>
        <w:tc>
          <w:tcPr>
            <w:tcW w:w="1160" w:type="dxa"/>
            <w:vAlign w:val="bottom"/>
          </w:tcPr>
          <w:p>
            <w:pPr>
              <w:jc w:val="center"/>
              <w:ind w:right="96"/>
              <w:spacing w:after="0" w:line="149" w:lineRule="exact"/>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Calibri" w:cs="Calibri" w:eastAsia="Calibri" w:hAnsi="Calibri"/>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2"/>
                <w:szCs w:val="12"/>
                <w:color w:val="auto"/>
              </w:rPr>
            </w:pPr>
          </w:p>
        </w:tc>
        <w:tc>
          <w:tcPr>
            <w:tcW w:w="1000" w:type="dxa"/>
            <w:vAlign w:val="bottom"/>
            <w:vMerge w:val="restart"/>
          </w:tcPr>
          <w:p>
            <w:pPr>
              <w:jc w:val="right"/>
              <w:ind w:right="174"/>
              <w:spacing w:after="0"/>
              <w:rPr>
                <w:sz w:val="20"/>
                <w:szCs w:val="20"/>
                <w:color w:val="auto"/>
              </w:rPr>
            </w:pPr>
            <w:r>
              <w:rPr>
                <w:rFonts w:ascii="Calibri" w:cs="Calibri" w:eastAsia="Calibri" w:hAnsi="Calibri"/>
                <w:sz w:val="14"/>
                <w:szCs w:val="14"/>
                <w:b w:val="1"/>
                <w:bCs w:val="1"/>
                <w:color w:val="auto"/>
              </w:rPr>
              <w:t>Book value</w:t>
            </w:r>
          </w:p>
        </w:tc>
        <w:tc>
          <w:tcPr>
            <w:tcW w:w="140" w:type="dxa"/>
            <w:vAlign w:val="bottom"/>
          </w:tcPr>
          <w:p>
            <w:pPr>
              <w:spacing w:after="0"/>
              <w:rPr>
                <w:sz w:val="12"/>
                <w:szCs w:val="12"/>
                <w:color w:val="auto"/>
              </w:rPr>
            </w:pPr>
          </w:p>
        </w:tc>
        <w:tc>
          <w:tcPr>
            <w:tcW w:w="1240" w:type="dxa"/>
            <w:vAlign w:val="bottom"/>
          </w:tcPr>
          <w:p>
            <w:pPr>
              <w:jc w:val="right"/>
              <w:ind w:right="136"/>
              <w:spacing w:after="0" w:line="149" w:lineRule="exact"/>
              <w:rPr>
                <w:sz w:val="20"/>
                <w:szCs w:val="20"/>
                <w:color w:val="auto"/>
              </w:rPr>
            </w:pPr>
            <w:r>
              <w:rPr>
                <w:rFonts w:ascii="Calibri" w:cs="Calibri" w:eastAsia="Calibri" w:hAnsi="Calibri"/>
                <w:sz w:val="14"/>
                <w:szCs w:val="14"/>
                <w:b w:val="1"/>
                <w:bCs w:val="1"/>
                <w:color w:val="auto"/>
              </w:rPr>
              <w:t>Approximate fair</w:t>
            </w:r>
          </w:p>
        </w:tc>
        <w:tc>
          <w:tcPr>
            <w:tcW w:w="128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for identcal assets</w:t>
            </w:r>
          </w:p>
        </w:tc>
        <w:tc>
          <w:tcPr>
            <w:tcW w:w="134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observable inputs</w:t>
            </w:r>
          </w:p>
        </w:tc>
        <w:tc>
          <w:tcPr>
            <w:tcW w:w="240" w:type="dxa"/>
            <w:vAlign w:val="bottom"/>
          </w:tcPr>
          <w:p>
            <w:pPr>
              <w:spacing w:after="0"/>
              <w:rPr>
                <w:sz w:val="12"/>
                <w:szCs w:val="12"/>
                <w:color w:val="auto"/>
              </w:rPr>
            </w:pPr>
          </w:p>
        </w:tc>
        <w:tc>
          <w:tcPr>
            <w:tcW w:w="1080" w:type="dxa"/>
            <w:vAlign w:val="bottom"/>
          </w:tcPr>
          <w:p>
            <w:pPr>
              <w:jc w:val="center"/>
              <w:ind w:right="120"/>
              <w:spacing w:after="0" w:line="149" w:lineRule="exact"/>
              <w:rPr>
                <w:sz w:val="20"/>
                <w:szCs w:val="20"/>
                <w:color w:val="auto"/>
              </w:rPr>
            </w:pPr>
            <w:r>
              <w:rPr>
                <w:rFonts w:ascii="Calibri" w:cs="Calibri" w:eastAsia="Calibri" w:hAnsi="Calibri"/>
                <w:sz w:val="14"/>
                <w:szCs w:val="14"/>
                <w:b w:val="1"/>
                <w:bCs w:val="1"/>
                <w:color w:val="auto"/>
                <w:w w:val="98"/>
              </w:rPr>
              <w:t>inputs</w:t>
            </w:r>
          </w:p>
        </w:tc>
        <w:tc>
          <w:tcPr>
            <w:tcW w:w="0" w:type="dxa"/>
            <w:vAlign w:val="bottom"/>
          </w:tcPr>
          <w:p>
            <w:pPr>
              <w:spacing w:after="0"/>
              <w:rPr>
                <w:sz w:val="1"/>
                <w:szCs w:val="1"/>
                <w:color w:val="auto"/>
              </w:rPr>
            </w:pPr>
          </w:p>
        </w:tc>
      </w:tr>
      <w:tr>
        <w:trPr>
          <w:trHeight w:val="170"/>
        </w:trPr>
        <w:tc>
          <w:tcPr>
            <w:tcW w:w="4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76"/>
              <w:spacing w:after="0"/>
              <w:rPr>
                <w:sz w:val="20"/>
                <w:szCs w:val="20"/>
                <w:color w:val="auto"/>
              </w:rPr>
            </w:pPr>
            <w:r>
              <w:rPr>
                <w:rFonts w:ascii="Calibri" w:cs="Calibri" w:eastAsia="Calibri" w:hAnsi="Calibri"/>
                <w:sz w:val="14"/>
                <w:szCs w:val="14"/>
                <w:b w:val="1"/>
                <w:bCs w:val="1"/>
                <w:color w:val="auto"/>
              </w:rPr>
              <w:t>value</w:t>
            </w:r>
          </w:p>
        </w:tc>
        <w:tc>
          <w:tcPr>
            <w:tcW w:w="10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Calibri" w:cs="Calibri" w:eastAsia="Calibri" w:hAnsi="Calibri"/>
                <w:sz w:val="14"/>
                <w:szCs w:val="14"/>
                <w:b w:val="1"/>
                <w:bCs w:val="1"/>
                <w:color w:val="auto"/>
              </w:rPr>
              <w:t>(Level 1)</w:t>
            </w:r>
          </w:p>
        </w:tc>
        <w:tc>
          <w:tcPr>
            <w:tcW w:w="18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Calibri" w:cs="Calibri" w:eastAsia="Calibri" w:hAnsi="Calibri"/>
                <w:sz w:val="14"/>
                <w:szCs w:val="14"/>
                <w:b w:val="1"/>
                <w:bCs w:val="1"/>
                <w:color w:val="auto"/>
              </w:rPr>
              <w:t>(Level 2)</w:t>
            </w:r>
          </w:p>
        </w:tc>
        <w:tc>
          <w:tcPr>
            <w:tcW w:w="24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Calibri" w:cs="Calibri" w:eastAsia="Calibri" w:hAnsi="Calibri"/>
                <w:sz w:val="14"/>
                <w:szCs w:val="14"/>
                <w:b w:val="1"/>
                <w:bCs w:val="1"/>
                <w:color w:val="auto"/>
              </w:rPr>
              <w:t>(Level 3)</w:t>
            </w:r>
          </w:p>
        </w:tc>
        <w:tc>
          <w:tcPr>
            <w:tcW w:w="0" w:type="dxa"/>
            <w:vAlign w:val="bottom"/>
          </w:tcPr>
          <w:p>
            <w:pPr>
              <w:spacing w:after="0"/>
              <w:rPr>
                <w:sz w:val="1"/>
                <w:szCs w:val="1"/>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Short-term borrowings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ind w:right="96"/>
              <w:spacing w:after="0"/>
              <w:rPr>
                <w:sz w:val="20"/>
                <w:szCs w:val="20"/>
                <w:color w:val="auto"/>
              </w:rPr>
            </w:pPr>
            <w:r>
              <w:rPr>
                <w:rFonts w:ascii="Calibri" w:cs="Calibri" w:eastAsia="Calibri" w:hAnsi="Calibri"/>
                <w:sz w:val="18"/>
                <w:szCs w:val="18"/>
                <w:color w:val="auto"/>
              </w:rPr>
              <w:t>14</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2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14</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4720" w:type="dxa"/>
            <w:vAlign w:val="bottom"/>
          </w:tcPr>
          <w:p>
            <w:pPr>
              <w:ind w:left="20"/>
              <w:spacing w:after="0" w:line="166" w:lineRule="exact"/>
              <w:rPr>
                <w:sz w:val="20"/>
                <w:szCs w:val="20"/>
                <w:color w:val="auto"/>
              </w:rPr>
            </w:pPr>
            <w:r>
              <w:rPr>
                <w:rFonts w:ascii="Calibri" w:cs="Calibri" w:eastAsia="Calibri" w:hAnsi="Calibri"/>
                <w:sz w:val="18"/>
                <w:szCs w:val="18"/>
                <w:color w:val="auto"/>
              </w:rPr>
              <w:t>Current porton of long-term debt and fnance lease obligatons,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excluding fair value hedges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12,455</w:t>
            </w:r>
          </w:p>
        </w:tc>
        <w:tc>
          <w:tcPr>
            <w:tcW w:w="14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Calibri" w:cs="Calibri" w:eastAsia="Calibri" w:hAnsi="Calibri"/>
                <w:sz w:val="18"/>
                <w:szCs w:val="18"/>
                <w:color w:val="auto"/>
              </w:rPr>
              <w:t>11,830</w:t>
            </w:r>
          </w:p>
        </w:tc>
        <w:tc>
          <w:tcPr>
            <w:tcW w:w="10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Calibri" w:cs="Calibri" w:eastAsia="Calibri" w:hAnsi="Calibri"/>
                <w:sz w:val="18"/>
                <w:szCs w:val="18"/>
                <w:color w:val="auto"/>
              </w:rPr>
              <w:t>11,329</w:t>
            </w:r>
          </w:p>
        </w:tc>
        <w:tc>
          <w:tcPr>
            <w:tcW w:w="18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Calibri" w:cs="Calibri" w:eastAsia="Calibri" w:hAnsi="Calibri"/>
                <w:sz w:val="18"/>
                <w:szCs w:val="18"/>
                <w:color w:val="auto"/>
              </w:rPr>
              <w:t>501</w:t>
            </w:r>
          </w:p>
        </w:tc>
        <w:tc>
          <w:tcPr>
            <w:tcW w:w="24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72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w w:val="99"/>
              </w:rPr>
              <w:t>Long-term debt and fnance lease obligatons, excluding fair value</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hedges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64,113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Calibri" w:cs="Calibri" w:eastAsia="Calibri" w:hAnsi="Calibri"/>
                <w:sz w:val="18"/>
                <w:szCs w:val="18"/>
                <w:color w:val="auto"/>
              </w:rPr>
              <w:t>71,810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8"/>
                <w:szCs w:val="18"/>
                <w:color w:val="auto"/>
              </w:rPr>
              <w:t>70,757</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Calibri" w:cs="Calibri" w:eastAsia="Calibri" w:hAnsi="Calibri"/>
                <w:sz w:val="18"/>
                <w:szCs w:val="18"/>
                <w:color w:val="auto"/>
              </w:rPr>
              <w:t>1,053</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76,582</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bottom w:val="single" w:sz="8" w:color="auto"/>
            </w:tcBorders>
          </w:tcPr>
          <w:p>
            <w:pPr>
              <w:jc w:val="right"/>
              <w:ind w:right="96"/>
              <w:spacing w:after="0" w:line="215" w:lineRule="exact"/>
              <w:rPr>
                <w:sz w:val="20"/>
                <w:szCs w:val="20"/>
                <w:color w:val="auto"/>
              </w:rPr>
            </w:pPr>
            <w:r>
              <w:rPr>
                <w:rFonts w:ascii="Calibri" w:cs="Calibri" w:eastAsia="Calibri" w:hAnsi="Calibri"/>
                <w:sz w:val="18"/>
                <w:szCs w:val="18"/>
                <w:color w:val="auto"/>
              </w:rPr>
              <w:t>83,654</w:t>
            </w: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tcPr>
          <w:p>
            <w:pPr>
              <w:jc w:val="right"/>
              <w:ind w:right="20"/>
              <w:spacing w:after="0" w:line="215" w:lineRule="exact"/>
              <w:rPr>
                <w:sz w:val="20"/>
                <w:szCs w:val="20"/>
                <w:color w:val="auto"/>
              </w:rPr>
            </w:pPr>
            <w:r>
              <w:rPr>
                <w:rFonts w:ascii="Calibri" w:cs="Calibri" w:eastAsia="Calibri" w:hAnsi="Calibri"/>
                <w:sz w:val="18"/>
                <w:szCs w:val="18"/>
                <w:color w:val="auto"/>
              </w:rPr>
              <w:t>82,086</w:t>
            </w: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1,568</w:t>
            </w:r>
          </w:p>
        </w:tc>
        <w:tc>
          <w:tcPr>
            <w:tcW w:w="2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ind w:left="8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AbbVie also holds investments in equity securites that do not have readily determinable fair values. The company records these investments at cost and remeasures them to fair value based on certain observable price changes or impairment events as they occur. The carrying amount of these investments was $148 million as of June 30, 2022 and $149 million as of December 31, 2021. No signifcant cumulatve upward or downward adjustments have been recorded for these investments as of June 30, 2022.</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Concentratons of Risk</w:t>
      </w:r>
    </w:p>
    <w:p>
      <w:pPr>
        <w:spacing w:after="0" w:line="13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Of total net accounts receivable, three U.S. wholesalers accounted for 76% as of June 30, 2022 and 75% as of December 31, 2021, and substantally all of AbbVie’s pharmaceutcal product net revenues in the United States were to these three wholesalers.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7" w:name="page18"/>
    <w:bookmarkEnd w:id="17"/>
    <w:p>
      <w:pPr>
        <w:ind w:right="200"/>
        <w:spacing w:after="0" w:line="235" w:lineRule="auto"/>
        <w:rPr>
          <w:sz w:val="20"/>
          <w:szCs w:val="20"/>
          <w:color w:val="auto"/>
        </w:rPr>
      </w:pPr>
      <w:r>
        <w:rPr>
          <w:rFonts w:ascii="Calibri" w:cs="Calibri" w:eastAsia="Calibri" w:hAnsi="Calibri"/>
          <w:sz w:val="18"/>
          <w:szCs w:val="18"/>
          <w:color w:val="auto"/>
        </w:rPr>
        <w:t>Humira (adalimumab) is AbbVie’s single largest product and accounted for approximately 36% of AbbVie’s total net revenues for the six months ended June 30, 2022 and 37% for the six months ended June 30,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Debt and Credit Facilites</w:t>
      </w:r>
    </w:p>
    <w:p>
      <w:pPr>
        <w:spacing w:after="0" w:line="150"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In January 2022, the company repaid $2.9 billion aggregate principal amount of 3.45% senior notes that were scheduled to mature in March 2022. This repayment was made by exercising, under the terms of the notes, 60-day early redempton at 100% of the principal amount.</w:t>
      </w:r>
    </w:p>
    <w:p>
      <w:pPr>
        <w:spacing w:after="0" w:line="15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February 2022, the company refnanced its $2.0 billion foatng rate fve-year term loan. As part of the refnancing, the company repaid the existng $2.0 billion term loan due May 2025 and borrowed $2.0 billion under a new term loan at a lower foatng rate. All other signifcant terms of the loan, including the maturity date, remained unchanged afer the refnancing.</w:t>
      </w:r>
    </w:p>
    <w:p>
      <w:pPr>
        <w:spacing w:after="0" w:line="138"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Subsequent to June 30, 2022, the company repaid $1.7 billion aggregate principal amount of 3.25% senior notes that were scheduled to mature in October 2022. This repayment was made by exercising, under the terms of the notes, 90-day early redempton at 100% of the principal amount.</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April 2021, the company repaid $1.8 billion aggregate principal amount of 2.3% senior notes that were scheduled to mature in May 2021. In May 2021, the company repaid €750 million aggregate principal amount of 0.5% senior euro notes that were scheduled to mature in June 2021. These repayments were made by exercising, under the terms of the notes, 30-day early redemptons at 100% of the principal amounts. The company also repaid $750 million aggregate principal amount of foatng rate senior notes at maturity in May 2021.</w:t>
      </w:r>
    </w:p>
    <w:p>
      <w:pPr>
        <w:spacing w:after="0" w:line="20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9 Post-Employment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net periodic beneft cost relatng to the company’s defned beneft and other post-employment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Defned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437"/>
              <w:spacing w:after="0"/>
              <w:rPr>
                <w:sz w:val="20"/>
                <w:szCs w:val="20"/>
                <w:color w:val="auto"/>
              </w:rPr>
            </w:pPr>
            <w:r>
              <w:rPr>
                <w:rFonts w:ascii="Calibri" w:cs="Calibri" w:eastAsia="Calibri" w:hAnsi="Calibri"/>
                <w:sz w:val="14"/>
                <w:szCs w:val="14"/>
                <w:b w:val="1"/>
                <w:bCs w:val="1"/>
                <w:color w:val="auto"/>
              </w:rPr>
              <w:t>Other post-</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4"/>
          </w:tcPr>
          <w:p>
            <w:pPr>
              <w:jc w:val="right"/>
              <w:ind w:right="397"/>
              <w:spacing w:after="0"/>
              <w:rPr>
                <w:sz w:val="20"/>
                <w:szCs w:val="20"/>
                <w:color w:val="auto"/>
              </w:rPr>
            </w:pPr>
            <w:r>
              <w:rPr>
                <w:rFonts w:ascii="Calibri" w:cs="Calibri" w:eastAsia="Calibri" w:hAnsi="Calibri"/>
                <w:sz w:val="14"/>
                <w:szCs w:val="14"/>
                <w:b w:val="1"/>
                <w:bCs w:val="1"/>
                <w:color w:val="auto"/>
              </w:rPr>
              <w:t>beneft plans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197"/>
              <w:spacing w:after="0"/>
              <w:rPr>
                <w:sz w:val="20"/>
                <w:szCs w:val="20"/>
                <w:color w:val="auto"/>
              </w:rPr>
            </w:pPr>
            <w:r>
              <w:rPr>
                <w:rFonts w:ascii="Calibri" w:cs="Calibri" w:eastAsia="Calibri" w:hAnsi="Calibri"/>
                <w:sz w:val="14"/>
                <w:szCs w:val="14"/>
                <w:b w:val="1"/>
                <w:bCs w:val="1"/>
                <w:color w:val="auto"/>
              </w:rPr>
              <w:t>employment plans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3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4"/>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40"/>
              <w:spacing w:after="0" w:line="115" w:lineRule="exact"/>
              <w:rPr>
                <w:sz w:val="20"/>
                <w:szCs w:val="20"/>
                <w:color w:val="auto"/>
              </w:rPr>
            </w:pPr>
            <w:r>
              <w:rPr>
                <w:rFonts w:ascii="Calibri" w:cs="Calibri" w:eastAsia="Calibri" w:hAnsi="Calibri"/>
                <w:sz w:val="12"/>
                <w:szCs w:val="12"/>
                <w:b w:val="1"/>
                <w:bCs w:val="1"/>
                <w:color w:val="auto"/>
              </w:rPr>
              <w:t>Three months ended</w:t>
            </w:r>
          </w:p>
        </w:tc>
        <w:tc>
          <w:tcPr>
            <w:tcW w:w="240" w:type="dxa"/>
            <w:vAlign w:val="bottom"/>
          </w:tcPr>
          <w:p>
            <w:pPr>
              <w:spacing w:after="0"/>
              <w:rPr>
                <w:sz w:val="10"/>
                <w:szCs w:val="10"/>
                <w:color w:val="auto"/>
              </w:rPr>
            </w:pPr>
          </w:p>
        </w:tc>
        <w:tc>
          <w:tcPr>
            <w:tcW w:w="1460" w:type="dxa"/>
            <w:vAlign w:val="bottom"/>
            <w:gridSpan w:val="3"/>
          </w:tcPr>
          <w:p>
            <w:pPr>
              <w:jc w:val="right"/>
              <w:ind w:right="213"/>
              <w:spacing w:after="0" w:line="115" w:lineRule="exact"/>
              <w:rPr>
                <w:sz w:val="20"/>
                <w:szCs w:val="20"/>
                <w:color w:val="auto"/>
              </w:rPr>
            </w:pPr>
            <w:r>
              <w:rPr>
                <w:rFonts w:ascii="Calibri" w:cs="Calibri" w:eastAsia="Calibri" w:hAnsi="Calibri"/>
                <w:sz w:val="12"/>
                <w:szCs w:val="12"/>
                <w:b w:val="1"/>
                <w:bCs w:val="1"/>
                <w:color w:val="auto"/>
              </w:rPr>
              <w:t>Six months ended</w:t>
            </w: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4"/>
          </w:tcPr>
          <w:p>
            <w:pPr>
              <w:ind w:left="40"/>
              <w:spacing w:after="0" w:line="115" w:lineRule="exact"/>
              <w:rPr>
                <w:sz w:val="20"/>
                <w:szCs w:val="20"/>
                <w:color w:val="auto"/>
              </w:rPr>
            </w:pPr>
            <w:r>
              <w:rPr>
                <w:rFonts w:ascii="Calibri" w:cs="Calibri" w:eastAsia="Calibri" w:hAnsi="Calibri"/>
                <w:sz w:val="12"/>
                <w:szCs w:val="12"/>
                <w:b w:val="1"/>
                <w:bCs w:val="1"/>
                <w:color w:val="auto"/>
              </w:rPr>
              <w:t>Three months ended</w:t>
            </w:r>
          </w:p>
        </w:tc>
        <w:tc>
          <w:tcPr>
            <w:tcW w:w="180" w:type="dxa"/>
            <w:vAlign w:val="bottom"/>
          </w:tcPr>
          <w:p>
            <w:pPr>
              <w:spacing w:after="0"/>
              <w:rPr>
                <w:sz w:val="10"/>
                <w:szCs w:val="10"/>
                <w:color w:val="auto"/>
              </w:rPr>
            </w:pPr>
          </w:p>
        </w:tc>
        <w:tc>
          <w:tcPr>
            <w:tcW w:w="1520" w:type="dxa"/>
            <w:vAlign w:val="bottom"/>
            <w:gridSpan w:val="3"/>
          </w:tcPr>
          <w:p>
            <w:pPr>
              <w:jc w:val="right"/>
              <w:ind w:right="233"/>
              <w:spacing w:after="0" w:line="115" w:lineRule="exact"/>
              <w:rPr>
                <w:sz w:val="20"/>
                <w:szCs w:val="20"/>
                <w:color w:val="auto"/>
              </w:rPr>
            </w:pPr>
            <w:r>
              <w:rPr>
                <w:rFonts w:ascii="Calibri" w:cs="Calibri" w:eastAsia="Calibri" w:hAnsi="Calibri"/>
                <w:sz w:val="12"/>
                <w:szCs w:val="12"/>
                <w:b w:val="1"/>
                <w:bCs w:val="1"/>
                <w:color w:val="auto"/>
              </w:rPr>
              <w:t>Six months ended</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3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540" w:type="dxa"/>
            <w:vAlign w:val="bottom"/>
          </w:tcPr>
          <w:p>
            <w:pPr>
              <w:jc w:val="right"/>
              <w:ind w:right="156"/>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560" w:type="dxa"/>
            <w:vAlign w:val="bottom"/>
          </w:tcPr>
          <w:p>
            <w:pPr>
              <w:jc w:val="right"/>
              <w:ind w:right="153"/>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540" w:type="dxa"/>
            <w:vAlign w:val="bottom"/>
          </w:tcPr>
          <w:p>
            <w:pPr>
              <w:jc w:val="right"/>
              <w:ind w:right="156"/>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580" w:type="dxa"/>
            <w:vAlign w:val="bottom"/>
          </w:tcPr>
          <w:p>
            <w:pPr>
              <w:jc w:val="right"/>
              <w:ind w:right="173"/>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Service cost</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113</w:t>
            </w:r>
          </w:p>
        </w:tc>
        <w:tc>
          <w:tcPr>
            <w:tcW w:w="28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229</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13</w:t>
            </w:r>
          </w:p>
        </w:tc>
        <w:tc>
          <w:tcPr>
            <w:tcW w:w="26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25</w:t>
            </w:r>
          </w:p>
        </w:tc>
        <w:tc>
          <w:tcPr>
            <w:tcW w:w="28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w:t>
            </w:r>
          </w:p>
        </w:tc>
        <w:tc>
          <w:tcPr>
            <w:tcW w:w="0" w:type="dxa"/>
            <w:vAlign w:val="bottom"/>
          </w:tcPr>
          <w:p>
            <w:pPr>
              <w:spacing w:after="0"/>
              <w:rPr>
                <w:sz w:val="1"/>
                <w:szCs w:val="1"/>
                <w:color w:val="auto"/>
              </w:rPr>
            </w:pPr>
          </w:p>
        </w:tc>
      </w:tr>
      <w:tr>
        <w:trPr>
          <w:trHeight w:val="222"/>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cost</w:t>
            </w:r>
          </w:p>
        </w:tc>
        <w:tc>
          <w:tcPr>
            <w:tcW w:w="160" w:type="dxa"/>
            <w:vAlign w:val="bottom"/>
          </w:tcPr>
          <w:p>
            <w:pPr>
              <w:spacing w:after="0"/>
              <w:rPr>
                <w:sz w:val="19"/>
                <w:szCs w:val="19"/>
                <w:color w:val="auto"/>
              </w:rPr>
            </w:pPr>
          </w:p>
        </w:tc>
        <w:tc>
          <w:tcPr>
            <w:tcW w:w="64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75</w:t>
            </w:r>
          </w:p>
        </w:tc>
        <w:tc>
          <w:tcPr>
            <w:tcW w:w="28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149</w:t>
            </w:r>
          </w:p>
        </w:tc>
        <w:tc>
          <w:tcPr>
            <w:tcW w:w="28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6</w:t>
            </w:r>
          </w:p>
        </w:tc>
        <w:tc>
          <w:tcPr>
            <w:tcW w:w="26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12</w:t>
            </w:r>
          </w:p>
        </w:tc>
        <w:tc>
          <w:tcPr>
            <w:tcW w:w="28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Expected return on plan assets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(179)</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(359)</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7"/>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 of prior service cost (credit)</w:t>
            </w:r>
          </w:p>
        </w:tc>
        <w:tc>
          <w:tcPr>
            <w:tcW w:w="160" w:type="dxa"/>
            <w:vAlign w:val="bottom"/>
          </w:tcPr>
          <w:p>
            <w:pPr>
              <w:spacing w:after="0"/>
              <w:rPr>
                <w:sz w:val="19"/>
                <w:szCs w:val="19"/>
                <w:color w:val="auto"/>
              </w:rPr>
            </w:pPr>
          </w:p>
        </w:tc>
        <w:tc>
          <w:tcPr>
            <w:tcW w:w="64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6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28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Amortzaton of actuarial loss</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59</w:t>
            </w:r>
          </w:p>
        </w:tc>
        <w:tc>
          <w:tcPr>
            <w:tcW w:w="2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75</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Calibri" w:cs="Calibri" w:eastAsia="Calibri" w:hAnsi="Calibri"/>
                <w:sz w:val="18"/>
                <w:szCs w:val="18"/>
                <w:color w:val="auto"/>
              </w:rPr>
              <w:t>116</w:t>
            </w:r>
          </w:p>
        </w:tc>
        <w:tc>
          <w:tcPr>
            <w:tcW w:w="2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145</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Calibri" w:cs="Calibri" w:eastAsia="Calibri" w:hAnsi="Calibri"/>
                <w:sz w:val="18"/>
                <w:szCs w:val="18"/>
                <w:color w:val="auto"/>
              </w:rPr>
              <w:t>6</w:t>
            </w: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13</w:t>
            </w:r>
          </w:p>
        </w:tc>
        <w:tc>
          <w:tcPr>
            <w:tcW w:w="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periodic beneft cost</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68</w:t>
            </w:r>
          </w:p>
        </w:tc>
        <w:tc>
          <w:tcPr>
            <w:tcW w:w="2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136</w:t>
            </w:r>
          </w:p>
        </w:tc>
        <w:tc>
          <w:tcPr>
            <w:tcW w:w="2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16</w:t>
            </w:r>
          </w:p>
        </w:tc>
        <w:tc>
          <w:tcPr>
            <w:tcW w:w="2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31</w:t>
            </w:r>
          </w:p>
        </w:tc>
        <w:tc>
          <w:tcPr>
            <w:tcW w:w="2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components of net periodic beneft cost other than service cost are included in other expense, net in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490855</wp:posOffset>
            </wp:positionV>
            <wp:extent cx="51435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16</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8" w:name="page19"/>
    <w:bookmarkEnd w:id="18"/>
    <w:p>
      <w:pPr>
        <w:spacing w:after="0"/>
        <w:rPr>
          <w:sz w:val="20"/>
          <w:szCs w:val="20"/>
          <w:color w:val="auto"/>
        </w:rPr>
      </w:pPr>
      <w:r>
        <w:rPr>
          <w:rFonts w:ascii="Calibri" w:cs="Calibri" w:eastAsia="Calibri" w:hAnsi="Calibri"/>
          <w:sz w:val="22"/>
          <w:szCs w:val="22"/>
          <w:b w:val="1"/>
          <w:bCs w:val="1"/>
          <w:color w:val="444867"/>
        </w:rPr>
        <w:t>Note 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Stock-Based Compensaton</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May 2021, stockholders of the company approved the AbbVie Amended and Restated 2013 Incentve Stock Program (the Amended Plan), which amends and restates the AbbVie 2013 Incentve Stock Program. Stock-based compensaton expense is principally related to awards issued pursuant to the AbbVie 2013 Incentve Stock Program and the Amended Plan and is summarized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380" w:type="dxa"/>
            <w:vAlign w:val="bottom"/>
            <w:gridSpan w:val="3"/>
          </w:tcPr>
          <w:p>
            <w:pPr>
              <w:jc w:val="right"/>
              <w:ind w:right="276"/>
              <w:spacing w:after="0"/>
              <w:rPr>
                <w:sz w:val="20"/>
                <w:szCs w:val="20"/>
                <w:color w:val="auto"/>
              </w:rPr>
            </w:pPr>
            <w:r>
              <w:rPr>
                <w:rFonts w:ascii="Calibri" w:cs="Calibri" w:eastAsia="Calibri" w:hAnsi="Calibri"/>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right"/>
              <w:ind w:right="656"/>
              <w:spacing w:after="0"/>
              <w:rPr>
                <w:sz w:val="20"/>
                <w:szCs w:val="20"/>
                <w:color w:val="auto"/>
              </w:rPr>
            </w:pPr>
            <w:r>
              <w:rPr>
                <w:rFonts w:ascii="Calibri" w:cs="Calibri" w:eastAsia="Calibri" w:hAnsi="Calibri"/>
                <w:sz w:val="14"/>
                <w:szCs w:val="14"/>
                <w:b w:val="1"/>
                <w:bCs w:val="1"/>
                <w:color w:val="auto"/>
              </w:rPr>
              <w:t>June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920" w:type="dxa"/>
            <w:vAlign w:val="bottom"/>
          </w:tcPr>
          <w:p>
            <w:pPr>
              <w:jc w:val="right"/>
              <w:ind w:right="19"/>
              <w:spacing w:after="0" w:line="164" w:lineRule="exact"/>
              <w:rPr>
                <w:sz w:val="20"/>
                <w:szCs w:val="20"/>
                <w:color w:val="auto"/>
              </w:rPr>
            </w:pPr>
            <w:r>
              <w:rPr>
                <w:rFonts w:ascii="Calibri" w:cs="Calibri" w:eastAsia="Calibri" w:hAnsi="Calibri"/>
                <w:sz w:val="14"/>
                <w:szCs w:val="14"/>
                <w:b w:val="1"/>
                <w:bCs w:val="1"/>
                <w:color w:val="auto"/>
              </w:rPr>
              <w:t>2022</w:t>
            </w:r>
          </w:p>
        </w:tc>
        <w:tc>
          <w:tcPr>
            <w:tcW w:w="460" w:type="dxa"/>
            <w:vAlign w:val="bottom"/>
          </w:tcPr>
          <w:p>
            <w:pPr>
              <w:spacing w:after="0"/>
              <w:rPr>
                <w:sz w:val="14"/>
                <w:szCs w:val="14"/>
                <w:color w:val="auto"/>
              </w:rPr>
            </w:pPr>
          </w:p>
        </w:tc>
        <w:tc>
          <w:tcPr>
            <w:tcW w:w="100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2021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ind w:right="433"/>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920" w:type="dxa"/>
            <w:vAlign w:val="bottom"/>
            <w:shd w:val="clear" w:color="auto" w:fill="CCEEFF"/>
          </w:tcPr>
          <w:p>
            <w:pPr>
              <w:jc w:val="right"/>
              <w:ind w:right="7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6</w:t>
            </w:r>
          </w:p>
        </w:tc>
        <w:tc>
          <w:tcPr>
            <w:tcW w:w="1000" w:type="dxa"/>
            <w:vAlign w:val="bottom"/>
            <w:shd w:val="clear" w:color="auto" w:fill="CCEEFF"/>
          </w:tcPr>
          <w:p>
            <w:pPr>
              <w:jc w:val="right"/>
              <w:ind w:right="736"/>
              <w:spacing w:after="0" w:line="215" w:lineRule="exact"/>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25</w:t>
            </w:r>
          </w:p>
        </w:tc>
        <w:tc>
          <w:tcPr>
            <w:tcW w:w="58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920" w:type="dxa"/>
            <w:vAlign w:val="bottom"/>
          </w:tcPr>
          <w:p>
            <w:pPr>
              <w:spacing w:after="0"/>
              <w:rPr>
                <w:sz w:val="19"/>
                <w:szCs w:val="19"/>
                <w:color w:val="auto"/>
              </w:rPr>
            </w:pPr>
          </w:p>
        </w:tc>
        <w:tc>
          <w:tcPr>
            <w:tcW w:w="46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40</w:t>
            </w:r>
          </w:p>
        </w:tc>
        <w:tc>
          <w:tcPr>
            <w:tcW w:w="100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147</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134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9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8"/>
                <w:szCs w:val="18"/>
                <w:color w:val="auto"/>
              </w:rPr>
              <w:t>61</w:t>
            </w:r>
          </w:p>
        </w:tc>
        <w:tc>
          <w:tcPr>
            <w:tcW w:w="10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102</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241</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264</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Pre-tax compensaton expense</w:t>
            </w:r>
          </w:p>
        </w:tc>
        <w:tc>
          <w:tcPr>
            <w:tcW w:w="920" w:type="dxa"/>
            <w:vAlign w:val="bottom"/>
          </w:tcPr>
          <w:p>
            <w:pPr>
              <w:spacing w:after="0"/>
              <w:rPr>
                <w:sz w:val="19"/>
                <w:szCs w:val="19"/>
                <w:color w:val="auto"/>
              </w:rPr>
            </w:pPr>
          </w:p>
        </w:tc>
        <w:tc>
          <w:tcPr>
            <w:tcW w:w="46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107</w:t>
            </w:r>
          </w:p>
        </w:tc>
        <w:tc>
          <w:tcPr>
            <w:tcW w:w="100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159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413</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428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Tax beneft</w:t>
            </w:r>
          </w:p>
        </w:tc>
        <w:tc>
          <w:tcPr>
            <w:tcW w:w="9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8"/>
                <w:szCs w:val="18"/>
                <w:color w:val="auto"/>
              </w:rPr>
              <w:t>21</w:t>
            </w:r>
          </w:p>
        </w:tc>
        <w:tc>
          <w:tcPr>
            <w:tcW w:w="10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77</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Afer-tax compensaton expense</w:t>
            </w:r>
          </w:p>
        </w:tc>
        <w:tc>
          <w:tcPr>
            <w:tcW w:w="920" w:type="dxa"/>
            <w:vAlign w:val="bottom"/>
            <w:tcBorders>
              <w:bottom w:val="single" w:sz="8" w:color="auto"/>
            </w:tcBorders>
          </w:tcPr>
          <w:p>
            <w:pPr>
              <w:jc w:val="right"/>
              <w:ind w:right="739"/>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auto"/>
            </w:tcBorders>
          </w:tcPr>
          <w:p>
            <w:pPr>
              <w:jc w:val="right"/>
              <w:ind w:right="13"/>
              <w:spacing w:after="0" w:line="215" w:lineRule="exact"/>
              <w:rPr>
                <w:sz w:val="20"/>
                <w:szCs w:val="20"/>
                <w:color w:val="auto"/>
              </w:rPr>
            </w:pPr>
            <w:r>
              <w:rPr>
                <w:rFonts w:ascii="Calibri" w:cs="Calibri" w:eastAsia="Calibri" w:hAnsi="Calibri"/>
                <w:sz w:val="18"/>
                <w:szCs w:val="18"/>
                <w:color w:val="auto"/>
              </w:rPr>
              <w:t>86</w:t>
            </w:r>
          </w:p>
        </w:tc>
        <w:tc>
          <w:tcPr>
            <w:tcW w:w="1000" w:type="dxa"/>
            <w:vAlign w:val="bottom"/>
            <w:tcBorders>
              <w:bottom w:val="single" w:sz="8" w:color="auto"/>
            </w:tcBorders>
          </w:tcPr>
          <w:p>
            <w:pPr>
              <w:jc w:val="right"/>
              <w:ind w:right="736"/>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336</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3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During the six months ended June 30, 2022, primarily in connecton with the company's annual grant, AbbVie granted 0.9 million stock optons with a weighted-average grant-date fair value of $22.83. As of June 30, 2022, $10 million of unrecognized compensaton cost related to stock optons is expected to be recognized as expense over approximately the next two years.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RSUs and Performance Shares</w:t>
      </w:r>
    </w:p>
    <w:p>
      <w:pPr>
        <w:spacing w:after="0" w:line="15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During the six months ended June 30, 2022, primarily in connecton with the company's annual grant, AbbVie granted 5.8 million RSUs and performance shares with a weighted-average grant-date fair value of $146.20. As of June 30, 2022, $824 million of unrecognized compensaton cost related to RSUs and performance shares is expected to be recognized as expense over approximately the next two years.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Cash Dividends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quarterly cash dividends declared during 2022 and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660" w:type="dxa"/>
            <w:vAlign w:val="bottom"/>
          </w:tcPr>
          <w:p>
            <w:pPr>
              <w:jc w:val="right"/>
              <w:ind w:right="679"/>
              <w:spacing w:after="0"/>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jc w:val="right"/>
              <w:ind w:right="716"/>
              <w:spacing w:after="0"/>
              <w:rPr>
                <w:sz w:val="20"/>
                <w:szCs w:val="20"/>
                <w:color w:val="auto"/>
              </w:rPr>
            </w:pPr>
            <w:r>
              <w:rPr>
                <w:rFonts w:ascii="Calibri" w:cs="Calibri" w:eastAsia="Calibri" w:hAnsi="Calibri"/>
                <w:sz w:val="14"/>
                <w:szCs w:val="14"/>
                <w:b w:val="1"/>
                <w:bCs w:val="1"/>
                <w:color w:val="auto"/>
              </w:rPr>
              <w:t>2021</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20" w:type="dxa"/>
            <w:vAlign w:val="bottom"/>
          </w:tcPr>
          <w:p>
            <w:pPr>
              <w:jc w:val="right"/>
              <w:ind w:right="636"/>
              <w:spacing w:after="0" w:line="164"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39"/>
              <w:spacing w:after="0" w:line="164"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4"/>
                <w:szCs w:val="14"/>
                <w:color w:val="auto"/>
              </w:rPr>
            </w:pPr>
          </w:p>
        </w:tc>
        <w:tc>
          <w:tcPr>
            <w:tcW w:w="1600" w:type="dxa"/>
            <w:vAlign w:val="bottom"/>
          </w:tcPr>
          <w:p>
            <w:pPr>
              <w:jc w:val="right"/>
              <w:ind w:right="256"/>
              <w:spacing w:after="0" w:line="164" w:lineRule="exact"/>
              <w:rPr>
                <w:sz w:val="20"/>
                <w:szCs w:val="20"/>
                <w:color w:val="auto"/>
              </w:rPr>
            </w:pPr>
            <w:r>
              <w:rPr>
                <w:rFonts w:ascii="Calibri" w:cs="Calibri" w:eastAsia="Calibri" w:hAnsi="Calibri"/>
                <w:sz w:val="14"/>
                <w:szCs w:val="14"/>
                <w:b w:val="1"/>
                <w:bCs w:val="1"/>
                <w:color w:val="auto"/>
              </w:rPr>
              <w:t>Dividend Per Share</w:t>
            </w:r>
          </w:p>
        </w:tc>
        <w:tc>
          <w:tcPr>
            <w:tcW w:w="100" w:type="dxa"/>
            <w:vAlign w:val="bottom"/>
            <w:vMerge w:val="continue"/>
          </w:tcPr>
          <w:p>
            <w:pPr>
              <w:spacing w:after="0"/>
              <w:rPr>
                <w:sz w:val="14"/>
                <w:szCs w:val="14"/>
                <w:color w:val="auto"/>
              </w:rPr>
            </w:pPr>
          </w:p>
        </w:tc>
        <w:tc>
          <w:tcPr>
            <w:tcW w:w="2080" w:type="dxa"/>
            <w:vAlign w:val="bottom"/>
          </w:tcPr>
          <w:p>
            <w:pPr>
              <w:jc w:val="right"/>
              <w:ind w:right="674"/>
              <w:spacing w:after="0" w:line="164"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36"/>
              <w:spacing w:after="0" w:line="164"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4"/>
                <w:szCs w:val="14"/>
                <w:color w:val="auto"/>
              </w:rPr>
            </w:pPr>
          </w:p>
        </w:tc>
        <w:tc>
          <w:tcPr>
            <w:tcW w:w="156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Dividend Per Share</w:t>
            </w:r>
          </w:p>
        </w:tc>
        <w:tc>
          <w:tcPr>
            <w:tcW w:w="0" w:type="dxa"/>
            <w:vAlign w:val="bottom"/>
          </w:tcPr>
          <w:p>
            <w:pPr>
              <w:spacing w:after="0"/>
              <w:rPr>
                <w:sz w:val="1"/>
                <w:szCs w:val="1"/>
                <w:color w:val="auto"/>
              </w:rPr>
            </w:pPr>
          </w:p>
        </w:tc>
      </w:tr>
      <w:tr>
        <w:trPr>
          <w:trHeight w:val="33"/>
        </w:trPr>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jc w:val="right"/>
              <w:ind w:right="216"/>
              <w:spacing w:after="0" w:line="215" w:lineRule="exact"/>
              <w:rPr>
                <w:sz w:val="20"/>
                <w:szCs w:val="20"/>
                <w:color w:val="auto"/>
              </w:rPr>
            </w:pPr>
            <w:r>
              <w:rPr>
                <w:rFonts w:ascii="Calibri" w:cs="Calibri" w:eastAsia="Calibri" w:hAnsi="Calibri"/>
                <w:sz w:val="18"/>
                <w:szCs w:val="18"/>
                <w:color w:val="2D2926"/>
              </w:rPr>
              <w:t>06/23/22</w:t>
            </w: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2D2926"/>
              </w:rPr>
              <w:t>08/15/22</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214"/>
              <w:spacing w:after="0" w:line="215" w:lineRule="exact"/>
              <w:rPr>
                <w:sz w:val="20"/>
                <w:szCs w:val="20"/>
                <w:color w:val="auto"/>
              </w:rPr>
            </w:pPr>
            <w:r>
              <w:rPr>
                <w:rFonts w:ascii="Calibri" w:cs="Calibri" w:eastAsia="Calibri" w:hAnsi="Calibri"/>
                <w:sz w:val="18"/>
                <w:szCs w:val="18"/>
                <w:color w:val="2D2926"/>
              </w:rPr>
              <w:t>10/29/21</w:t>
            </w: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2D2926"/>
              </w:rPr>
              <w:t>02/15/22</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1.41</w:t>
            </w:r>
          </w:p>
        </w:tc>
        <w:tc>
          <w:tcPr>
            <w:tcW w:w="0" w:type="dxa"/>
            <w:vAlign w:val="bottom"/>
          </w:tcPr>
          <w:p>
            <w:pPr>
              <w:spacing w:after="0"/>
              <w:rPr>
                <w:sz w:val="1"/>
                <w:szCs w:val="1"/>
                <w:color w:val="auto"/>
              </w:rPr>
            </w:pPr>
          </w:p>
        </w:tc>
      </w:tr>
      <w:tr>
        <w:trPr>
          <w:trHeight w:val="222"/>
        </w:trPr>
        <w:tc>
          <w:tcPr>
            <w:tcW w:w="2020" w:type="dxa"/>
            <w:vAlign w:val="bottom"/>
          </w:tcPr>
          <w:p>
            <w:pPr>
              <w:jc w:val="right"/>
              <w:ind w:right="216"/>
              <w:spacing w:after="0" w:line="215" w:lineRule="exact"/>
              <w:rPr>
                <w:sz w:val="20"/>
                <w:szCs w:val="20"/>
                <w:color w:val="auto"/>
              </w:rPr>
            </w:pPr>
            <w:r>
              <w:rPr>
                <w:rFonts w:ascii="Calibri" w:cs="Calibri" w:eastAsia="Calibri" w:hAnsi="Calibri"/>
                <w:sz w:val="18"/>
                <w:szCs w:val="18"/>
                <w:color w:val="2D2926"/>
              </w:rPr>
              <w:t>02/17/22</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2D2926"/>
              </w:rPr>
              <w:t>05/16/22</w:t>
            </w:r>
          </w:p>
        </w:tc>
        <w:tc>
          <w:tcPr>
            <w:tcW w:w="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1.41</w:t>
            </w:r>
          </w:p>
        </w:tc>
        <w:tc>
          <w:tcPr>
            <w:tcW w:w="100" w:type="dxa"/>
            <w:vAlign w:val="bottom"/>
          </w:tcPr>
          <w:p>
            <w:pPr>
              <w:spacing w:after="0"/>
              <w:rPr>
                <w:sz w:val="19"/>
                <w:szCs w:val="19"/>
                <w:color w:val="auto"/>
              </w:rPr>
            </w:pPr>
          </w:p>
        </w:tc>
        <w:tc>
          <w:tcPr>
            <w:tcW w:w="2080" w:type="dxa"/>
            <w:vAlign w:val="bottom"/>
          </w:tcPr>
          <w:p>
            <w:pPr>
              <w:jc w:val="right"/>
              <w:ind w:right="214"/>
              <w:spacing w:after="0" w:line="215" w:lineRule="exact"/>
              <w:rPr>
                <w:sz w:val="20"/>
                <w:szCs w:val="20"/>
                <w:color w:val="auto"/>
              </w:rPr>
            </w:pPr>
            <w:r>
              <w:rPr>
                <w:rFonts w:ascii="Calibri" w:cs="Calibri" w:eastAsia="Calibri" w:hAnsi="Calibri"/>
                <w:sz w:val="18"/>
                <w:szCs w:val="18"/>
                <w:color w:val="2D2926"/>
              </w:rPr>
              <w:t>09/10/21</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2D2926"/>
              </w:rPr>
              <w:t>11/15/21</w:t>
            </w:r>
          </w:p>
        </w:tc>
        <w:tc>
          <w:tcPr>
            <w:tcW w:w="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1.30</w:t>
            </w:r>
          </w:p>
        </w:tc>
        <w:tc>
          <w:tcPr>
            <w:tcW w:w="0" w:type="dxa"/>
            <w:vAlign w:val="bottom"/>
          </w:tcPr>
          <w:p>
            <w:pPr>
              <w:spacing w:after="0"/>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214"/>
              <w:spacing w:after="0"/>
              <w:rPr>
                <w:sz w:val="20"/>
                <w:szCs w:val="20"/>
                <w:color w:val="auto"/>
              </w:rPr>
            </w:pPr>
            <w:r>
              <w:rPr>
                <w:rFonts w:ascii="Calibri" w:cs="Calibri" w:eastAsia="Calibri" w:hAnsi="Calibri"/>
                <w:sz w:val="18"/>
                <w:szCs w:val="18"/>
                <w:color w:val="2D2926"/>
              </w:rPr>
              <w:t>06/17/21</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color w:val="2D2926"/>
              </w:rPr>
              <w:t>08/16/21</w:t>
            </w:r>
          </w:p>
        </w:tc>
        <w:tc>
          <w:tcPr>
            <w:tcW w:w="28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1.30</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14"/>
              <w:spacing w:after="0" w:line="215" w:lineRule="exact"/>
              <w:rPr>
                <w:sz w:val="20"/>
                <w:szCs w:val="20"/>
                <w:color w:val="auto"/>
              </w:rPr>
            </w:pPr>
            <w:r>
              <w:rPr>
                <w:rFonts w:ascii="Calibri" w:cs="Calibri" w:eastAsia="Calibri" w:hAnsi="Calibri"/>
                <w:sz w:val="18"/>
                <w:szCs w:val="18"/>
                <w:color w:val="2D2926"/>
              </w:rPr>
              <w:t>02/18/21</w:t>
            </w:r>
          </w:p>
        </w:tc>
        <w:tc>
          <w:tcPr>
            <w:tcW w:w="1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2D2926"/>
              </w:rPr>
              <w:t>05/14/21</w:t>
            </w:r>
          </w:p>
        </w:tc>
        <w:tc>
          <w:tcPr>
            <w:tcW w:w="2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Stock Repurchase Program</w:t>
      </w:r>
    </w:p>
    <w:p>
      <w:pPr>
        <w:spacing w:after="0" w:line="150"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The company's stock repurchase authorizaton permits purchases of AbbVie shares from tme to tme in open-market or private transactons at management's discreton. The program has no tme limit and can be discontnued at any tme. Shares repurchased under this program are recorded at acquisiton cost, including related expenses, and are available for general corporate purposes.</w:t>
      </w:r>
    </w:p>
    <w:p>
      <w:pPr>
        <w:spacing w:after="0" w:line="15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AbbVie repurchased 8 million shares for $1.1 billion during the six months ended June 30, 2022 and 5 million shares for $550 million during the six months ended June 30, 2021. AbbVie's remaining stock repurchase authorizaton was approximately $1.4 billion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17</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color w:val="444867"/>
        </w:rPr>
        <w:t>Accumulated Other Comprehensive Loss</w:t>
      </w:r>
    </w:p>
    <w:p>
      <w:pPr>
        <w:spacing w:after="0" w:line="136"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The following table summarizes the changes in each component of accumulated other comprehensive loss, net of tax, for the six months ended June 30,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Pension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8"/>
        </w:trPr>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Calibri" w:cs="Calibri" w:eastAsia="Calibri" w:hAnsi="Calibri"/>
                <w:sz w:val="14"/>
                <w:szCs w:val="14"/>
                <w:b w:val="1"/>
                <w:bCs w:val="1"/>
                <w:color w:val="auto"/>
              </w:rPr>
              <w:t>currency</w:t>
            </w:r>
          </w:p>
        </w:tc>
        <w:tc>
          <w:tcPr>
            <w:tcW w:w="112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Net investment</w:t>
            </w: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Calibri" w:cs="Calibri" w:eastAsia="Calibri" w:hAnsi="Calibri"/>
                <w:sz w:val="14"/>
                <w:szCs w:val="14"/>
                <w:b w:val="1"/>
                <w:bCs w:val="1"/>
                <w:color w:val="auto"/>
              </w:rPr>
              <w:t>and post-</w:t>
            </w:r>
          </w:p>
        </w:tc>
        <w:tc>
          <w:tcPr>
            <w:tcW w:w="220" w:type="dxa"/>
            <w:vAlign w:val="bottom"/>
          </w:tcPr>
          <w:p>
            <w:pPr>
              <w:spacing w:after="0"/>
              <w:rPr>
                <w:sz w:val="12"/>
                <w:szCs w:val="12"/>
                <w:color w:val="auto"/>
              </w:rPr>
            </w:pPr>
          </w:p>
        </w:tc>
        <w:tc>
          <w:tcPr>
            <w:tcW w:w="900" w:type="dxa"/>
            <w:vAlign w:val="bottom"/>
          </w:tcPr>
          <w:p>
            <w:pPr>
              <w:jc w:val="center"/>
              <w:ind w:right="137"/>
              <w:spacing w:after="0" w:line="149" w:lineRule="exact"/>
              <w:rPr>
                <w:sz w:val="20"/>
                <w:szCs w:val="20"/>
                <w:color w:val="auto"/>
              </w:rPr>
            </w:pPr>
            <w:r>
              <w:rPr>
                <w:rFonts w:ascii="Calibri" w:cs="Calibri" w:eastAsia="Calibri" w:hAnsi="Calibri"/>
                <w:sz w:val="14"/>
                <w:szCs w:val="14"/>
                <w:b w:val="1"/>
                <w:bCs w:val="1"/>
                <w:color w:val="auto"/>
              </w:rPr>
              <w:t>Cash fow</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ind w:right="98"/>
              <w:spacing w:after="0" w:line="136" w:lineRule="exact"/>
              <w:rPr>
                <w:sz w:val="20"/>
                <w:szCs w:val="20"/>
                <w:color w:val="auto"/>
              </w:rPr>
            </w:pPr>
            <w:r>
              <w:rPr>
                <w:rFonts w:ascii="Calibri" w:cs="Calibri" w:eastAsia="Calibri" w:hAnsi="Calibri"/>
                <w:sz w:val="14"/>
                <w:szCs w:val="14"/>
                <w:b w:val="1"/>
                <w:bCs w:val="1"/>
                <w:color w:val="auto"/>
              </w:rPr>
              <w:t>translaton</w:t>
            </w:r>
          </w:p>
        </w:tc>
        <w:tc>
          <w:tcPr>
            <w:tcW w:w="220" w:type="dxa"/>
            <w:vAlign w:val="bottom"/>
          </w:tcPr>
          <w:p>
            <w:pPr>
              <w:spacing w:after="0"/>
              <w:rPr>
                <w:sz w:val="11"/>
                <w:szCs w:val="11"/>
                <w:color w:val="auto"/>
              </w:rPr>
            </w:pPr>
          </w:p>
        </w:tc>
        <w:tc>
          <w:tcPr>
            <w:tcW w:w="900" w:type="dxa"/>
            <w:vAlign w:val="bottom"/>
          </w:tcPr>
          <w:p>
            <w:pPr>
              <w:jc w:val="center"/>
              <w:ind w:right="135"/>
              <w:spacing w:after="0" w:line="136" w:lineRule="exact"/>
              <w:rPr>
                <w:sz w:val="20"/>
                <w:szCs w:val="20"/>
                <w:color w:val="auto"/>
              </w:rPr>
            </w:pPr>
            <w:r>
              <w:rPr>
                <w:rFonts w:ascii="Calibri" w:cs="Calibri" w:eastAsia="Calibri" w:hAnsi="Calibri"/>
                <w:sz w:val="14"/>
                <w:szCs w:val="14"/>
                <w:b w:val="1"/>
                <w:bCs w:val="1"/>
                <w:color w:val="auto"/>
              </w:rPr>
              <w:t>hedging</w:t>
            </w:r>
          </w:p>
        </w:tc>
        <w:tc>
          <w:tcPr>
            <w:tcW w:w="160" w:type="dxa"/>
            <w:vAlign w:val="bottom"/>
          </w:tcPr>
          <w:p>
            <w:pPr>
              <w:spacing w:after="0"/>
              <w:rPr>
                <w:sz w:val="11"/>
                <w:szCs w:val="11"/>
                <w:color w:val="auto"/>
              </w:rPr>
            </w:pPr>
          </w:p>
        </w:tc>
        <w:tc>
          <w:tcPr>
            <w:tcW w:w="960" w:type="dxa"/>
            <w:vAlign w:val="bottom"/>
          </w:tcPr>
          <w:p>
            <w:pPr>
              <w:jc w:val="center"/>
              <w:ind w:right="118"/>
              <w:spacing w:after="0" w:line="136" w:lineRule="exact"/>
              <w:rPr>
                <w:sz w:val="20"/>
                <w:szCs w:val="20"/>
                <w:color w:val="auto"/>
              </w:rPr>
            </w:pPr>
            <w:r>
              <w:rPr>
                <w:rFonts w:ascii="Calibri" w:cs="Calibri" w:eastAsia="Calibri" w:hAnsi="Calibri"/>
                <w:sz w:val="14"/>
                <w:szCs w:val="14"/>
                <w:b w:val="1"/>
                <w:bCs w:val="1"/>
                <w:color w:val="auto"/>
              </w:rPr>
              <w:t>employment</w:t>
            </w:r>
          </w:p>
        </w:tc>
        <w:tc>
          <w:tcPr>
            <w:tcW w:w="220" w:type="dxa"/>
            <w:vAlign w:val="bottom"/>
          </w:tcPr>
          <w:p>
            <w:pPr>
              <w:spacing w:after="0"/>
              <w:rPr>
                <w:sz w:val="11"/>
                <w:szCs w:val="11"/>
                <w:color w:val="auto"/>
              </w:rPr>
            </w:pPr>
          </w:p>
        </w:tc>
        <w:tc>
          <w:tcPr>
            <w:tcW w:w="900" w:type="dxa"/>
            <w:vAlign w:val="bottom"/>
          </w:tcPr>
          <w:p>
            <w:pPr>
              <w:jc w:val="center"/>
              <w:ind w:right="177"/>
              <w:spacing w:after="0" w:line="136" w:lineRule="exact"/>
              <w:rPr>
                <w:sz w:val="20"/>
                <w:szCs w:val="20"/>
                <w:color w:val="auto"/>
              </w:rPr>
            </w:pPr>
            <w:r>
              <w:rPr>
                <w:rFonts w:ascii="Calibri" w:cs="Calibri" w:eastAsia="Calibri" w:hAnsi="Calibri"/>
                <w:sz w:val="14"/>
                <w:szCs w:val="14"/>
                <w:b w:val="1"/>
                <w:bCs w:val="1"/>
                <w:color w:val="auto"/>
              </w:rPr>
              <w:t>hedging</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3"/>
        </w:trPr>
        <w:tc>
          <w:tcPr>
            <w:tcW w:w="552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adjustments</w:t>
            </w:r>
          </w:p>
        </w:tc>
        <w:tc>
          <w:tcPr>
            <w:tcW w:w="220" w:type="dxa"/>
            <w:vAlign w:val="bottom"/>
          </w:tcPr>
          <w:p>
            <w:pPr>
              <w:spacing w:after="0"/>
              <w:rPr>
                <w:sz w:val="15"/>
                <w:szCs w:val="15"/>
                <w:color w:val="auto"/>
              </w:rPr>
            </w:pPr>
          </w:p>
        </w:tc>
        <w:tc>
          <w:tcPr>
            <w:tcW w:w="90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actvites</w:t>
            </w:r>
          </w:p>
        </w:tc>
        <w:tc>
          <w:tcPr>
            <w:tcW w:w="16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benefts</w:t>
            </w:r>
          </w:p>
        </w:tc>
        <w:tc>
          <w:tcPr>
            <w:tcW w:w="220" w:type="dxa"/>
            <w:vAlign w:val="bottom"/>
          </w:tcPr>
          <w:p>
            <w:pPr>
              <w:spacing w:after="0"/>
              <w:rPr>
                <w:sz w:val="15"/>
                <w:szCs w:val="15"/>
                <w:color w:val="auto"/>
              </w:rPr>
            </w:pPr>
          </w:p>
        </w:tc>
        <w:tc>
          <w:tcPr>
            <w:tcW w:w="900" w:type="dxa"/>
            <w:vAlign w:val="bottom"/>
          </w:tcPr>
          <w:p>
            <w:pPr>
              <w:jc w:val="center"/>
              <w:ind w:right="137"/>
              <w:spacing w:after="0"/>
              <w:rPr>
                <w:sz w:val="20"/>
                <w:szCs w:val="20"/>
                <w:color w:val="auto"/>
              </w:rPr>
            </w:pPr>
            <w:r>
              <w:rPr>
                <w:rFonts w:ascii="Calibri" w:cs="Calibri" w:eastAsia="Calibri" w:hAnsi="Calibri"/>
                <w:sz w:val="14"/>
                <w:szCs w:val="14"/>
                <w:b w:val="1"/>
                <w:bCs w:val="1"/>
                <w:color w:val="auto"/>
              </w:rPr>
              <w:t>actvites</w:t>
            </w:r>
          </w:p>
        </w:tc>
        <w:tc>
          <w:tcPr>
            <w:tcW w:w="30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December 31, 2021</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(570)</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ind w:left="540"/>
              <w:spacing w:after="0" w:line="215" w:lineRule="exact"/>
              <w:rPr>
                <w:sz w:val="20"/>
                <w:szCs w:val="20"/>
                <w:color w:val="auto"/>
              </w:rPr>
            </w:pPr>
            <w:r>
              <w:rPr>
                <w:rFonts w:ascii="Calibri" w:cs="Calibri" w:eastAsia="Calibri" w:hAnsi="Calibri"/>
                <w:sz w:val="18"/>
                <w:szCs w:val="18"/>
                <w:color w:val="auto"/>
              </w:rPr>
              <w:t>(91)</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(2,546)</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308</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(2,899)</w:t>
            </w: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34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(1,054)</w:t>
            </w:r>
          </w:p>
        </w:tc>
        <w:tc>
          <w:tcPr>
            <w:tcW w:w="220" w:type="dxa"/>
            <w:vAlign w:val="bottom"/>
          </w:tcPr>
          <w:p>
            <w:pPr>
              <w:spacing w:after="0"/>
              <w:rPr>
                <w:sz w:val="19"/>
                <w:szCs w:val="19"/>
                <w:color w:val="auto"/>
              </w:rPr>
            </w:pPr>
          </w:p>
        </w:tc>
        <w:tc>
          <w:tcPr>
            <w:tcW w:w="900" w:type="dxa"/>
            <w:vAlign w:val="bottom"/>
          </w:tcPr>
          <w:p>
            <w:pPr>
              <w:ind w:left="520"/>
              <w:spacing w:after="0" w:line="215" w:lineRule="exact"/>
              <w:rPr>
                <w:sz w:val="20"/>
                <w:szCs w:val="20"/>
                <w:color w:val="auto"/>
              </w:rPr>
            </w:pPr>
            <w:r>
              <w:rPr>
                <w:rFonts w:ascii="Calibri" w:cs="Calibri" w:eastAsia="Calibri" w:hAnsi="Calibri"/>
                <w:sz w:val="18"/>
                <w:szCs w:val="18"/>
                <w:color w:val="auto"/>
              </w:rPr>
              <w:t>696</w:t>
            </w:r>
          </w:p>
        </w:tc>
        <w:tc>
          <w:tcPr>
            <w:tcW w:w="16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9"/>
                <w:szCs w:val="19"/>
                <w:color w:val="auto"/>
              </w:rPr>
            </w:pPr>
          </w:p>
        </w:tc>
        <w:tc>
          <w:tcPr>
            <w:tcW w:w="90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45</w:t>
            </w:r>
          </w:p>
        </w:tc>
        <w:tc>
          <w:tcPr>
            <w:tcW w:w="3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(324)</w:t>
            </w: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losses (gains) reclassifed from accumulated other comprehensive loss</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540"/>
              <w:spacing w:after="0"/>
              <w:rPr>
                <w:sz w:val="20"/>
                <w:szCs w:val="20"/>
                <w:color w:val="auto"/>
              </w:rPr>
            </w:pPr>
            <w:r>
              <w:rPr>
                <w:rFonts w:ascii="Calibri" w:cs="Calibri" w:eastAsia="Calibri" w:hAnsi="Calibri"/>
                <w:sz w:val="18"/>
                <w:szCs w:val="18"/>
                <w:color w:val="auto"/>
              </w:rPr>
              <w:t>(30)</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87</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w:t>
            </w: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current-period other comprehensive income (loss)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line="215" w:lineRule="exact"/>
              <w:rPr>
                <w:sz w:val="20"/>
                <w:szCs w:val="20"/>
                <w:color w:val="auto"/>
              </w:rPr>
            </w:pPr>
            <w:r>
              <w:rPr>
                <w:rFonts w:ascii="Calibri" w:cs="Calibri" w:eastAsia="Calibri" w:hAnsi="Calibri"/>
                <w:sz w:val="18"/>
                <w:szCs w:val="18"/>
                <w:color w:val="auto"/>
              </w:rPr>
              <w:t>666</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76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15</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(297)</w:t>
            </w: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June 30, 2022</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(1,624)</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ind w:left="520"/>
              <w:spacing w:after="0" w:line="215" w:lineRule="exact"/>
              <w:rPr>
                <w:sz w:val="20"/>
                <w:szCs w:val="20"/>
                <w:color w:val="auto"/>
              </w:rPr>
            </w:pPr>
            <w:r>
              <w:rPr>
                <w:rFonts w:ascii="Calibri" w:cs="Calibri" w:eastAsia="Calibri" w:hAnsi="Calibri"/>
                <w:sz w:val="18"/>
                <w:szCs w:val="18"/>
                <w:color w:val="auto"/>
              </w:rPr>
              <w:t>575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(2,470)</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323</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(3,196)</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Other comprehensive loss for the six months ended June 30, 2022 included foreign currency translaton adjustments totaling a loss of $1.1 billion and the ofsetng impact of net investment hedging actvites totaling a gain of $666 million, which were principally due to the impact of the weakening of the Euro on the translaton of the company’s Euro-denominated assets.</w:t>
      </w:r>
    </w:p>
    <w:p>
      <w:pPr>
        <w:spacing w:after="0" w:line="138"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The following table summarizes the changes in each component of accumulated other comprehensive loss, net of tax, for the six months ended June 30,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Pension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Calibri" w:cs="Calibri" w:eastAsia="Calibri" w:hAnsi="Calibri"/>
                <w:sz w:val="14"/>
                <w:szCs w:val="14"/>
                <w:b w:val="1"/>
                <w:bCs w:val="1"/>
                <w:color w:val="auto"/>
              </w:rPr>
              <w:t>currency</w:t>
            </w:r>
          </w:p>
        </w:tc>
        <w:tc>
          <w:tcPr>
            <w:tcW w:w="112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Net investment</w:t>
            </w: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Calibri" w:cs="Calibri" w:eastAsia="Calibri" w:hAnsi="Calibri"/>
                <w:sz w:val="14"/>
                <w:szCs w:val="14"/>
                <w:b w:val="1"/>
                <w:bCs w:val="1"/>
                <w:color w:val="auto"/>
              </w:rPr>
              <w:t>and post-</w:t>
            </w:r>
          </w:p>
        </w:tc>
        <w:tc>
          <w:tcPr>
            <w:tcW w:w="220" w:type="dxa"/>
            <w:vAlign w:val="bottom"/>
          </w:tcPr>
          <w:p>
            <w:pPr>
              <w:spacing w:after="0"/>
              <w:rPr>
                <w:sz w:val="12"/>
                <w:szCs w:val="12"/>
                <w:color w:val="auto"/>
              </w:rPr>
            </w:pPr>
          </w:p>
        </w:tc>
        <w:tc>
          <w:tcPr>
            <w:tcW w:w="880" w:type="dxa"/>
            <w:vAlign w:val="bottom"/>
          </w:tcPr>
          <w:p>
            <w:pPr>
              <w:jc w:val="center"/>
              <w:ind w:right="117"/>
              <w:spacing w:after="0" w:line="149" w:lineRule="exact"/>
              <w:rPr>
                <w:sz w:val="20"/>
                <w:szCs w:val="20"/>
                <w:color w:val="auto"/>
              </w:rPr>
            </w:pPr>
            <w:r>
              <w:rPr>
                <w:rFonts w:ascii="Calibri" w:cs="Calibri" w:eastAsia="Calibri" w:hAnsi="Calibri"/>
                <w:sz w:val="14"/>
                <w:szCs w:val="14"/>
                <w:b w:val="1"/>
                <w:bCs w:val="1"/>
                <w:color w:val="auto"/>
              </w:rPr>
              <w:t>Cash fow</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ind w:right="98"/>
              <w:spacing w:after="0" w:line="136" w:lineRule="exact"/>
              <w:rPr>
                <w:sz w:val="20"/>
                <w:szCs w:val="20"/>
                <w:color w:val="auto"/>
              </w:rPr>
            </w:pPr>
            <w:r>
              <w:rPr>
                <w:rFonts w:ascii="Calibri" w:cs="Calibri" w:eastAsia="Calibri" w:hAnsi="Calibri"/>
                <w:sz w:val="14"/>
                <w:szCs w:val="14"/>
                <w:b w:val="1"/>
                <w:bCs w:val="1"/>
                <w:color w:val="auto"/>
              </w:rPr>
              <w:t>translaton</w:t>
            </w:r>
          </w:p>
        </w:tc>
        <w:tc>
          <w:tcPr>
            <w:tcW w:w="220" w:type="dxa"/>
            <w:vAlign w:val="bottom"/>
          </w:tcPr>
          <w:p>
            <w:pPr>
              <w:spacing w:after="0"/>
              <w:rPr>
                <w:sz w:val="11"/>
                <w:szCs w:val="11"/>
                <w:color w:val="auto"/>
              </w:rPr>
            </w:pPr>
          </w:p>
        </w:tc>
        <w:tc>
          <w:tcPr>
            <w:tcW w:w="900" w:type="dxa"/>
            <w:vAlign w:val="bottom"/>
          </w:tcPr>
          <w:p>
            <w:pPr>
              <w:jc w:val="center"/>
              <w:ind w:right="135"/>
              <w:spacing w:after="0" w:line="136" w:lineRule="exact"/>
              <w:rPr>
                <w:sz w:val="20"/>
                <w:szCs w:val="20"/>
                <w:color w:val="auto"/>
              </w:rPr>
            </w:pPr>
            <w:r>
              <w:rPr>
                <w:rFonts w:ascii="Calibri" w:cs="Calibri" w:eastAsia="Calibri" w:hAnsi="Calibri"/>
                <w:sz w:val="14"/>
                <w:szCs w:val="14"/>
                <w:b w:val="1"/>
                <w:bCs w:val="1"/>
                <w:color w:val="auto"/>
              </w:rPr>
              <w:t>hedging</w:t>
            </w:r>
          </w:p>
        </w:tc>
        <w:tc>
          <w:tcPr>
            <w:tcW w:w="160" w:type="dxa"/>
            <w:vAlign w:val="bottom"/>
          </w:tcPr>
          <w:p>
            <w:pPr>
              <w:spacing w:after="0"/>
              <w:rPr>
                <w:sz w:val="11"/>
                <w:szCs w:val="11"/>
                <w:color w:val="auto"/>
              </w:rPr>
            </w:pPr>
          </w:p>
        </w:tc>
        <w:tc>
          <w:tcPr>
            <w:tcW w:w="960" w:type="dxa"/>
            <w:vAlign w:val="bottom"/>
          </w:tcPr>
          <w:p>
            <w:pPr>
              <w:jc w:val="center"/>
              <w:ind w:right="118"/>
              <w:spacing w:after="0" w:line="136" w:lineRule="exact"/>
              <w:rPr>
                <w:sz w:val="20"/>
                <w:szCs w:val="20"/>
                <w:color w:val="auto"/>
              </w:rPr>
            </w:pPr>
            <w:r>
              <w:rPr>
                <w:rFonts w:ascii="Calibri" w:cs="Calibri" w:eastAsia="Calibri" w:hAnsi="Calibri"/>
                <w:sz w:val="14"/>
                <w:szCs w:val="14"/>
                <w:b w:val="1"/>
                <w:bCs w:val="1"/>
                <w:color w:val="auto"/>
              </w:rPr>
              <w:t>employment</w:t>
            </w:r>
          </w:p>
        </w:tc>
        <w:tc>
          <w:tcPr>
            <w:tcW w:w="220" w:type="dxa"/>
            <w:vAlign w:val="bottom"/>
          </w:tcPr>
          <w:p>
            <w:pPr>
              <w:spacing w:after="0"/>
              <w:rPr>
                <w:sz w:val="11"/>
                <w:szCs w:val="11"/>
                <w:color w:val="auto"/>
              </w:rPr>
            </w:pPr>
          </w:p>
        </w:tc>
        <w:tc>
          <w:tcPr>
            <w:tcW w:w="880" w:type="dxa"/>
            <w:vAlign w:val="bottom"/>
          </w:tcPr>
          <w:p>
            <w:pPr>
              <w:jc w:val="center"/>
              <w:ind w:right="157"/>
              <w:spacing w:after="0" w:line="136" w:lineRule="exact"/>
              <w:rPr>
                <w:sz w:val="20"/>
                <w:szCs w:val="20"/>
                <w:color w:val="auto"/>
              </w:rPr>
            </w:pPr>
            <w:r>
              <w:rPr>
                <w:rFonts w:ascii="Calibri" w:cs="Calibri" w:eastAsia="Calibri" w:hAnsi="Calibri"/>
                <w:sz w:val="14"/>
                <w:szCs w:val="14"/>
                <w:b w:val="1"/>
                <w:bCs w:val="1"/>
                <w:color w:val="auto"/>
              </w:rPr>
              <w:t>hedging</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3"/>
        </w:trPr>
        <w:tc>
          <w:tcPr>
            <w:tcW w:w="552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adjustments</w:t>
            </w:r>
          </w:p>
        </w:tc>
        <w:tc>
          <w:tcPr>
            <w:tcW w:w="220" w:type="dxa"/>
            <w:vAlign w:val="bottom"/>
          </w:tcPr>
          <w:p>
            <w:pPr>
              <w:spacing w:after="0"/>
              <w:rPr>
                <w:sz w:val="15"/>
                <w:szCs w:val="15"/>
                <w:color w:val="auto"/>
              </w:rPr>
            </w:pPr>
          </w:p>
        </w:tc>
        <w:tc>
          <w:tcPr>
            <w:tcW w:w="90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actvites</w:t>
            </w:r>
          </w:p>
        </w:tc>
        <w:tc>
          <w:tcPr>
            <w:tcW w:w="16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benefts</w:t>
            </w:r>
          </w:p>
        </w:tc>
        <w:tc>
          <w:tcPr>
            <w:tcW w:w="220" w:type="dxa"/>
            <w:vAlign w:val="bottom"/>
          </w:tcPr>
          <w:p>
            <w:pPr>
              <w:spacing w:after="0"/>
              <w:rPr>
                <w:sz w:val="15"/>
                <w:szCs w:val="15"/>
                <w:color w:val="auto"/>
              </w:rPr>
            </w:pPr>
          </w:p>
        </w:tc>
        <w:tc>
          <w:tcPr>
            <w:tcW w:w="880" w:type="dxa"/>
            <w:vAlign w:val="bottom"/>
          </w:tcPr>
          <w:p>
            <w:pPr>
              <w:jc w:val="center"/>
              <w:ind w:right="117"/>
              <w:spacing w:after="0"/>
              <w:rPr>
                <w:sz w:val="20"/>
                <w:szCs w:val="20"/>
                <w:color w:val="auto"/>
              </w:rPr>
            </w:pPr>
            <w:r>
              <w:rPr>
                <w:rFonts w:ascii="Calibri" w:cs="Calibri" w:eastAsia="Calibri" w:hAnsi="Calibri"/>
                <w:sz w:val="14"/>
                <w:szCs w:val="14"/>
                <w:b w:val="1"/>
                <w:bCs w:val="1"/>
                <w:color w:val="auto"/>
              </w:rPr>
              <w:t>actvites</w:t>
            </w:r>
          </w:p>
        </w:tc>
        <w:tc>
          <w:tcPr>
            <w:tcW w:w="3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December 31, 2020</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ind w:right="38"/>
              <w:spacing w:after="0" w:line="215" w:lineRule="exact"/>
              <w:rPr>
                <w:sz w:val="20"/>
                <w:szCs w:val="20"/>
                <w:color w:val="auto"/>
              </w:rPr>
            </w:pPr>
            <w:r>
              <w:rPr>
                <w:rFonts w:ascii="Calibri" w:cs="Calibri" w:eastAsia="Calibri" w:hAnsi="Calibri"/>
                <w:sz w:val="18"/>
                <w:szCs w:val="18"/>
                <w:color w:val="auto"/>
              </w:rPr>
              <w:t>583</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(790)</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(3,067)</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157</w:t>
            </w:r>
          </w:p>
        </w:tc>
        <w:tc>
          <w:tcPr>
            <w:tcW w:w="32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(3,117)</w:t>
            </w: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34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(433)</w:t>
            </w:r>
          </w:p>
        </w:tc>
        <w:tc>
          <w:tcPr>
            <w:tcW w:w="220" w:type="dxa"/>
            <w:vAlign w:val="bottom"/>
          </w:tcPr>
          <w:p>
            <w:pPr>
              <w:spacing w:after="0"/>
              <w:rPr>
                <w:sz w:val="19"/>
                <w:szCs w:val="19"/>
                <w:color w:val="auto"/>
              </w:rPr>
            </w:pPr>
          </w:p>
        </w:tc>
        <w:tc>
          <w:tcPr>
            <w:tcW w:w="90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267</w:t>
            </w:r>
          </w:p>
        </w:tc>
        <w:tc>
          <w:tcPr>
            <w:tcW w:w="160" w:type="dxa"/>
            <w:vAlign w:val="bottom"/>
          </w:tcPr>
          <w:p>
            <w:pPr>
              <w:spacing w:after="0"/>
              <w:rPr>
                <w:sz w:val="19"/>
                <w:szCs w:val="19"/>
                <w:color w:val="auto"/>
              </w:rPr>
            </w:pPr>
          </w:p>
        </w:tc>
        <w:tc>
          <w:tcPr>
            <w:tcW w:w="96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9"/>
                <w:szCs w:val="19"/>
                <w:color w:val="auto"/>
              </w:rPr>
            </w:pPr>
          </w:p>
        </w:tc>
        <w:tc>
          <w:tcPr>
            <w:tcW w:w="8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27</w:t>
            </w:r>
          </w:p>
        </w:tc>
        <w:tc>
          <w:tcPr>
            <w:tcW w:w="32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losses (gains) reclassifed from accumulated other comprehensive loss</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113</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31</w:t>
            </w: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137</w:t>
            </w: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current-period other comprehensive income (loss)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260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129</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58</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w:t>
            </w: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June 30, 2021</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ind w:right="38"/>
              <w:spacing w:after="0" w:line="215" w:lineRule="exact"/>
              <w:rPr>
                <w:sz w:val="20"/>
                <w:szCs w:val="20"/>
                <w:color w:val="auto"/>
              </w:rPr>
            </w:pPr>
            <w:r>
              <w:rPr>
                <w:rFonts w:ascii="Calibri" w:cs="Calibri" w:eastAsia="Calibri" w:hAnsi="Calibri"/>
                <w:sz w:val="18"/>
                <w:szCs w:val="18"/>
                <w:color w:val="auto"/>
              </w:rPr>
              <w:t>150</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(530)</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(2,938)</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215</w:t>
            </w:r>
          </w:p>
        </w:tc>
        <w:tc>
          <w:tcPr>
            <w:tcW w:w="32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(3,103)</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Other comprehensive income for the six months ended June 30, 2021 included foreign currency translaton adjustments totaling a loss of $433 million and the ofsetng impact of net investment hedging actvites totaling a gain of $260 million, which was principally due to the impact of the weakening of the Euro on the translaton of the company’s Euro-denominated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20" w:name="page21"/>
    <w:bookmarkEnd w:id="20"/>
    <w:p>
      <w:pPr>
        <w:ind w:right="740"/>
        <w:spacing w:after="0" w:line="235" w:lineRule="auto"/>
        <w:rPr>
          <w:sz w:val="20"/>
          <w:szCs w:val="20"/>
          <w:color w:val="auto"/>
        </w:rPr>
      </w:pPr>
      <w:r>
        <w:rPr>
          <w:rFonts w:ascii="Calibri" w:cs="Calibri" w:eastAsia="Calibri" w:hAnsi="Calibri"/>
          <w:sz w:val="18"/>
          <w:szCs w:val="18"/>
          <w:color w:val="auto"/>
        </w:rPr>
        <w:t>The following table presents the impact on AbbVie’s condensed consolidated statements of earnings for signifcant amounts reclassifed out of each component of accumulated other comprehensive loss: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300"/>
              <w:spacing w:after="0"/>
              <w:rPr>
                <w:sz w:val="20"/>
                <w:szCs w:val="20"/>
                <w:color w:val="auto"/>
              </w:rPr>
            </w:pPr>
            <w:r>
              <w:rPr>
                <w:rFonts w:ascii="Calibri" w:cs="Calibri" w:eastAsia="Calibri" w:hAnsi="Calibri"/>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3"/>
          </w:tcPr>
          <w:p>
            <w:pPr>
              <w:jc w:val="right"/>
              <w:ind w:right="57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auto"/>
              </w:rPr>
              <w:t>June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3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gains)</w:t>
            </w: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820" w:type="dxa"/>
            <w:vAlign w:val="bottom"/>
          </w:tcPr>
          <w:p>
            <w:pPr>
              <w:jc w:val="right"/>
              <w:ind w:right="332"/>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840" w:type="dxa"/>
            <w:vAlign w:val="bottom"/>
          </w:tcPr>
          <w:p>
            <w:pPr>
              <w:jc w:val="right"/>
              <w:ind w:right="332"/>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6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Net investment hedging actvites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Gains on derivatve amount excluded from efectveness testng</w:t>
            </w:r>
            <w:r>
              <w:rPr>
                <w:rFonts w:ascii="Calibri" w:cs="Calibri" w:eastAsia="Calibri" w:hAnsi="Calibri"/>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6</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8</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Pension and post-employment benefts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Amortzaton of actuarial losses and other</w:t>
            </w:r>
            <w:r>
              <w:rPr>
                <w:rFonts w:ascii="Calibri" w:cs="Calibri" w:eastAsia="Calibri" w:hAnsi="Calibri"/>
                <w:sz w:val="23"/>
                <w:szCs w:val="23"/>
                <w:color w:val="auto"/>
                <w:vertAlign w:val="superscript"/>
              </w:rPr>
              <w:t>(b)</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ind w:right="34"/>
              <w:spacing w:after="0"/>
              <w:rPr>
                <w:sz w:val="20"/>
                <w:szCs w:val="20"/>
                <w:color w:val="auto"/>
              </w:rPr>
            </w:pPr>
            <w:r>
              <w:rPr>
                <w:rFonts w:ascii="Calibri" w:cs="Calibri" w:eastAsia="Calibri" w:hAnsi="Calibri"/>
                <w:sz w:val="18"/>
                <w:szCs w:val="18"/>
                <w:color w:val="auto"/>
              </w:rPr>
              <w:t>56</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ind w:right="34"/>
              <w:spacing w:after="0"/>
              <w:rPr>
                <w:sz w:val="20"/>
                <w:szCs w:val="20"/>
                <w:color w:val="auto"/>
              </w:rPr>
            </w:pPr>
            <w:r>
              <w:rPr>
                <w:rFonts w:ascii="Calibri" w:cs="Calibri" w:eastAsia="Calibri" w:hAnsi="Calibri"/>
                <w:sz w:val="18"/>
                <w:szCs w:val="18"/>
                <w:color w:val="auto"/>
              </w:rPr>
              <w:t>111</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beneft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44</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87</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Cash fow hedging actvites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Losses (gains) on foreign currency forward exchange contracts</w:t>
            </w:r>
            <w:r>
              <w:rPr>
                <w:rFonts w:ascii="Calibri" w:cs="Calibri" w:eastAsia="Calibri" w:hAnsi="Calibri"/>
                <w:sz w:val="23"/>
                <w:szCs w:val="23"/>
                <w:color w:val="auto"/>
                <w:vertAlign w:val="superscript"/>
              </w:rPr>
              <w:t>(c)</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Calibri" w:cs="Calibri" w:eastAsia="Calibri" w:hAnsi="Calibri"/>
                <w:sz w:val="18"/>
                <w:szCs w:val="18"/>
                <w:color w:val="auto"/>
              </w:rPr>
              <w:t>Gains on treasury rate lock agreements</w:t>
            </w:r>
            <w:r>
              <w:rPr>
                <w:rFonts w:ascii="Calibri" w:cs="Calibri" w:eastAsia="Calibri" w:hAnsi="Calibri"/>
                <w:sz w:val="23"/>
                <w:szCs w:val="23"/>
                <w:color w:val="auto"/>
                <w:vertAlign w:val="superscript"/>
              </w:rPr>
              <w:t>(a)</w:t>
            </w:r>
          </w:p>
        </w:tc>
        <w:tc>
          <w:tcPr>
            <w:tcW w:w="2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3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Losses on interest rate swap contracts</w:t>
            </w:r>
            <w:r>
              <w:rPr>
                <w:rFonts w:ascii="Calibri" w:cs="Calibri" w:eastAsia="Calibri" w:hAnsi="Calibri"/>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3</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expense (beneft)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interest expense, net (see Note 8).</w:t>
      </w:r>
    </w:p>
    <w:p>
      <w:pPr>
        <w:spacing w:after="0" w:line="144" w:lineRule="exact"/>
        <w:rPr>
          <w:rFonts w:ascii="Calibri" w:cs="Calibri" w:eastAsia="Calibri" w:hAnsi="Calibri"/>
          <w:sz w:val="18"/>
          <w:szCs w:val="18"/>
          <w:color w:val="auto"/>
        </w:rPr>
      </w:pPr>
    </w:p>
    <w:p>
      <w:pPr>
        <w:ind w:left="240" w:hanging="232"/>
        <w:spacing w:after="0"/>
        <w:tabs>
          <w:tab w:leader="none" w:pos="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the computaton of net periodic beneft cost (see Note 9).</w:t>
      </w:r>
    </w:p>
    <w:p>
      <w:pPr>
        <w:spacing w:after="0" w:line="131" w:lineRule="exact"/>
        <w:rPr>
          <w:rFonts w:ascii="Calibri" w:cs="Calibri" w:eastAsia="Calibri" w:hAnsi="Calibri"/>
          <w:sz w:val="18"/>
          <w:szCs w:val="18"/>
          <w:color w:val="auto"/>
        </w:rPr>
      </w:pPr>
    </w:p>
    <w:p>
      <w:pPr>
        <w:ind w:left="220" w:hanging="212"/>
        <w:spacing w:after="0"/>
        <w:tabs>
          <w:tab w:leader="none" w:pos="22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cost of products sold (see Note 8).</w:t>
      </w:r>
    </w:p>
    <w:p>
      <w:pPr>
        <w:spacing w:after="0" w:line="19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efectve tax rate was 22% for the three months and 11% for the six months ended June 30, 2022 compared to 34% for the three months and 14% for the six months ended June 30, 2021. The efectve tax rate in each period difered from the U.S. statutory tax rate of 21% principally due to the impact of foreign operatons which refects the impact of lower income tax rates in locatons outside the United States, tax incentves in Puerto Rico and other foreign tax jurisdictons, business development actvites and accreton on contngent consideraton. The decrease in the efectve tax rate for the three and six months ended June 30, 2022 over the prior year was primarily due to diferences in the company’s jurisdictonal mix of earnings and accreton on contngent consideraton.</w:t>
      </w:r>
    </w:p>
    <w:p>
      <w:pPr>
        <w:spacing w:after="0" w:line="15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Due to the potental for resoluton of federal, state and foreign examinatons and the expiraton of various statutes of limitatons, it is reasonably possible that the company’s gross unrecognized tax benefts balance may change within the next 12 months by up to $145 million.</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12 Legal Proceedings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is subject to contngencies, such as various claims, legal proceedings and investgatons regarding product liability, intellectual property, commercial, securites and other maters that arise in the normal course of business. The most signifcant maters are described below. Loss contngency provisions are recorded for probable losses at management’s best estmate of a loss, or when a best estmate cannot be made, a minimum loss contngency amount within a probable range is recorded. For litgaton maters discussed below for which a loss is probable or reasonably possible, the company is unable to estmate the possible loss or range of loss, if any, beyond the amounts accrued. Initaton of new legal proceedings or a change in the status of existng proceedings may result in a change in the estmated loss accrued by AbbVie. While it is not feasible to predict the outcome of all proceedings and exposures with certainty, management believes that their ultmate dispositon should not have a material adverse efect on AbbVie’s consolidated fnancial positon, results of operatons or cash fows.</w:t>
      </w:r>
    </w:p>
    <w:p>
      <w:pPr>
        <w:spacing w:after="0" w:line="142"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Subject to certain exceptons specifed in the separaton agreement by and between Abbot and AbbVie, AbbVie assumed the liability for, and control of, all pending and threatened legal maters related to its business, including liabilites for any claims or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19</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1" w:name="page22"/>
    <w:bookmarkEnd w:id="21"/>
    <w:p>
      <w:pPr>
        <w:ind w:right="160"/>
        <w:spacing w:after="0" w:line="235" w:lineRule="auto"/>
        <w:rPr>
          <w:sz w:val="20"/>
          <w:szCs w:val="20"/>
          <w:color w:val="auto"/>
        </w:rPr>
      </w:pPr>
      <w:r>
        <w:rPr>
          <w:rFonts w:ascii="Calibri" w:cs="Calibri" w:eastAsia="Calibri" w:hAnsi="Calibri"/>
          <w:sz w:val="18"/>
          <w:szCs w:val="18"/>
          <w:color w:val="auto"/>
        </w:rPr>
        <w:t>proceedings related to products that had been part of its business, but were discontnued prior to the distributon, as well as assumed or retained liabilites, and will indemnify Abbot for any liability arising out of or resultng from such assumed legal maters.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Anttrust Litgaton</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Lawsuits are pending against AbbVie and others generally alleging that the 2005 patent litgaton setlement involving Niaspan entered into between Kos Pharmaceutcals, Inc. (a company acquired by Abbot in 2006 and presently a subsidiary of AbbVie) and a generic company violates federal and state anttrust laws and state unfair and deceptve trade practces and unjust enrichment laws. Plaintfs generally seek monetary damages and/or injunctve relief and atorneys' fees. The lawsuits pending in federal court consist of four individual plaintf lawsuits and two consolidated purported class actons: one brought by Niaspan direct purchasers and one brought by Niaspan end-payors. The cases are pending in the United States District Court for the Eastern District of Pennsylvania for coordinated or consolidated pre-trial proceedings under the MDL Rules as </w:t>
      </w:r>
      <w:r>
        <w:rPr>
          <w:rFonts w:ascii="Calibri" w:cs="Calibri" w:eastAsia="Calibri" w:hAnsi="Calibri"/>
          <w:sz w:val="18"/>
          <w:szCs w:val="18"/>
          <w:i w:val="1"/>
          <w:iCs w:val="1"/>
          <w:color w:val="auto"/>
        </w:rPr>
        <w:t>In re: Niaspan Anttrust Litgaton</w:t>
      </w:r>
      <w:r>
        <w:rPr>
          <w:rFonts w:ascii="Calibri" w:cs="Calibri" w:eastAsia="Calibri" w:hAnsi="Calibri"/>
          <w:sz w:val="18"/>
          <w:szCs w:val="18"/>
          <w:color w:val="auto"/>
        </w:rPr>
        <w:t>, MDL No. 2460. In August 2019, the court certfed a class of direct purchasers of Niaspan. In June 2020 and August 2021, the court denied the end-payors' moton to certfy a class. In October 2016, the Orange County, California District Atorney’s Ofce fled a lawsuit on behalf of the State of California regarding the Niaspan patent litgaton setlement in Orange County Superior Court, assertng a claim under the unfair competton provision of the California Business and Professions Code seeking injunctve relief, resttuton, civil penaltes and atorneys’ fees.</w:t>
      </w:r>
    </w:p>
    <w:p>
      <w:pPr>
        <w:spacing w:after="0" w:line="143" w:lineRule="exact"/>
        <w:rPr>
          <w:sz w:val="20"/>
          <w:szCs w:val="20"/>
          <w:color w:val="auto"/>
        </w:rPr>
      </w:pPr>
    </w:p>
    <w:p>
      <w:pPr>
        <w:ind w:right="60"/>
        <w:spacing w:after="0" w:line="221" w:lineRule="auto"/>
        <w:rPr>
          <w:sz w:val="20"/>
          <w:szCs w:val="20"/>
          <w:color w:val="auto"/>
        </w:rPr>
      </w:pPr>
      <w:r>
        <w:rPr>
          <w:rFonts w:ascii="Calibri" w:cs="Calibri" w:eastAsia="Calibri" w:hAnsi="Calibri"/>
          <w:sz w:val="18"/>
          <w:szCs w:val="18"/>
          <w:color w:val="auto"/>
        </w:rPr>
        <w:t>In August 2019, direct purchasers of AndroGel fled a lawsuit, King Drug Co. of Florence, Inc., et al. v. AbbVie Inc., et al., against AbbVie and others in the United States District Court for the Eastern District of Pennsylvania, alleging that 2006 patent litgaton setlements and related agreements by Solvay Pharmaceutcals, Inc. (a company Abbot acquired in February 2010 and now known as AbbVie Products LLC) with three generic companies violated federal anttrust law, and also alleging that 2011 patent litgaton by Abbot with two generic companies regarding AndroGel was sham litgaton and the setlements of those litgatons violated federal anttrust law. Plaintfs generally seek monetary damages and/or injunctve relief and atorneys’ fees. In May 2020, Perrigo Company and related enttes fled a lawsuit against AbbVie and others, alleging that Abbot’s 2011 AndroGel patent lawsuit fled against Perrigo was sham litgaton. In September 2021, the United States District Court for the District of New Jersey granted AbbVie's moton for judgment on the pleadings in the Perrigo lawsuit, dismissing it with prejudice. Perrigo has appealed the dismissal.</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Between March and May 2019, 12 putatve class acton lawsuits were fled in the United States District Court for the Northern District of Illinois by indirect Humira purchasers, alleging that AbbVie’s setlements with biosimilar manufacturers and AbbVie’s Humira patent portolio violated state and federal anttrust laws. The court consolidated these lawsuits as </w:t>
      </w:r>
      <w:r>
        <w:rPr>
          <w:rFonts w:ascii="Calibri" w:cs="Calibri" w:eastAsia="Calibri" w:hAnsi="Calibri"/>
          <w:sz w:val="18"/>
          <w:szCs w:val="18"/>
          <w:i w:val="1"/>
          <w:iCs w:val="1"/>
          <w:color w:val="auto"/>
        </w:rPr>
        <w:t>In re: Humira (Adalimumab) Anttrust Litgaton</w:t>
      </w:r>
      <w:r>
        <w:rPr>
          <w:rFonts w:ascii="Calibri" w:cs="Calibri" w:eastAsia="Calibri" w:hAnsi="Calibri"/>
          <w:sz w:val="18"/>
          <w:szCs w:val="18"/>
          <w:color w:val="auto"/>
        </w:rPr>
        <w:t>. In June 2020, the court dismissed the consolidated litgaton with prejudice. The plaintfs have appealed the dismissal.</w:t>
      </w:r>
    </w:p>
    <w:p>
      <w:pPr>
        <w:spacing w:after="0" w:line="138"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 xml:space="preserve">Lawsuits are pending against Forest Laboratories, LLC, an AbbVie subsidiary, and others generally alleging that 2009 and 2010 patent litgaton setlements involving Namenda entered into between Forest and generic companies and other conduct by Forest involving Namenda, violated state anttrust, unfair and deceptve trade practces and unjust enrichment laws. Plaintfs generally seek monetary damages and/or injunctve relief and atorneys’ fees. The lawsuits, purported class actons fled by indirect purchasers of Namenda, are consolidated as </w:t>
      </w:r>
      <w:r>
        <w:rPr>
          <w:rFonts w:ascii="Calibri" w:cs="Calibri" w:eastAsia="Calibri" w:hAnsi="Calibri"/>
          <w:sz w:val="18"/>
          <w:szCs w:val="18"/>
          <w:i w:val="1"/>
          <w:iCs w:val="1"/>
          <w:color w:val="auto"/>
        </w:rPr>
        <w:t>In re: Namenda Indirect Purchaser Anttrust Litgaton</w:t>
      </w:r>
      <w:r>
        <w:rPr>
          <w:rFonts w:ascii="Calibri" w:cs="Calibri" w:eastAsia="Calibri" w:hAnsi="Calibri"/>
          <w:sz w:val="18"/>
          <w:szCs w:val="18"/>
          <w:color w:val="auto"/>
        </w:rPr>
        <w:t xml:space="preserve"> in the United States District Court for the Southern District of New York.</w:t>
      </w:r>
    </w:p>
    <w:p>
      <w:pPr>
        <w:spacing w:after="0" w:line="15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Lawsuits are pending against Allergan Inc., an Allergan subsidiary, generally alleging that Allergan’s pettoning to the U.S. Patent Ofce and Food and Drug Administraton and other conduct by Allergan involving Restasis violated federal and state anttrust laws and state unfair and deceptve trade practces and unjust enrichment laws. Plaintfs generally seek monetary damages, injunctve relief and atorneys’ fees. The lawsuits, certfed as a class acton fled on behalf of indirect purchasers of Restasis, are consolidated for pre-trial purposes in the United States District Court for the Eastern District of New York under the MDL Rules as In re: Restasis (Cyclosporine Ophthalmic Emulsion) Anttrust Litgaton, MDL No. 2819. In May 2021, the partes reached an agreement to setle this mater that is subject to fnal court approval.</w:t>
      </w:r>
    </w:p>
    <w:p>
      <w:pPr>
        <w:spacing w:after="0" w:line="154"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 xml:space="preserve">Lawsuits are pending against Forest Laboratories, LLC and others generally alleging that 2012 and 2013 patent litgaton setlements involving Bystolic with six generic manufacturers violated federal and state anttrust laws and state unfair and deceptve trade practces and unjust enrichment laws. Plaintfs generally seek monetary damages and/or injunctve relief and atorneys’ fees. The lawsuits, purported class actons fled on behalf of direct and indirect purchasers of Bystolic, are consolidated as </w:t>
      </w:r>
      <w:r>
        <w:rPr>
          <w:rFonts w:ascii="Calibri" w:cs="Calibri" w:eastAsia="Calibri" w:hAnsi="Calibri"/>
          <w:sz w:val="18"/>
          <w:szCs w:val="18"/>
          <w:i w:val="1"/>
          <w:iCs w:val="1"/>
          <w:color w:val="auto"/>
        </w:rPr>
        <w:t>In re: Bystolic Anttrust Litgaton</w:t>
      </w:r>
      <w:r>
        <w:rPr>
          <w:rFonts w:ascii="Calibri" w:cs="Calibri" w:eastAsia="Calibri" w:hAnsi="Calibri"/>
          <w:sz w:val="18"/>
          <w:szCs w:val="18"/>
          <w:color w:val="auto"/>
        </w:rPr>
        <w:t xml:space="preserve"> in the United States District Court for the Southern District of New York.</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Government Proceedings</w:t>
      </w:r>
    </w:p>
    <w:p>
      <w:pPr>
        <w:spacing w:after="0" w:line="150" w:lineRule="exact"/>
        <w:rPr>
          <w:sz w:val="20"/>
          <w:szCs w:val="20"/>
          <w:color w:val="auto"/>
        </w:rPr>
      </w:pPr>
    </w:p>
    <w:p>
      <w:pPr>
        <w:ind w:right="460"/>
        <w:spacing w:after="0" w:line="230" w:lineRule="auto"/>
        <w:rPr>
          <w:sz w:val="20"/>
          <w:szCs w:val="20"/>
          <w:color w:val="auto"/>
        </w:rPr>
      </w:pPr>
      <w:r>
        <w:rPr>
          <w:rFonts w:ascii="Calibri" w:cs="Calibri" w:eastAsia="Calibri" w:hAnsi="Calibri"/>
          <w:sz w:val="18"/>
          <w:szCs w:val="18"/>
          <w:color w:val="auto"/>
        </w:rPr>
        <w:t>Lawsuits are pending against Allergan and several other manufacturers generally alleging that they improperly promoted and sold prescripton opioid products. Approximately 3,031 maters are pending against Allergan. The federal court cases are consolidated for pre-trial purposes in the United States District Court for the Northern District of Ohio under the MDL rules as In re: Natonal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384810</wp:posOffset>
            </wp:positionV>
            <wp:extent cx="51435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2" w:name="page23"/>
    <w:bookmarkEnd w:id="22"/>
    <w:p>
      <w:pPr>
        <w:ind w:right="40"/>
        <w:spacing w:after="0" w:line="227" w:lineRule="auto"/>
        <w:rPr>
          <w:sz w:val="20"/>
          <w:szCs w:val="20"/>
          <w:color w:val="auto"/>
        </w:rPr>
      </w:pPr>
      <w:r>
        <w:rPr>
          <w:rFonts w:ascii="Calibri" w:cs="Calibri" w:eastAsia="Calibri" w:hAnsi="Calibri"/>
          <w:sz w:val="18"/>
          <w:szCs w:val="18"/>
          <w:color w:val="auto"/>
        </w:rPr>
        <w:t>Prescripton Opiate Litgaton, MDL No. 2804. Approximately 266 maters are pending in various state courts. The plaintfs in these cases, which include states, countes, cites, other municipal enttes, Natve American tribes, union trust funds and other third-party payors, private hospitals and personal injury claimants, generally seek compensatory and punitve damages. In May and July 2022, Allergan reached setlements with the State of West Virginia and its politcal subdivisions and with the City and County of San Francisco, California, respectvely. Allergan previously reached setlements with other plaintfs. Allergan is engaged in negotatons with representatves for the remaining states, countes, cites, other municipal enttes and Natve American tribes regarding a potental setlement, with payments likely to be made over a number of years. While negotatons are on-going and defnitve terms have not been reached, a framework for an agreement exists, including an estmate of a potental setlement amount based on maximum partcipaton in the potental setlement. AbbVie recorded a charge of $2.1 billion to selling, general and administratve expense in the consolidated statement of earnings in the second quarter of 2022 related to this potental setlement.</w:t>
      </w:r>
    </w:p>
    <w:p>
      <w:pPr>
        <w:spacing w:after="0" w:line="141" w:lineRule="exact"/>
        <w:rPr>
          <w:sz w:val="20"/>
          <w:szCs w:val="20"/>
          <w:color w:val="auto"/>
        </w:rPr>
      </w:pPr>
    </w:p>
    <w:p>
      <w:pPr>
        <w:ind w:right="180"/>
        <w:spacing w:after="0" w:line="254" w:lineRule="auto"/>
        <w:rPr>
          <w:sz w:val="20"/>
          <w:szCs w:val="20"/>
          <w:color w:val="auto"/>
        </w:rPr>
      </w:pPr>
      <w:r>
        <w:rPr>
          <w:rFonts w:ascii="Calibri" w:cs="Calibri" w:eastAsia="Calibri" w:hAnsi="Calibri"/>
          <w:sz w:val="17"/>
          <w:szCs w:val="17"/>
          <w:color w:val="auto"/>
        </w:rPr>
        <w:t xml:space="preserve">In July 2019, the New Mexico Atorney General fled a lawsuit, </w:t>
      </w:r>
      <w:r>
        <w:rPr>
          <w:rFonts w:ascii="Calibri" w:cs="Calibri" w:eastAsia="Calibri" w:hAnsi="Calibri"/>
          <w:sz w:val="17"/>
          <w:szCs w:val="17"/>
          <w:i w:val="1"/>
          <w:iCs w:val="1"/>
          <w:color w:val="auto"/>
        </w:rPr>
        <w:t>State of New Mexico ex rel. Balderas v. AbbVie Inc., et al.</w:t>
      </w:r>
      <w:r>
        <w:rPr>
          <w:rFonts w:ascii="Calibri" w:cs="Calibri" w:eastAsia="Calibri" w:hAnsi="Calibri"/>
          <w:sz w:val="17"/>
          <w:szCs w:val="17"/>
          <w:color w:val="auto"/>
        </w:rPr>
        <w:t>, in New Mexico District Court for Santa Fe County against AbbVie and other companies alleging their marketng of AndroGel violated New Mexico’s Unfair Practces Act. In October 2020, the state added a claim under the New Mexico False Advertsing Act. In July 2022, the partes reached an agreement in principle to setle this mater.</w:t>
      </w:r>
    </w:p>
    <w:p>
      <w:pPr>
        <w:spacing w:after="0" w:line="1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Shareholder and Securites Litgaton</w:t>
      </w:r>
    </w:p>
    <w:p>
      <w:pPr>
        <w:spacing w:after="0" w:line="150"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In June 2016, a lawsuit, Elliot Associates, L.P., et al. v. AbbVie Inc., was fled by fve investment funds against AbbVie in the Cook County, Illinois Circuit Court alleging that AbbVie made misrepresentatons and omissions in connecton with its proposed transacton with Shire. Similar lawsuits were fled between July 2017 and October 2019 against AbbVie and in some instances its chief executve ofcer in the same court by additonal investment funds. The court granted motons dismissing the claims of three investment-fund plaintfs, which they appealed. One appeal was dismissed with prejudice in August 2021. In the other two appeals, the Illinois Appellate Court afrmed the dismissal of one in March 2021 and afrmed the dismissal of the other in February 2022. One of these plaintfs refled its lawsuit in the New York Supreme Court for the County of New York, where it was dismissed in November 2020, and that dismissal was afrmed by the Supreme Court of New York, Appellate Division, in January 2022. In September 2021, the Illinois court granted AbbVie's moton for summary judgment against all remaining plaintfs on all the remaining claims, dismissing them with prejudice. Those plaintfs have appealed the dismissals.</w:t>
      </w:r>
    </w:p>
    <w:p>
      <w:pPr>
        <w:spacing w:after="0" w:line="127" w:lineRule="exact"/>
        <w:rPr>
          <w:sz w:val="20"/>
          <w:szCs w:val="20"/>
          <w:color w:val="auto"/>
        </w:rPr>
      </w:pPr>
    </w:p>
    <w:p>
      <w:pPr>
        <w:ind w:right="100"/>
        <w:spacing w:after="0" w:line="220" w:lineRule="auto"/>
        <w:rPr>
          <w:sz w:val="20"/>
          <w:szCs w:val="20"/>
          <w:color w:val="auto"/>
        </w:rPr>
      </w:pPr>
      <w:r>
        <w:rPr>
          <w:rFonts w:ascii="Calibri" w:cs="Calibri" w:eastAsia="Calibri" w:hAnsi="Calibri"/>
          <w:sz w:val="18"/>
          <w:szCs w:val="18"/>
          <w:color w:val="auto"/>
        </w:rPr>
        <w:t xml:space="preserve">In October 2018, a federal securites lawsuit, </w:t>
      </w:r>
      <w:r>
        <w:rPr>
          <w:rFonts w:ascii="Calibri" w:cs="Calibri" w:eastAsia="Calibri" w:hAnsi="Calibri"/>
          <w:sz w:val="18"/>
          <w:szCs w:val="18"/>
          <w:i w:val="1"/>
          <w:iCs w:val="1"/>
          <w:color w:val="auto"/>
        </w:rPr>
        <w:t>Holwill v. AbbVie Inc., et al</w:t>
      </w:r>
      <w:r>
        <w:rPr>
          <w:rFonts w:ascii="Calibri" w:cs="Calibri" w:eastAsia="Calibri" w:hAnsi="Calibri"/>
          <w:sz w:val="18"/>
          <w:szCs w:val="18"/>
          <w:color w:val="auto"/>
        </w:rPr>
        <w:t>., was fled in the United States District Court for the Northern District of Illinois against AbbVie, its chief executve ofcer and former chief fnancial ofcer, alleging that reasons stated for Humira sales growth in fnancial flings between 2013 and 2018 were misleading because they omited alleged misconduct in connecton with Humira patent and reimbursement support services and other services and items of value that allegedly induced Humira prescriptons. In September 2021, the court granted plaintfs' moton to certfy a class. In May 2022, a shareholder derivatve lawsuit, Ranney v. Gonzalez, et al., was fled in Delaware Chancery Court, alleging that certain AbbVie directors and ofcers breached their fduciary dutes based on related allegatons.</w:t>
      </w:r>
    </w:p>
    <w:p>
      <w:pPr>
        <w:spacing w:after="0" w:line="15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Lawsuits are pending against Allergan and certain of its current and former ofcers alleging they made misrepresentatons and omissions regarding Allergan's textured breast implants. The lawsuits, which were fled by Allergan shareholders, have been consolidated in the United States District Court for the Southern District of New York as </w:t>
      </w:r>
      <w:r>
        <w:rPr>
          <w:rFonts w:ascii="Calibri" w:cs="Calibri" w:eastAsia="Calibri" w:hAnsi="Calibri"/>
          <w:sz w:val="18"/>
          <w:szCs w:val="18"/>
          <w:i w:val="1"/>
          <w:iCs w:val="1"/>
          <w:color w:val="auto"/>
        </w:rPr>
        <w:t>In re: Allergan plc Securites Litgaton</w:t>
      </w:r>
      <w:r>
        <w:rPr>
          <w:rFonts w:ascii="Calibri" w:cs="Calibri" w:eastAsia="Calibri" w:hAnsi="Calibri"/>
          <w:sz w:val="18"/>
          <w:szCs w:val="18"/>
          <w:color w:val="auto"/>
        </w:rPr>
        <w:t>. The plaintfs generally seek compensatory damages and atorneys’ fees. In September 2019, the court partally granted Allergan's moton to dismiss. In September 2021, the court granted plaintfs' moton to certfy a class.</w:t>
      </w:r>
    </w:p>
    <w:p>
      <w:pPr>
        <w:spacing w:after="0" w:line="125" w:lineRule="exact"/>
        <w:rPr>
          <w:sz w:val="20"/>
          <w:szCs w:val="20"/>
          <w:color w:val="auto"/>
        </w:rPr>
      </w:pPr>
    </w:p>
    <w:p>
      <w:pPr>
        <w:jc w:val="both"/>
        <w:ind w:right="80"/>
        <w:spacing w:after="0" w:line="239" w:lineRule="auto"/>
        <w:rPr>
          <w:sz w:val="20"/>
          <w:szCs w:val="20"/>
          <w:color w:val="auto"/>
        </w:rPr>
      </w:pPr>
      <w:r>
        <w:rPr>
          <w:rFonts w:ascii="Calibri" w:cs="Calibri" w:eastAsia="Calibri" w:hAnsi="Calibri"/>
          <w:sz w:val="17"/>
          <w:szCs w:val="17"/>
          <w:color w:val="auto"/>
        </w:rPr>
        <w:t>In April 2022, a federal securites lawsuit, Nakata v. AbbVie Inc., was fled in the United States District Court for the Northern District of Illinois against AbbVie and certain ofcers alleging misstatements regarding the potental efect that safety informaton about another company’s product would have on the Food and Drug Administraton’s approval and labeling for AbbVie’s Rinvoq. In May and July 2022, two shareholder derivatve lawsuits, Treppel Family Trust v.</w:t>
      </w:r>
    </w:p>
    <w:p>
      <w:pPr>
        <w:ind w:right="220"/>
        <w:spacing w:after="0" w:line="221" w:lineRule="auto"/>
        <w:rPr>
          <w:sz w:val="20"/>
          <w:szCs w:val="20"/>
          <w:color w:val="auto"/>
        </w:rPr>
      </w:pPr>
      <w:r>
        <w:rPr>
          <w:rFonts w:ascii="Calibri" w:cs="Calibri" w:eastAsia="Calibri" w:hAnsi="Calibri"/>
          <w:sz w:val="18"/>
          <w:szCs w:val="18"/>
          <w:color w:val="auto"/>
        </w:rPr>
        <w:t>Gonzalez et al., and Katcher v. Gonzalez, et al., were fled in the same court, alleging that certain AbbVie directors and ofcers breached fduciary and other legal dutes based on related allegatons.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Product Liability and General Litgaton</w:t>
      </w:r>
    </w:p>
    <w:p>
      <w:pPr>
        <w:spacing w:after="0" w:line="136"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color w:val="auto"/>
        </w:rPr>
        <w:t xml:space="preserve">In 2018, a qui tam lawsuit, </w:t>
      </w:r>
      <w:r>
        <w:rPr>
          <w:rFonts w:ascii="Calibri" w:cs="Calibri" w:eastAsia="Calibri" w:hAnsi="Calibri"/>
          <w:sz w:val="18"/>
          <w:szCs w:val="18"/>
          <w:i w:val="1"/>
          <w:iCs w:val="1"/>
          <w:color w:val="auto"/>
        </w:rPr>
        <w:t>U.S. ex rel. Silbersher v. Allergan Inc., et al.</w:t>
      </w:r>
      <w:r>
        <w:rPr>
          <w:rFonts w:ascii="Calibri" w:cs="Calibri" w:eastAsia="Calibri" w:hAnsi="Calibri"/>
          <w:sz w:val="18"/>
          <w:szCs w:val="18"/>
          <w:color w:val="auto"/>
        </w:rPr>
        <w:t>, was fled in the United States District Court for the Northern District of California against several Allergan enttes and others, alleging that their conduct before the U.S. Patent Ofce resulted in false claims for payment being made to federal and state healthcare payors for Namenda XR and Namzaric. The plaintf-relator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260"/>
        <w:spacing w:after="0" w:line="235" w:lineRule="auto"/>
        <w:rPr>
          <w:sz w:val="20"/>
          <w:szCs w:val="20"/>
          <w:color w:val="auto"/>
        </w:rPr>
      </w:pPr>
      <w:r>
        <w:rPr>
          <w:rFonts w:ascii="Calibri" w:cs="Calibri" w:eastAsia="Calibri" w:hAnsi="Calibri"/>
          <w:sz w:val="18"/>
          <w:szCs w:val="18"/>
          <w:color w:val="auto"/>
        </w:rPr>
        <w:t>seeks damages and atorneys' fees under the federal False Claims Act and state law analogues. The federal government and state governments declined to intervene in the lawsuit.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Intellectual Property Litgaton</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Pharmacyclics LLC, a wholly owned subsidiary of AbbVie, is seeking to enforce its patent rights relatng to ibrutnib tablets (a drug Pharmacyclics sells under the trademark Imbruvica). Cases were fled in the United States District Court for the District of Delaware in March 2019 against Alvogen Pine Brook LLC and Natco Pharma Ltd.. In August 2021, the court issued a decision holding all asserted patents infringed and valid. The judgment precludes Defendants from obtaining regulatory approval and launching untl the last patent expires in 2036. On August 30, 2021, Defendants appealed. Janssen Biotech, Inc. which is in a global collaboraton with Pharmacyclics concerning the development and marketng of Imbruvica, is the co-plaintf in these suits.</w:t>
      </w:r>
    </w:p>
    <w:p>
      <w:pPr>
        <w:spacing w:after="0" w:line="153" w:lineRule="exact"/>
        <w:rPr>
          <w:sz w:val="20"/>
          <w:szCs w:val="20"/>
          <w:color w:val="auto"/>
        </w:rPr>
      </w:pPr>
    </w:p>
    <w:p>
      <w:pPr>
        <w:ind w:right="80"/>
        <w:spacing w:after="0" w:line="225" w:lineRule="auto"/>
        <w:rPr>
          <w:sz w:val="20"/>
          <w:szCs w:val="20"/>
          <w:color w:val="auto"/>
        </w:rPr>
      </w:pPr>
      <w:r>
        <w:rPr>
          <w:rFonts w:ascii="Calibri" w:cs="Calibri" w:eastAsia="Calibri" w:hAnsi="Calibri"/>
          <w:sz w:val="18"/>
          <w:szCs w:val="18"/>
          <w:color w:val="auto"/>
        </w:rPr>
        <w:t>Allergan USA, Inc., Allergan Sales, LLC and Forest Laboratories Holdings Limited, wholly owned subsidiaries of AbbVie, are seeking to enforce patent rights relatng to cariprazine (a drug sold under the trademark Vraylar). Litgaton was fled in the United States District Court for the District of Delaware in December 2019 against Sun Pharmaceutcal Industries Limited and Sun Pharma Global FZE; Aurobindo Pharma Limited and Aurobindo Pharma USA, Inc.; and Zydus Pharmaceutcals (USA), Inc. and Cadila Healthcare Limited. Allergan alleges defendants' proposed generic cariprazine products infringe certain patents and seeks declaratory and injunctve relief. Gedeon Richter Plc, Inc. which is in a global collaboraton with Allergan concerning the development and marketng of Vraylar, is the co-plaintf in this suit. In May 2022, the partes setled the cases and they were dismissed without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394970</wp:posOffset>
            </wp:positionV>
            <wp:extent cx="51435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4" w:name="page25"/>
    <w:bookmarkEnd w:id="24"/>
    <w:p>
      <w:pPr>
        <w:spacing w:after="0"/>
        <w:rPr>
          <w:sz w:val="20"/>
          <w:szCs w:val="20"/>
          <w:color w:val="auto"/>
        </w:rPr>
      </w:pPr>
      <w:r>
        <w:rPr>
          <w:rFonts w:ascii="Calibri" w:cs="Calibri" w:eastAsia="Calibri" w:hAnsi="Calibri"/>
          <w:sz w:val="22"/>
          <w:szCs w:val="22"/>
          <w:b w:val="1"/>
          <w:bCs w:val="1"/>
          <w:color w:val="444867"/>
        </w:rPr>
        <w:t>Note 13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details AbbVie’s worldwide net revenues: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180" w:type="dxa"/>
            <w:vAlign w:val="bottom"/>
            <w:gridSpan w:val="3"/>
          </w:tcPr>
          <w:p>
            <w:pPr>
              <w:jc w:val="right"/>
              <w:ind w:right="159"/>
              <w:spacing w:after="0"/>
              <w:rPr>
                <w:sz w:val="20"/>
                <w:szCs w:val="20"/>
                <w:color w:val="auto"/>
              </w:rPr>
            </w:pPr>
            <w:r>
              <w:rPr>
                <w:rFonts w:ascii="Calibri" w:cs="Calibri" w:eastAsia="Calibri" w:hAnsi="Calibri"/>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2"/>
          </w:tcPr>
          <w:p>
            <w:pPr>
              <w:jc w:val="right"/>
              <w:ind w:right="539"/>
              <w:spacing w:after="0"/>
              <w:rPr>
                <w:sz w:val="20"/>
                <w:szCs w:val="20"/>
                <w:color w:val="auto"/>
              </w:rPr>
            </w:pPr>
            <w:r>
              <w:rPr>
                <w:rFonts w:ascii="Calibri" w:cs="Calibri" w:eastAsia="Calibri" w:hAnsi="Calibri"/>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219"/>
              <w:spacing w:after="0"/>
              <w:rPr>
                <w:sz w:val="20"/>
                <w:szCs w:val="20"/>
                <w:color w:val="auto"/>
              </w:rPr>
            </w:pPr>
            <w:r>
              <w:rPr>
                <w:rFonts w:ascii="Calibri" w:cs="Calibri" w:eastAsia="Calibri" w:hAnsi="Calibri"/>
                <w:sz w:val="14"/>
                <w:szCs w:val="14"/>
                <w:b w:val="1"/>
                <w:bCs w:val="1"/>
                <w:color w:val="auto"/>
              </w:rPr>
              <w:t>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8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(in millions)</w:t>
            </w:r>
          </w:p>
        </w:tc>
        <w:tc>
          <w:tcPr>
            <w:tcW w:w="37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80" w:type="dxa"/>
            <w:vAlign w:val="bottom"/>
            <w:vMerge w:val="continue"/>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48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80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0" w:type="dxa"/>
            <w:vAlign w:val="bottom"/>
          </w:tcPr>
          <w:p>
            <w:pPr>
              <w:spacing w:after="0"/>
              <w:rPr>
                <w:sz w:val="1"/>
                <w:szCs w:val="1"/>
                <w:color w:val="auto"/>
              </w:rPr>
            </w:pPr>
          </w:p>
        </w:tc>
      </w:tr>
      <w:tr>
        <w:trPr>
          <w:trHeight w:val="33"/>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Immunology</w:t>
            </w:r>
          </w:p>
        </w:tc>
        <w:tc>
          <w:tcPr>
            <w:tcW w:w="3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Humira</w:t>
            </w: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8"/>
              </w:rPr>
              <w:t>4,664</w:t>
            </w:r>
          </w:p>
        </w:tc>
        <w:tc>
          <w:tcPr>
            <w:tcW w:w="900" w:type="dxa"/>
            <w:vAlign w:val="bottom"/>
            <w:tcBorders>
              <w:bottom w:val="single" w:sz="8" w:color="CCEEFF"/>
            </w:tcBorders>
            <w:shd w:val="clear" w:color="auto" w:fill="CCEEFF"/>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4,257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8,657</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8,164</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699</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811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1,442</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1,771</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w w:val="98"/>
              </w:rPr>
              <w:t>5,363</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5,068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10,099</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9,935</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Skyrizi</w:t>
            </w:r>
          </w:p>
        </w:tc>
        <w:tc>
          <w:tcPr>
            <w:tcW w:w="3740" w:type="dxa"/>
            <w:vAlign w:val="bottom"/>
            <w:tcBorders>
              <w:top w:val="single" w:sz="8" w:color="auto"/>
            </w:tcBorders>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8"/>
              </w:rPr>
              <w:t>1,079</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1,860</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1,046</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173</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332</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202</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w w:val="98"/>
              </w:rPr>
              <w:t>1,252</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674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2,192</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1,248</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Rinvoq</w:t>
            </w:r>
          </w:p>
        </w:tc>
        <w:tc>
          <w:tcPr>
            <w:tcW w:w="3740" w:type="dxa"/>
            <w:vAlign w:val="bottom"/>
            <w:tcBorders>
              <w:bottom w:val="single" w:sz="8" w:color="CCEEFF"/>
            </w:tcBorders>
            <w:shd w:val="clear" w:color="auto" w:fill="CCEEFF"/>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412</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723</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541</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180</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334</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140</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592</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1,057</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681</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Hematologic Oncology</w:t>
            </w:r>
          </w:p>
        </w:tc>
        <w:tc>
          <w:tcPr>
            <w:tcW w:w="3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Imbruvica</w:t>
            </w: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862</w:t>
            </w:r>
          </w:p>
        </w:tc>
        <w:tc>
          <w:tcPr>
            <w:tcW w:w="900" w:type="dxa"/>
            <w:vAlign w:val="bottom"/>
            <w:tcBorders>
              <w:bottom w:val="single" w:sz="8" w:color="CCEEFF"/>
            </w:tcBorders>
            <w:shd w:val="clear" w:color="auto" w:fill="CCEEFF"/>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1,736</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2,098</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Collaboraton revenues</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283</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582</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551</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w w:val="98"/>
              </w:rPr>
              <w:t>1,145</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1,381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2,318</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2,649</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Venclexta</w:t>
            </w:r>
          </w:p>
        </w:tc>
        <w:tc>
          <w:tcPr>
            <w:tcW w:w="3740" w:type="dxa"/>
            <w:vAlign w:val="bottom"/>
            <w:tcBorders>
              <w:top w:val="single" w:sz="8" w:color="auto"/>
            </w:tcBorders>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253</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481</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448</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252</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497</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392</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505</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435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978</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840</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b w:val="1"/>
                <w:bCs w:val="1"/>
                <w:color w:val="auto"/>
              </w:rPr>
              <w:t>Aesthetcs</w:t>
            </w:r>
          </w:p>
        </w:tc>
        <w:tc>
          <w:tcPr>
            <w:tcW w:w="37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ind w:left="20"/>
              <w:spacing w:after="0" w:line="193" w:lineRule="exact"/>
              <w:rPr>
                <w:sz w:val="20"/>
                <w:szCs w:val="20"/>
                <w:color w:val="auto"/>
              </w:rPr>
            </w:pPr>
            <w:r>
              <w:rPr>
                <w:rFonts w:ascii="Calibri" w:cs="Calibri" w:eastAsia="Calibri" w:hAnsi="Calibri"/>
                <w:sz w:val="16"/>
                <w:szCs w:val="16"/>
                <w:color w:val="auto"/>
              </w:rPr>
              <w:t>Botox Cosmetc</w:t>
            </w: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449</w:t>
            </w:r>
          </w:p>
        </w:tc>
        <w:tc>
          <w:tcPr>
            <w:tcW w:w="900" w:type="dxa"/>
            <w:vAlign w:val="bottom"/>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366</w:t>
            </w:r>
          </w:p>
        </w:tc>
        <w:tc>
          <w:tcPr>
            <w:tcW w:w="100" w:type="dxa"/>
            <w:vAlign w:val="bottom"/>
          </w:tcPr>
          <w:p>
            <w:pPr>
              <w:spacing w:after="0"/>
              <w:rPr>
                <w:sz w:val="16"/>
                <w:szCs w:val="16"/>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862</w:t>
            </w:r>
          </w:p>
        </w:tc>
        <w:tc>
          <w:tcPr>
            <w:tcW w:w="58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671</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246</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474</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390</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695</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584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1,336</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1,061</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Juvederm Collecton</w:t>
            </w:r>
          </w:p>
        </w:tc>
        <w:tc>
          <w:tcPr>
            <w:tcW w:w="3740" w:type="dxa"/>
            <w:vAlign w:val="bottom"/>
            <w:tcBorders>
              <w:bottom w:val="single" w:sz="8" w:color="CCEEFF"/>
            </w:tcBorders>
            <w:shd w:val="clear" w:color="auto" w:fill="CCEEFF"/>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147</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295</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319</w:t>
            </w: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197</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459</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430</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344</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754</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749</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Other Aesthetcs</w:t>
            </w:r>
          </w:p>
        </w:tc>
        <w:tc>
          <w:tcPr>
            <w:tcW w:w="3740" w:type="dxa"/>
            <w:vAlign w:val="bottom"/>
            <w:tcBorders>
              <w:top w:val="single" w:sz="8" w:color="auto"/>
            </w:tcBorders>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287</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363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572</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663</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45</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102</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332</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655</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765</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b w:val="1"/>
                <w:bCs w:val="1"/>
                <w:color w:val="auto"/>
              </w:rPr>
              <w:t>Neuroscience</w:t>
            </w:r>
          </w:p>
        </w:tc>
        <w:tc>
          <w:tcPr>
            <w:tcW w:w="37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line="193" w:lineRule="exact"/>
              <w:rPr>
                <w:sz w:val="20"/>
                <w:szCs w:val="20"/>
                <w:color w:val="auto"/>
              </w:rPr>
            </w:pPr>
            <w:r>
              <w:rPr>
                <w:rFonts w:ascii="Calibri" w:cs="Calibri" w:eastAsia="Calibri" w:hAnsi="Calibri"/>
                <w:sz w:val="16"/>
                <w:szCs w:val="16"/>
                <w:color w:val="auto"/>
              </w:rPr>
              <w:t>Botox Therapeutc</w:t>
            </w: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557</w:t>
            </w:r>
          </w:p>
        </w:tc>
        <w:tc>
          <w:tcPr>
            <w:tcW w:w="900" w:type="dxa"/>
            <w:vAlign w:val="bottom"/>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488</w:t>
            </w:r>
          </w:p>
        </w:tc>
        <w:tc>
          <w:tcPr>
            <w:tcW w:w="100" w:type="dxa"/>
            <w:vAlign w:val="bottom"/>
          </w:tcPr>
          <w:p>
            <w:pPr>
              <w:spacing w:after="0"/>
              <w:rPr>
                <w:sz w:val="16"/>
                <w:szCs w:val="16"/>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1,057</w:t>
            </w:r>
          </w:p>
        </w:tc>
        <w:tc>
          <w:tcPr>
            <w:tcW w:w="58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917</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121</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235</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218</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678</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603</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1,292</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1,135</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Vraylar</w:t>
            </w:r>
          </w:p>
        </w:tc>
        <w:tc>
          <w:tcPr>
            <w:tcW w:w="3740" w:type="dxa"/>
            <w:vAlign w:val="bottom"/>
            <w:tcBorders>
              <w:bottom w:val="single" w:sz="8" w:color="CCEEFF"/>
            </w:tcBorders>
            <w:shd w:val="clear" w:color="auto" w:fill="CCEEFF"/>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492</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919</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778</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Duodopa</w:t>
            </w:r>
          </w:p>
        </w:tc>
        <w:tc>
          <w:tcPr>
            <w:tcW w:w="3740" w:type="dxa"/>
            <w:vAlign w:val="bottom"/>
            <w:tcBorders>
              <w:top w:val="single" w:sz="8" w:color="auto"/>
            </w:tcBorders>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26</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50</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50</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94</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191</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206</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120</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127</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241</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256</w:t>
            </w:r>
          </w:p>
        </w:tc>
        <w:tc>
          <w:tcPr>
            <w:tcW w:w="0" w:type="dxa"/>
            <w:vAlign w:val="bottom"/>
          </w:tcPr>
          <w:p>
            <w:pPr>
              <w:spacing w:after="0"/>
              <w:rPr>
                <w:sz w:val="1"/>
                <w:szCs w:val="1"/>
                <w:color w:val="auto"/>
              </w:rPr>
            </w:pPr>
          </w:p>
        </w:tc>
      </w:tr>
      <w:tr>
        <w:trPr>
          <w:trHeight w:val="28"/>
        </w:trPr>
        <w:tc>
          <w:tcPr>
            <w:tcW w:w="20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Ubrelvy</w:t>
            </w:r>
          </w:p>
        </w:tc>
        <w:tc>
          <w:tcPr>
            <w:tcW w:w="3740" w:type="dxa"/>
            <w:vAlign w:val="bottom"/>
            <w:tcBorders>
              <w:bottom w:val="single" w:sz="8" w:color="CCEEFF"/>
            </w:tcBorders>
            <w:shd w:val="clear" w:color="auto" w:fill="CCEEFF"/>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185</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323</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Qulipta</w:t>
            </w:r>
          </w:p>
        </w:tc>
        <w:tc>
          <w:tcPr>
            <w:tcW w:w="3740" w:type="dxa"/>
            <w:vAlign w:val="bottom"/>
            <w:tcBorders>
              <w:top w:val="single" w:sz="8" w:color="auto"/>
            </w:tcBorders>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33</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560" w:type="dxa"/>
            <w:vAlign w:val="bottom"/>
            <w:tcBorders>
              <w:top w:val="single" w:sz="8" w:color="auto"/>
            </w:tcBorders>
            <w:gridSpan w:val="2"/>
          </w:tcPr>
          <w:p>
            <w:pPr>
              <w:jc w:val="right"/>
              <w:ind w:right="160"/>
              <w:spacing w:after="0" w:line="187" w:lineRule="exact"/>
              <w:rPr>
                <w:sz w:val="20"/>
                <w:szCs w:val="20"/>
                <w:color w:val="auto"/>
              </w:rPr>
            </w:pPr>
            <w:r>
              <w:rPr>
                <w:rFonts w:ascii="Calibri" w:cs="Calibri" w:eastAsia="Calibri" w:hAnsi="Calibri"/>
                <w:sz w:val="16"/>
                <w:szCs w:val="16"/>
                <w:color w:val="auto"/>
              </w:rPr>
              <w:t>—</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Other Neuroscience</w:t>
            </w:r>
          </w:p>
        </w:tc>
        <w:tc>
          <w:tcPr>
            <w:tcW w:w="3740" w:type="dxa"/>
            <w:vAlign w:val="bottom"/>
            <w:tcBorders>
              <w:bottom w:val="single" w:sz="8" w:color="CCEEFF"/>
            </w:tcBorders>
            <w:shd w:val="clear" w:color="auto" w:fill="CCEEFF"/>
          </w:tcPr>
          <w:p>
            <w:pPr>
              <w:ind w:left="5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145</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318</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323</w:t>
            </w: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3740" w:type="dxa"/>
            <w:vAlign w:val="bottom"/>
          </w:tcPr>
          <w:p>
            <w:pPr>
              <w:ind w:left="5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5</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9</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8</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ind w:left="5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150</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327</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331</w:t>
            </w: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340"/>
        <w:spacing w:after="0"/>
        <w:rPr>
          <w:sz w:val="20"/>
          <w:szCs w:val="20"/>
          <w:color w:val="auto"/>
        </w:rPr>
      </w:pPr>
      <w:r>
        <w:rPr>
          <w:rFonts w:ascii="Calibri" w:cs="Calibri" w:eastAsia="Calibri" w:hAnsi="Calibri"/>
          <w:sz w:val="19"/>
          <w:szCs w:val="19"/>
          <w:i w:val="1"/>
          <w:iCs w:val="1"/>
          <w:color w:val="auto"/>
        </w:rPr>
        <w:t xml:space="preserve">2022 Form 10-Q </w:t>
      </w:r>
      <w:r>
        <w:rPr>
          <w:rFonts w:ascii="Calibri" w:cs="Calibri" w:eastAsia="Calibri" w:hAnsi="Calibri"/>
          <w:sz w:val="19"/>
          <w:szCs w:val="19"/>
          <w:b w:val="1"/>
          <w:bCs w:val="1"/>
          <w:color w:val="auto"/>
        </w:rPr>
        <w:t xml:space="preserve">| </w:t>
      </w:r>
      <w:r>
        <w:rPr>
          <w:sz w:val="1"/>
          <w:szCs w:val="1"/>
          <w:color w:val="auto"/>
        </w:rPr>
        <w:drawing>
          <wp:inline distT="0" distB="0" distL="0" distR="0">
            <wp:extent cx="514350" cy="939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 cy="93980"/>
                    </a:xfrm>
                    <a:prstGeom prst="rect">
                      <a:avLst/>
                    </a:prstGeom>
                    <a:noFill/>
                    <a:ln>
                      <a:noFill/>
                    </a:ln>
                  </pic:spPr>
                </pic:pic>
              </a:graphicData>
            </a:graphic>
          </wp:inline>
        </w:drawing>
      </w:r>
      <w:r>
        <w:rPr>
          <w:rFonts w:ascii="Calibri" w:cs="Calibri" w:eastAsia="Calibri" w:hAnsi="Calibri"/>
          <w:sz w:val="35"/>
          <w:szCs w:val="35"/>
          <w:b w:val="1"/>
          <w:bCs w:val="1"/>
          <w:i w:val="1"/>
          <w:iCs w:val="1"/>
          <w:color w:val="auto"/>
          <w:vertAlign w:val="superscript"/>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ind w:left="420"/>
              <w:spacing w:after="0"/>
              <w:rPr>
                <w:sz w:val="20"/>
                <w:szCs w:val="20"/>
                <w:color w:val="auto"/>
              </w:rPr>
            </w:pPr>
            <w:r>
              <w:rPr>
                <w:rFonts w:ascii="Calibri" w:cs="Calibri" w:eastAsia="Calibri" w:hAnsi="Calibri"/>
                <w:sz w:val="14"/>
                <w:szCs w:val="14"/>
                <w:b w:val="1"/>
                <w:bCs w:val="1"/>
                <w:color w:val="auto"/>
              </w:rPr>
              <w:t>Three months ended</w:t>
            </w:r>
          </w:p>
        </w:tc>
        <w:tc>
          <w:tcPr>
            <w:tcW w:w="3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9"/>
              <w:spacing w:after="0"/>
              <w:rPr>
                <w:sz w:val="20"/>
                <w:szCs w:val="20"/>
                <w:color w:val="auto"/>
              </w:rPr>
            </w:pPr>
            <w:r>
              <w:rPr>
                <w:rFonts w:ascii="Calibri" w:cs="Calibri" w:eastAsia="Calibri" w:hAnsi="Calibri"/>
                <w:sz w:val="14"/>
                <w:szCs w:val="14"/>
                <w:b w:val="1"/>
                <w:bCs w:val="1"/>
                <w:color w:val="auto"/>
              </w:rPr>
              <w:t>June 30,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219"/>
              <w:spacing w:after="0"/>
              <w:rPr>
                <w:sz w:val="20"/>
                <w:szCs w:val="20"/>
                <w:color w:val="auto"/>
              </w:rPr>
            </w:pPr>
            <w:r>
              <w:rPr>
                <w:rFonts w:ascii="Calibri" w:cs="Calibri" w:eastAsia="Calibri" w:hAnsi="Calibri"/>
                <w:sz w:val="14"/>
                <w:szCs w:val="14"/>
                <w:b w:val="1"/>
                <w:bCs w:val="1"/>
                <w:color w:val="auto"/>
              </w:rPr>
              <w:t>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98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(in millions)</w:t>
            </w:r>
          </w:p>
        </w:tc>
        <w:tc>
          <w:tcPr>
            <w:tcW w:w="3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9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2022</w:t>
            </w:r>
          </w:p>
        </w:tc>
        <w:tc>
          <w:tcPr>
            <w:tcW w:w="420" w:type="dxa"/>
            <w:vAlign w:val="bottom"/>
          </w:tcPr>
          <w:p>
            <w:pPr>
              <w:spacing w:after="0"/>
              <w:rPr>
                <w:sz w:val="14"/>
                <w:szCs w:val="14"/>
                <w:color w:val="auto"/>
              </w:rPr>
            </w:pPr>
          </w:p>
        </w:tc>
        <w:tc>
          <w:tcPr>
            <w:tcW w:w="94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80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0" w:type="dxa"/>
            <w:vAlign w:val="bottom"/>
          </w:tcPr>
          <w:p>
            <w:pPr>
              <w:spacing w:after="0"/>
              <w:rPr>
                <w:sz w:val="1"/>
                <w:szCs w:val="1"/>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Eye Care</w:t>
            </w: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Lumigan/Ganfort</w:t>
            </w: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60</w:t>
            </w:r>
          </w:p>
        </w:tc>
        <w:tc>
          <w:tcPr>
            <w:tcW w:w="420" w:type="dxa"/>
            <w:vAlign w:val="bottom"/>
            <w:tcBorders>
              <w:bottom w:val="single" w:sz="8" w:color="CCEEFF"/>
            </w:tcBorders>
            <w:shd w:val="clear" w:color="auto" w:fill="CCEEFF"/>
          </w:tcPr>
          <w:p>
            <w:pPr>
              <w:jc w:val="right"/>
              <w:ind w:right="159"/>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127</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138</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70</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143</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154</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130</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270</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292</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Alphagan/Combigan</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54</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124</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182</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38</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78</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92</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142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199</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260</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Restasis</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151</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386</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579</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17</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28</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28</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168</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414</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607</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Other Eye Care</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142</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266</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247</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185</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339</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330</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327</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301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605</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577</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b w:val="1"/>
                <w:bCs w:val="1"/>
                <w:color w:val="auto"/>
              </w:rPr>
              <w:t>Other Key Products</w:t>
            </w:r>
          </w:p>
        </w:tc>
        <w:tc>
          <w:tcPr>
            <w:tcW w:w="3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80" w:type="dxa"/>
            <w:vAlign w:val="bottom"/>
          </w:tcPr>
          <w:p>
            <w:pPr>
              <w:ind w:left="20"/>
              <w:spacing w:after="0" w:line="193" w:lineRule="exact"/>
              <w:rPr>
                <w:sz w:val="20"/>
                <w:szCs w:val="20"/>
                <w:color w:val="auto"/>
              </w:rPr>
            </w:pPr>
            <w:r>
              <w:rPr>
                <w:rFonts w:ascii="Calibri" w:cs="Calibri" w:eastAsia="Calibri" w:hAnsi="Calibri"/>
                <w:sz w:val="16"/>
                <w:szCs w:val="16"/>
                <w:color w:val="auto"/>
              </w:rPr>
              <w:t>Mavyret</w:t>
            </w: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2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203</w:t>
            </w:r>
          </w:p>
        </w:tc>
        <w:tc>
          <w:tcPr>
            <w:tcW w:w="420" w:type="dxa"/>
            <w:vAlign w:val="bottom"/>
          </w:tcPr>
          <w:p>
            <w:pPr>
              <w:jc w:val="right"/>
              <w:ind w:right="159"/>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204</w:t>
            </w:r>
          </w:p>
        </w:tc>
        <w:tc>
          <w:tcPr>
            <w:tcW w:w="100" w:type="dxa"/>
            <w:vAlign w:val="bottom"/>
          </w:tcPr>
          <w:p>
            <w:pPr>
              <w:spacing w:after="0"/>
              <w:rPr>
                <w:sz w:val="16"/>
                <w:szCs w:val="16"/>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372</w:t>
            </w:r>
          </w:p>
        </w:tc>
        <w:tc>
          <w:tcPr>
            <w:tcW w:w="58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374</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195</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406</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483</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398</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442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778</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857</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Creon</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318</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605</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554</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Linzess/Constella</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247</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480</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475</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8</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255</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268</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495</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490</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All other</w:t>
            </w:r>
          </w:p>
        </w:tc>
        <w:tc>
          <w:tcPr>
            <w:tcW w:w="38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1,009</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2,220</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2,697</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Total net revenues</w:t>
            </w:r>
          </w:p>
        </w:tc>
        <w:tc>
          <w:tcPr>
            <w:tcW w:w="3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14,583</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13,959</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28,121</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26,969</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522605</wp:posOffset>
            </wp:positionV>
            <wp:extent cx="51435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24</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6" w:name="page27"/>
    <w:bookmarkEnd w:id="26"/>
    <w:p>
      <w:pPr>
        <w:spacing w:after="0"/>
        <w:rPr>
          <w:sz w:val="20"/>
          <w:szCs w:val="20"/>
          <w:color w:val="auto"/>
        </w:rPr>
      </w:pPr>
      <w:r>
        <w:rPr>
          <w:rFonts w:ascii="Calibri" w:cs="Calibri" w:eastAsia="Calibri" w:hAnsi="Calibri"/>
          <w:sz w:val="21"/>
          <w:szCs w:val="21"/>
          <w:b w:val="1"/>
          <w:bCs w:val="1"/>
          <w:color w:val="444867"/>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330"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The following is a discussion and analysis of the fnancial conditon of AbbVie Inc. (AbbVie or the company) as of June 30, 2022 and December 31, 2021 and the results of operatons for the three and six months ended June 30, 2022 and 2021. This commentary should be read in conjuncton with the Condensed Consolidated Financial Statements and accompanying notes appearing in Item 1, “Financial Statements and Supplementary Data.”</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EXECUTIVE OVERVIEW</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Company Overview</w:t>
      </w:r>
    </w:p>
    <w:p>
      <w:pPr>
        <w:spacing w:after="0" w:line="13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w:t>
      </w:r>
    </w:p>
    <w:p>
      <w:pPr>
        <w:spacing w:after="0" w:line="15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customers or through distributors, depending on the market served. Certain products are co-marketed or co-promoted with other companies. AbbVie has approximately 50,000 employees. AbbVie operates as a single global business segment.</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2022 Strategic Objectves</w:t>
      </w:r>
    </w:p>
    <w:p>
      <w:pPr>
        <w:spacing w:after="0" w:line="136" w:lineRule="exact"/>
        <w:rPr>
          <w:sz w:val="20"/>
          <w:szCs w:val="20"/>
          <w:color w:val="auto"/>
        </w:rPr>
      </w:pPr>
    </w:p>
    <w:p>
      <w:pPr>
        <w:ind w:right="80"/>
        <w:spacing w:after="0" w:line="249" w:lineRule="auto"/>
        <w:rPr>
          <w:sz w:val="20"/>
          <w:szCs w:val="20"/>
          <w:color w:val="auto"/>
        </w:rPr>
      </w:pPr>
      <w:r>
        <w:rPr>
          <w:rFonts w:ascii="Calibri" w:cs="Calibri" w:eastAsia="Calibri" w:hAnsi="Calibri"/>
          <w:sz w:val="17"/>
          <w:szCs w:val="17"/>
          <w:color w:val="auto"/>
        </w:rPr>
        <w:t>AbbVie's mission is to discover and develop innovatve medicines and products that solve serious health issues today and address the medical challenges of tomorrow while achieving top-ter fnancial performance through outstanding executon. AbbVie intends to contnue to advance its mission in a number of ways, including: (i) maximizing the benefts of a diversifed revenue base with multple long-term growth drivers; (ii) growing revenues by leveraging AbbVie's commercial strength and internatonal infrastructure across therapeutc areas and ensuring strong commercial executon of new product launches;</w:t>
      </w:r>
    </w:p>
    <w:p>
      <w:pPr>
        <w:spacing w:after="0" w:line="3" w:lineRule="exact"/>
        <w:rPr>
          <w:sz w:val="20"/>
          <w:szCs w:val="20"/>
          <w:color w:val="auto"/>
        </w:rPr>
      </w:pPr>
    </w:p>
    <w:p>
      <w:pPr>
        <w:ind w:right="120" w:firstLine="8"/>
        <w:spacing w:after="0" w:line="254" w:lineRule="auto"/>
        <w:tabs>
          <w:tab w:leader="none" w:pos="267"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contnuing to invest in and expand its pipeline in support of opportunites in immunology, oncology, aesthetcs, neuroscience and eye care as well as contnued investment in key on-market products; (iv) expanding operatng margins; and (v) returning cash to shareholders via a strong and growing dividend while also reducing debt. In additon, AbbVie antcipates several regulatory submissions and data readouts from key clinical trials in the next 12 months.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Financial Results</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company's fnancial performance for the six months ended June 30, 2022 included delivering worldwide net revenues of $28.1 billion, operatng earnings of $8.0 billion, diluted earnings per share of $3.03 and cash fows from operatons of $9.9 billion. Worldwide net revenues grew by 4% on a reported basis and 6% on a constant currency basis, refectng growth across its immunology, neuroscience and aesthetcs portolios.</w:t>
      </w:r>
    </w:p>
    <w:p>
      <w:pPr>
        <w:spacing w:after="0" w:line="13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Diluted earnings per share was $3.03 for the six months ended June 30, 2022 and included the following afer-tax costs: (i) $3.1 billion related to the amortzaton of intangible assets; (ii) $1.9 billion for charges related to litgaton maters; (iii) $875 million for the change in fair value of contngent consideraton liabilites; and (iv) $219 million of acquisiton and integraton expenses. These costs were partally ofset by an afer-tax gain of $126 million related to the divestture of Pylera. Additonally, fnancial results refected contnued funding to support all stages of AbbVie’s pipeline assets and contnued investment in AbbVie’s on-market brands.</w:t>
      </w:r>
    </w:p>
    <w:p>
      <w:pPr>
        <w:spacing w:after="0" w:line="15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Following the closing of the Allergan acquisiton, AbbVie implemented an integraton plan designed to reduce costs, integrate and optmize the combined organizaton. The integraton plan is expected to realize approximately $2.5 billion of annual cost synergies in 2022.</w:t>
      </w:r>
    </w:p>
    <w:p>
      <w:pPr>
        <w:spacing w:after="0" w:line="15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To achieve these integraton objectves, AbbVie expects to incur total cumulatve charges of approximately $2 billion through 2022. These costs consist of severance and employee beneft costs (cash severance, non-cash severance, including accelerated equity award compensaton expense, retenton and other terminaton benefts) and other integraton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8"/>
          <w:szCs w:val="18"/>
          <w:b w:val="1"/>
          <w:bCs w:val="1"/>
          <w:color w:val="444867"/>
        </w:rPr>
        <w:t>Recent Global Events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44867"/>
        </w:rPr>
        <w:t>Russia/Ukraine</w:t>
      </w:r>
    </w:p>
    <w:p>
      <w:pPr>
        <w:spacing w:after="0" w:line="150" w:lineRule="exact"/>
        <w:rPr>
          <w:sz w:val="20"/>
          <w:szCs w:val="20"/>
          <w:color w:val="auto"/>
        </w:rPr>
      </w:pPr>
    </w:p>
    <w:p>
      <w:pPr>
        <w:ind w:right="100"/>
        <w:spacing w:after="0" w:line="251" w:lineRule="auto"/>
        <w:rPr>
          <w:sz w:val="20"/>
          <w:szCs w:val="20"/>
          <w:color w:val="auto"/>
        </w:rPr>
      </w:pPr>
      <w:r>
        <w:rPr>
          <w:rFonts w:ascii="Calibri" w:cs="Calibri" w:eastAsia="Calibri" w:hAnsi="Calibri"/>
          <w:sz w:val="17"/>
          <w:szCs w:val="17"/>
          <w:color w:val="auto"/>
        </w:rPr>
        <w:t>In response to the military confict between Russia and Ukraine, the United States and other North Atlantc Treaty Organizaton member states, as well as certain non-member states, announced targeted economic sanctons and export controls on Russia and Belarus. These include restrictons on the export and transfer of products containing certain toxins, including Botox, to Russia and Belarus. With the excepton of Botox, AbbVie is not prohibited to contnue the sale of essental pharmaceutcal products to help ensure patents receive an uninterrupted supply of their medicines. In March 2022, AbbVie announced the suspension of operatons for all aesthetcs products in Russia. In April 2022, AbbVie also announced that all profts from the sales of essental medicines in Russia will be donated to support direct humanitarian relief eforts in Ukraine. While the company’s operatons in Russia, Belarus and Ukraine are not signifcant, if the confict escalates and results in broader economic and politcal concerns, AbbVie’s business could be adversely impacted.</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44867"/>
        </w:rPr>
        <w:t>Impact of the Coronavirus Disease 2019 (COVID-19)</w:t>
      </w:r>
    </w:p>
    <w:p>
      <w:pPr>
        <w:spacing w:after="0" w:line="13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response to the ongoing public health crisis posed by COVID-19, AbbVie contnues to focus on ensuring the safety of employees. Throughout the pandemic, AbbVie has followed health and safety guidance from state and local health authorites and implemented safety measures for those employees who are returning to the workplace.</w:t>
      </w:r>
    </w:p>
    <w:p>
      <w:pPr>
        <w:spacing w:after="0" w:line="15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AbbVie also contnues to closely manage manufacturing and supply chain resources around the world to help ensure that patents contnue to receive an uninterrupted supply of their medicines. Clinical trial sites are being monitored locally to protect the safety of study partcipants, staf and employees. While the impact of COVID-19 on AbbVie's operatons to date has not been material, AbbVie contnues to experience lower new patent starts in certain products and markets. AbbVie expects this mater could contnue to negatvely impact its results of operatons throughout the duraton of the pandemic.</w:t>
      </w:r>
    </w:p>
    <w:p>
      <w:pPr>
        <w:spacing w:after="0" w:line="15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extent to which COVID-19 may impact AbbVie's fnancial conditon and results of operatons remains uncertain and is dependent on numerous evolving factors, including the measures being taken by authorites to mitgate against the spread of COVID-19, the emergence of new variants and the efectveness of vaccines and therapeutcs.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Research and Development</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Research and innovaton are the cornerstones of AbbVie’s business as a global biopharmaceutcal company. AbbVie’s long-term success depends to a great extent on its ability to contnue to discover and develop innovatve products and acquire or collaborate on compounds currently in development by other biotechnology or pharmaceutcal companies.</w:t>
      </w:r>
    </w:p>
    <w:p>
      <w:pPr>
        <w:spacing w:after="0" w:line="15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AbbVie’s pipeline currently includes approximately 80 compounds, devices or indicatons in development individually or under collaboraton or license agreements and is focused on such important specialtes as immunology, oncology, aesthetcs, neuroscience and eye care. Of these programs, more than 40 are in mid- and late-stage development.</w:t>
      </w:r>
    </w:p>
    <w:p>
      <w:pPr>
        <w:spacing w:after="0" w:line="138" w:lineRule="exact"/>
        <w:rPr>
          <w:sz w:val="20"/>
          <w:szCs w:val="20"/>
          <w:color w:val="auto"/>
        </w:rPr>
      </w:pPr>
    </w:p>
    <w:p>
      <w:pPr>
        <w:ind w:right="300"/>
        <w:spacing w:after="0" w:line="258" w:lineRule="auto"/>
        <w:rPr>
          <w:sz w:val="20"/>
          <w:szCs w:val="20"/>
          <w:color w:val="auto"/>
        </w:rPr>
      </w:pPr>
      <w:r>
        <w:rPr>
          <w:rFonts w:ascii="Calibri" w:cs="Calibri" w:eastAsia="Calibri" w:hAnsi="Calibri"/>
          <w:sz w:val="17"/>
          <w:szCs w:val="17"/>
          <w:color w:val="auto"/>
        </w:rPr>
        <w:t>The following sectons summarize transitons of signifcant programs from mid-stage development to late-stage development as well as developments in signifcant late-stage and registraton programs. AbbVie expects multple mid-stage programs to transiton into late-stage programs in the next 12 months.</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44867"/>
        </w:rPr>
        <w:t>Signifcant Programs and Developments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Immunology</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Skyrizi</w:t>
      </w:r>
    </w:p>
    <w:p>
      <w:pPr>
        <w:spacing w:after="0" w:line="150" w:lineRule="exact"/>
        <w:rPr>
          <w:sz w:val="20"/>
          <w:szCs w:val="20"/>
          <w:color w:val="auto"/>
        </w:rPr>
      </w:pPr>
    </w:p>
    <w:p>
      <w:pPr>
        <w:ind w:left="980" w:right="200" w:hanging="324"/>
        <w:spacing w:after="0" w:line="235" w:lineRule="auto"/>
        <w:tabs>
          <w:tab w:leader="none" w:pos="973"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In January 2022, AbbVie announced that the U.S. Food and Drug Administraton (FDA) approved Skyrizi for the treatment of adults with actve psoriatc arthrits.</w:t>
      </w:r>
    </w:p>
    <w:p>
      <w:pPr>
        <w:spacing w:after="0" w:line="150" w:lineRule="exact"/>
        <w:rPr>
          <w:rFonts w:ascii="Calibri" w:cs="Calibri" w:eastAsia="Calibri" w:hAnsi="Calibri"/>
          <w:sz w:val="18"/>
          <w:szCs w:val="18"/>
          <w:color w:val="auto"/>
        </w:rPr>
      </w:pPr>
    </w:p>
    <w:p>
      <w:pPr>
        <w:ind w:left="500" w:right="180" w:firstLine="156"/>
        <w:spacing w:after="0" w:line="378" w:lineRule="auto"/>
        <w:tabs>
          <w:tab w:leader="none" w:pos="979"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 xml:space="preserve">In June 2022, AbbVie announced that the FDA approved Skyrizi for the treatment of adults with moderately to severely actve Crohn’s disease. </w:t>
      </w:r>
      <w:r>
        <w:rPr>
          <w:rFonts w:ascii="Calibri" w:cs="Calibri" w:eastAsia="Calibri" w:hAnsi="Calibri"/>
          <w:sz w:val="18"/>
          <w:szCs w:val="18"/>
          <w:u w:val="single" w:color="auto"/>
          <w:color w:val="auto"/>
        </w:rPr>
        <w:t>Rinvoq</w:t>
      </w:r>
    </w:p>
    <w:p>
      <w:pPr>
        <w:spacing w:after="0" w:line="23" w:lineRule="exact"/>
        <w:rPr>
          <w:rFonts w:ascii="Calibri" w:cs="Calibri" w:eastAsia="Calibri" w:hAnsi="Calibri"/>
          <w:sz w:val="18"/>
          <w:szCs w:val="18"/>
          <w:color w:val="auto"/>
        </w:rPr>
      </w:pPr>
    </w:p>
    <w:p>
      <w:pPr>
        <w:ind w:left="980" w:right="40" w:hanging="324"/>
        <w:spacing w:after="0" w:line="235" w:lineRule="auto"/>
        <w:tabs>
          <w:tab w:leader="none" w:pos="973"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In January 2022, AbbVie announced its submission of a supplemental New Drug Applicaton (sNDA) to the FDA for Rinvoq for the treatment of adults with actve non-radiographic axial spondyloarthrits (nr-axSpA) with objectve signs of infammaton who have responded inadequately to nonsteroidal ant-infammatory drugs (NSAIDs).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641350</wp:posOffset>
            </wp:positionV>
            <wp:extent cx="51435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26</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28" w:name="page29"/>
    <w:bookmarkEnd w:id="28"/>
    <w:p>
      <w:pPr>
        <w:ind w:left="980" w:right="100" w:hanging="324"/>
        <w:spacing w:after="0" w:line="23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January 2022, AbbVie announced that the FDA approved Rinvoq for the treatment of moderate to severe atopic dermatts in adults and children 12 years of age and older whose disease did not respond to previous treatment and is not well controlled with other pills or injectons, including biologic medicines, or when use of other pills or injectons is not recommended.</w:t>
      </w:r>
    </w:p>
    <w:p>
      <w:pPr>
        <w:spacing w:after="0" w:line="124" w:lineRule="exact"/>
        <w:rPr>
          <w:rFonts w:ascii="Calibri" w:cs="Calibri" w:eastAsia="Calibri" w:hAnsi="Calibri"/>
          <w:sz w:val="18"/>
          <w:szCs w:val="18"/>
          <w:color w:val="auto"/>
        </w:rPr>
      </w:pPr>
    </w:p>
    <w:p>
      <w:pPr>
        <w:ind w:left="980" w:right="80" w:hanging="324"/>
        <w:spacing w:after="0" w:line="22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February 2022, AbbVie was notfed that the European Commission (EC) is requestng the European Medicines Agency (EMA) to assess safety concerns associated with JAK inhibitor products authorized in infammatory diseases and to evaluate the impact of these events on their beneft-risk balance. The assessment covers all JAK inhibitors approved for use in infammatory diseases.</w:t>
      </w:r>
    </w:p>
    <w:p>
      <w:pPr>
        <w:spacing w:after="0" w:line="151" w:lineRule="exact"/>
        <w:rPr>
          <w:rFonts w:ascii="Calibri" w:cs="Calibri" w:eastAsia="Calibri" w:hAnsi="Calibri"/>
          <w:sz w:val="18"/>
          <w:szCs w:val="18"/>
          <w:color w:val="auto"/>
        </w:rPr>
      </w:pPr>
    </w:p>
    <w:p>
      <w:pPr>
        <w:jc w:val="both"/>
        <w:ind w:left="980" w:right="160" w:hanging="324"/>
        <w:spacing w:after="0" w:line="23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February 2022, AbbVie announced top-line results from its second Phase 3 inducton study, U-Excel, for Rinvoq in patents with moderate to severe Crohn’s disease who had an inadequate response or were intolerant to conventonal or biologic therapy met the primary and most key secondary endpoints.</w:t>
      </w:r>
    </w:p>
    <w:p>
      <w:pPr>
        <w:spacing w:after="0" w:line="137" w:lineRule="exact"/>
        <w:rPr>
          <w:rFonts w:ascii="Calibri" w:cs="Calibri" w:eastAsia="Calibri" w:hAnsi="Calibri"/>
          <w:sz w:val="18"/>
          <w:szCs w:val="18"/>
          <w:color w:val="auto"/>
        </w:rPr>
      </w:pPr>
    </w:p>
    <w:p>
      <w:pPr>
        <w:ind w:left="980" w:right="460" w:hanging="324"/>
        <w:spacing w:after="0" w:line="235" w:lineRule="auto"/>
        <w:tabs>
          <w:tab w:leader="none" w:pos="973" w:val="left"/>
        </w:tabs>
        <w:numPr>
          <w:ilvl w:val="0"/>
          <w:numId w:val="8"/>
        </w:numPr>
        <w:rPr>
          <w:rFonts w:ascii="Calibri" w:cs="Calibri" w:eastAsia="Calibri" w:hAnsi="Calibri"/>
          <w:sz w:val="18"/>
          <w:szCs w:val="18"/>
          <w:i w:val="1"/>
          <w:iCs w:val="1"/>
          <w:color w:val="auto"/>
        </w:rPr>
      </w:pPr>
      <w:r>
        <w:rPr>
          <w:rFonts w:ascii="Calibri" w:cs="Calibri" w:eastAsia="Calibri" w:hAnsi="Calibri"/>
          <w:sz w:val="18"/>
          <w:szCs w:val="18"/>
          <w:color w:val="auto"/>
        </w:rPr>
        <w:t>In March 2022, AbbVie announced that the FDA approved Rinvoq for the treatment of adults with moderately to severely actve ulceratve colits (UC) who have had an inadequate response or intolerance to one or more tumor necrosis factor (TNF) blockers.</w:t>
      </w:r>
    </w:p>
    <w:p>
      <w:pPr>
        <w:spacing w:after="0" w:line="150" w:lineRule="exact"/>
        <w:rPr>
          <w:rFonts w:ascii="Calibri" w:cs="Calibri" w:eastAsia="Calibri" w:hAnsi="Calibri"/>
          <w:sz w:val="18"/>
          <w:szCs w:val="18"/>
          <w:i w:val="1"/>
          <w:iCs w:val="1"/>
          <w:color w:val="auto"/>
        </w:rPr>
      </w:pPr>
    </w:p>
    <w:p>
      <w:pPr>
        <w:ind w:left="980" w:right="140" w:hanging="324"/>
        <w:spacing w:after="0" w:line="23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April 2022, AbbVie announced that the FDA approved Rinvoq for the treatment of adults with actve ankylosing spondylits who have had an inadequate response or intolerance to one or more TNF blockers.</w:t>
      </w:r>
    </w:p>
    <w:p>
      <w:pPr>
        <w:spacing w:after="0" w:line="150" w:lineRule="exact"/>
        <w:rPr>
          <w:rFonts w:ascii="Calibri" w:cs="Calibri" w:eastAsia="Calibri" w:hAnsi="Calibri"/>
          <w:sz w:val="18"/>
          <w:szCs w:val="18"/>
          <w:color w:val="auto"/>
        </w:rPr>
      </w:pPr>
    </w:p>
    <w:p>
      <w:pPr>
        <w:jc w:val="both"/>
        <w:ind w:left="980" w:right="480" w:hanging="324"/>
        <w:spacing w:after="0" w:line="254" w:lineRule="auto"/>
        <w:tabs>
          <w:tab w:leader="none" w:pos="97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May 2022, AbbVie announced positve top-line results from U-ENDURE, its Phase 3 maintenance study for Rinvoq in adult patents with moderate to severe Crohn's disease who had an inadequate response or were intolerant to a conventonal or biologic therapy. The results showed that more patents treated with Rinvoq achieved the co-primary and secondary endpoints at one year compared to placebo.</w:t>
      </w:r>
    </w:p>
    <w:p>
      <w:pPr>
        <w:spacing w:after="0" w:line="124" w:lineRule="exact"/>
        <w:rPr>
          <w:rFonts w:ascii="Calibri" w:cs="Calibri" w:eastAsia="Calibri" w:hAnsi="Calibri"/>
          <w:sz w:val="17"/>
          <w:szCs w:val="17"/>
          <w:color w:val="auto"/>
        </w:rPr>
      </w:pPr>
    </w:p>
    <w:p>
      <w:pPr>
        <w:ind w:left="980" w:right="200" w:hanging="324"/>
        <w:spacing w:after="0" w:line="23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July 2022, AbbVie announced that the EC approved Rinvoq for the treatment of adults with moderately to severely actve UC who have had an inadequate response, lost response or were intolerant to either conventonal therapy or a biologic agent.</w:t>
      </w:r>
    </w:p>
    <w:p>
      <w:pPr>
        <w:spacing w:after="0" w:line="150" w:lineRule="exact"/>
        <w:rPr>
          <w:rFonts w:ascii="Calibri" w:cs="Calibri" w:eastAsia="Calibri" w:hAnsi="Calibri"/>
          <w:sz w:val="18"/>
          <w:szCs w:val="18"/>
          <w:color w:val="auto"/>
        </w:rPr>
      </w:pPr>
    </w:p>
    <w:p>
      <w:pPr>
        <w:ind w:left="980" w:right="200" w:hanging="324"/>
        <w:spacing w:after="0" w:line="23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July 2022, AbbVie announced its submission of an sNDA to the FDA and a marketng authorizaton applicaton (MAA) to the EMA for Rinvoq for the treatment of adult patents with moderately to severely actve Crohn’s disease.</w:t>
      </w:r>
    </w:p>
    <w:p>
      <w:pPr>
        <w:spacing w:after="0" w:line="145" w:lineRule="exact"/>
        <w:rPr>
          <w:rFonts w:ascii="Calibri" w:cs="Calibri" w:eastAsia="Calibri" w:hAnsi="Calibri"/>
          <w:sz w:val="18"/>
          <w:szCs w:val="18"/>
          <w:color w:val="auto"/>
        </w:rPr>
      </w:pPr>
    </w:p>
    <w:p>
      <w:pPr>
        <w:ind w:left="980" w:hanging="324"/>
        <w:spacing w:after="0"/>
        <w:tabs>
          <w:tab w:leader="none" w:pos="98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July 2022, AbbVie announced that the EC approved Rinvoq for the treatment of adult patents with actve nr-axSpA.</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Oncology</w:t>
      </w:r>
    </w:p>
    <w:p>
      <w:pPr>
        <w:spacing w:after="0" w:line="131"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Teliso-V</w:t>
      </w:r>
    </w:p>
    <w:p>
      <w:pPr>
        <w:spacing w:after="0" w:line="150" w:lineRule="exact"/>
        <w:rPr>
          <w:sz w:val="20"/>
          <w:szCs w:val="20"/>
          <w:color w:val="auto"/>
        </w:rPr>
      </w:pPr>
    </w:p>
    <w:p>
      <w:pPr>
        <w:ind w:left="980" w:right="80" w:hanging="324"/>
        <w:spacing w:after="0" w:line="235" w:lineRule="auto"/>
        <w:tabs>
          <w:tab w:leader="none" w:pos="973"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 January 2022, AbbVie announced that the FDA granted Breakthrough Therapy Designaton to investgatonal telisotuzumab vedotn (Teliso-V) for the treatment of patents with advanced/metastatc epidermal growth factor receptor wild type, nonsquamous non-small cell lung cancer with high levels of c-Met overexpression whose disease has progressed on or afer platnum-based therapy.</w:t>
      </w:r>
    </w:p>
    <w:p>
      <w:pPr>
        <w:spacing w:after="0" w:line="124" w:lineRule="exact"/>
        <w:rPr>
          <w:rFonts w:ascii="Calibri" w:cs="Calibri" w:eastAsia="Calibri" w:hAnsi="Calibri"/>
          <w:sz w:val="18"/>
          <w:szCs w:val="18"/>
          <w:color w:val="auto"/>
        </w:rPr>
      </w:pPr>
    </w:p>
    <w:p>
      <w:pPr>
        <w:ind w:left="980" w:hanging="324"/>
        <w:spacing w:after="0" w:line="227" w:lineRule="auto"/>
        <w:tabs>
          <w:tab w:leader="none" w:pos="973"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 May 2022, AbbVie initated a Phase 3 clinical trial to evaluate Teliso-V versus docetaxel for the treatment of patents with previously treated c-Met overexpressing, epidermal growth factor receptor wild type, advanced/metastatc non-squamous non-small cell lung cancer.</w:t>
      </w:r>
    </w:p>
    <w:p>
      <w:pPr>
        <w:spacing w:after="0" w:line="133"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Imbruvica</w:t>
      </w:r>
    </w:p>
    <w:p>
      <w:pPr>
        <w:spacing w:after="0" w:line="136" w:lineRule="exact"/>
        <w:rPr>
          <w:sz w:val="20"/>
          <w:szCs w:val="20"/>
          <w:color w:val="auto"/>
        </w:rPr>
      </w:pPr>
    </w:p>
    <w:p>
      <w:pPr>
        <w:ind w:left="980" w:hanging="324"/>
        <w:spacing w:after="0" w:line="235" w:lineRule="auto"/>
        <w:tabs>
          <w:tab w:leader="none" w:pos="973"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In February 2022, AbbVie submited an sNDA to the FDA for Imbruvica for the treatment of pediatric and adolescent patents one year and older with chronic graf versus host disease afer failure of one or more lines of systemic therapy.</w:t>
      </w:r>
    </w:p>
    <w:p>
      <w:pPr>
        <w:spacing w:after="0" w:line="132"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Epcoritamab</w:t>
      </w:r>
    </w:p>
    <w:p>
      <w:pPr>
        <w:spacing w:after="0" w:line="150" w:lineRule="exact"/>
        <w:rPr>
          <w:sz w:val="20"/>
          <w:szCs w:val="20"/>
          <w:color w:val="auto"/>
        </w:rPr>
      </w:pPr>
    </w:p>
    <w:p>
      <w:pPr>
        <w:ind w:left="980" w:right="40" w:hanging="324"/>
        <w:spacing w:after="0" w:line="235" w:lineRule="auto"/>
        <w:tabs>
          <w:tab w:leader="none" w:pos="97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 March 2022, Genmab A/S (Genmab) announced that FDA granted orphan-drug designaton to the investgatonal medicine, epcoritamab (DuoBody-CD3xCD20), for the treatment of follicular lymphoma. Genmab and AbbVie are co-developing epcoritamab and will share commercial responsibilites in the U.S. and Japan, with AbbVie responsible for further global commercializaton.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27</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9" w:name="page30"/>
    <w:bookmarkEnd w:id="29"/>
    <w:p>
      <w:pPr>
        <w:ind w:left="980" w:right="180" w:hanging="324"/>
        <w:spacing w:after="0" w:line="235" w:lineRule="auto"/>
        <w:tabs>
          <w:tab w:leader="none" w:pos="97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In June 2022, AbbVie announced primary results from the large B-cell lymphoma expansion cohort in the EPCORE NHL-1 phase 2 clinical trial evaluatng epcoritamab, an investgatonal subcutaneous bispecifc antbody. In this study, epcoritamab demonstrated efcacy with durable responses in patents who had previously received at least two prior lines of ant-lymphoma therapy including chimeric antgen receptor T-cell therapy.</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Aesthetcs</w:t>
      </w:r>
    </w:p>
    <w:p>
      <w:pPr>
        <w:spacing w:after="0" w:line="131"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Juvederm Collecton</w:t>
      </w:r>
    </w:p>
    <w:p>
      <w:pPr>
        <w:spacing w:after="0" w:line="150" w:lineRule="exact"/>
        <w:rPr>
          <w:sz w:val="20"/>
          <w:szCs w:val="20"/>
          <w:color w:val="auto"/>
        </w:rPr>
      </w:pPr>
    </w:p>
    <w:p>
      <w:pPr>
        <w:ind w:left="980" w:right="20" w:hanging="324"/>
        <w:spacing w:after="0" w:line="235" w:lineRule="auto"/>
        <w:tabs>
          <w:tab w:leader="none" w:pos="973"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In February 2022, AbbVie announced that the FDA approved JUVEDERM VOLBELLA XC for improvement of infraorbital hollows in adults over the age of 21.</w:t>
      </w:r>
    </w:p>
    <w:p>
      <w:pPr>
        <w:spacing w:after="0" w:line="118"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BoNTE</w:t>
      </w:r>
    </w:p>
    <w:p>
      <w:pPr>
        <w:spacing w:after="0" w:line="150" w:lineRule="exact"/>
        <w:rPr>
          <w:sz w:val="20"/>
          <w:szCs w:val="20"/>
          <w:color w:val="auto"/>
        </w:rPr>
      </w:pPr>
    </w:p>
    <w:p>
      <w:pPr>
        <w:ind w:left="980" w:right="380" w:hanging="324"/>
        <w:spacing w:after="0" w:line="235" w:lineRule="auto"/>
        <w:tabs>
          <w:tab w:leader="none" w:pos="97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In March 2022, AbbVie initated three Phase 3 clinical trials to evaluate the efcacy and safety of BoNTE (AGN-151586) for the treatment of glabellar lines.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Neuroscience</w:t>
      </w:r>
    </w:p>
    <w:p>
      <w:pPr>
        <w:spacing w:after="0" w:line="145"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Vraylar</w:t>
      </w:r>
    </w:p>
    <w:p>
      <w:pPr>
        <w:spacing w:after="0" w:line="150" w:lineRule="exact"/>
        <w:rPr>
          <w:sz w:val="20"/>
          <w:szCs w:val="20"/>
          <w:color w:val="auto"/>
        </w:rPr>
      </w:pPr>
    </w:p>
    <w:p>
      <w:pPr>
        <w:ind w:left="980" w:right="200" w:hanging="324"/>
        <w:spacing w:after="0" w:line="235" w:lineRule="auto"/>
        <w:tabs>
          <w:tab w:leader="none" w:pos="97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 February 2022, AbbVie submited an sNDA to the FDA for Vraylar for the adjunctve treatment of major depressive disorder in patents who are receiving ongoing antdepressant therapy.</w:t>
      </w:r>
    </w:p>
    <w:p>
      <w:pPr>
        <w:spacing w:after="0" w:line="132"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Qulipta</w:t>
      </w:r>
    </w:p>
    <w:p>
      <w:pPr>
        <w:spacing w:after="0" w:line="150" w:lineRule="exact"/>
        <w:rPr>
          <w:sz w:val="20"/>
          <w:szCs w:val="20"/>
          <w:color w:val="auto"/>
        </w:rPr>
      </w:pPr>
    </w:p>
    <w:p>
      <w:pPr>
        <w:ind w:left="980" w:right="40" w:hanging="324"/>
        <w:spacing w:after="0" w:line="258" w:lineRule="auto"/>
        <w:tabs>
          <w:tab w:leader="none" w:pos="973"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In March 2022, AbbVie announced results from the Phase 3 PROGRESS trial for Qulipta in the preventve treatment of chronic migraine in adults met the primary endpoint and resulted in signifcant improvements in all secondary endpoints afer adjustment for multple comparisons.</w:t>
      </w:r>
    </w:p>
    <w:p>
      <w:pPr>
        <w:spacing w:after="0" w:line="129" w:lineRule="exact"/>
        <w:rPr>
          <w:rFonts w:ascii="Calibri" w:cs="Calibri" w:eastAsia="Calibri" w:hAnsi="Calibri"/>
          <w:sz w:val="17"/>
          <w:szCs w:val="17"/>
          <w:color w:val="auto"/>
        </w:rPr>
      </w:pPr>
    </w:p>
    <w:p>
      <w:pPr>
        <w:ind w:left="980" w:hanging="324"/>
        <w:spacing w:after="0"/>
        <w:tabs>
          <w:tab w:leader="none" w:pos="9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In June 2022, AbbVie submited an sNDA to the FDA for Qulipta for the preventatve treatment of chronic migraine in adults.</w:t>
      </w:r>
    </w:p>
    <w:p>
      <w:pPr>
        <w:spacing w:after="0" w:line="136" w:lineRule="exact"/>
        <w:rPr>
          <w:rFonts w:ascii="Calibri" w:cs="Calibri" w:eastAsia="Calibri" w:hAnsi="Calibri"/>
          <w:sz w:val="18"/>
          <w:szCs w:val="18"/>
          <w:color w:val="auto"/>
        </w:rPr>
      </w:pPr>
    </w:p>
    <w:p>
      <w:pPr>
        <w:ind w:left="980" w:right="280" w:hanging="324"/>
        <w:spacing w:after="0" w:line="235" w:lineRule="auto"/>
        <w:tabs>
          <w:tab w:leader="none" w:pos="97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In July 2022, AbbVie submited an MAA to the EMA for Qulipta for the prophylactc treatment of migraine in adult patents who have at least four migraine days per month.</w:t>
      </w:r>
    </w:p>
    <w:p>
      <w:pPr>
        <w:spacing w:after="0" w:line="145"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ABBV-951</w:t>
      </w:r>
    </w:p>
    <w:p>
      <w:pPr>
        <w:spacing w:after="0" w:line="136" w:lineRule="exact"/>
        <w:rPr>
          <w:sz w:val="20"/>
          <w:szCs w:val="20"/>
          <w:color w:val="auto"/>
        </w:rPr>
      </w:pPr>
    </w:p>
    <w:p>
      <w:pPr>
        <w:ind w:left="980" w:right="580" w:hanging="324"/>
        <w:spacing w:after="0" w:line="227" w:lineRule="auto"/>
        <w:tabs>
          <w:tab w:leader="none" w:pos="97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In May 2022, AbbVie submited a New Drug Applicaton to the FDA for ABBV-951 (foscarbidopa/foslevodopa) for the treatment of motor fuctuatons in patents with advanced Parkinson's disease.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Eye Care</w:t>
      </w:r>
    </w:p>
    <w:p>
      <w:pPr>
        <w:spacing w:after="0" w:line="145" w:lineRule="exact"/>
        <w:rPr>
          <w:sz w:val="20"/>
          <w:szCs w:val="20"/>
          <w:color w:val="auto"/>
        </w:rPr>
      </w:pPr>
    </w:p>
    <w:p>
      <w:pPr>
        <w:ind w:left="340"/>
        <w:spacing w:after="0"/>
        <w:rPr>
          <w:sz w:val="20"/>
          <w:szCs w:val="20"/>
          <w:color w:val="auto"/>
        </w:rPr>
      </w:pPr>
      <w:r>
        <w:rPr>
          <w:rFonts w:ascii="Calibri" w:cs="Calibri" w:eastAsia="Calibri" w:hAnsi="Calibri"/>
          <w:sz w:val="18"/>
          <w:szCs w:val="18"/>
          <w:u w:val="single" w:color="auto"/>
          <w:color w:val="auto"/>
        </w:rPr>
        <w:t>Vuity</w:t>
      </w:r>
    </w:p>
    <w:p>
      <w:pPr>
        <w:spacing w:after="0" w:line="163" w:lineRule="exact"/>
        <w:rPr>
          <w:sz w:val="20"/>
          <w:szCs w:val="20"/>
          <w:color w:val="auto"/>
        </w:rPr>
      </w:pPr>
    </w:p>
    <w:p>
      <w:pPr>
        <w:ind w:left="980" w:right="160" w:hanging="324"/>
        <w:spacing w:after="0" w:line="222" w:lineRule="auto"/>
        <w:tabs>
          <w:tab w:leader="none" w:pos="973" w:val="left"/>
        </w:tabs>
        <w:numPr>
          <w:ilvl w:val="0"/>
          <w:numId w:val="18"/>
        </w:numPr>
        <w:rPr>
          <w:rFonts w:ascii="Calibri" w:cs="Calibri" w:eastAsia="Calibri" w:hAnsi="Calibri"/>
          <w:sz w:val="20"/>
          <w:szCs w:val="20"/>
          <w:color w:val="auto"/>
        </w:rPr>
      </w:pPr>
      <w:r>
        <w:rPr>
          <w:rFonts w:ascii="Calibri" w:cs="Calibri" w:eastAsia="Calibri" w:hAnsi="Calibri"/>
          <w:sz w:val="18"/>
          <w:szCs w:val="18"/>
          <w:color w:val="auto"/>
        </w:rPr>
        <w:t>In April 2022, AbbVie announced that the Phase 3 VIRGO trial evaluatng the safety and efcacy of investgatonal twice-daily administraton of Vuity 1.25% in adults with presbyopia met its primary efcacy endpoint.</w:t>
      </w:r>
    </w:p>
    <w:p>
      <w:pPr>
        <w:spacing w:after="0" w:line="133" w:lineRule="exact"/>
        <w:rPr>
          <w:rFonts w:ascii="Calibri" w:cs="Calibri" w:eastAsia="Calibri" w:hAnsi="Calibri"/>
          <w:sz w:val="20"/>
          <w:szCs w:val="20"/>
          <w:color w:val="auto"/>
        </w:rPr>
      </w:pPr>
    </w:p>
    <w:p>
      <w:pPr>
        <w:ind w:left="980" w:hanging="324"/>
        <w:spacing w:after="0"/>
        <w:tabs>
          <w:tab w:leader="none" w:pos="98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In June 2022, AbbVie submited an sNDA to the FDA for twice-daily administraton of Vuity 1.25% in adults with presbyopia.</w:t>
      </w:r>
    </w:p>
    <w:p>
      <w:pPr>
        <w:spacing w:after="0" w:line="13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For a more comprehensive discussion of AbbVie’s products and pipeline, see the company’s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color w:val="444867"/>
        </w:rPr>
        <w:t>RESULTS OF OPERATIONS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Net Revenues</w:t>
      </w:r>
    </w:p>
    <w:p>
      <w:pPr>
        <w:spacing w:after="0" w:line="13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comparisons presented at constant currency rates refect comparatve local currency net revenues at the prior year’s foreign exchange rates. This measure provides informaton on the change in net revenues assuming that foreign currency exchange rates had not changed between the prior and current periods. AbbVie believes that the non-GAAP measure of change in net revenues at constant currency rates, when used in conjuncton with the GAAP measure of change in net revenues at actual currency rates, may provide a more complete understanding of the company’s operatons and can facilitate analysis of the company’s results of operatons, partcularly in evaluatng performance from one period to another.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vMerge w:val="restart"/>
          </w:tcPr>
          <w:p>
            <w:pPr>
              <w:ind w:left="100"/>
              <w:spacing w:after="0"/>
              <w:rPr>
                <w:sz w:val="20"/>
                <w:szCs w:val="20"/>
                <w:color w:val="auto"/>
              </w:rPr>
            </w:pPr>
            <w:r>
              <w:rPr>
                <w:rFonts w:ascii="Calibri" w:cs="Calibri" w:eastAsia="Calibri" w:hAnsi="Calibri"/>
                <w:sz w:val="14"/>
                <w:szCs w:val="14"/>
                <w:b w:val="1"/>
                <w:bCs w:val="1"/>
                <w:color w:val="auto"/>
              </w:rPr>
              <w:t>Three months ended</w:t>
            </w:r>
          </w:p>
        </w:tc>
        <w:tc>
          <w:tcPr>
            <w:tcW w:w="2640" w:type="dxa"/>
            <w:vAlign w:val="bottom"/>
            <w:gridSpan w:val="3"/>
          </w:tcPr>
          <w:p>
            <w:pPr>
              <w:ind w:left="80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740" w:type="dxa"/>
            <w:vAlign w:val="bottom"/>
            <w:gridSpan w:val="4"/>
            <w:vMerge w:val="restart"/>
          </w:tcPr>
          <w:p>
            <w:pPr>
              <w:ind w:left="180"/>
              <w:spacing w:after="0"/>
              <w:rPr>
                <w:sz w:val="20"/>
                <w:szCs w:val="20"/>
                <w:color w:val="auto"/>
              </w:rPr>
            </w:pPr>
            <w:r>
              <w:rPr>
                <w:rFonts w:ascii="Calibri" w:cs="Calibri" w:eastAsia="Calibri" w:hAnsi="Calibri"/>
                <w:sz w:val="14"/>
                <w:szCs w:val="14"/>
                <w:b w:val="1"/>
                <w:bCs w:val="1"/>
                <w:color w:val="auto"/>
              </w:rPr>
              <w:t>Six months ended</w:t>
            </w:r>
          </w:p>
        </w:tc>
        <w:tc>
          <w:tcPr>
            <w:tcW w:w="2560" w:type="dxa"/>
            <w:vAlign w:val="bottom"/>
            <w:gridSpan w:val="2"/>
          </w:tcPr>
          <w:p>
            <w:pPr>
              <w:jc w:val="right"/>
              <w:ind w:right="74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22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180" w:type="dxa"/>
            <w:vAlign w:val="bottom"/>
          </w:tcPr>
          <w:p>
            <w:pPr>
              <w:spacing w:after="0"/>
              <w:rPr>
                <w:sz w:val="13"/>
                <w:szCs w:val="13"/>
                <w:color w:val="auto"/>
              </w:rPr>
            </w:pPr>
          </w:p>
        </w:tc>
        <w:tc>
          <w:tcPr>
            <w:tcW w:w="1000" w:type="dxa"/>
            <w:vAlign w:val="bottom"/>
            <w:gridSpan w:val="2"/>
          </w:tcPr>
          <w:p>
            <w:pPr>
              <w:ind w:left="460"/>
              <w:spacing w:after="0" w:line="150" w:lineRule="exact"/>
              <w:rPr>
                <w:sz w:val="20"/>
                <w:szCs w:val="20"/>
                <w:color w:val="auto"/>
              </w:rPr>
            </w:pPr>
            <w:r>
              <w:rPr>
                <w:rFonts w:ascii="Calibri" w:cs="Calibri" w:eastAsia="Calibri" w:hAnsi="Calibri"/>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428"/>
              <w:spacing w:after="0" w:line="169" w:lineRule="exact"/>
              <w:rPr>
                <w:sz w:val="20"/>
                <w:szCs w:val="20"/>
                <w:color w:val="auto"/>
              </w:rPr>
            </w:pPr>
            <w:r>
              <w:rPr>
                <w:rFonts w:ascii="Calibri" w:cs="Calibri" w:eastAsia="Calibri" w:hAnsi="Calibri"/>
                <w:sz w:val="14"/>
                <w:szCs w:val="14"/>
                <w:b w:val="1"/>
                <w:bCs w:val="1"/>
                <w:color w:val="auto"/>
              </w:rPr>
              <w:t>At actual</w:t>
            </w:r>
          </w:p>
        </w:tc>
        <w:tc>
          <w:tcPr>
            <w:tcW w:w="1280" w:type="dxa"/>
            <w:vAlign w:val="bottom"/>
            <w:gridSpan w:val="2"/>
            <w:vMerge w:val="restart"/>
          </w:tcPr>
          <w:p>
            <w:pPr>
              <w:jc w:val="center"/>
              <w:ind w:right="160"/>
              <w:spacing w:after="0" w:line="169" w:lineRule="exact"/>
              <w:rPr>
                <w:sz w:val="20"/>
                <w:szCs w:val="20"/>
                <w:color w:val="auto"/>
              </w:rPr>
            </w:pPr>
            <w:r>
              <w:rPr>
                <w:rFonts w:ascii="Calibri" w:cs="Calibri" w:eastAsia="Calibri" w:hAnsi="Calibri"/>
                <w:sz w:val="14"/>
                <w:szCs w:val="14"/>
                <w:b w:val="1"/>
                <w:bCs w:val="1"/>
                <w:color w:val="auto"/>
              </w:rPr>
              <w:t>At constant</w:t>
            </w:r>
          </w:p>
        </w:tc>
        <w:tc>
          <w:tcPr>
            <w:tcW w:w="180" w:type="dxa"/>
            <w:vAlign w:val="bottom"/>
          </w:tcPr>
          <w:p>
            <w:pPr>
              <w:spacing w:after="0"/>
              <w:rPr>
                <w:sz w:val="13"/>
                <w:szCs w:val="13"/>
                <w:color w:val="auto"/>
              </w:rPr>
            </w:pPr>
          </w:p>
        </w:tc>
        <w:tc>
          <w:tcPr>
            <w:tcW w:w="1020" w:type="dxa"/>
            <w:vAlign w:val="bottom"/>
            <w:gridSpan w:val="2"/>
          </w:tcPr>
          <w:p>
            <w:pPr>
              <w:jc w:val="right"/>
              <w:spacing w:after="0" w:line="150" w:lineRule="exact"/>
              <w:rPr>
                <w:sz w:val="20"/>
                <w:szCs w:val="20"/>
                <w:color w:val="auto"/>
              </w:rPr>
            </w:pPr>
            <w:r>
              <w:rPr>
                <w:rFonts w:ascii="Calibri" w:cs="Calibri" w:eastAsia="Calibri" w:hAnsi="Calibri"/>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448"/>
              <w:spacing w:after="0" w:line="169" w:lineRule="exact"/>
              <w:rPr>
                <w:sz w:val="20"/>
                <w:szCs w:val="20"/>
                <w:color w:val="auto"/>
              </w:rPr>
            </w:pPr>
            <w:r>
              <w:rPr>
                <w:rFonts w:ascii="Calibri" w:cs="Calibri" w:eastAsia="Calibri" w:hAnsi="Calibri"/>
                <w:sz w:val="14"/>
                <w:szCs w:val="14"/>
                <w:b w:val="1"/>
                <w:bCs w:val="1"/>
                <w:color w:val="auto"/>
              </w:rPr>
              <w:t>At actual</w:t>
            </w:r>
          </w:p>
        </w:tc>
        <w:tc>
          <w:tcPr>
            <w:tcW w:w="1180" w:type="dxa"/>
            <w:vAlign w:val="bottom"/>
            <w:vMerge w:val="restart"/>
          </w:tcPr>
          <w:p>
            <w:pPr>
              <w:jc w:val="right"/>
              <w:ind w:right="208"/>
              <w:spacing w:after="0" w:line="169" w:lineRule="exact"/>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33"/>
        </w:trPr>
        <w:tc>
          <w:tcPr>
            <w:tcW w:w="222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00"/>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600" w:type="dxa"/>
            <w:vAlign w:val="bottom"/>
          </w:tcPr>
          <w:p>
            <w:pPr>
              <w:jc w:val="right"/>
              <w:ind w:right="188"/>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4"/>
                <w:szCs w:val="14"/>
                <w:color w:val="auto"/>
              </w:rPr>
            </w:pPr>
          </w:p>
        </w:tc>
        <w:tc>
          <w:tcPr>
            <w:tcW w:w="1360" w:type="dxa"/>
            <w:vAlign w:val="bottom"/>
          </w:tcPr>
          <w:p>
            <w:pPr>
              <w:jc w:val="right"/>
              <w:ind w:right="26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280" w:type="dxa"/>
            <w:vAlign w:val="bottom"/>
            <w:gridSpan w:val="2"/>
          </w:tcPr>
          <w:p>
            <w:pPr>
              <w:jc w:val="center"/>
              <w:ind w:right="140"/>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80" w:type="dxa"/>
            <w:vAlign w:val="bottom"/>
          </w:tcPr>
          <w:p>
            <w:pPr>
              <w:spacing w:after="0"/>
              <w:rPr>
                <w:sz w:val="14"/>
                <w:szCs w:val="14"/>
                <w:color w:val="auto"/>
              </w:rPr>
            </w:pPr>
          </w:p>
        </w:tc>
        <w:tc>
          <w:tcPr>
            <w:tcW w:w="70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60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4"/>
                <w:szCs w:val="14"/>
                <w:color w:val="auto"/>
              </w:rPr>
            </w:pPr>
          </w:p>
        </w:tc>
        <w:tc>
          <w:tcPr>
            <w:tcW w:w="1380" w:type="dxa"/>
            <w:vAlign w:val="bottom"/>
          </w:tcPr>
          <w:p>
            <w:pPr>
              <w:jc w:val="right"/>
              <w:ind w:right="26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180" w:type="dxa"/>
            <w:vAlign w:val="bottom"/>
          </w:tcPr>
          <w:p>
            <w:pPr>
              <w:jc w:val="right"/>
              <w:ind w:right="10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33"/>
        </w:trPr>
        <w:tc>
          <w:tcPr>
            <w:tcW w:w="2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United States</w:t>
            </w: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11,410</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10,804</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5.6 %</w:t>
            </w:r>
          </w:p>
        </w:tc>
        <w:tc>
          <w:tcPr>
            <w:tcW w:w="1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5.6 %</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21,758</w:t>
            </w:r>
          </w:p>
        </w:tc>
        <w:tc>
          <w:tcPr>
            <w:tcW w:w="32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20,554</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5.9 %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5.9 %</w:t>
            </w:r>
          </w:p>
        </w:tc>
        <w:tc>
          <w:tcPr>
            <w:tcW w:w="0" w:type="dxa"/>
            <w:vAlign w:val="bottom"/>
          </w:tcPr>
          <w:p>
            <w:pPr>
              <w:spacing w:after="0"/>
              <w:rPr>
                <w:sz w:val="1"/>
                <w:szCs w:val="1"/>
                <w:color w:val="auto"/>
              </w:rPr>
            </w:pPr>
          </w:p>
        </w:tc>
      </w:tr>
      <w:tr>
        <w:trPr>
          <w:trHeight w:val="170"/>
        </w:trPr>
        <w:tc>
          <w:tcPr>
            <w:tcW w:w="2220" w:type="dxa"/>
            <w:vAlign w:val="bottom"/>
          </w:tcPr>
          <w:p>
            <w:pPr>
              <w:ind w:left="260"/>
              <w:spacing w:after="0"/>
              <w:rPr>
                <w:sz w:val="20"/>
                <w:szCs w:val="20"/>
                <w:color w:val="auto"/>
              </w:rPr>
            </w:pPr>
            <w:r>
              <w:rPr>
                <w:rFonts w:ascii="Calibri" w:cs="Calibri" w:eastAsia="Calibri" w:hAnsi="Calibri"/>
                <w:sz w:val="14"/>
                <w:szCs w:val="14"/>
                <w:color w:val="auto"/>
              </w:rPr>
              <w:t>Internatonal</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3,173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3,155</w:t>
            </w:r>
          </w:p>
        </w:tc>
        <w:tc>
          <w:tcPr>
            <w:tcW w:w="12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alibri" w:cs="Calibri" w:eastAsia="Calibri" w:hAnsi="Calibri"/>
                <w:sz w:val="14"/>
                <w:szCs w:val="14"/>
                <w:color w:val="auto"/>
              </w:rPr>
              <w:t>0.6 %</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7.6 %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6,363</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6,415</w:t>
            </w:r>
          </w:p>
        </w:tc>
        <w:tc>
          <w:tcPr>
            <w:tcW w:w="12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alibri" w:cs="Calibri" w:eastAsia="Calibri" w:hAnsi="Calibri"/>
                <w:sz w:val="14"/>
                <w:szCs w:val="14"/>
                <w:color w:val="auto"/>
              </w:rPr>
              <w:t>(0.8)%</w:t>
            </w:r>
          </w:p>
        </w:tc>
        <w:tc>
          <w:tcPr>
            <w:tcW w:w="1180" w:type="dxa"/>
            <w:vAlign w:val="bottom"/>
          </w:tcPr>
          <w:p>
            <w:pPr>
              <w:jc w:val="right"/>
              <w:spacing w:after="0"/>
              <w:rPr>
                <w:sz w:val="20"/>
                <w:szCs w:val="20"/>
                <w:color w:val="auto"/>
              </w:rPr>
            </w:pPr>
            <w:r>
              <w:rPr>
                <w:rFonts w:ascii="Calibri" w:cs="Calibri" w:eastAsia="Calibri" w:hAnsi="Calibri"/>
                <w:sz w:val="14"/>
                <w:szCs w:val="14"/>
                <w:color w:val="auto"/>
              </w:rPr>
              <w:t>5.3 %</w:t>
            </w:r>
          </w:p>
        </w:tc>
        <w:tc>
          <w:tcPr>
            <w:tcW w:w="0" w:type="dxa"/>
            <w:vAlign w:val="bottom"/>
          </w:tcPr>
          <w:p>
            <w:pPr>
              <w:spacing w:after="0"/>
              <w:rPr>
                <w:sz w:val="1"/>
                <w:szCs w:val="1"/>
                <w:color w:val="auto"/>
              </w:rPr>
            </w:pPr>
          </w:p>
        </w:tc>
      </w:tr>
      <w:tr>
        <w:trPr>
          <w:trHeight w:val="33"/>
        </w:trPr>
        <w:tc>
          <w:tcPr>
            <w:tcW w:w="2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Net revenues</w:t>
            </w: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14,583</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13,959</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4.5 %</w:t>
            </w:r>
          </w:p>
        </w:tc>
        <w:tc>
          <w:tcPr>
            <w:tcW w:w="1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6.1 %</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28,121</w:t>
            </w:r>
          </w:p>
        </w:tc>
        <w:tc>
          <w:tcPr>
            <w:tcW w:w="32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26,969</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4.3 %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5.7 %</w:t>
            </w:r>
          </w:p>
        </w:tc>
        <w:tc>
          <w:tcPr>
            <w:tcW w:w="0" w:type="dxa"/>
            <w:vAlign w:val="bottom"/>
          </w:tcPr>
          <w:p>
            <w:pPr>
              <w:spacing w:after="0"/>
              <w:rPr>
                <w:sz w:val="1"/>
                <w:szCs w:val="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471170</wp:posOffset>
            </wp:positionV>
            <wp:extent cx="51435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29</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color w:val="auto"/>
        </w:rPr>
        <w:t>The following table details AbbVie’s worldwide net revenues: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vMerge w:val="restart"/>
          </w:tcPr>
          <w:p>
            <w:pPr>
              <w:jc w:val="right"/>
              <w:ind w:right="248"/>
              <w:spacing w:after="0"/>
              <w:rPr>
                <w:sz w:val="20"/>
                <w:szCs w:val="20"/>
                <w:color w:val="auto"/>
              </w:rPr>
            </w:pPr>
            <w:r>
              <w:rPr>
                <w:rFonts w:ascii="Calibri" w:cs="Calibri" w:eastAsia="Calibri" w:hAnsi="Calibri"/>
                <w:sz w:val="14"/>
                <w:szCs w:val="14"/>
                <w:b w:val="1"/>
                <w:bCs w:val="1"/>
                <w:color w:val="auto"/>
              </w:rPr>
              <w:t>Three months ended</w:t>
            </w:r>
          </w:p>
        </w:tc>
        <w:tc>
          <w:tcPr>
            <w:tcW w:w="2140" w:type="dxa"/>
            <w:vAlign w:val="bottom"/>
            <w:gridSpan w:val="3"/>
          </w:tcPr>
          <w:p>
            <w:pPr>
              <w:ind w:left="560"/>
              <w:spacing w:after="0"/>
              <w:rPr>
                <w:sz w:val="20"/>
                <w:szCs w:val="20"/>
                <w:color w:val="auto"/>
              </w:rPr>
            </w:pPr>
            <w:r>
              <w:rPr>
                <w:rFonts w:ascii="Calibri" w:cs="Calibri" w:eastAsia="Calibri" w:hAnsi="Calibri"/>
                <w:sz w:val="14"/>
                <w:szCs w:val="14"/>
                <w:b w:val="1"/>
                <w:bCs w:val="1"/>
                <w:color w:val="auto"/>
              </w:rPr>
              <w:t>Percent change</w:t>
            </w:r>
          </w:p>
        </w:tc>
        <w:tc>
          <w:tcPr>
            <w:tcW w:w="160" w:type="dxa"/>
            <w:vAlign w:val="bottom"/>
          </w:tcPr>
          <w:p>
            <w:pPr>
              <w:spacing w:after="0"/>
              <w:rPr>
                <w:sz w:val="14"/>
                <w:szCs w:val="14"/>
                <w:color w:val="auto"/>
              </w:rPr>
            </w:pPr>
          </w:p>
        </w:tc>
        <w:tc>
          <w:tcPr>
            <w:tcW w:w="1620" w:type="dxa"/>
            <w:vAlign w:val="bottom"/>
            <w:gridSpan w:val="3"/>
            <w:vMerge w:val="restart"/>
          </w:tcPr>
          <w:p>
            <w:pPr>
              <w:jc w:val="right"/>
              <w:ind w:right="348"/>
              <w:spacing w:after="0"/>
              <w:rPr>
                <w:sz w:val="20"/>
                <w:szCs w:val="20"/>
                <w:color w:val="auto"/>
              </w:rPr>
            </w:pPr>
            <w:r>
              <w:rPr>
                <w:rFonts w:ascii="Calibri" w:cs="Calibri" w:eastAsia="Calibri" w:hAnsi="Calibri"/>
                <w:sz w:val="14"/>
                <w:szCs w:val="14"/>
                <w:b w:val="1"/>
                <w:bCs w:val="1"/>
                <w:color w:val="auto"/>
              </w:rPr>
              <w:t>Six months ended</w:t>
            </w:r>
          </w:p>
        </w:tc>
        <w:tc>
          <w:tcPr>
            <w:tcW w:w="2060" w:type="dxa"/>
            <w:vAlign w:val="bottom"/>
            <w:gridSpan w:val="2"/>
          </w:tcPr>
          <w:p>
            <w:pPr>
              <w:jc w:val="right"/>
              <w:ind w:right="50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15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140" w:type="dxa"/>
            <w:vAlign w:val="bottom"/>
            <w:gridSpan w:val="2"/>
            <w:vMerge w:val="restart"/>
          </w:tcPr>
          <w:p>
            <w:pPr>
              <w:jc w:val="center"/>
              <w:ind w:right="140"/>
              <w:spacing w:after="0"/>
              <w:rPr>
                <w:sz w:val="20"/>
                <w:szCs w:val="20"/>
                <w:color w:val="auto"/>
              </w:rPr>
            </w:pPr>
            <w:r>
              <w:rPr>
                <w:rFonts w:ascii="Calibri" w:cs="Calibri" w:eastAsia="Calibri" w:hAnsi="Calibri"/>
                <w:sz w:val="14"/>
                <w:szCs w:val="14"/>
                <w:b w:val="1"/>
                <w:bCs w:val="1"/>
                <w:color w:val="auto"/>
              </w:rPr>
              <w:t>At constant</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60" w:type="dxa"/>
            <w:vAlign w:val="bottom"/>
          </w:tcPr>
          <w:p>
            <w:pPr>
              <w:spacing w:after="0"/>
              <w:rPr>
                <w:sz w:val="14"/>
                <w:szCs w:val="14"/>
                <w:color w:val="auto"/>
              </w:rPr>
            </w:pPr>
          </w:p>
        </w:tc>
        <w:tc>
          <w:tcPr>
            <w:tcW w:w="102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04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6"/>
        </w:trPr>
        <w:tc>
          <w:tcPr>
            <w:tcW w:w="15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52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00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line="20" w:lineRule="exact"/>
              <w:rPr>
                <w:sz w:val="1"/>
                <w:szCs w:val="1"/>
                <w:color w:val="auto"/>
              </w:rPr>
            </w:pPr>
          </w:p>
        </w:tc>
        <w:tc>
          <w:tcPr>
            <w:tcW w:w="660" w:type="dxa"/>
            <w:vAlign w:val="bottom"/>
            <w:vMerge w:val="restart"/>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10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14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currency rates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0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6"/>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5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Immunology</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Humira</w:t>
            </w: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4,664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4,257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9.6 %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8,657</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8,164</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6.0 %</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699</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811</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(13.8)%</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1,442</w:t>
            </w:r>
          </w:p>
        </w:tc>
        <w:tc>
          <w:tcPr>
            <w:tcW w:w="3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1,771</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(18.6)%</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(13.1)%</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5,363</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5,068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5.8 %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6.8 %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10,099</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9,935</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2.7 %</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Skyrizi</w:t>
            </w:r>
          </w:p>
        </w:tc>
        <w:tc>
          <w:tcPr>
            <w:tcW w:w="1960" w:type="dxa"/>
            <w:vAlign w:val="bottom"/>
            <w:tcBorders>
              <w:top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1,079</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565</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91.1 %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91.1 %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1,860</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1,046</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77.8 %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77.8 %</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173</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59.1 %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73.9 %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332</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202</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64.7 %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78.1 %</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1,252</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674</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85.9 %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88.3 %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2,192</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1,248</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75.7 %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77.9 %</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Rinvoq</w:t>
            </w:r>
          </w:p>
        </w:tc>
        <w:tc>
          <w:tcPr>
            <w:tcW w:w="1960" w:type="dxa"/>
            <w:vAlign w:val="bottom"/>
            <w:tcBorders>
              <w:bottom w:val="single" w:sz="8" w:color="CCEEFF"/>
            </w:tcBorders>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412</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296</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39.4 %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39.4 %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723</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541</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33.7 %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33.7 %</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180</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82</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&gt;100.0 %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&gt;100.0 %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334</w:t>
            </w:r>
          </w:p>
        </w:tc>
        <w:tc>
          <w:tcPr>
            <w:tcW w:w="3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140</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&gt;100.0 %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592</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378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56.3 %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60.7 %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1,057</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681</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55.1 %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59.2 %</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Hematologic Oncology</w:t>
            </w:r>
          </w:p>
        </w:tc>
        <w:tc>
          <w:tcPr>
            <w:tcW w:w="1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Imbruvica</w:t>
            </w: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862</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1,099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(21.6)%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1,736</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2,098</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(17.2)%</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Calibri" w:cs="Calibri" w:eastAsia="Calibri" w:hAnsi="Calibri"/>
                <w:sz w:val="14"/>
                <w:szCs w:val="14"/>
                <w:color w:val="auto"/>
              </w:rPr>
              <w:t>Collaboraton revenues</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283</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282</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0.5 %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0.5 %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582</w:t>
            </w:r>
          </w:p>
        </w:tc>
        <w:tc>
          <w:tcPr>
            <w:tcW w:w="3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551</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5.6 %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5.6 %</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1,145</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1,381</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2,318</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2,649</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(12.5)%</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Venclexta</w:t>
            </w:r>
          </w:p>
        </w:tc>
        <w:tc>
          <w:tcPr>
            <w:tcW w:w="1960" w:type="dxa"/>
            <w:vAlign w:val="bottom"/>
            <w:tcBorders>
              <w:top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253</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223</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13.4 %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13.4 %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481</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448</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7.5 %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7.5 %</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252</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212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19.1 %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29.3 %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497</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392</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26.8 %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36.7 %</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505</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435</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16.2 %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21.2 %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978</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840</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16.5 %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21.1 %</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Aesthetcs</w:t>
            </w:r>
          </w:p>
        </w:tc>
        <w:tc>
          <w:tcPr>
            <w:tcW w:w="1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Calibri" w:cs="Calibri" w:eastAsia="Calibri" w:hAnsi="Calibri"/>
                <w:sz w:val="14"/>
                <w:szCs w:val="14"/>
                <w:color w:val="auto"/>
              </w:rPr>
              <w:t>Botox Cosmetc</w:t>
            </w:r>
          </w:p>
        </w:tc>
        <w:tc>
          <w:tcPr>
            <w:tcW w:w="1960" w:type="dxa"/>
            <w:vAlign w:val="bottom"/>
          </w:tcPr>
          <w:p>
            <w:pPr>
              <w:ind w:left="160"/>
              <w:spacing w:after="0"/>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449</w:t>
            </w:r>
          </w:p>
        </w:tc>
        <w:tc>
          <w:tcPr>
            <w:tcW w:w="2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366</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22.4 %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22.4 %</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862</w:t>
            </w:r>
          </w:p>
        </w:tc>
        <w:tc>
          <w:tcPr>
            <w:tcW w:w="30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671</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28.3 %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28.3 %</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246</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218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19.2 %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474</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390</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21.5 %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27.7 %</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695</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584</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18.9 %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21.2 %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1,336</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1,061</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25.8 %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28.1 %</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Juvederm Collecton</w:t>
            </w:r>
          </w:p>
        </w:tc>
        <w:tc>
          <w:tcPr>
            <w:tcW w:w="1960" w:type="dxa"/>
            <w:vAlign w:val="bottom"/>
            <w:tcBorders>
              <w:bottom w:val="single" w:sz="8" w:color="CCEEFF"/>
            </w:tcBorders>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147</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196</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(24.9)%</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295</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319</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(7.5)%</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(7.5)%</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197</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232</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(15.0)%</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459</w:t>
            </w:r>
          </w:p>
        </w:tc>
        <w:tc>
          <w:tcPr>
            <w:tcW w:w="3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430</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6.7 %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13.0 %</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344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428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(19.5)%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754</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749</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0.7 %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4.3 %</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Other Aesthetcs</w:t>
            </w:r>
          </w:p>
        </w:tc>
        <w:tc>
          <w:tcPr>
            <w:tcW w:w="1960" w:type="dxa"/>
            <w:vAlign w:val="bottom"/>
            <w:tcBorders>
              <w:top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287</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363</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(20.9)%</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(20.9)%</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572</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663</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(13.6)%</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(13.6)%</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45</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(24.4)%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83</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102</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(18.3)%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(14.3)%</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332</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422</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(21.4)%</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(20.8)%</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655</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765</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(14.2)%</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(13.7)%</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Neuroscience</w:t>
            </w:r>
          </w:p>
        </w:tc>
        <w:tc>
          <w:tcPr>
            <w:tcW w:w="1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Calibri" w:cs="Calibri" w:eastAsia="Calibri" w:hAnsi="Calibri"/>
                <w:sz w:val="14"/>
                <w:szCs w:val="14"/>
                <w:color w:val="auto"/>
              </w:rPr>
              <w:t>Botox Therapeutc</w:t>
            </w:r>
          </w:p>
        </w:tc>
        <w:tc>
          <w:tcPr>
            <w:tcW w:w="1960" w:type="dxa"/>
            <w:vAlign w:val="bottom"/>
          </w:tcPr>
          <w:p>
            <w:pPr>
              <w:ind w:left="160"/>
              <w:spacing w:after="0"/>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557</w:t>
            </w:r>
          </w:p>
        </w:tc>
        <w:tc>
          <w:tcPr>
            <w:tcW w:w="2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488</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14.2 %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14.2 %</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1,057</w:t>
            </w:r>
          </w:p>
        </w:tc>
        <w:tc>
          <w:tcPr>
            <w:tcW w:w="30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917</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15.3 %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15.3 %</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121</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115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15.6 %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235</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218</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16.3 %</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678</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603</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12.6 %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14.5 %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1,292</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1,135</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13.9 %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15.5 %</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Vraylar</w:t>
            </w:r>
          </w:p>
        </w:tc>
        <w:tc>
          <w:tcPr>
            <w:tcW w:w="1960" w:type="dxa"/>
            <w:vAlign w:val="bottom"/>
            <w:tcBorders>
              <w:bottom w:val="single" w:sz="8" w:color="CCEEFF"/>
            </w:tcBorders>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492</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432</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13.9 %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13.9 %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919</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778</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18.1 %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18.1 %</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Duodopa</w:t>
            </w:r>
          </w:p>
        </w:tc>
        <w:tc>
          <w:tcPr>
            <w:tcW w:w="1960" w:type="dxa"/>
            <w:vAlign w:val="bottom"/>
            <w:tcBorders>
              <w:top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26</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25</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3.2 %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3.2 %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50</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50</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(1.2)%</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94</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102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191</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206</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1.3 %</w:t>
            </w:r>
          </w:p>
        </w:tc>
        <w:tc>
          <w:tcPr>
            <w:tcW w:w="0" w:type="dxa"/>
            <w:vAlign w:val="bottom"/>
          </w:tcPr>
          <w:p>
            <w:pPr>
              <w:spacing w:after="0"/>
              <w:rPr>
                <w:sz w:val="1"/>
                <w:szCs w:val="1"/>
                <w:color w:val="auto"/>
              </w:rPr>
            </w:pPr>
          </w:p>
        </w:tc>
      </w:tr>
      <w:tr>
        <w:trPr>
          <w:trHeight w:val="176"/>
        </w:trPr>
        <w:tc>
          <w:tcPr>
            <w:tcW w:w="15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120</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127</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(5.4)%</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2.3 %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241</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256</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(6.0)%</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0.8 %</w:t>
            </w:r>
          </w:p>
        </w:tc>
        <w:tc>
          <w:tcPr>
            <w:tcW w:w="0" w:type="dxa"/>
            <w:vAlign w:val="bottom"/>
          </w:tcPr>
          <w:p>
            <w:pPr>
              <w:spacing w:after="0"/>
              <w:rPr>
                <w:sz w:val="1"/>
                <w:szCs w:val="1"/>
                <w:color w:val="auto"/>
              </w:rPr>
            </w:pPr>
          </w:p>
        </w:tc>
      </w:tr>
      <w:tr>
        <w:trPr>
          <w:trHeight w:val="47"/>
        </w:trPr>
        <w:tc>
          <w:tcPr>
            <w:tcW w:w="1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Ubrelvy</w:t>
            </w:r>
          </w:p>
        </w:tc>
        <w:tc>
          <w:tcPr>
            <w:tcW w:w="1960" w:type="dxa"/>
            <w:vAlign w:val="bottom"/>
            <w:tcBorders>
              <w:bottom w:val="single" w:sz="8" w:color="CCEEFF"/>
            </w:tcBorders>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185</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126</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47.6 %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47.6 %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323</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207</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56.4 %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56.4 %</w:t>
            </w:r>
          </w:p>
        </w:tc>
        <w:tc>
          <w:tcPr>
            <w:tcW w:w="0" w:type="dxa"/>
            <w:vAlign w:val="bottom"/>
          </w:tcPr>
          <w:p>
            <w:pPr>
              <w:spacing w:after="0"/>
              <w:rPr>
                <w:sz w:val="1"/>
                <w:szCs w:val="1"/>
                <w:color w:val="auto"/>
              </w:rPr>
            </w:pPr>
          </w:p>
        </w:tc>
      </w:tr>
      <w:tr>
        <w:trPr>
          <w:trHeight w:val="163"/>
        </w:trPr>
        <w:tc>
          <w:tcPr>
            <w:tcW w:w="152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Qulipta</w:t>
            </w:r>
          </w:p>
        </w:tc>
        <w:tc>
          <w:tcPr>
            <w:tcW w:w="1960" w:type="dxa"/>
            <w:vAlign w:val="bottom"/>
            <w:tcBorders>
              <w:top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33</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n/m</w:t>
            </w:r>
          </w:p>
        </w:tc>
        <w:tc>
          <w:tcPr>
            <w:tcW w:w="1140" w:type="dxa"/>
            <w:vAlign w:val="bottom"/>
            <w:tcBorders>
              <w:top w:val="single" w:sz="8" w:color="auto"/>
            </w:tcBorders>
            <w:gridSpan w:val="2"/>
          </w:tcPr>
          <w:p>
            <w:pPr>
              <w:ind w:left="760"/>
              <w:spacing w:after="0" w:line="164" w:lineRule="exact"/>
              <w:rPr>
                <w:sz w:val="20"/>
                <w:szCs w:val="20"/>
                <w:color w:val="auto"/>
              </w:rPr>
            </w:pPr>
            <w:r>
              <w:rPr>
                <w:rFonts w:ascii="Calibri" w:cs="Calibri" w:eastAsia="Calibri" w:hAnsi="Calibri"/>
                <w:sz w:val="14"/>
                <w:szCs w:val="14"/>
                <w:color w:val="auto"/>
              </w:rPr>
              <w:t>n/m</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44</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n/m</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n/m</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Other Neuroscience</w:t>
            </w:r>
          </w:p>
        </w:tc>
        <w:tc>
          <w:tcPr>
            <w:tcW w:w="1960" w:type="dxa"/>
            <w:vAlign w:val="bottom"/>
            <w:tcBorders>
              <w:bottom w:val="single" w:sz="8" w:color="CCEEFF"/>
            </w:tcBorders>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145</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167</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(13.6)%</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318</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323</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(1.7)%</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5</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9.6 %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12.9 %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9</w:t>
            </w:r>
          </w:p>
        </w:tc>
        <w:tc>
          <w:tcPr>
            <w:tcW w:w="3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Calibri" w:cs="Calibri" w:eastAsia="Calibri" w:hAnsi="Calibri"/>
                <w:sz w:val="14"/>
                <w:szCs w:val="14"/>
                <w:color w:val="auto"/>
              </w:rPr>
              <w:t>8</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10.4 %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12.6 %</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150</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171</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327</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331</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522605</wp:posOffset>
            </wp:positionV>
            <wp:extent cx="51435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jc w:val="right"/>
              <w:ind w:right="268"/>
              <w:spacing w:after="0"/>
              <w:rPr>
                <w:sz w:val="20"/>
                <w:szCs w:val="20"/>
                <w:color w:val="auto"/>
              </w:rPr>
            </w:pPr>
            <w:r>
              <w:rPr>
                <w:rFonts w:ascii="Calibri" w:cs="Calibri" w:eastAsia="Calibri" w:hAnsi="Calibri"/>
                <w:sz w:val="14"/>
                <w:szCs w:val="14"/>
                <w:b w:val="1"/>
                <w:bCs w:val="1"/>
                <w:color w:val="auto"/>
              </w:rPr>
              <w:t>Three months ended</w:t>
            </w:r>
          </w:p>
        </w:tc>
        <w:tc>
          <w:tcPr>
            <w:tcW w:w="2120" w:type="dxa"/>
            <w:vAlign w:val="bottom"/>
            <w:gridSpan w:val="3"/>
          </w:tcPr>
          <w:p>
            <w:pPr>
              <w:ind w:left="54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640" w:type="dxa"/>
            <w:vAlign w:val="bottom"/>
            <w:gridSpan w:val="3"/>
            <w:vMerge w:val="restart"/>
          </w:tcPr>
          <w:p>
            <w:pPr>
              <w:jc w:val="right"/>
              <w:ind w:right="368"/>
              <w:spacing w:after="0"/>
              <w:rPr>
                <w:sz w:val="20"/>
                <w:szCs w:val="20"/>
                <w:color w:val="auto"/>
              </w:rPr>
            </w:pPr>
            <w:r>
              <w:rPr>
                <w:rFonts w:ascii="Calibri" w:cs="Calibri" w:eastAsia="Calibri" w:hAnsi="Calibri"/>
                <w:sz w:val="14"/>
                <w:szCs w:val="14"/>
                <w:b w:val="1"/>
                <w:bCs w:val="1"/>
                <w:color w:val="auto"/>
              </w:rPr>
              <w:t>Six months ended</w:t>
            </w:r>
          </w:p>
        </w:tc>
        <w:tc>
          <w:tcPr>
            <w:tcW w:w="2020" w:type="dxa"/>
            <w:vAlign w:val="bottom"/>
            <w:gridSpan w:val="2"/>
          </w:tcPr>
          <w:p>
            <w:pPr>
              <w:jc w:val="right"/>
              <w:ind w:right="48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14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b w:val="1"/>
                <w:bCs w:val="1"/>
                <w:color w:val="auto"/>
              </w:rPr>
              <w:t>At constant</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0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6"/>
        </w:trPr>
        <w:tc>
          <w:tcPr>
            <w:tcW w:w="14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8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00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0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1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currency rates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4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Eye Care</w:t>
            </w: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Lumigan/Ganfort</w:t>
            </w: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60</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72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127</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138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(8.3)%</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70</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77</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(8.1)%</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143</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154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(6.9)%</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(0.1)%</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130</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149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270</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292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(3.9)%</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Alphagan/Combigan</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54</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102</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(48.5)%</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(48.5)%</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124</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182</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(32.3)%</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(32.3)%</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38</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40</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6.6 %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75</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78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6.0 %</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92</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142</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(35.6)%</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(33.1)%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199</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260</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(23.6)%</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(20.9)%</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Restasis</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151</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312</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(51.5)%</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386</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579</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(33.2)%</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(33.2)%</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17</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15</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14.9 %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24.2 %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28</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28</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(0.2)%</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14.0 %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168</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327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(48.4)%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414</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607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(31.0)%</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Other Eye Care</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142</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130</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9.7 %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9.7 %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266</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247</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7.7 %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7.7 %</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185</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171</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7.4 %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339</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330</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10.5 %</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327</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301</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8.4 %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13.2 %</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605</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577</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4.8 %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9.3 %</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Other Key Products</w:t>
            </w:r>
          </w:p>
        </w:tc>
        <w:tc>
          <w:tcPr>
            <w:tcW w:w="2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Calibri" w:cs="Calibri" w:eastAsia="Calibri" w:hAnsi="Calibri"/>
                <w:sz w:val="14"/>
                <w:szCs w:val="14"/>
                <w:color w:val="auto"/>
              </w:rPr>
              <w:t>Mavyret</w:t>
            </w:r>
          </w:p>
        </w:tc>
        <w:tc>
          <w:tcPr>
            <w:tcW w:w="2020" w:type="dxa"/>
            <w:vAlign w:val="bottom"/>
          </w:tcPr>
          <w:p>
            <w:pPr>
              <w:ind w:left="280"/>
              <w:spacing w:after="0"/>
              <w:rPr>
                <w:sz w:val="20"/>
                <w:szCs w:val="20"/>
                <w:color w:val="auto"/>
              </w:rPr>
            </w:pPr>
            <w:r>
              <w:rPr>
                <w:rFonts w:ascii="Calibri" w:cs="Calibri" w:eastAsia="Calibri" w:hAnsi="Calibri"/>
                <w:sz w:val="14"/>
                <w:szCs w:val="14"/>
                <w:color w:val="auto"/>
              </w:rPr>
              <w:t>United States</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203</w:t>
            </w:r>
          </w:p>
        </w:tc>
        <w:tc>
          <w:tcPr>
            <w:tcW w:w="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204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0.2 %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0.2 %</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372</w:t>
            </w:r>
          </w:p>
        </w:tc>
        <w:tc>
          <w:tcPr>
            <w:tcW w:w="30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374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(0.4)%</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(0.4)%</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195</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238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(18.0)%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406</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483</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(15.9)%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(8.4)%</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398</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442</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(9.7)%</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(5.3)%</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778</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857</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(9.1)%</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(4.9)%</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Creon</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318</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280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13.6 %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13.6 %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605</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554</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9.2 %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9.2 %</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Linzess/Constella</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247</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260</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(4.2)%</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(4.2)%</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480</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475</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1.3 %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1.3 %</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8</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15</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0.7 %</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255</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268</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(4.5)%</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(4.4)%</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495</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490</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1.1 %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1.2 %</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All other</w:t>
            </w:r>
          </w:p>
        </w:tc>
        <w:tc>
          <w:tcPr>
            <w:tcW w:w="2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1,009</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1,221</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(17.5)%</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2,220</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2,697</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(17.8)%</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(16.8)%</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net revenues</w:t>
            </w:r>
          </w:p>
        </w:tc>
        <w:tc>
          <w:tcPr>
            <w:tcW w:w="2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14,583</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13,959</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4.5 %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6.1 %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28,121</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26,969</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4.3 %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5.7 %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color w:val="auto"/>
        </w:rPr>
        <w:t>n/m – Not meaningful</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discussion and analysis of AbbVie’s net revenues by product is presented on a constant currency basis.</w:t>
      </w:r>
    </w:p>
    <w:p>
      <w:pPr>
        <w:spacing w:after="0" w:line="15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Global Humira sales increased by 7% for the three months and 3% for the six months ended June 30, 2022 primarily driven by market growth across therapeutc categories, partally ofset by direct biosimilar competton in certain internatonal markets. In the United States, Humira sales increased by 10% for the three months and 6% for the six months ended June 30, 2022 primarily driven by market growth across all indicatons and favorable pricing. This increase was partally ofset by lower market share following corresponding market share gains of Skyrizi and Rinvoq. Internatonally, Humira revenues decreased by 7% for the three months and 13% for the six months ended June 30, 2022 primarily driven by direct biosimilar competton in certain internatonal markets.</w:t>
      </w:r>
    </w:p>
    <w:p>
      <w:pPr>
        <w:spacing w:after="0" w:line="15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Net revenues for Skyrizi increased by 88% for the three months and 78% for the six months ended June 30, 2022 primarily driven by contnued strong volume and market share uptake since launch as a treatment for plaque psoriasis as well as market growth. Net revenues for the three and six months ended June 30, 2022 were also favorably impacted by recent regulatory approvals and expansion of Skyrizi for the treatment of psoriatc arthrits.</w:t>
      </w:r>
    </w:p>
    <w:p>
      <w:pPr>
        <w:spacing w:after="0" w:line="13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Net revenues for Rinvoq increased by 61% for the three months and 59% for the six months ended June 30, 2022 primarily driven by contnued strong volume and market share uptake since launch for the treatment of moderate to severe rheumatoid arthrits as well as market growth. Net revenues for the three and six months ended June 30, 2022 were also favorably impacted by recent regulatory approvals and expansion of Rinvoq for the treatment of psoriatc arthrits, atopic dermatts, ankylosing spondylits and ulceratve colits.</w:t>
      </w:r>
    </w:p>
    <w:p>
      <w:pPr>
        <w:spacing w:after="0" w:line="15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Net revenues for Imbruvica represent product revenues in the United States and collaboraton revenues outside of the United States related to AbbVie’s 50% share of Imbruvica proft. AbbVie's global Imbruvica revenues decreased by 17% for the three months and 13% for the six months ended June 30, 2022 as a result of decreased market demand and lower new patent starts in the United States. The decrease in net revenues for the six months ended June 30, 2022 was also partally ofset by increased collaboraton revenues.</w:t>
      </w:r>
    </w:p>
    <w:p>
      <w:pPr>
        <w:spacing w:after="0" w:line="152"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Net revenues for Venclexta increased by 21% for the three and six months ended June 30, 2022 primarily due to contnued expansion of Venclexta for the treatment of patents with chronic lymphocytc leukemia (CLL), relapsed/refractory CLL and acute myeloid leukemia.</w:t>
      </w:r>
    </w:p>
    <w:p>
      <w:pPr>
        <w:sectPr>
          <w:pgSz w:w="11900" w:h="16838" w:orient="portrait"/>
          <w:cols w:equalWidth="0" w:num="1">
            <w:col w:w="11240"/>
          </w:cols>
          <w:pgMar w:left="320" w:top="12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 xml:space="preserve">| </w:t>
      </w:r>
      <w:r>
        <w:rPr>
          <w:sz w:val="1"/>
          <w:szCs w:val="1"/>
          <w:color w:val="auto"/>
        </w:rPr>
        <w:drawing>
          <wp:inline distT="0" distB="0" distL="0" distR="0">
            <wp:extent cx="514350" cy="9461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18"/>
          <w:szCs w:val="18"/>
          <w:b w:val="1"/>
          <w:bCs w:val="1"/>
          <w:i w:val="1"/>
          <w:i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33" w:name="page34"/>
    <w:bookmarkEnd w:id="33"/>
    <w:p>
      <w:pPr>
        <w:ind w:right="380"/>
        <w:spacing w:after="0" w:line="235" w:lineRule="auto"/>
        <w:rPr>
          <w:sz w:val="20"/>
          <w:szCs w:val="20"/>
          <w:color w:val="auto"/>
        </w:rPr>
      </w:pPr>
      <w:r>
        <w:rPr>
          <w:rFonts w:ascii="Calibri" w:cs="Calibri" w:eastAsia="Calibri" w:hAnsi="Calibri"/>
          <w:sz w:val="18"/>
          <w:szCs w:val="18"/>
          <w:color w:val="auto"/>
        </w:rPr>
        <w:t>Net revenues for Botox Cosmetc used in facial aesthetcs increased by 21% for the three months and 28% for the six months ended June 30, 2022 due to increased consumer demand driven by targeted brand investment.</w:t>
      </w:r>
    </w:p>
    <w:p>
      <w:pPr>
        <w:spacing w:after="0" w:line="13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Net revenues for Juvederm Collecton used in facial aesthetcs decreased by 16% for the three months ended June 30, 2022 due to COVID-19 restrictons in China and suspension of aesthetc operatons in Russia. Net revenues for Juvederm Collecton increased 4% for the six months ended June 30, 2022 due to market growth partally ofset by COVID-19 restrictons in China and suspension of aesthetc operatons in Russia. In the United States, net revenues for the three and six months ended June 30, 2022 were unfavorably impacted by higher revenues in the prior year due to a one-tme promoton in the three months ended June 30, 2021.</w:t>
      </w:r>
    </w:p>
    <w:p>
      <w:pPr>
        <w:spacing w:after="0" w:line="15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Net revenues for Botox Therapeutc used primarily in neuroscience and urology therapeutc areas increased by 14% for the three months and 15% for the six months ended June 30, 2022 due to market growth.</w:t>
      </w:r>
    </w:p>
    <w:p>
      <w:pPr>
        <w:spacing w:after="0" w:line="15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Net revenues for Vraylar for the treatment of schizophrenia, bipolar I disorder and bipolar depression increased by 14% for the three months and 18% for the six months ended June 30, 2022 due to higher market share and market growth.</w:t>
      </w:r>
    </w:p>
    <w:p>
      <w:pPr>
        <w:spacing w:after="0" w:line="137"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Net revenues for Ubrelvy for the acute treatment of migraine with or without aura in adults increased by 48% for the three months and 56% for the six months ended June 30, 2022 primarily due to increased market share uptake since launch.</w:t>
      </w:r>
    </w:p>
    <w:p>
      <w:pPr>
        <w:spacing w:after="0" w:line="15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Net revenues for Mavyret decreased by 5% for the three and six months ended June 30, 2022 due to the contnued disrupton of global HCV markets due to the COVID-19 pandemic.</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Gross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center"/>
              <w:ind w:right="39"/>
              <w:spacing w:after="0"/>
              <w:rPr>
                <w:sz w:val="20"/>
                <w:szCs w:val="20"/>
                <w:color w:val="auto"/>
              </w:rPr>
            </w:pPr>
            <w:r>
              <w:rPr>
                <w:rFonts w:ascii="Calibri" w:cs="Calibri" w:eastAsia="Calibri" w:hAnsi="Calibri"/>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379"/>
              <w:spacing w:after="0"/>
              <w:rPr>
                <w:sz w:val="20"/>
                <w:szCs w:val="20"/>
                <w:color w:val="auto"/>
              </w:rPr>
            </w:pPr>
            <w:r>
              <w:rPr>
                <w:rFonts w:ascii="Calibri" w:cs="Calibri" w:eastAsia="Calibri" w:hAnsi="Calibri"/>
                <w:sz w:val="14"/>
                <w:szCs w:val="14"/>
                <w:b w:val="1"/>
                <w:bCs w:val="1"/>
                <w:color w:val="auto"/>
              </w:rPr>
              <w:t>June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line="164" w:lineRule="exact"/>
              <w:rPr>
                <w:sz w:val="20"/>
                <w:szCs w:val="20"/>
                <w:color w:val="auto"/>
              </w:rPr>
            </w:pPr>
            <w:r>
              <w:rPr>
                <w:rFonts w:ascii="Calibri" w:cs="Calibri" w:eastAsia="Calibri" w:hAnsi="Calibri"/>
                <w:sz w:val="14"/>
                <w:szCs w:val="14"/>
                <w:b w:val="1"/>
                <w:bCs w:val="1"/>
                <w:color w:val="auto"/>
              </w:rPr>
              <w:t>2022</w:t>
            </w:r>
          </w:p>
        </w:tc>
        <w:tc>
          <w:tcPr>
            <w:tcW w:w="320" w:type="dxa"/>
            <w:vAlign w:val="bottom"/>
          </w:tcPr>
          <w:p>
            <w:pPr>
              <w:spacing w:after="0"/>
              <w:rPr>
                <w:sz w:val="14"/>
                <w:szCs w:val="14"/>
                <w:color w:val="auto"/>
              </w:rPr>
            </w:pPr>
          </w:p>
        </w:tc>
        <w:tc>
          <w:tcPr>
            <w:tcW w:w="1120" w:type="dxa"/>
            <w:vAlign w:val="bottom"/>
          </w:tcPr>
          <w:p>
            <w:pPr>
              <w:jc w:val="center"/>
              <w:ind w:right="339"/>
              <w:spacing w:after="0" w:line="164" w:lineRule="exact"/>
              <w:rPr>
                <w:sz w:val="20"/>
                <w:szCs w:val="20"/>
                <w:color w:val="auto"/>
              </w:rPr>
            </w:pPr>
            <w:r>
              <w:rPr>
                <w:rFonts w:ascii="Calibri" w:cs="Calibri" w:eastAsia="Calibri" w:hAnsi="Calibri"/>
                <w:sz w:val="14"/>
                <w:szCs w:val="14"/>
                <w:b w:val="1"/>
                <w:bCs w:val="1"/>
                <w:color w:val="auto"/>
              </w:rPr>
              <w:t>2021</w:t>
            </w:r>
          </w:p>
        </w:tc>
        <w:tc>
          <w:tcPr>
            <w:tcW w:w="1000" w:type="dxa"/>
            <w:vAlign w:val="bottom"/>
          </w:tcPr>
          <w:p>
            <w:pPr>
              <w:ind w:left="160"/>
              <w:spacing w:after="0" w:line="164"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96"/>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1100" w:type="dxa"/>
            <w:vAlign w:val="bottom"/>
          </w:tcPr>
          <w:p>
            <w:pPr>
              <w:jc w:val="center"/>
              <w:ind w:right="299"/>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1040" w:type="dxa"/>
            <w:vAlign w:val="bottom"/>
          </w:tcPr>
          <w:p>
            <w:pPr>
              <w:jc w:val="right"/>
              <w:ind w:right="199"/>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Gross margin</w:t>
            </w: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EFF"/>
          </w:tcPr>
          <w:p>
            <w:pPr>
              <w:jc w:val="right"/>
              <w:ind w:right="36"/>
              <w:spacing w:after="0" w:line="215" w:lineRule="exact"/>
              <w:rPr>
                <w:sz w:val="20"/>
                <w:szCs w:val="20"/>
                <w:color w:val="auto"/>
              </w:rPr>
            </w:pPr>
            <w:r>
              <w:rPr>
                <w:rFonts w:ascii="Calibri" w:cs="Calibri" w:eastAsia="Calibri" w:hAnsi="Calibri"/>
                <w:sz w:val="18"/>
                <w:szCs w:val="18"/>
                <w:color w:val="auto"/>
              </w:rPr>
              <w:t>10,413</w:t>
            </w:r>
          </w:p>
        </w:tc>
        <w:tc>
          <w:tcPr>
            <w:tcW w:w="32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259"/>
              <w:spacing w:after="0" w:line="215" w:lineRule="exact"/>
              <w:rPr>
                <w:sz w:val="20"/>
                <w:szCs w:val="20"/>
                <w:color w:val="auto"/>
              </w:rPr>
            </w:pPr>
            <w:r>
              <w:rPr>
                <w:rFonts w:ascii="Calibri" w:cs="Calibri" w:eastAsia="Calibri" w:hAnsi="Calibri"/>
                <w:sz w:val="18"/>
                <w:szCs w:val="18"/>
                <w:color w:val="auto"/>
              </w:rPr>
              <w:t>9,436</w:t>
            </w:r>
          </w:p>
        </w:tc>
        <w:tc>
          <w:tcPr>
            <w:tcW w:w="1380" w:type="dxa"/>
            <w:vAlign w:val="bottom"/>
            <w:gridSpan w:val="3"/>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10 %  $</w:t>
            </w:r>
          </w:p>
        </w:tc>
        <w:tc>
          <w:tcPr>
            <w:tcW w:w="920" w:type="dxa"/>
            <w:vAlign w:val="bottom"/>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19,899</w:t>
            </w:r>
          </w:p>
        </w:tc>
        <w:tc>
          <w:tcPr>
            <w:tcW w:w="26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219"/>
              <w:spacing w:after="0" w:line="215" w:lineRule="exact"/>
              <w:rPr>
                <w:sz w:val="20"/>
                <w:szCs w:val="20"/>
                <w:color w:val="auto"/>
              </w:rPr>
            </w:pPr>
            <w:r>
              <w:rPr>
                <w:rFonts w:ascii="Calibri" w:cs="Calibri" w:eastAsia="Calibri" w:hAnsi="Calibri"/>
                <w:sz w:val="18"/>
                <w:szCs w:val="18"/>
                <w:color w:val="auto"/>
              </w:rPr>
              <w:t>18,233</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71 %</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line="215" w:lineRule="exact"/>
              <w:rPr>
                <w:sz w:val="20"/>
                <w:szCs w:val="20"/>
                <w:color w:val="auto"/>
              </w:rPr>
            </w:pPr>
            <w:r>
              <w:rPr>
                <w:rFonts w:ascii="Calibri" w:cs="Calibri" w:eastAsia="Calibri" w:hAnsi="Calibri"/>
                <w:sz w:val="18"/>
                <w:szCs w:val="18"/>
                <w:color w:val="auto"/>
              </w:rPr>
              <w:t>68 %</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71 %</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68 %</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Gross margin as a percentage of net revenues increased for the three and six months ended June 30, 2022 compared to the prior year. Gross margin percentage for the three and six months ended June 30, 2022 was favorably impacted by changes in product mix and lower amortzaton of intangible assets associated with the Allergan acquisiton.</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Selling, General and Administratve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359"/>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319"/>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0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6"/>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1120" w:type="dxa"/>
            <w:vAlign w:val="bottom"/>
          </w:tcPr>
          <w:p>
            <w:pPr>
              <w:jc w:val="center"/>
              <w:ind w:right="339"/>
              <w:spacing w:after="0" w:line="164" w:lineRule="exact"/>
              <w:rPr>
                <w:sz w:val="20"/>
                <w:szCs w:val="20"/>
                <w:color w:val="auto"/>
              </w:rPr>
            </w:pPr>
            <w:r>
              <w:rPr>
                <w:rFonts w:ascii="Calibri" w:cs="Calibri" w:eastAsia="Calibri" w:hAnsi="Calibri"/>
                <w:sz w:val="14"/>
                <w:szCs w:val="14"/>
                <w:b w:val="1"/>
                <w:bCs w:val="1"/>
                <w:color w:val="auto"/>
              </w:rPr>
              <w:t>2021</w:t>
            </w:r>
          </w:p>
        </w:tc>
        <w:tc>
          <w:tcPr>
            <w:tcW w:w="980" w:type="dxa"/>
            <w:vAlign w:val="bottom"/>
          </w:tcPr>
          <w:p>
            <w:pPr>
              <w:ind w:left="160"/>
              <w:spacing w:after="0" w:line="164"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6"/>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1080" w:type="dxa"/>
            <w:vAlign w:val="bottom"/>
          </w:tcPr>
          <w:p>
            <w:pPr>
              <w:jc w:val="center"/>
              <w:ind w:right="299"/>
              <w:spacing w:after="0" w:line="164" w:lineRule="exact"/>
              <w:rPr>
                <w:sz w:val="20"/>
                <w:szCs w:val="20"/>
                <w:color w:val="auto"/>
              </w:rPr>
            </w:pPr>
            <w:r>
              <w:rPr>
                <w:rFonts w:ascii="Calibri" w:cs="Calibri" w:eastAsia="Calibri" w:hAnsi="Calibri"/>
                <w:sz w:val="14"/>
                <w:szCs w:val="14"/>
                <w:b w:val="1"/>
                <w:bCs w:val="1"/>
                <w:color w:val="auto"/>
              </w:rPr>
              <w:t>2021</w:t>
            </w:r>
          </w:p>
        </w:tc>
        <w:tc>
          <w:tcPr>
            <w:tcW w:w="1040" w:type="dxa"/>
            <w:vAlign w:val="bottom"/>
          </w:tcPr>
          <w:p>
            <w:pPr>
              <w:jc w:val="right"/>
              <w:ind w:right="199"/>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ind w:right="56"/>
              <w:spacing w:after="0" w:line="215" w:lineRule="exact"/>
              <w:rPr>
                <w:sz w:val="20"/>
                <w:szCs w:val="20"/>
                <w:color w:val="auto"/>
              </w:rPr>
            </w:pPr>
            <w:r>
              <w:rPr>
                <w:rFonts w:ascii="Calibri" w:cs="Calibri" w:eastAsia="Calibri" w:hAnsi="Calibri"/>
                <w:sz w:val="18"/>
                <w:szCs w:val="18"/>
                <w:color w:val="auto"/>
              </w:rPr>
              <w:t>5,412</w:t>
            </w:r>
          </w:p>
        </w:tc>
        <w:tc>
          <w:tcPr>
            <w:tcW w:w="30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259"/>
              <w:spacing w:after="0" w:line="215" w:lineRule="exact"/>
              <w:rPr>
                <w:sz w:val="20"/>
                <w:szCs w:val="20"/>
                <w:color w:val="auto"/>
              </w:rPr>
            </w:pPr>
            <w:r>
              <w:rPr>
                <w:rFonts w:ascii="Calibri" w:cs="Calibri" w:eastAsia="Calibri" w:hAnsi="Calibri"/>
                <w:sz w:val="18"/>
                <w:szCs w:val="18"/>
                <w:color w:val="auto"/>
              </w:rPr>
              <w:t>3,164</w:t>
            </w:r>
          </w:p>
        </w:tc>
        <w:tc>
          <w:tcPr>
            <w:tcW w:w="1360" w:type="dxa"/>
            <w:vAlign w:val="bottom"/>
            <w:gridSpan w:val="3"/>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71 %  $</w:t>
            </w:r>
          </w:p>
        </w:tc>
        <w:tc>
          <w:tcPr>
            <w:tcW w:w="920" w:type="dxa"/>
            <w:vAlign w:val="bottom"/>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8,539</w:t>
            </w:r>
          </w:p>
        </w:tc>
        <w:tc>
          <w:tcPr>
            <w:tcW w:w="26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ind w:right="219"/>
              <w:spacing w:after="0" w:line="215" w:lineRule="exact"/>
              <w:rPr>
                <w:sz w:val="20"/>
                <w:szCs w:val="20"/>
                <w:color w:val="auto"/>
              </w:rPr>
            </w:pPr>
            <w:r>
              <w:rPr>
                <w:rFonts w:ascii="Calibri" w:cs="Calibri" w:eastAsia="Calibri" w:hAnsi="Calibri"/>
                <w:sz w:val="18"/>
                <w:szCs w:val="18"/>
                <w:color w:val="auto"/>
              </w:rPr>
              <w:t>6,006</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line="215" w:lineRule="exact"/>
              <w:rPr>
                <w:sz w:val="20"/>
                <w:szCs w:val="20"/>
                <w:color w:val="auto"/>
              </w:rPr>
            </w:pPr>
            <w:r>
              <w:rPr>
                <w:rFonts w:ascii="Calibri" w:cs="Calibri" w:eastAsia="Calibri" w:hAnsi="Calibri"/>
                <w:sz w:val="18"/>
                <w:szCs w:val="18"/>
                <w:color w:val="auto"/>
              </w:rPr>
              <w:t>23 %</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30 %</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22 %</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Selling, general and administratve (SG&amp;A) expenses as a percentage of net revenues increased for the three and six months ended June 30, 2022 compared to the prior year. SG&amp;A expense percentage for the three and six months ended June 30, 2022 was unfavorably impacted by litgaton reserve charges of $2.2 billion for the three months and $2.4 billion for the six months ended June 30,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Research and Development and Acquired IPR&amp;D and Milestones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gridSpan w:val="2"/>
          </w:tcPr>
          <w:p>
            <w:pPr>
              <w:jc w:val="center"/>
              <w:ind w:right="57"/>
              <w:spacing w:after="0"/>
              <w:rPr>
                <w:sz w:val="20"/>
                <w:szCs w:val="20"/>
                <w:color w:val="auto"/>
              </w:rPr>
            </w:pPr>
            <w:r>
              <w:rPr>
                <w:rFonts w:ascii="Calibri" w:cs="Calibri" w:eastAsia="Calibri" w:hAnsi="Calibri"/>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337"/>
              <w:spacing w:after="0"/>
              <w:rPr>
                <w:sz w:val="20"/>
                <w:szCs w:val="20"/>
                <w:color w:val="auto"/>
              </w:rPr>
            </w:pPr>
            <w:r>
              <w:rPr>
                <w:rFonts w:ascii="Calibri" w:cs="Calibri" w:eastAsia="Calibri" w:hAnsi="Calibri"/>
                <w:sz w:val="14"/>
                <w:szCs w:val="14"/>
                <w:b w:val="1"/>
                <w:bCs w:val="1"/>
                <w:color w:val="auto"/>
              </w:rPr>
              <w:t>June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97"/>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0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5"/>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1120" w:type="dxa"/>
            <w:vAlign w:val="bottom"/>
          </w:tcPr>
          <w:p>
            <w:pPr>
              <w:jc w:val="center"/>
              <w:ind w:right="337"/>
              <w:spacing w:after="0" w:line="164" w:lineRule="exact"/>
              <w:rPr>
                <w:sz w:val="20"/>
                <w:szCs w:val="20"/>
                <w:color w:val="auto"/>
              </w:rPr>
            </w:pPr>
            <w:r>
              <w:rPr>
                <w:rFonts w:ascii="Calibri" w:cs="Calibri" w:eastAsia="Calibri" w:hAnsi="Calibri"/>
                <w:sz w:val="14"/>
                <w:szCs w:val="14"/>
                <w:b w:val="1"/>
                <w:bCs w:val="1"/>
                <w:color w:val="auto"/>
              </w:rPr>
              <w:t>2021</w:t>
            </w:r>
          </w:p>
        </w:tc>
        <w:tc>
          <w:tcPr>
            <w:tcW w:w="1000" w:type="dxa"/>
            <w:vAlign w:val="bottom"/>
          </w:tcPr>
          <w:p>
            <w:pPr>
              <w:jc w:val="right"/>
              <w:ind w:right="196"/>
              <w:spacing w:after="0" w:line="164"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75"/>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1080" w:type="dxa"/>
            <w:vAlign w:val="bottom"/>
          </w:tcPr>
          <w:p>
            <w:pPr>
              <w:jc w:val="right"/>
              <w:ind w:right="497"/>
              <w:spacing w:after="0" w:line="164" w:lineRule="exact"/>
              <w:rPr>
                <w:sz w:val="20"/>
                <w:szCs w:val="20"/>
                <w:color w:val="auto"/>
              </w:rPr>
            </w:pPr>
            <w:r>
              <w:rPr>
                <w:rFonts w:ascii="Calibri" w:cs="Calibri" w:eastAsia="Calibri" w:hAnsi="Calibri"/>
                <w:sz w:val="14"/>
                <w:szCs w:val="14"/>
                <w:b w:val="1"/>
                <w:bCs w:val="1"/>
                <w:color w:val="auto"/>
              </w:rPr>
              <w:t>2021</w:t>
            </w:r>
          </w:p>
        </w:tc>
        <w:tc>
          <w:tcPr>
            <w:tcW w:w="1040" w:type="dxa"/>
            <w:vAlign w:val="bottom"/>
          </w:tcPr>
          <w:p>
            <w:pPr>
              <w:jc w:val="right"/>
              <w:ind w:right="196"/>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ind w:right="115"/>
              <w:spacing w:after="0" w:line="215" w:lineRule="exact"/>
              <w:rPr>
                <w:sz w:val="20"/>
                <w:szCs w:val="20"/>
                <w:color w:val="auto"/>
              </w:rPr>
            </w:pPr>
            <w:r>
              <w:rPr>
                <w:rFonts w:ascii="Calibri" w:cs="Calibri" w:eastAsia="Calibri" w:hAnsi="Calibri"/>
                <w:sz w:val="18"/>
                <w:szCs w:val="18"/>
                <w:color w:val="auto"/>
              </w:rPr>
              <w:t>1,609</w:t>
            </w:r>
          </w:p>
        </w:tc>
        <w:tc>
          <w:tcPr>
            <w:tcW w:w="300" w:type="dxa"/>
            <w:vAlign w:val="bottom"/>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317"/>
              <w:spacing w:after="0" w:line="215" w:lineRule="exact"/>
              <w:rPr>
                <w:sz w:val="20"/>
                <w:szCs w:val="20"/>
                <w:color w:val="auto"/>
              </w:rPr>
            </w:pPr>
            <w:r>
              <w:rPr>
                <w:rFonts w:ascii="Calibri" w:cs="Calibri" w:eastAsia="Calibri" w:hAnsi="Calibri"/>
                <w:sz w:val="18"/>
                <w:szCs w:val="18"/>
                <w:color w:val="auto"/>
              </w:rPr>
              <w:t>1,767</w:t>
            </w:r>
          </w:p>
        </w:tc>
        <w:tc>
          <w:tcPr>
            <w:tcW w:w="10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ind w:right="95"/>
              <w:spacing w:after="0" w:line="215" w:lineRule="exact"/>
              <w:rPr>
                <w:sz w:val="20"/>
                <w:szCs w:val="20"/>
                <w:color w:val="auto"/>
              </w:rPr>
            </w:pPr>
            <w:r>
              <w:rPr>
                <w:rFonts w:ascii="Calibri" w:cs="Calibri" w:eastAsia="Calibri" w:hAnsi="Calibri"/>
                <w:sz w:val="18"/>
                <w:szCs w:val="18"/>
                <w:color w:val="auto"/>
              </w:rPr>
              <w:t>3,106</w:t>
            </w:r>
          </w:p>
        </w:tc>
        <w:tc>
          <w:tcPr>
            <w:tcW w:w="260" w:type="dxa"/>
            <w:vAlign w:val="bottom"/>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ind w:right="217"/>
              <w:spacing w:after="0" w:line="215" w:lineRule="exact"/>
              <w:rPr>
                <w:sz w:val="20"/>
                <w:szCs w:val="20"/>
                <w:color w:val="auto"/>
              </w:rPr>
            </w:pPr>
            <w:r>
              <w:rPr>
                <w:rFonts w:ascii="Calibri" w:cs="Calibri" w:eastAsia="Calibri" w:hAnsi="Calibri"/>
                <w:sz w:val="18"/>
                <w:szCs w:val="18"/>
                <w:color w:val="auto"/>
              </w:rPr>
              <w:t>3,434</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22"/>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11 %</w:t>
            </w:r>
          </w:p>
        </w:tc>
        <w:tc>
          <w:tcPr>
            <w:tcW w:w="300" w:type="dxa"/>
            <w:vAlign w:val="bottom"/>
          </w:tcPr>
          <w:p>
            <w:pPr>
              <w:spacing w:after="0"/>
              <w:rPr>
                <w:sz w:val="19"/>
                <w:szCs w:val="19"/>
                <w:color w:val="auto"/>
              </w:rPr>
            </w:pPr>
          </w:p>
        </w:tc>
        <w:tc>
          <w:tcPr>
            <w:tcW w:w="1120" w:type="dxa"/>
            <w:vAlign w:val="bottom"/>
          </w:tcPr>
          <w:p>
            <w:pPr>
              <w:jc w:val="right"/>
              <w:ind w:right="157"/>
              <w:spacing w:after="0" w:line="215" w:lineRule="exact"/>
              <w:rPr>
                <w:sz w:val="20"/>
                <w:szCs w:val="20"/>
                <w:color w:val="auto"/>
              </w:rPr>
            </w:pPr>
            <w:r>
              <w:rPr>
                <w:rFonts w:ascii="Calibri" w:cs="Calibri" w:eastAsia="Calibri" w:hAnsi="Calibri"/>
                <w:sz w:val="18"/>
                <w:szCs w:val="18"/>
                <w:color w:val="auto"/>
              </w:rPr>
              <w:t>13 %</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11 %</w:t>
            </w:r>
          </w:p>
        </w:tc>
        <w:tc>
          <w:tcPr>
            <w:tcW w:w="260" w:type="dxa"/>
            <w:vAlign w:val="bottom"/>
          </w:tcPr>
          <w:p>
            <w:pPr>
              <w:spacing w:after="0"/>
              <w:rPr>
                <w:sz w:val="19"/>
                <w:szCs w:val="19"/>
                <w:color w:val="auto"/>
              </w:rPr>
            </w:pPr>
          </w:p>
        </w:tc>
        <w:tc>
          <w:tcPr>
            <w:tcW w:w="1080" w:type="dxa"/>
            <w:vAlign w:val="bottom"/>
          </w:tcPr>
          <w:p>
            <w:pPr>
              <w:jc w:val="right"/>
              <w:ind w:right="97"/>
              <w:spacing w:after="0" w:line="215" w:lineRule="exact"/>
              <w:rPr>
                <w:sz w:val="20"/>
                <w:szCs w:val="20"/>
                <w:color w:val="auto"/>
              </w:rPr>
            </w:pPr>
            <w:r>
              <w:rPr>
                <w:rFonts w:ascii="Calibri" w:cs="Calibri" w:eastAsia="Calibri" w:hAnsi="Calibri"/>
                <w:sz w:val="18"/>
                <w:szCs w:val="18"/>
                <w:color w:val="auto"/>
              </w:rPr>
              <w:t>13 %</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Acquired IPR&amp;D and milestones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auto"/>
            </w:tcBorders>
            <w:shd w:val="clear" w:color="auto" w:fill="CCEEFF"/>
          </w:tcPr>
          <w:p>
            <w:pPr>
              <w:jc w:val="right"/>
              <w:ind w:right="115"/>
              <w:spacing w:after="0"/>
              <w:rPr>
                <w:sz w:val="20"/>
                <w:szCs w:val="20"/>
                <w:color w:val="auto"/>
              </w:rPr>
            </w:pPr>
            <w:r>
              <w:rPr>
                <w:rFonts w:ascii="Calibri" w:cs="Calibri" w:eastAsia="Calibri" w:hAnsi="Calibri"/>
                <w:sz w:val="18"/>
                <w:szCs w:val="18"/>
                <w:color w:val="auto"/>
              </w:rPr>
              <w:t>269</w:t>
            </w: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ind w:right="317"/>
              <w:spacing w:after="0"/>
              <w:rPr>
                <w:sz w:val="20"/>
                <w:szCs w:val="20"/>
                <w:color w:val="auto"/>
              </w:rPr>
            </w:pPr>
            <w:r>
              <w:rPr>
                <w:rFonts w:ascii="Calibri" w:cs="Calibri" w:eastAsia="Calibri" w:hAnsi="Calibri"/>
                <w:sz w:val="18"/>
                <w:szCs w:val="18"/>
                <w:color w:val="auto"/>
              </w:rPr>
              <w:t>132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&gt;100%</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Calibri" w:cs="Calibri" w:eastAsia="Calibri" w:hAnsi="Calibri"/>
                <w:sz w:val="18"/>
                <w:szCs w:val="18"/>
                <w:color w:val="auto"/>
              </w:rPr>
              <w:t>414</w:t>
            </w:r>
          </w:p>
        </w:tc>
        <w:tc>
          <w:tcPr>
            <w:tcW w:w="260" w:type="dxa"/>
            <w:vAlign w:val="bottom"/>
            <w:tcBorders>
              <w:bottom w:val="single" w:sz="8" w:color="auto"/>
            </w:tcBorders>
            <w:shd w:val="clear" w:color="auto" w:fill="CCEEFF"/>
          </w:tcPr>
          <w:p>
            <w:pPr>
              <w:ind w:left="80"/>
              <w:spacing w:after="0"/>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Calibri" w:cs="Calibri" w:eastAsia="Calibri" w:hAnsi="Calibri"/>
                <w:sz w:val="18"/>
                <w:szCs w:val="18"/>
                <w:color w:val="auto"/>
              </w:rPr>
              <w:t>317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31 %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Research and development (R&amp;D) expenses as a percentage of net revenues decreased for the three and six months ended June 30, 2022 compared to the prior year. R&amp;D expense percentage was favorably impacted by the purchase of priority review vouchers from third partes during the three and six months ended June 30, 2021, increased scale of the combined company and synergies realized as well as lower integraton costs related to the acquisiton of Allergan.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478790</wp:posOffset>
            </wp:positionV>
            <wp:extent cx="51435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4" w:name="page35"/>
    <w:bookmarkEnd w:id="34"/>
    <w:p>
      <w:pPr>
        <w:ind w:right="280"/>
        <w:spacing w:after="0" w:line="235" w:lineRule="auto"/>
        <w:rPr>
          <w:sz w:val="20"/>
          <w:szCs w:val="20"/>
          <w:color w:val="auto"/>
        </w:rPr>
      </w:pPr>
      <w:r>
        <w:rPr>
          <w:rFonts w:ascii="Calibri" w:cs="Calibri" w:eastAsia="Calibri" w:hAnsi="Calibri"/>
          <w:sz w:val="18"/>
          <w:szCs w:val="18"/>
          <w:color w:val="auto"/>
        </w:rPr>
        <w:t>Acquired IPR&amp;D and milestones expense represents upfront and subsequent development milestone payments incurred prior to regulatory approval to acquire rights to in-process R&amp;D projects through R&amp;D collaboratons, licensing arrangements or other asset acquisitons. Acquired IPR&amp;D and milestones expense in the six months ended June 30, 2022 included a charge of $130 million as a result of acquiring Syndesi Therapeutcs SA and its portolio of novel modulators of the synaptc vesicle protein 2A, including its lead molecule SDI-118, which is being evaluated to target nerve terminals to enhance synaptc efciency. There were no individually signifcant transactons during the three months ended June 30, 2022 and the three and six months ended June 30, 2021.</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Other Operatng Income</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Other operatng income for the three and six months ended June 30, 2022 included $172 million of income related to the sale of worldwide commercial rights of a mature brand Pylera, which is used for the treatment of peptc ulcers with an infecton by the bacterium Helicobacter pylori. See Note 4 to the Condensed Consolidated Financial Statements for additonal informaton. Other operatng income for the three and six months ended June 30, 2021 included $68 million of income related to the sale of a biologics facility.</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Other Non-Operatng Expenses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120" w:type="dxa"/>
            <w:vAlign w:val="bottom"/>
            <w:gridSpan w:val="3"/>
          </w:tcPr>
          <w:p>
            <w:pPr>
              <w:jc w:val="right"/>
              <w:ind w:right="115"/>
              <w:spacing w:after="0"/>
              <w:rPr>
                <w:sz w:val="20"/>
                <w:szCs w:val="20"/>
                <w:color w:val="auto"/>
              </w:rPr>
            </w:pPr>
            <w:r>
              <w:rPr>
                <w:rFonts w:ascii="Calibri" w:cs="Calibri" w:eastAsia="Calibri" w:hAnsi="Calibri"/>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195"/>
              <w:spacing w:after="0"/>
              <w:rPr>
                <w:sz w:val="20"/>
                <w:szCs w:val="20"/>
                <w:color w:val="auto"/>
              </w:rPr>
            </w:pPr>
            <w:r>
              <w:rPr>
                <w:rFonts w:ascii="Calibri" w:cs="Calibri" w:eastAsia="Calibri" w:hAnsi="Calibri"/>
                <w:sz w:val="14"/>
                <w:szCs w:val="14"/>
                <w:b w:val="1"/>
                <w:bCs w:val="1"/>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495"/>
              <w:spacing w:after="0"/>
              <w:rPr>
                <w:sz w:val="20"/>
                <w:szCs w:val="20"/>
                <w:color w:val="auto"/>
              </w:rPr>
            </w:pPr>
            <w:r>
              <w:rPr>
                <w:rFonts w:ascii="Calibri" w:cs="Calibri" w:eastAsia="Calibri" w:hAnsi="Calibri"/>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495"/>
              <w:spacing w:after="0"/>
              <w:rPr>
                <w:sz w:val="20"/>
                <w:szCs w:val="20"/>
                <w:color w:val="auto"/>
              </w:rPr>
            </w:pPr>
            <w:r>
              <w:rPr>
                <w:rFonts w:ascii="Calibri" w:cs="Calibri" w:eastAsia="Calibri" w:hAnsi="Calibri"/>
                <w:sz w:val="14"/>
                <w:szCs w:val="14"/>
                <w:b w:val="1"/>
                <w:bCs w:val="1"/>
                <w:color w:val="auto"/>
              </w:rPr>
              <w:t>June 30,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7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940" w:type="dxa"/>
            <w:vAlign w:val="bottom"/>
            <w:vMerge w:val="continue"/>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5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5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2021</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760" w:type="dxa"/>
            <w:vAlign w:val="bottom"/>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556</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7"/>
              </w:rPr>
              <w:t>1,104</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7"/>
              </w:rPr>
              <w:t>1,247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760" w:type="dxa"/>
            <w:vAlign w:val="bottom"/>
            <w:tcBorders>
              <w:bottom w:val="single" w:sz="8" w:color="auto"/>
            </w:tcBorders>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532</w:t>
            </w:r>
          </w:p>
        </w:tc>
        <w:tc>
          <w:tcPr>
            <w:tcW w:w="84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606</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7"/>
              </w:rPr>
              <w:t>1,071</w:t>
            </w:r>
          </w:p>
        </w:tc>
        <w:tc>
          <w:tcPr>
            <w:tcW w:w="84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7"/>
              </w:rPr>
              <w:t>1,228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foreign exchange loss</w:t>
            </w:r>
          </w:p>
        </w:tc>
        <w:tc>
          <w:tcPr>
            <w:tcW w:w="760" w:type="dxa"/>
            <w:vAlign w:val="bottom"/>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47</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72</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Other expense, net</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
              <w:spacing w:after="0" w:line="215" w:lineRule="exact"/>
              <w:rPr>
                <w:sz w:val="20"/>
                <w:szCs w:val="20"/>
                <w:color w:val="auto"/>
              </w:rPr>
            </w:pPr>
            <w:r>
              <w:rPr>
                <w:rFonts w:ascii="Calibri" w:cs="Calibri" w:eastAsia="Calibri" w:hAnsi="Calibri"/>
                <w:sz w:val="18"/>
                <w:szCs w:val="18"/>
                <w:color w:val="auto"/>
                <w:w w:val="97"/>
              </w:rPr>
              <w:t>1,533</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2"/>
              </w:rPr>
              <w:t>2,658</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757</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7"/>
              </w:rPr>
              <w:t>2,263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Interest expense, net decreased for the three and six months ended June 30, 2022 compared to the prior year primarily due to a lower average debt balance as a result of deleveraging.</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Other expense, net included charges related to changes in fair value of contngent consideraton liabilites of $1.6 billion for the three months and</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$861 million for the six months ended June 30, 2022 and $2.7 billion for the three months and $2.3 billion for the six months ended June 30, 2021. The fair value of contngent consideraton liabilites is impacted by the passage of tme and multple other inputs, including the probability of success of achieving regulatory/commercial milestones, discount rates, the estmated amount of future sales of the acquired products and other market-based factors. For the three and six months ended June 30, 2022, the change in fair value represented higher estmated Skyrizi sales driven by stronger market share uptake, partally ofset by higher discount rates. For the three and six months ended June 30, 2021, the change in fair value represented higher estmated Skyrizi sales driven by stronger market share uptake, favorable Skyrizi clinical trial results and lower discount rates.</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Income Tax Expense</w:t>
      </w:r>
    </w:p>
    <w:p>
      <w:pPr>
        <w:spacing w:after="0" w:line="15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efectve tax rate was 22% for the three months and 11% for the six months ended June 30, 2022 compared to 34% for the three months and 14% for the six months ended June 30, 2021. The efectve tax rate in each period difered from the U.S. statutory tax rate of 21% principally due to the impact of foreign operatons which refects the impact of lower income tax rates in locatons outside the United States, tax incentves in Puerto Rico and other foreign tax jurisdictons, business development actvites and accreton on contngent consideraton. The decrease in the efectve tax rate for the three and six months ended June 30, 2022 over the prior year was primarily due to diferences in the company’s jurisdictonal mix of earnings and accreton on contngent consideraton.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488950</wp:posOffset>
            </wp:positionV>
            <wp:extent cx="514350"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33</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color w:val="444867"/>
        </w:rPr>
        <w:t>FINANCIAL POSITION, LIQUIDITY AND CAPITAL RESOURCES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left="459"/>
              <w:spacing w:after="0"/>
              <w:rPr>
                <w:sz w:val="20"/>
                <w:szCs w:val="20"/>
                <w:color w:val="auto"/>
              </w:rPr>
            </w:pPr>
            <w:r>
              <w:rPr>
                <w:rFonts w:ascii="Calibri" w:cs="Calibri" w:eastAsia="Calibri" w:hAnsi="Calibri"/>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left="459"/>
              <w:spacing w:after="0"/>
              <w:rPr>
                <w:sz w:val="20"/>
                <w:szCs w:val="20"/>
                <w:color w:val="auto"/>
              </w:rPr>
            </w:pPr>
            <w:r>
              <w:rPr>
                <w:rFonts w:ascii="Calibri" w:cs="Calibri" w:eastAsia="Calibri" w:hAnsi="Calibri"/>
                <w:sz w:val="14"/>
                <w:szCs w:val="14"/>
                <w:b w:val="1"/>
                <w:bCs w:val="1"/>
                <w:color w:val="auto"/>
              </w:rPr>
              <w:t>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8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9"/>
              <w:spacing w:after="0" w:line="164" w:lineRule="exact"/>
              <w:rPr>
                <w:sz w:val="20"/>
                <w:szCs w:val="20"/>
                <w:color w:val="auto"/>
              </w:rPr>
            </w:pPr>
            <w:r>
              <w:rPr>
                <w:rFonts w:ascii="Calibri" w:cs="Calibri" w:eastAsia="Calibri" w:hAnsi="Calibri"/>
                <w:sz w:val="14"/>
                <w:szCs w:val="14"/>
                <w:b w:val="1"/>
                <w:bCs w:val="1"/>
                <w:color w:val="auto"/>
              </w:rPr>
              <w:t>2022</w:t>
            </w:r>
          </w:p>
        </w:tc>
        <w:tc>
          <w:tcPr>
            <w:tcW w:w="560" w:type="dxa"/>
            <w:vAlign w:val="bottom"/>
          </w:tcPr>
          <w:p>
            <w:pPr>
              <w:spacing w:after="0"/>
              <w:rPr>
                <w:sz w:val="14"/>
                <w:szCs w:val="14"/>
                <w:color w:val="auto"/>
              </w:rPr>
            </w:pPr>
          </w:p>
        </w:tc>
        <w:tc>
          <w:tcPr>
            <w:tcW w:w="860" w:type="dxa"/>
            <w:vAlign w:val="bottom"/>
          </w:tcPr>
          <w:p>
            <w:pPr>
              <w:jc w:val="right"/>
              <w:ind w:right="455"/>
              <w:spacing w:after="0" w:line="164"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3"/>
        </w:trPr>
        <w:tc>
          <w:tcPr>
            <w:tcW w:w="8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Cash fows provided by (used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Operatng actvites</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center"/>
              <w:ind w:left="379"/>
              <w:spacing w:after="0"/>
              <w:rPr>
                <w:sz w:val="20"/>
                <w:szCs w:val="20"/>
                <w:color w:val="auto"/>
              </w:rPr>
            </w:pPr>
            <w:r>
              <w:rPr>
                <w:rFonts w:ascii="Calibri" w:cs="Calibri" w:eastAsia="Calibri" w:hAnsi="Calibri"/>
                <w:sz w:val="18"/>
                <w:szCs w:val="18"/>
                <w:color w:val="auto"/>
                <w:w w:val="97"/>
              </w:rPr>
              <w:t>9,913</w:t>
            </w:r>
          </w:p>
        </w:tc>
        <w:tc>
          <w:tcPr>
            <w:tcW w:w="56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9,767</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Investng actvites</w:t>
            </w:r>
          </w:p>
        </w:tc>
        <w:tc>
          <w:tcPr>
            <w:tcW w:w="320" w:type="dxa"/>
            <w:vAlign w:val="bottom"/>
          </w:tcPr>
          <w:p>
            <w:pPr>
              <w:spacing w:after="0"/>
              <w:rPr>
                <w:sz w:val="19"/>
                <w:szCs w:val="19"/>
                <w:color w:val="auto"/>
              </w:rPr>
            </w:pPr>
          </w:p>
        </w:tc>
        <w:tc>
          <w:tcPr>
            <w:tcW w:w="1100" w:type="dxa"/>
            <w:vAlign w:val="bottom"/>
          </w:tcPr>
          <w:p>
            <w:pPr>
              <w:jc w:val="center"/>
              <w:ind w:left="359"/>
              <w:spacing w:after="0" w:line="215" w:lineRule="exact"/>
              <w:rPr>
                <w:sz w:val="20"/>
                <w:szCs w:val="20"/>
                <w:color w:val="auto"/>
              </w:rPr>
            </w:pPr>
            <w:r>
              <w:rPr>
                <w:rFonts w:ascii="Calibri" w:cs="Calibri" w:eastAsia="Calibri" w:hAnsi="Calibri"/>
                <w:sz w:val="18"/>
                <w:szCs w:val="18"/>
                <w:color w:val="auto"/>
                <w:w w:val="96"/>
              </w:rPr>
              <w:t>(1,461)</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(584)</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Financing actvites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359"/>
              <w:spacing w:after="0"/>
              <w:rPr>
                <w:sz w:val="20"/>
                <w:szCs w:val="20"/>
                <w:color w:val="auto"/>
              </w:rPr>
            </w:pPr>
            <w:r>
              <w:rPr>
                <w:rFonts w:ascii="Calibri" w:cs="Calibri" w:eastAsia="Calibri" w:hAnsi="Calibri"/>
                <w:sz w:val="18"/>
                <w:szCs w:val="18"/>
                <w:color w:val="auto"/>
                <w:w w:val="96"/>
              </w:rPr>
              <w:t>(9,651)</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(9,058)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Operatng cash fows for the six months ended June 30, 2022 increased compared to the prior year primarily due to improved results of operatons resultng from revenue growth, partally ofset by the tming of working capital cash fows.</w:t>
      </w:r>
    </w:p>
    <w:p>
      <w:pPr>
        <w:spacing w:after="0" w:line="15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Investng cash fows for the six months ended June 30, 2022 included payments made for net purchases of investment securites totaling $1.4 billion, acquisitons and investments of $394 million and capital expenditures of $305 million. Investng cash fows for the six months ended June 30, 2021 included capital expenditures of $383 million, payments made for acquisitons and investments of $345 million and net sales and maturites of investment securites totaling $9 million.</w:t>
      </w:r>
    </w:p>
    <w:p>
      <w:pPr>
        <w:spacing w:after="0" w:line="13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Financing cash fows for the six months ended June 30, 2022 included repayment of $2.9 billion aggregate principal amount of the company’s 3.45% senior notes. Additonally, fnancing cash fows included repayment of a $2.0 billion foatng rate term loan due May 2025 and issuance of a new $2.0 billion foatng rate term loan as part of the term loan refnancing in February 2022. Financing cash fows for the six months ended June 30, 2021 included repayment of $1.8 billion aggregate principal amount of the company’s 2.3% senior notes, €750 million aggregate principal amount of the company’s 0.5% senior euro notes and $750 million aggregate principal amount of foatng rate senior notes.</w:t>
      </w:r>
    </w:p>
    <w:p>
      <w:pPr>
        <w:spacing w:after="0" w:line="153"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Financing cash fows also included cash dividend payments of $5.0 billion for the six months ended June 30, 2022 and $4.6 billion for the six months ended June 30, 2021. The increase in cash dividend payments was primarily driven by the increase in the quarterly dividend rate.</w:t>
      </w:r>
    </w:p>
    <w:p>
      <w:pPr>
        <w:spacing w:after="0" w:line="15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On June 23, 2022, the company announced that its board of directors declared a quarterly cash dividend of $1.41 per share for stockholders of record at the close of business on July 15, 2022, payable on August 15, 2022. The tming, 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w:t>
      </w:r>
    </w:p>
    <w:p>
      <w:pPr>
        <w:spacing w:after="0" w:line="13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company's stock repurchase authorizaton permits purchases of AbbVie shares from tme to tme in open-market or private transactons at management's discreton. The program has no tme limit and can be discontnued at any tme. AbbVie repurchased 8 million shares for $1.1 billion during the six months ended June 30, 2022 and 5 million shares for $550 million during the six months ended June 30,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Credit Risk</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monitors economic conditons, the creditworthiness of customers and government regulatons and funding, both domestcally and abroad. AbbVie regularly communicates with its customers regarding the status of receivable balances, including their payment plans and obtains positve confrmaton of the validity of the receivables. AbbVie establishes an allowance for credit losses equal to the estmate of future losses over the contractual life of outstanding accounts receivable. AbbVie may also utlize factoring arrangements to mitgate credit risk, although the receivables included in such arrangements have historically not been a signifcant amount of total outstanding receivables.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Credit Facility, Access to Capital and Credit Ratngs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Credit Facility</w:t>
      </w:r>
    </w:p>
    <w:p>
      <w:pPr>
        <w:spacing w:after="0" w:line="1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AbbVie currently has a $4.0 billion fve-year revolving credit facility that matures in August 2024. This credit facility enables the company to borrow funds on an unsecured basis at variable interest rates and contains various covenants. At June 30, 2022, the company was in compliance with all covenants, and commitment fees under the credit facility were insignifcant. No amounts were outstanding under the company's credit facility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34</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i w:val="1"/>
          <w:iCs w:val="1"/>
          <w:color w:val="auto"/>
        </w:rPr>
        <w:t>Access to Capital</w:t>
      </w:r>
    </w:p>
    <w:p>
      <w:pPr>
        <w:spacing w:after="0" w:line="13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company intends to fund short-term and long-term fnancial obligatons as they mature through cash on hand, future cash fows from operatons or has the ability to issue additonal debt. The company’s ability to generate cash fows from operatons, issue debt or enter into fnancing arrangements on acceptable terms could be adversely afected if there is a material decline in the demand for the company’s products or in the solvency of its customers or suppliers, deterioraton in the company’s key fnancial ratos or credit ratngs or other material unfavorable changes in business conditons. At the current tme, the company believes it has sufcient fnancial fexibility to issue debt, enter into other fnancing arrangements and atract long-term capital on acceptable terms to support the company’s growth objectves.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Credit Ratngs</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March 2022, Moody’s Investors Service (Moody’s) afrmed its Baa2 senior unsecured long-term ratng and the Prime-2 short-term ratng. At the same tme, Moody’s revised the outlook to positve from stable. Unfavorable changes to the ratngs may have an adverse impact on future fnancing arrangements; however, they would not afect the company’s ability to draw on its credit facility and would not result in an acceleraton of scheduled maturites of any of the company’s outstanding debt.</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CRITICAL ACCOUNTING POLICIES</w:t>
      </w:r>
    </w:p>
    <w:p>
      <w:pPr>
        <w:spacing w:after="0" w:line="1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summary of the company’s signifcant accountng policies is included in Note 2, “Summary of Signifcant Accountng Policies” in AbbVie's Annual Report on Form 10-K for the year ended December 31, 2021. There have been no signifcant changes in the company’s applicaton of its critcal accountng policies during the six months ended June 30, 2022.</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FORWARD-LOOKING STATEMENTS</w:t>
      </w:r>
    </w:p>
    <w:p>
      <w:pPr>
        <w:spacing w:after="0" w:line="13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Some statements in this quarterly report on Form 10-Q may be forward-looking statements for purposes of the Private Securites Litgaton Reform Act of 1995. The words “believe,” “expect,” “antcipate,” “project,” and similar expressions, among others, generally identfy forward-looking statements. AbbVie cautons that these forward-looking statements are subject to risks and uncertaintes that may cause actual results to difer materially from those indicated in the forward-looking statements. Such risks and uncertaintes include, but are not limited to, failure to realize the expected benefts from AbbVie's acquisiton of Allergan, failure to promptly and efectvely integrate Allergan's businesses, challenges to intellectual property, competton from other products, difcultes inherent in the research and development process, adverse litgaton or government acton, changes to laws and regulatons applicable to our industry and the impact of public health outbreaks, epidemics or pandemics, such as COVID-19. Additonal informaton about the economic, compettve, governmental, technological and other factors that may afect AbbVie’s operatons is set forth in Item 1A, “Risk Factors,” in AbbVie’s Annual Report on Form 10-K for the year ended December 31, 2021, which has been fled with the Securites and Exchange Commission. AbbVie notes these factors for investors as permited by the Private Securites Litgaton Reform Act of 1995. AbbVie undertakes no obligaton to release publicly any revisions to forward-looking statements as a result of subsequent events or developments, except as required by law.</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For a discussion of the company's market risk, see Item 7A, "Quanttatve and Qualitatve Disclosures About Market Risk" in AbbVie's Annual Report on Form 10-K for the year ended December 31, 2021.</w:t>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DISCLOSURE CONTROLS AND PROCEDURES</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color w:val="auto"/>
        </w:rPr>
        <w:t xml:space="preserve">Evaluaton of disclosure controls and procedures. </w:t>
      </w:r>
      <w:r>
        <w:rPr>
          <w:rFonts w:ascii="Calibri" w:cs="Calibri" w:eastAsia="Calibri" w:hAnsi="Calibri"/>
          <w:sz w:val="18"/>
          <w:szCs w:val="18"/>
          <w:color w:val="auto"/>
        </w:rPr>
        <w:t>The Chief Executve Ofcer, Richard A. Gonzalez, and the Chief Financial Ofcer, Scot T. Reents, evaluated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efectveness of AbbVie’s disclosure controls and procedures as of the end of the period covered by this report, and concluded that AbbVie’s disclosure controls and procedures were efectve to ensure that informaton AbbVie is required to disclose in the reports that it fles or submits with the Securites and Exchange Commission under the Securites Exchange Act of 1934 is recorded, processed, summarized and reported, within the tme periods specifed in the Commission’s rules and forms, and to ensure that informaton required to be disclosed by AbbVie in the reports that it fles or submits under the Exchange Act is accumulated and communicated to AbbVie’s management, including its principal executve ofcer and principal fnancial ofcer, as appropriate to allow tmely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489585</wp:posOffset>
            </wp:positionV>
            <wp:extent cx="51435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b w:val="1"/>
          <w:bCs w:val="1"/>
          <w:color w:val="444867"/>
        </w:rPr>
        <w:t>INTERNAL CONTROL OVER FINANCIAL REPORTING</w:t>
      </w:r>
    </w:p>
    <w:p>
      <w:pPr>
        <w:spacing w:after="0" w:line="136" w:lineRule="exact"/>
        <w:rPr>
          <w:sz w:val="20"/>
          <w:szCs w:val="20"/>
          <w:color w:val="auto"/>
        </w:rPr>
      </w:pPr>
    </w:p>
    <w:p>
      <w:pPr>
        <w:jc w:val="both"/>
        <w:ind w:right="380"/>
        <w:spacing w:after="0" w:line="235" w:lineRule="auto"/>
        <w:rPr>
          <w:sz w:val="20"/>
          <w:szCs w:val="20"/>
          <w:color w:val="auto"/>
        </w:rPr>
      </w:pPr>
      <w:r>
        <w:rPr>
          <w:rFonts w:ascii="Calibri" w:cs="Calibri" w:eastAsia="Calibri" w:hAnsi="Calibri"/>
          <w:sz w:val="18"/>
          <w:szCs w:val="18"/>
          <w:b w:val="1"/>
          <w:bCs w:val="1"/>
          <w:color w:val="auto"/>
        </w:rPr>
        <w:t xml:space="preserve">Changes in internal control over fnancial reportng. </w:t>
      </w:r>
      <w:r>
        <w:rPr>
          <w:rFonts w:ascii="Calibri" w:cs="Calibri" w:eastAsia="Calibri" w:hAnsi="Calibri"/>
          <w:sz w:val="18"/>
          <w:szCs w:val="18"/>
          <w:color w:val="auto"/>
        </w:rPr>
        <w:t>There were no changes in AbbVie’s internal control over fnancial reportng (as defned in Rule 13a-15(f) under the Exchange Act) that have materially afected, or are reasonably likely to materially afect, AbbVie’s internal control over fnancial reportng during the quarter ended June 30, 2022.</w:t>
      </w:r>
    </w:p>
    <w:p>
      <w:pPr>
        <w:spacing w:after="0" w:line="15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color w:val="auto"/>
        </w:rPr>
        <w:t xml:space="preserve">Inherent Limitatons on Efectveness of Controls. </w:t>
      </w:r>
      <w:r>
        <w:rPr>
          <w:rFonts w:ascii="Calibri" w:cs="Calibri" w:eastAsia="Calibri" w:hAnsi="Calibri"/>
          <w:sz w:val="18"/>
          <w:szCs w:val="18"/>
          <w:color w:val="auto"/>
        </w:rPr>
        <w:t>AbbVie’s management, including its Chief Executve Ofcer and its Chief Financial Ofcer, do not expect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that AbbVie’s disclosure controls or internal control over fnancial reportng will prevent or detect all errors and all fraud. A control system, no mater how well designed and operated, can provide only reasonable, not absolute, assurance that the control system’s objectves will be met. The design of a control system must refect the fact that there are resource constraints, and the benefts of controls must be considered relatve to their costs. Further, because of the inherent limitatons in all control systems, no evaluaton of controls can provide absolute assurance that misstatements due to error or fraud will not occur or that all control issues and instances of fraud, if any, have been detected. These inherent limitatons include the realites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5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design of any system of controls is based in part on certain assumptons about the likelihood of future events, and there can be no assurance that any design will succeed in achieving its stated goals under all potental future conditons. Projectons of any evaluaton of controls efectveness to future periods are subject to risks. Over tme, controls may become inadequate because of changes in conditons or deterioraton in the degree of compliance with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36</w:t>
            </w:r>
          </w:p>
        </w:tc>
      </w:tr>
      <w:tr>
        <w:trPr>
          <w:trHeight w:val="242"/>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8" w:name="page39"/>
    <w:bookmarkEnd w:id="38"/>
    <w:p>
      <w:pPr>
        <w:spacing w:after="0"/>
        <w:rPr>
          <w:sz w:val="20"/>
          <w:szCs w:val="20"/>
          <w:color w:val="auto"/>
        </w:rPr>
      </w:pPr>
      <w:r>
        <w:rPr>
          <w:rFonts w:ascii="Calibri" w:cs="Calibri" w:eastAsia="Calibri" w:hAnsi="Calibri"/>
          <w:sz w:val="22"/>
          <w:szCs w:val="22"/>
          <w:b w:val="1"/>
          <w:bCs w:val="1"/>
          <w:color w:val="444867"/>
        </w:rPr>
        <w:t>PART II. OTHER INFORMATION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Informaton pertaining to legal proceedings is provided in Note 12 to the Condensed Consolidated Financial Statements and is incorporated by reference herein.</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60" w:hanging="226"/>
        <w:spacing w:after="0"/>
        <w:tabs>
          <w:tab w:leader="none" w:pos="760" w:val="left"/>
        </w:tabs>
        <w:numPr>
          <w:ilvl w:val="0"/>
          <w:numId w:val="19"/>
        </w:numPr>
        <w:rPr>
          <w:rFonts w:ascii="Calibri" w:cs="Calibri" w:eastAsia="Calibri" w:hAnsi="Calibri"/>
          <w:sz w:val="18"/>
          <w:szCs w:val="18"/>
          <w:color w:val="auto"/>
        </w:rPr>
      </w:pPr>
      <w:r>
        <w:rPr>
          <w:rFonts w:ascii="Calibri" w:cs="Calibri" w:eastAsia="Calibri" w:hAnsi="Calibri"/>
          <w:sz w:val="18"/>
          <w:szCs w:val="18"/>
          <w:i w:val="1"/>
          <w:iCs w:val="1"/>
          <w:color w:val="auto"/>
        </w:rPr>
        <w:t>Issuer Purchases of Equity Securites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tcPr>
          <w:p>
            <w:pPr>
              <w:jc w:val="center"/>
              <w:ind w:right="242"/>
              <w:spacing w:after="0"/>
              <w:rPr>
                <w:sz w:val="20"/>
                <w:szCs w:val="20"/>
                <w:color w:val="auto"/>
              </w:rPr>
            </w:pPr>
            <w:r>
              <w:rPr>
                <w:rFonts w:ascii="Calibri" w:cs="Calibri" w:eastAsia="Calibri" w:hAnsi="Calibri"/>
                <w:sz w:val="14"/>
                <w:szCs w:val="14"/>
                <w:b w:val="1"/>
                <w:bCs w:val="1"/>
                <w:color w:val="auto"/>
              </w:rPr>
              <w:t>(d) Maximum</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jc w:val="center"/>
              <w:ind w:right="262"/>
              <w:spacing w:after="0" w:line="149" w:lineRule="exact"/>
              <w:rPr>
                <w:sz w:val="20"/>
                <w:szCs w:val="20"/>
                <w:color w:val="auto"/>
              </w:rPr>
            </w:pPr>
            <w:r>
              <w:rPr>
                <w:rFonts w:ascii="Calibri" w:cs="Calibri" w:eastAsia="Calibri" w:hAnsi="Calibri"/>
                <w:sz w:val="14"/>
                <w:szCs w:val="14"/>
                <w:b w:val="1"/>
                <w:bCs w:val="1"/>
                <w:color w:val="auto"/>
              </w:rPr>
              <w:t>Number (or</w:t>
            </w: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80" w:type="dxa"/>
            <w:vAlign w:val="bottom"/>
            <w:vMerge w:val="restart"/>
          </w:tcPr>
          <w:p>
            <w:pPr>
              <w:jc w:val="center"/>
              <w:ind w:left="128"/>
              <w:spacing w:after="0"/>
              <w:rPr>
                <w:sz w:val="20"/>
                <w:szCs w:val="20"/>
                <w:color w:val="auto"/>
              </w:rPr>
            </w:pPr>
            <w:r>
              <w:rPr>
                <w:rFonts w:ascii="Calibri" w:cs="Calibri" w:eastAsia="Calibri" w:hAnsi="Calibri"/>
                <w:sz w:val="14"/>
                <w:szCs w:val="14"/>
                <w:b w:val="1"/>
                <w:bCs w:val="1"/>
                <w:color w:val="auto"/>
              </w:rPr>
              <w:t>(c) Total Number</w:t>
            </w:r>
          </w:p>
        </w:tc>
        <w:tc>
          <w:tcPr>
            <w:tcW w:w="520" w:type="dxa"/>
            <w:vAlign w:val="bottom"/>
          </w:tcPr>
          <w:p>
            <w:pPr>
              <w:spacing w:after="0"/>
              <w:rPr>
                <w:sz w:val="11"/>
                <w:szCs w:val="11"/>
                <w:color w:val="auto"/>
              </w:rPr>
            </w:pPr>
          </w:p>
        </w:tc>
        <w:tc>
          <w:tcPr>
            <w:tcW w:w="2040" w:type="dxa"/>
            <w:vAlign w:val="bottom"/>
          </w:tcPr>
          <w:p>
            <w:pPr>
              <w:jc w:val="center"/>
              <w:ind w:right="262"/>
              <w:spacing w:after="0" w:line="136" w:lineRule="exact"/>
              <w:rPr>
                <w:sz w:val="20"/>
                <w:szCs w:val="20"/>
                <w:color w:val="auto"/>
              </w:rPr>
            </w:pPr>
            <w:r>
              <w:rPr>
                <w:rFonts w:ascii="Calibri" w:cs="Calibri" w:eastAsia="Calibri" w:hAnsi="Calibri"/>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jc w:val="center"/>
              <w:ind w:right="242"/>
              <w:spacing w:after="0" w:line="148" w:lineRule="exact"/>
              <w:rPr>
                <w:sz w:val="20"/>
                <w:szCs w:val="20"/>
                <w:color w:val="auto"/>
              </w:rPr>
            </w:pPr>
            <w:r>
              <w:rPr>
                <w:rFonts w:ascii="Calibri" w:cs="Calibri" w:eastAsia="Calibri" w:hAnsi="Calibri"/>
                <w:sz w:val="14"/>
                <w:szCs w:val="14"/>
                <w:b w:val="1"/>
                <w:bCs w:val="1"/>
                <w:color w:val="auto"/>
              </w:rPr>
              <w:t>Dollar Value) of</w:t>
            </w: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2380" w:type="dxa"/>
            <w:vAlign w:val="bottom"/>
          </w:tcPr>
          <w:p>
            <w:pPr>
              <w:jc w:val="center"/>
              <w:ind w:left="289"/>
              <w:spacing w:after="0" w:line="136" w:lineRule="exact"/>
              <w:rPr>
                <w:sz w:val="20"/>
                <w:szCs w:val="20"/>
                <w:color w:val="auto"/>
              </w:rPr>
            </w:pPr>
            <w:r>
              <w:rPr>
                <w:rFonts w:ascii="Calibri" w:cs="Calibri" w:eastAsia="Calibri" w:hAnsi="Calibri"/>
                <w:sz w:val="14"/>
                <w:szCs w:val="14"/>
                <w:b w:val="1"/>
                <w:bCs w:val="1"/>
                <w:color w:val="auto"/>
              </w:rPr>
              <w:t>(a) Total</w:t>
            </w:r>
          </w:p>
        </w:tc>
        <w:tc>
          <w:tcPr>
            <w:tcW w:w="1700" w:type="dxa"/>
            <w:vAlign w:val="bottom"/>
          </w:tcPr>
          <w:p>
            <w:pPr>
              <w:spacing w:after="0"/>
              <w:rPr>
                <w:sz w:val="11"/>
                <w:szCs w:val="11"/>
                <w:color w:val="auto"/>
              </w:rPr>
            </w:pPr>
          </w:p>
        </w:tc>
        <w:tc>
          <w:tcPr>
            <w:tcW w:w="1280" w:type="dxa"/>
            <w:vAlign w:val="bottom"/>
          </w:tcPr>
          <w:p>
            <w:pPr>
              <w:jc w:val="center"/>
              <w:ind w:left="128"/>
              <w:spacing w:after="0" w:line="136" w:lineRule="exact"/>
              <w:rPr>
                <w:sz w:val="20"/>
                <w:szCs w:val="20"/>
                <w:color w:val="auto"/>
              </w:rPr>
            </w:pPr>
            <w:r>
              <w:rPr>
                <w:rFonts w:ascii="Calibri" w:cs="Calibri" w:eastAsia="Calibri" w:hAnsi="Calibri"/>
                <w:sz w:val="14"/>
                <w:szCs w:val="14"/>
                <w:b w:val="1"/>
                <w:bCs w:val="1"/>
                <w:color w:val="auto"/>
              </w:rPr>
              <w:t>of Shares (or</w:t>
            </w:r>
          </w:p>
        </w:tc>
        <w:tc>
          <w:tcPr>
            <w:tcW w:w="520" w:type="dxa"/>
            <w:vAlign w:val="bottom"/>
          </w:tcPr>
          <w:p>
            <w:pPr>
              <w:spacing w:after="0"/>
              <w:rPr>
                <w:sz w:val="11"/>
                <w:szCs w:val="11"/>
                <w:color w:val="auto"/>
              </w:rPr>
            </w:pPr>
          </w:p>
        </w:tc>
        <w:tc>
          <w:tcPr>
            <w:tcW w:w="2040" w:type="dxa"/>
            <w:vAlign w:val="bottom"/>
          </w:tcPr>
          <w:p>
            <w:pPr>
              <w:jc w:val="center"/>
              <w:ind w:right="242"/>
              <w:spacing w:after="0" w:line="136" w:lineRule="exact"/>
              <w:rPr>
                <w:sz w:val="20"/>
                <w:szCs w:val="20"/>
                <w:color w:val="auto"/>
              </w:rPr>
            </w:pPr>
            <w:r>
              <w:rPr>
                <w:rFonts w:ascii="Calibri" w:cs="Calibri" w:eastAsia="Calibri" w:hAnsi="Calibri"/>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jc w:val="center"/>
              <w:ind w:left="289"/>
              <w:spacing w:after="0" w:line="149" w:lineRule="exact"/>
              <w:rPr>
                <w:sz w:val="20"/>
                <w:szCs w:val="20"/>
                <w:color w:val="auto"/>
              </w:rPr>
            </w:pPr>
            <w:r>
              <w:rPr>
                <w:rFonts w:ascii="Calibri" w:cs="Calibri" w:eastAsia="Calibri" w:hAnsi="Calibri"/>
                <w:sz w:val="14"/>
                <w:szCs w:val="14"/>
                <w:b w:val="1"/>
                <w:bCs w:val="1"/>
                <w:color w:val="auto"/>
              </w:rPr>
              <w:t>Number of</w:t>
            </w:r>
          </w:p>
        </w:tc>
        <w:tc>
          <w:tcPr>
            <w:tcW w:w="1700" w:type="dxa"/>
            <w:vAlign w:val="bottom"/>
          </w:tcPr>
          <w:p>
            <w:pPr>
              <w:jc w:val="center"/>
              <w:ind w:right="379"/>
              <w:spacing w:after="0" w:line="149" w:lineRule="exact"/>
              <w:rPr>
                <w:sz w:val="20"/>
                <w:szCs w:val="20"/>
                <w:color w:val="auto"/>
              </w:rPr>
            </w:pPr>
            <w:r>
              <w:rPr>
                <w:rFonts w:ascii="Calibri" w:cs="Calibri" w:eastAsia="Calibri" w:hAnsi="Calibri"/>
                <w:sz w:val="14"/>
                <w:szCs w:val="14"/>
                <w:b w:val="1"/>
                <w:bCs w:val="1"/>
                <w:color w:val="auto"/>
              </w:rPr>
              <w:t>(b) Average</w:t>
            </w:r>
          </w:p>
        </w:tc>
        <w:tc>
          <w:tcPr>
            <w:tcW w:w="1280" w:type="dxa"/>
            <w:vAlign w:val="bottom"/>
          </w:tcPr>
          <w:p>
            <w:pPr>
              <w:jc w:val="center"/>
              <w:ind w:left="128"/>
              <w:spacing w:after="0" w:line="149" w:lineRule="exact"/>
              <w:rPr>
                <w:sz w:val="20"/>
                <w:szCs w:val="20"/>
                <w:color w:val="auto"/>
              </w:rPr>
            </w:pPr>
            <w:r>
              <w:rPr>
                <w:rFonts w:ascii="Calibri" w:cs="Calibri" w:eastAsia="Calibri" w:hAnsi="Calibri"/>
                <w:sz w:val="14"/>
                <w:szCs w:val="14"/>
                <w:b w:val="1"/>
                <w:bCs w:val="1"/>
                <w:color w:val="auto"/>
              </w:rPr>
              <w:t>Units) Purchased</w:t>
            </w:r>
          </w:p>
        </w:tc>
        <w:tc>
          <w:tcPr>
            <w:tcW w:w="520" w:type="dxa"/>
            <w:vAlign w:val="bottom"/>
          </w:tcPr>
          <w:p>
            <w:pPr>
              <w:spacing w:after="0"/>
              <w:rPr>
                <w:sz w:val="12"/>
                <w:szCs w:val="12"/>
                <w:color w:val="auto"/>
              </w:rPr>
            </w:pPr>
          </w:p>
        </w:tc>
        <w:tc>
          <w:tcPr>
            <w:tcW w:w="2040" w:type="dxa"/>
            <w:vAlign w:val="bottom"/>
          </w:tcPr>
          <w:p>
            <w:pPr>
              <w:jc w:val="center"/>
              <w:ind w:right="262"/>
              <w:spacing w:after="0" w:line="149" w:lineRule="exact"/>
              <w:rPr>
                <w:sz w:val="20"/>
                <w:szCs w:val="20"/>
                <w:color w:val="auto"/>
              </w:rPr>
            </w:pPr>
            <w:r>
              <w:rPr>
                <w:rFonts w:ascii="Calibri" w:cs="Calibri" w:eastAsia="Calibri" w:hAnsi="Calibri"/>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jc w:val="center"/>
              <w:ind w:left="289"/>
              <w:spacing w:after="0" w:line="149" w:lineRule="exact"/>
              <w:rPr>
                <w:sz w:val="20"/>
                <w:szCs w:val="20"/>
                <w:color w:val="auto"/>
              </w:rPr>
            </w:pPr>
            <w:r>
              <w:rPr>
                <w:rFonts w:ascii="Calibri" w:cs="Calibri" w:eastAsia="Calibri" w:hAnsi="Calibri"/>
                <w:sz w:val="14"/>
                <w:szCs w:val="14"/>
                <w:b w:val="1"/>
                <w:bCs w:val="1"/>
                <w:color w:val="auto"/>
                <w:w w:val="98"/>
              </w:rPr>
              <w:t>Shares</w:t>
            </w:r>
          </w:p>
        </w:tc>
        <w:tc>
          <w:tcPr>
            <w:tcW w:w="1700" w:type="dxa"/>
            <w:vAlign w:val="bottom"/>
          </w:tcPr>
          <w:p>
            <w:pPr>
              <w:jc w:val="center"/>
              <w:ind w:right="359"/>
              <w:spacing w:after="0" w:line="149" w:lineRule="exact"/>
              <w:rPr>
                <w:sz w:val="20"/>
                <w:szCs w:val="20"/>
                <w:color w:val="auto"/>
              </w:rPr>
            </w:pPr>
            <w:r>
              <w:rPr>
                <w:rFonts w:ascii="Calibri" w:cs="Calibri" w:eastAsia="Calibri" w:hAnsi="Calibri"/>
                <w:sz w:val="14"/>
                <w:szCs w:val="14"/>
                <w:b w:val="1"/>
                <w:bCs w:val="1"/>
                <w:color w:val="auto"/>
              </w:rPr>
              <w:t>Price Paid</w:t>
            </w:r>
          </w:p>
        </w:tc>
        <w:tc>
          <w:tcPr>
            <w:tcW w:w="1280" w:type="dxa"/>
            <w:vAlign w:val="bottom"/>
          </w:tcPr>
          <w:p>
            <w:pPr>
              <w:jc w:val="center"/>
              <w:ind w:left="108"/>
              <w:spacing w:after="0" w:line="149" w:lineRule="exact"/>
              <w:rPr>
                <w:sz w:val="20"/>
                <w:szCs w:val="20"/>
                <w:color w:val="auto"/>
              </w:rPr>
            </w:pPr>
            <w:r>
              <w:rPr>
                <w:rFonts w:ascii="Calibri" w:cs="Calibri" w:eastAsia="Calibri" w:hAnsi="Calibri"/>
                <w:sz w:val="14"/>
                <w:szCs w:val="14"/>
                <w:b w:val="1"/>
                <w:bCs w:val="1"/>
                <w:color w:val="auto"/>
              </w:rPr>
              <w:t>as Part of Publicly</w:t>
            </w:r>
          </w:p>
        </w:tc>
        <w:tc>
          <w:tcPr>
            <w:tcW w:w="520" w:type="dxa"/>
            <w:vAlign w:val="bottom"/>
          </w:tcPr>
          <w:p>
            <w:pPr>
              <w:spacing w:after="0"/>
              <w:rPr>
                <w:sz w:val="12"/>
                <w:szCs w:val="12"/>
                <w:color w:val="auto"/>
              </w:rPr>
            </w:pPr>
          </w:p>
        </w:tc>
        <w:tc>
          <w:tcPr>
            <w:tcW w:w="2040" w:type="dxa"/>
            <w:vAlign w:val="bottom"/>
          </w:tcPr>
          <w:p>
            <w:pPr>
              <w:jc w:val="center"/>
              <w:ind w:right="262"/>
              <w:spacing w:after="0" w:line="149" w:lineRule="exact"/>
              <w:rPr>
                <w:sz w:val="20"/>
                <w:szCs w:val="20"/>
                <w:color w:val="auto"/>
              </w:rPr>
            </w:pPr>
            <w:r>
              <w:rPr>
                <w:rFonts w:ascii="Calibri" w:cs="Calibri" w:eastAsia="Calibri" w:hAnsi="Calibri"/>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380" w:type="dxa"/>
            <w:vAlign w:val="bottom"/>
          </w:tcPr>
          <w:p>
            <w:pPr>
              <w:jc w:val="center"/>
              <w:ind w:left="289"/>
              <w:spacing w:after="0" w:line="135" w:lineRule="exact"/>
              <w:rPr>
                <w:sz w:val="20"/>
                <w:szCs w:val="20"/>
                <w:color w:val="auto"/>
              </w:rPr>
            </w:pPr>
            <w:r>
              <w:rPr>
                <w:rFonts w:ascii="Calibri" w:cs="Calibri" w:eastAsia="Calibri" w:hAnsi="Calibri"/>
                <w:sz w:val="14"/>
                <w:szCs w:val="14"/>
                <w:b w:val="1"/>
                <w:bCs w:val="1"/>
                <w:color w:val="auto"/>
              </w:rPr>
              <w:t>(or Units)</w:t>
            </w:r>
          </w:p>
        </w:tc>
        <w:tc>
          <w:tcPr>
            <w:tcW w:w="1700" w:type="dxa"/>
            <w:vAlign w:val="bottom"/>
          </w:tcPr>
          <w:p>
            <w:pPr>
              <w:jc w:val="center"/>
              <w:ind w:right="379"/>
              <w:spacing w:after="0" w:line="135" w:lineRule="exact"/>
              <w:rPr>
                <w:sz w:val="20"/>
                <w:szCs w:val="20"/>
                <w:color w:val="auto"/>
              </w:rPr>
            </w:pPr>
            <w:r>
              <w:rPr>
                <w:rFonts w:ascii="Calibri" w:cs="Calibri" w:eastAsia="Calibri" w:hAnsi="Calibri"/>
                <w:sz w:val="14"/>
                <w:szCs w:val="14"/>
                <w:b w:val="1"/>
                <w:bCs w:val="1"/>
                <w:color w:val="auto"/>
              </w:rPr>
              <w:t>per Share</w:t>
            </w:r>
          </w:p>
        </w:tc>
        <w:tc>
          <w:tcPr>
            <w:tcW w:w="1280" w:type="dxa"/>
            <w:vAlign w:val="bottom"/>
          </w:tcPr>
          <w:p>
            <w:pPr>
              <w:jc w:val="center"/>
              <w:ind w:left="128"/>
              <w:spacing w:after="0" w:line="135" w:lineRule="exact"/>
              <w:rPr>
                <w:sz w:val="20"/>
                <w:szCs w:val="20"/>
                <w:color w:val="auto"/>
              </w:rPr>
            </w:pPr>
            <w:r>
              <w:rPr>
                <w:rFonts w:ascii="Calibri" w:cs="Calibri" w:eastAsia="Calibri" w:hAnsi="Calibri"/>
                <w:sz w:val="14"/>
                <w:szCs w:val="14"/>
                <w:b w:val="1"/>
                <w:bCs w:val="1"/>
                <w:color w:val="auto"/>
              </w:rPr>
              <w:t>Announced Plans</w:t>
            </w:r>
          </w:p>
        </w:tc>
        <w:tc>
          <w:tcPr>
            <w:tcW w:w="520" w:type="dxa"/>
            <w:vAlign w:val="bottom"/>
          </w:tcPr>
          <w:p>
            <w:pPr>
              <w:spacing w:after="0"/>
              <w:rPr>
                <w:sz w:val="11"/>
                <w:szCs w:val="11"/>
                <w:color w:val="auto"/>
              </w:rPr>
            </w:pPr>
          </w:p>
        </w:tc>
        <w:tc>
          <w:tcPr>
            <w:tcW w:w="2040" w:type="dxa"/>
            <w:vAlign w:val="bottom"/>
          </w:tcPr>
          <w:p>
            <w:pPr>
              <w:jc w:val="center"/>
              <w:ind w:right="242"/>
              <w:spacing w:after="0" w:line="135" w:lineRule="exact"/>
              <w:rPr>
                <w:sz w:val="20"/>
                <w:szCs w:val="20"/>
                <w:color w:val="auto"/>
              </w:rPr>
            </w:pPr>
            <w:r>
              <w:rPr>
                <w:rFonts w:ascii="Calibri" w:cs="Calibri" w:eastAsia="Calibri" w:hAnsi="Calibri"/>
                <w:sz w:val="14"/>
                <w:szCs w:val="14"/>
                <w:b w:val="1"/>
                <w:bCs w:val="1"/>
                <w:color w:val="auto"/>
              </w:rPr>
              <w:t>the Plans or</w:t>
            </w:r>
          </w:p>
        </w:tc>
        <w:tc>
          <w:tcPr>
            <w:tcW w:w="0" w:type="dxa"/>
            <w:vAlign w:val="bottom"/>
          </w:tcPr>
          <w:p>
            <w:pPr>
              <w:spacing w:after="0"/>
              <w:rPr>
                <w:sz w:val="1"/>
                <w:szCs w:val="1"/>
                <w:color w:val="auto"/>
              </w:rPr>
            </w:pPr>
          </w:p>
        </w:tc>
      </w:tr>
      <w:tr>
        <w:trPr>
          <w:trHeight w:val="183"/>
        </w:trPr>
        <w:tc>
          <w:tcPr>
            <w:tcW w:w="3320" w:type="dxa"/>
            <w:vAlign w:val="bottom"/>
          </w:tcPr>
          <w:p>
            <w:pPr>
              <w:ind w:left="1880"/>
              <w:spacing w:after="0"/>
              <w:rPr>
                <w:sz w:val="20"/>
                <w:szCs w:val="20"/>
                <w:color w:val="auto"/>
              </w:rPr>
            </w:pPr>
            <w:r>
              <w:rPr>
                <w:rFonts w:ascii="Calibri" w:cs="Calibri" w:eastAsia="Calibri" w:hAnsi="Calibri"/>
                <w:sz w:val="14"/>
                <w:szCs w:val="14"/>
                <w:b w:val="1"/>
                <w:bCs w:val="1"/>
                <w:color w:val="auto"/>
              </w:rPr>
              <w:t>Period</w:t>
            </w:r>
          </w:p>
        </w:tc>
        <w:tc>
          <w:tcPr>
            <w:tcW w:w="2380" w:type="dxa"/>
            <w:vAlign w:val="bottom"/>
          </w:tcPr>
          <w:p>
            <w:pPr>
              <w:jc w:val="center"/>
              <w:ind w:left="329"/>
              <w:spacing w:after="0"/>
              <w:rPr>
                <w:sz w:val="20"/>
                <w:szCs w:val="20"/>
                <w:color w:val="auto"/>
              </w:rPr>
            </w:pPr>
            <w:r>
              <w:rPr>
                <w:rFonts w:ascii="Calibri" w:cs="Calibri" w:eastAsia="Calibri" w:hAnsi="Calibri"/>
                <w:sz w:val="14"/>
                <w:szCs w:val="14"/>
                <w:b w:val="1"/>
                <w:bCs w:val="1"/>
                <w:color w:val="auto"/>
              </w:rPr>
              <w:t>Purchased</w:t>
            </w:r>
          </w:p>
        </w:tc>
        <w:tc>
          <w:tcPr>
            <w:tcW w:w="170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(or Unit)</w:t>
            </w:r>
          </w:p>
        </w:tc>
        <w:tc>
          <w:tcPr>
            <w:tcW w:w="1280" w:type="dxa"/>
            <w:vAlign w:val="bottom"/>
          </w:tcPr>
          <w:p>
            <w:pPr>
              <w:jc w:val="center"/>
              <w:ind w:left="168"/>
              <w:spacing w:after="0"/>
              <w:rPr>
                <w:sz w:val="20"/>
                <w:szCs w:val="20"/>
                <w:color w:val="auto"/>
              </w:rPr>
            </w:pPr>
            <w:r>
              <w:rPr>
                <w:rFonts w:ascii="Calibri" w:cs="Calibri" w:eastAsia="Calibri" w:hAnsi="Calibri"/>
                <w:sz w:val="14"/>
                <w:szCs w:val="14"/>
                <w:b w:val="1"/>
                <w:bCs w:val="1"/>
                <w:color w:val="auto"/>
              </w:rPr>
              <w:t>or Programs</w:t>
            </w:r>
          </w:p>
        </w:tc>
        <w:tc>
          <w:tcPr>
            <w:tcW w:w="520" w:type="dxa"/>
            <w:vAlign w:val="bottom"/>
          </w:tcPr>
          <w:p>
            <w:pPr>
              <w:spacing w:after="0"/>
              <w:rPr>
                <w:sz w:val="15"/>
                <w:szCs w:val="15"/>
                <w:color w:val="auto"/>
              </w:rPr>
            </w:pPr>
          </w:p>
        </w:tc>
        <w:tc>
          <w:tcPr>
            <w:tcW w:w="2040" w:type="dxa"/>
            <w:vAlign w:val="bottom"/>
          </w:tcPr>
          <w:p>
            <w:pPr>
              <w:jc w:val="center"/>
              <w:ind w:right="222"/>
              <w:spacing w:after="0"/>
              <w:rPr>
                <w:sz w:val="20"/>
                <w:szCs w:val="20"/>
                <w:color w:val="auto"/>
              </w:rPr>
            </w:pPr>
            <w:r>
              <w:rPr>
                <w:rFonts w:ascii="Calibri" w:cs="Calibri" w:eastAsia="Calibri" w:hAnsi="Calibri"/>
                <w:sz w:val="14"/>
                <w:szCs w:val="14"/>
                <w:b w:val="1"/>
                <w:bCs w:val="1"/>
                <w:color w:val="auto"/>
              </w:rPr>
              <w:t>Programs</w:t>
            </w:r>
          </w:p>
        </w:tc>
        <w:tc>
          <w:tcPr>
            <w:tcW w:w="0" w:type="dxa"/>
            <w:vAlign w:val="bottom"/>
          </w:tcPr>
          <w:p>
            <w:pPr>
              <w:spacing w:after="0"/>
              <w:rPr>
                <w:sz w:val="1"/>
                <w:szCs w:val="1"/>
                <w:color w:val="auto"/>
              </w:rPr>
            </w:pPr>
          </w:p>
        </w:tc>
      </w:tr>
      <w:tr>
        <w:trPr>
          <w:trHeight w:val="33"/>
        </w:trPr>
        <w:tc>
          <w:tcPr>
            <w:tcW w:w="3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April 1, 2022 - April 30, 2022</w:t>
            </w:r>
          </w:p>
        </w:tc>
        <w:tc>
          <w:tcPr>
            <w:tcW w:w="2380" w:type="dxa"/>
            <w:vAlign w:val="bottom"/>
            <w:shd w:val="clear" w:color="auto" w:fill="CCEEFF"/>
          </w:tcPr>
          <w:p>
            <w:pPr>
              <w:jc w:val="right"/>
              <w:ind w:right="209"/>
              <w:spacing w:after="0" w:line="223" w:lineRule="exact"/>
              <w:rPr>
                <w:sz w:val="20"/>
                <w:szCs w:val="20"/>
                <w:color w:val="auto"/>
              </w:rPr>
            </w:pPr>
            <w:r>
              <w:rPr>
                <w:rFonts w:ascii="Calibri" w:cs="Calibri" w:eastAsia="Calibri" w:hAnsi="Calibri"/>
                <w:sz w:val="18"/>
                <w:szCs w:val="18"/>
                <w:color w:val="auto"/>
              </w:rPr>
              <w:t xml:space="preserve">28,809 </w:t>
            </w:r>
            <w:r>
              <w:rPr>
                <w:rFonts w:ascii="Calibri" w:cs="Calibri" w:eastAsia="Calibri" w:hAnsi="Calibri"/>
                <w:sz w:val="23"/>
                <w:szCs w:val="23"/>
                <w:color w:val="auto"/>
                <w:vertAlign w:val="superscript"/>
              </w:rPr>
              <w:t>(1)</w:t>
            </w:r>
          </w:p>
        </w:tc>
        <w:tc>
          <w:tcPr>
            <w:tcW w:w="1700" w:type="dxa"/>
            <w:vAlign w:val="bottom"/>
            <w:shd w:val="clear" w:color="auto" w:fill="CCEEFF"/>
          </w:tcPr>
          <w:p>
            <w:pPr>
              <w:jc w:val="right"/>
              <w:ind w:right="139"/>
              <w:spacing w:after="0" w:line="223" w:lineRule="exact"/>
              <w:rPr>
                <w:sz w:val="20"/>
                <w:szCs w:val="20"/>
                <w:color w:val="auto"/>
              </w:rPr>
            </w:pPr>
            <w:r>
              <w:rPr>
                <w:rFonts w:ascii="Calibri" w:cs="Calibri" w:eastAsia="Calibri" w:hAnsi="Calibri"/>
                <w:sz w:val="18"/>
                <w:szCs w:val="18"/>
                <w:color w:val="auto"/>
              </w:rPr>
              <w:t xml:space="preserve">$162.39 </w:t>
            </w:r>
            <w:r>
              <w:rPr>
                <w:rFonts w:ascii="Calibri" w:cs="Calibri" w:eastAsia="Calibri" w:hAnsi="Calibri"/>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2040" w:type="dxa"/>
            <w:vAlign w:val="bottom"/>
            <w:shd w:val="clear" w:color="auto" w:fill="CCEEFF"/>
          </w:tcPr>
          <w:p>
            <w:pPr>
              <w:jc w:val="right"/>
              <w:ind w:right="322"/>
              <w:spacing w:after="0" w:line="215" w:lineRule="exact"/>
              <w:rPr>
                <w:sz w:val="20"/>
                <w:szCs w:val="20"/>
                <w:color w:val="auto"/>
              </w:rPr>
            </w:pPr>
            <w:r>
              <w:rPr>
                <w:rFonts w:ascii="Calibri" w:cs="Calibri" w:eastAsia="Calibri" w:hAnsi="Calibri"/>
                <w:sz w:val="18"/>
                <w:szCs w:val="18"/>
                <w:color w:val="auto"/>
              </w:rPr>
              <w:t>$1,393,714,917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line="215" w:lineRule="exact"/>
              <w:rPr>
                <w:sz w:val="20"/>
                <w:szCs w:val="20"/>
                <w:color w:val="auto"/>
              </w:rPr>
            </w:pPr>
            <w:r>
              <w:rPr>
                <w:rFonts w:ascii="Calibri" w:cs="Calibri" w:eastAsia="Calibri" w:hAnsi="Calibri"/>
                <w:sz w:val="18"/>
                <w:szCs w:val="18"/>
                <w:color w:val="auto"/>
              </w:rPr>
              <w:t>May 1, 2022 - May 31, 2022</w:t>
            </w:r>
          </w:p>
        </w:tc>
        <w:tc>
          <w:tcPr>
            <w:tcW w:w="2380" w:type="dxa"/>
            <w:vAlign w:val="bottom"/>
          </w:tcPr>
          <w:p>
            <w:pPr>
              <w:jc w:val="right"/>
              <w:ind w:right="209"/>
              <w:spacing w:after="0" w:line="229" w:lineRule="exact"/>
              <w:rPr>
                <w:sz w:val="20"/>
                <w:szCs w:val="20"/>
                <w:color w:val="auto"/>
              </w:rPr>
            </w:pPr>
            <w:r>
              <w:rPr>
                <w:rFonts w:ascii="Calibri" w:cs="Calibri" w:eastAsia="Calibri" w:hAnsi="Calibri"/>
                <w:sz w:val="25"/>
                <w:szCs w:val="25"/>
                <w:color w:val="auto"/>
                <w:vertAlign w:val="subscript"/>
              </w:rPr>
              <w:t>839</w:t>
            </w:r>
            <w:r>
              <w:rPr>
                <w:rFonts w:ascii="Calibri" w:cs="Calibri" w:eastAsia="Calibri" w:hAnsi="Calibri"/>
                <w:sz w:val="10"/>
                <w:szCs w:val="10"/>
                <w:color w:val="auto"/>
              </w:rPr>
              <w:t xml:space="preserve"> (1)</w:t>
            </w:r>
          </w:p>
        </w:tc>
        <w:tc>
          <w:tcPr>
            <w:tcW w:w="1700" w:type="dxa"/>
            <w:vAlign w:val="bottom"/>
          </w:tcPr>
          <w:p>
            <w:pPr>
              <w:jc w:val="right"/>
              <w:ind w:right="139"/>
              <w:spacing w:after="0" w:line="230" w:lineRule="exact"/>
              <w:rPr>
                <w:sz w:val="20"/>
                <w:szCs w:val="20"/>
                <w:color w:val="auto"/>
              </w:rPr>
            </w:pPr>
            <w:r>
              <w:rPr>
                <w:rFonts w:ascii="Calibri" w:cs="Calibri" w:eastAsia="Calibri" w:hAnsi="Calibri"/>
                <w:sz w:val="18"/>
                <w:szCs w:val="18"/>
                <w:color w:val="auto"/>
              </w:rPr>
              <w:t xml:space="preserve">$151.92 </w:t>
            </w:r>
            <w:r>
              <w:rPr>
                <w:rFonts w:ascii="Calibri" w:cs="Calibri" w:eastAsia="Calibri" w:hAnsi="Calibri"/>
                <w:sz w:val="23"/>
                <w:szCs w:val="23"/>
                <w:color w:val="auto"/>
                <w:vertAlign w:val="superscript"/>
              </w:rPr>
              <w:t>(1)</w:t>
            </w:r>
          </w:p>
        </w:tc>
        <w:tc>
          <w:tcPr>
            <w:tcW w:w="1280" w:type="dxa"/>
            <w:vAlign w:val="bottom"/>
          </w:tcPr>
          <w:p>
            <w:pPr>
              <w:spacing w:after="0"/>
              <w:rPr>
                <w:sz w:val="19"/>
                <w:szCs w:val="19"/>
                <w:color w:val="auto"/>
              </w:rPr>
            </w:pPr>
          </w:p>
        </w:tc>
        <w:tc>
          <w:tcPr>
            <w:tcW w:w="52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2040" w:type="dxa"/>
            <w:vAlign w:val="bottom"/>
          </w:tcPr>
          <w:p>
            <w:pPr>
              <w:jc w:val="right"/>
              <w:ind w:right="322"/>
              <w:spacing w:after="0" w:line="215" w:lineRule="exact"/>
              <w:rPr>
                <w:sz w:val="20"/>
                <w:szCs w:val="20"/>
                <w:color w:val="auto"/>
              </w:rPr>
            </w:pPr>
            <w:r>
              <w:rPr>
                <w:rFonts w:ascii="Calibri" w:cs="Calibri" w:eastAsia="Calibri" w:hAnsi="Calibri"/>
                <w:sz w:val="18"/>
                <w:szCs w:val="18"/>
                <w:color w:val="auto"/>
              </w:rPr>
              <w:t>$1,393,714,917</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June 1, 2022 - June 30, 2022</w:t>
            </w:r>
          </w:p>
        </w:tc>
        <w:tc>
          <w:tcPr>
            <w:tcW w:w="2380" w:type="dxa"/>
            <w:vAlign w:val="bottom"/>
            <w:tcBorders>
              <w:bottom w:val="single" w:sz="8" w:color="auto"/>
            </w:tcBorders>
            <w:shd w:val="clear" w:color="auto" w:fill="CCEEFF"/>
          </w:tcPr>
          <w:p>
            <w:pPr>
              <w:jc w:val="right"/>
              <w:ind w:right="209"/>
              <w:spacing w:after="0" w:line="229" w:lineRule="exact"/>
              <w:rPr>
                <w:sz w:val="20"/>
                <w:szCs w:val="20"/>
                <w:color w:val="auto"/>
              </w:rPr>
            </w:pPr>
            <w:r>
              <w:rPr>
                <w:rFonts w:ascii="Calibri" w:cs="Calibri" w:eastAsia="Calibri" w:hAnsi="Calibri"/>
                <w:sz w:val="25"/>
                <w:szCs w:val="25"/>
                <w:color w:val="auto"/>
                <w:vertAlign w:val="subscript"/>
              </w:rPr>
              <w:t>989</w:t>
            </w:r>
            <w:r>
              <w:rPr>
                <w:rFonts w:ascii="Calibri" w:cs="Calibri" w:eastAsia="Calibri" w:hAnsi="Calibri"/>
                <w:sz w:val="10"/>
                <w:szCs w:val="10"/>
                <w:color w:val="auto"/>
              </w:rPr>
              <w:t xml:space="preserve"> (1)</w:t>
            </w:r>
          </w:p>
        </w:tc>
        <w:tc>
          <w:tcPr>
            <w:tcW w:w="1700" w:type="dxa"/>
            <w:vAlign w:val="bottom"/>
            <w:tcBorders>
              <w:bottom w:val="single" w:sz="8" w:color="auto"/>
            </w:tcBorders>
            <w:shd w:val="clear" w:color="auto" w:fill="CCEEFF"/>
          </w:tcPr>
          <w:p>
            <w:pPr>
              <w:jc w:val="right"/>
              <w:ind w:right="139"/>
              <w:spacing w:after="0" w:line="230" w:lineRule="exact"/>
              <w:rPr>
                <w:sz w:val="20"/>
                <w:szCs w:val="20"/>
                <w:color w:val="auto"/>
              </w:rPr>
            </w:pPr>
            <w:r>
              <w:rPr>
                <w:rFonts w:ascii="Calibri" w:cs="Calibri" w:eastAsia="Calibri" w:hAnsi="Calibri"/>
                <w:sz w:val="18"/>
                <w:szCs w:val="18"/>
                <w:color w:val="auto"/>
              </w:rPr>
              <w:t xml:space="preserve">$146.78 </w:t>
            </w:r>
            <w:r>
              <w:rPr>
                <w:rFonts w:ascii="Calibri" w:cs="Calibri" w:eastAsia="Calibri" w:hAnsi="Calibri"/>
                <w:sz w:val="23"/>
                <w:szCs w:val="23"/>
                <w:color w:val="auto"/>
                <w:vertAlign w:val="superscript"/>
              </w:rPr>
              <w:t>(1)</w:t>
            </w:r>
          </w:p>
        </w:tc>
        <w:tc>
          <w:tcPr>
            <w:tcW w:w="1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2040" w:type="dxa"/>
            <w:vAlign w:val="bottom"/>
            <w:tcBorders>
              <w:bottom w:val="single" w:sz="8" w:color="auto"/>
            </w:tcBorders>
            <w:shd w:val="clear" w:color="auto" w:fill="CCEEFF"/>
          </w:tcPr>
          <w:p>
            <w:pPr>
              <w:jc w:val="right"/>
              <w:ind w:right="322"/>
              <w:spacing w:after="0" w:line="215" w:lineRule="exact"/>
              <w:rPr>
                <w:sz w:val="20"/>
                <w:szCs w:val="20"/>
                <w:color w:val="auto"/>
              </w:rPr>
            </w:pPr>
            <w:r>
              <w:rPr>
                <w:rFonts w:ascii="Calibri" w:cs="Calibri" w:eastAsia="Calibri" w:hAnsi="Calibri"/>
                <w:sz w:val="18"/>
                <w:szCs w:val="18"/>
                <w:color w:val="auto"/>
              </w:rPr>
              <w:t>$1,393,714,917</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w:t>
            </w:r>
          </w:p>
        </w:tc>
        <w:tc>
          <w:tcPr>
            <w:tcW w:w="2380" w:type="dxa"/>
            <w:vAlign w:val="bottom"/>
            <w:tcBorders>
              <w:bottom w:val="single" w:sz="8" w:color="auto"/>
            </w:tcBorders>
          </w:tcPr>
          <w:p>
            <w:pPr>
              <w:jc w:val="right"/>
              <w:ind w:right="209"/>
              <w:spacing w:after="0" w:line="223" w:lineRule="exact"/>
              <w:rPr>
                <w:sz w:val="20"/>
                <w:szCs w:val="20"/>
                <w:color w:val="auto"/>
              </w:rPr>
            </w:pPr>
            <w:r>
              <w:rPr>
                <w:rFonts w:ascii="Calibri" w:cs="Calibri" w:eastAsia="Calibri" w:hAnsi="Calibri"/>
                <w:sz w:val="18"/>
                <w:szCs w:val="18"/>
                <w:color w:val="auto"/>
              </w:rPr>
              <w:t xml:space="preserve">30,637 </w:t>
            </w:r>
            <w:r>
              <w:rPr>
                <w:rFonts w:ascii="Calibri" w:cs="Calibri" w:eastAsia="Calibri" w:hAnsi="Calibri"/>
                <w:sz w:val="23"/>
                <w:szCs w:val="23"/>
                <w:color w:val="auto"/>
                <w:vertAlign w:val="superscript"/>
              </w:rPr>
              <w:t>(1)</w:t>
            </w:r>
          </w:p>
        </w:tc>
        <w:tc>
          <w:tcPr>
            <w:tcW w:w="1700" w:type="dxa"/>
            <w:vAlign w:val="bottom"/>
            <w:tcBorders>
              <w:bottom w:val="single" w:sz="8" w:color="auto"/>
            </w:tcBorders>
          </w:tcPr>
          <w:p>
            <w:pPr>
              <w:jc w:val="right"/>
              <w:ind w:right="139"/>
              <w:spacing w:after="0" w:line="223" w:lineRule="exact"/>
              <w:rPr>
                <w:sz w:val="20"/>
                <w:szCs w:val="20"/>
                <w:color w:val="auto"/>
              </w:rPr>
            </w:pPr>
            <w:r>
              <w:rPr>
                <w:rFonts w:ascii="Calibri" w:cs="Calibri" w:eastAsia="Calibri" w:hAnsi="Calibri"/>
                <w:sz w:val="18"/>
                <w:szCs w:val="18"/>
                <w:color w:val="auto"/>
              </w:rPr>
              <w:t xml:space="preserve">$161.60 </w:t>
            </w:r>
            <w:r>
              <w:rPr>
                <w:rFonts w:ascii="Calibri" w:cs="Calibri" w:eastAsia="Calibri" w:hAnsi="Calibri"/>
                <w:sz w:val="23"/>
                <w:szCs w:val="23"/>
                <w:color w:val="auto"/>
                <w:vertAlign w:val="superscript"/>
              </w:rPr>
              <w:t>(1)</w:t>
            </w:r>
          </w:p>
        </w:tc>
        <w:tc>
          <w:tcPr>
            <w:tcW w:w="1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line="215" w:lineRule="exact"/>
              <w:rPr>
                <w:sz w:val="20"/>
                <w:szCs w:val="20"/>
                <w:color w:val="auto"/>
              </w:rPr>
            </w:pPr>
            <w:r>
              <w:rPr>
                <w:rFonts w:ascii="Calibri" w:cs="Calibri" w:eastAsia="Calibri" w:hAnsi="Calibri"/>
                <w:sz w:val="18"/>
                <w:szCs w:val="18"/>
                <w:color w:val="auto"/>
              </w:rPr>
              <w:t>—</w:t>
            </w:r>
          </w:p>
        </w:tc>
        <w:tc>
          <w:tcPr>
            <w:tcW w:w="2040" w:type="dxa"/>
            <w:vAlign w:val="bottom"/>
            <w:tcBorders>
              <w:bottom w:val="single" w:sz="8" w:color="auto"/>
            </w:tcBorders>
          </w:tcPr>
          <w:p>
            <w:pPr>
              <w:jc w:val="right"/>
              <w:ind w:right="322"/>
              <w:spacing w:after="0" w:line="215" w:lineRule="exact"/>
              <w:rPr>
                <w:sz w:val="20"/>
                <w:szCs w:val="20"/>
                <w:color w:val="auto"/>
              </w:rPr>
            </w:pPr>
            <w:r>
              <w:rPr>
                <w:rFonts w:ascii="Calibri" w:cs="Calibri" w:eastAsia="Calibri" w:hAnsi="Calibri"/>
                <w:sz w:val="18"/>
                <w:szCs w:val="18"/>
                <w:color w:val="auto"/>
              </w:rPr>
              <w:t>$1,393,714,917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420" w:right="380" w:hanging="412"/>
        <w:spacing w:after="0" w:line="235" w:lineRule="auto"/>
        <w:tabs>
          <w:tab w:leader="none" w:pos="405"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In additon to AbbVie shares repurchased on the open market under a publicly announced program, if any, these shares also included the shares purchased on the open market for the beneft of partcipants in the AbbVie Employee Stock Purchase Plan – 28,809 in April; 839 in May; and 989 in June.</w:t>
      </w:r>
    </w:p>
    <w:p>
      <w:pPr>
        <w:spacing w:after="0" w:line="200" w:lineRule="exact"/>
        <w:rPr>
          <w:rFonts w:ascii="Calibri" w:cs="Calibri" w:eastAsia="Calibri" w:hAnsi="Calibri"/>
          <w:sz w:val="18"/>
          <w:szCs w:val="18"/>
          <w:color w:val="auto"/>
        </w:rPr>
      </w:pPr>
    </w:p>
    <w:p>
      <w:pPr>
        <w:spacing w:after="0" w:line="329" w:lineRule="exact"/>
        <w:rPr>
          <w:rFonts w:ascii="Calibri" w:cs="Calibri" w:eastAsia="Calibri" w:hAnsi="Calibri"/>
          <w:sz w:val="18"/>
          <w:szCs w:val="18"/>
          <w:color w:val="auto"/>
        </w:rPr>
      </w:pPr>
    </w:p>
    <w:p>
      <w:pPr>
        <w:ind w:left="420" w:right="4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These shares do not include the shares surrendered to AbbVie to satsfy minimum tax withholding obligatons in connecton with the vestng or exercise of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37</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39" w:name="page40"/>
    <w:bookmarkEnd w:id="39"/>
    <w:p>
      <w:pPr>
        <w:spacing w:after="0"/>
        <w:rPr>
          <w:sz w:val="20"/>
          <w:szCs w:val="20"/>
          <w:color w:val="auto"/>
        </w:rPr>
      </w:pPr>
      <w:r>
        <w:rPr>
          <w:rFonts w:ascii="Calibri" w:cs="Calibri" w:eastAsia="Calibri" w:hAnsi="Calibri"/>
          <w:sz w:val="22"/>
          <w:szCs w:val="22"/>
          <w:b w:val="1"/>
          <w:bCs w:val="1"/>
          <w:color w:val="444867"/>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18"/>
          <w:szCs w:val="18"/>
          <w:color w:val="auto"/>
        </w:rPr>
        <w:t>Exhibits 32.1 and 32.2 are furnished herewith and should not be deemed to be “fled” under the Securites Exchange Act of 1934.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gridSpan w:val="2"/>
          </w:tcPr>
          <w:p>
            <w:pPr>
              <w:jc w:val="center"/>
              <w:ind w:right="140"/>
              <w:spacing w:after="0"/>
              <w:rPr>
                <w:sz w:val="20"/>
                <w:szCs w:val="20"/>
                <w:color w:val="auto"/>
              </w:rPr>
            </w:pPr>
            <w:r>
              <w:rPr>
                <w:rFonts w:ascii="Calibri" w:cs="Calibri" w:eastAsia="Calibri" w:hAnsi="Calibri"/>
                <w:sz w:val="18"/>
                <w:szCs w:val="18"/>
                <w:b w:val="1"/>
                <w:bCs w:val="1"/>
                <w:color w:val="auto"/>
                <w:w w:val="97"/>
              </w:rPr>
              <w:t>Exhibit No.</w:t>
            </w:r>
          </w:p>
        </w:tc>
        <w:tc>
          <w:tcPr>
            <w:tcW w:w="9680" w:type="dxa"/>
            <w:vAlign w:val="bottom"/>
          </w:tcPr>
          <w:p>
            <w:pPr>
              <w:ind w:left="4160"/>
              <w:spacing w:after="0"/>
              <w:rPr>
                <w:sz w:val="20"/>
                <w:szCs w:val="20"/>
                <w:color w:val="auto"/>
              </w:rPr>
            </w:pPr>
            <w:r>
              <w:rPr>
                <w:rFonts w:ascii="Calibri" w:cs="Calibri" w:eastAsia="Calibri" w:hAnsi="Calibri"/>
                <w:sz w:val="18"/>
                <w:szCs w:val="18"/>
                <w:b w:val="1"/>
                <w:bCs w:val="1"/>
                <w:color w:val="auto"/>
              </w:rPr>
              <w:t>Exhibit Descripton</w:t>
            </w:r>
          </w:p>
        </w:tc>
      </w:tr>
      <w:tr>
        <w:trPr>
          <w:trHeight w:val="23"/>
        </w:trPr>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r>
      <w:tr>
        <w:trPr>
          <w:trHeight w:val="240"/>
        </w:trPr>
        <w:tc>
          <w:tcPr>
            <w:tcW w:w="1380" w:type="dxa"/>
            <w:vAlign w:val="bottom"/>
          </w:tcPr>
          <w:p>
            <w:pPr>
              <w:jc w:val="center"/>
              <w:spacing w:after="0"/>
              <w:rPr>
                <w:sz w:val="20"/>
                <w:szCs w:val="20"/>
                <w:color w:val="auto"/>
              </w:rPr>
            </w:pPr>
            <w:r>
              <w:rPr>
                <w:rFonts w:ascii="Calibri" w:cs="Calibri" w:eastAsia="Calibri" w:hAnsi="Calibri"/>
                <w:sz w:val="18"/>
                <w:szCs w:val="18"/>
                <w:color w:val="auto"/>
              </w:rPr>
              <w:t>10.6</w:t>
            </w:r>
          </w:p>
        </w:tc>
        <w:tc>
          <w:tcPr>
            <w:tcW w:w="1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Calibri" w:cs="Calibri" w:eastAsia="Calibri" w:hAnsi="Calibri"/>
                <w:sz w:val="18"/>
                <w:szCs w:val="18"/>
                <w:color w:val="auto"/>
              </w:rPr>
              <w:t>AbbVie Non-Employee Directors’ Fee Plan, as amended and restated*</w:t>
            </w:r>
          </w:p>
        </w:tc>
      </w:tr>
      <w:tr>
        <w:trPr>
          <w:trHeight w:val="283"/>
        </w:trPr>
        <w:tc>
          <w:tcPr>
            <w:tcW w:w="1380" w:type="dxa"/>
            <w:vAlign w:val="bottom"/>
          </w:tcPr>
          <w:p>
            <w:pPr>
              <w:jc w:val="center"/>
              <w:spacing w:after="0"/>
              <w:rPr>
                <w:sz w:val="20"/>
                <w:szCs w:val="20"/>
                <w:color w:val="auto"/>
              </w:rPr>
            </w:pPr>
            <w:r>
              <w:rPr>
                <w:rFonts w:ascii="Calibri" w:cs="Calibri" w:eastAsia="Calibri" w:hAnsi="Calibri"/>
                <w:sz w:val="18"/>
                <w:szCs w:val="18"/>
                <w:color w:val="auto"/>
              </w:rPr>
              <w:t>31.1</w:t>
            </w:r>
          </w:p>
        </w:tc>
        <w:tc>
          <w:tcPr>
            <w:tcW w:w="1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Calibri" w:cs="Calibri" w:eastAsia="Calibri" w:hAnsi="Calibri"/>
                <w:sz w:val="18"/>
                <w:szCs w:val="18"/>
                <w:color w:val="auto"/>
              </w:rPr>
              <w:t>Certfcaton of Chief Executve Ofcer Required by Rule 13a-14(a) (17 CFR 240.13a-14(a)).</w:t>
            </w:r>
          </w:p>
        </w:tc>
      </w:tr>
      <w:tr>
        <w:trPr>
          <w:trHeight w:val="283"/>
        </w:trPr>
        <w:tc>
          <w:tcPr>
            <w:tcW w:w="1380" w:type="dxa"/>
            <w:vAlign w:val="bottom"/>
          </w:tcPr>
          <w:p>
            <w:pPr>
              <w:jc w:val="center"/>
              <w:spacing w:after="0"/>
              <w:rPr>
                <w:sz w:val="20"/>
                <w:szCs w:val="20"/>
                <w:color w:val="auto"/>
              </w:rPr>
            </w:pPr>
            <w:r>
              <w:rPr>
                <w:rFonts w:ascii="Calibri" w:cs="Calibri" w:eastAsia="Calibri" w:hAnsi="Calibri"/>
                <w:sz w:val="18"/>
                <w:szCs w:val="18"/>
                <w:color w:val="auto"/>
              </w:rPr>
              <w:t>31.2</w:t>
            </w:r>
          </w:p>
        </w:tc>
        <w:tc>
          <w:tcPr>
            <w:tcW w:w="1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Calibri" w:cs="Calibri" w:eastAsia="Calibri" w:hAnsi="Calibri"/>
                <w:sz w:val="18"/>
                <w:szCs w:val="18"/>
                <w:color w:val="auto"/>
              </w:rPr>
              <w:t>Certfcaton of Chief Financial Ofcer Required by Rule 13a-14(a) (17 CFR 240.13a-14(a)).</w:t>
            </w:r>
          </w:p>
        </w:tc>
      </w:tr>
      <w:tr>
        <w:trPr>
          <w:trHeight w:val="244"/>
        </w:trPr>
        <w:tc>
          <w:tcPr>
            <w:tcW w:w="1380" w:type="dxa"/>
            <w:vAlign w:val="bottom"/>
          </w:tcPr>
          <w:p>
            <w:pPr>
              <w:jc w:val="center"/>
              <w:spacing w:after="0"/>
              <w:rPr>
                <w:sz w:val="20"/>
                <w:szCs w:val="20"/>
                <w:color w:val="auto"/>
              </w:rPr>
            </w:pPr>
            <w:r>
              <w:rPr>
                <w:rFonts w:ascii="Calibri" w:cs="Calibri" w:eastAsia="Calibri" w:hAnsi="Calibri"/>
                <w:sz w:val="18"/>
                <w:szCs w:val="18"/>
                <w:color w:val="auto"/>
              </w:rPr>
              <w:t>32.1</w:t>
            </w:r>
          </w:p>
        </w:tc>
        <w:tc>
          <w:tcPr>
            <w:tcW w:w="16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Calibri" w:cs="Calibri" w:eastAsia="Calibri" w:hAnsi="Calibri"/>
                <w:sz w:val="18"/>
                <w:szCs w:val="18"/>
                <w:color w:val="auto"/>
              </w:rPr>
              <w:t>Certfcaton of Chief Executve Ofcer Pursuant to 18 U.S.C. Secton 1350, as adopted pursuant to Secton 906 of the Sarbanes-Oxley</w:t>
            </w:r>
          </w:p>
        </w:tc>
      </w:tr>
      <w:tr>
        <w:trPr>
          <w:trHeight w:val="215"/>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80" w:type="dxa"/>
            <w:vAlign w:val="bottom"/>
          </w:tcPr>
          <w:p>
            <w:pPr>
              <w:ind w:left="20"/>
              <w:spacing w:after="0" w:line="215" w:lineRule="exact"/>
              <w:rPr>
                <w:sz w:val="20"/>
                <w:szCs w:val="20"/>
                <w:color w:val="auto"/>
              </w:rPr>
            </w:pPr>
            <w:r>
              <w:rPr>
                <w:rFonts w:ascii="Calibri" w:cs="Calibri" w:eastAsia="Calibri" w:hAnsi="Calibri"/>
                <w:sz w:val="18"/>
                <w:szCs w:val="18"/>
                <w:color w:val="auto"/>
              </w:rPr>
              <w:t>Act of 2002.</w:t>
            </w:r>
          </w:p>
        </w:tc>
      </w:tr>
      <w:tr>
        <w:trPr>
          <w:trHeight w:val="258"/>
        </w:trPr>
        <w:tc>
          <w:tcPr>
            <w:tcW w:w="1380" w:type="dxa"/>
            <w:vAlign w:val="bottom"/>
          </w:tcPr>
          <w:p>
            <w:pPr>
              <w:jc w:val="center"/>
              <w:spacing w:after="0"/>
              <w:rPr>
                <w:sz w:val="20"/>
                <w:szCs w:val="20"/>
                <w:color w:val="auto"/>
              </w:rPr>
            </w:pPr>
            <w:r>
              <w:rPr>
                <w:rFonts w:ascii="Calibri" w:cs="Calibri" w:eastAsia="Calibri" w:hAnsi="Calibri"/>
                <w:sz w:val="18"/>
                <w:szCs w:val="18"/>
                <w:color w:val="auto"/>
              </w:rPr>
              <w:t>32.2</w:t>
            </w:r>
          </w:p>
        </w:tc>
        <w:tc>
          <w:tcPr>
            <w:tcW w:w="160" w:type="dxa"/>
            <w:vAlign w:val="bottom"/>
          </w:tcPr>
          <w:p>
            <w:pPr>
              <w:spacing w:after="0"/>
              <w:rPr>
                <w:sz w:val="22"/>
                <w:szCs w:val="22"/>
                <w:color w:val="auto"/>
              </w:rPr>
            </w:pPr>
          </w:p>
        </w:tc>
        <w:tc>
          <w:tcPr>
            <w:tcW w:w="9680" w:type="dxa"/>
            <w:vAlign w:val="bottom"/>
          </w:tcPr>
          <w:p>
            <w:pPr>
              <w:ind w:left="20"/>
              <w:spacing w:after="0"/>
              <w:rPr>
                <w:sz w:val="20"/>
                <w:szCs w:val="20"/>
                <w:color w:val="auto"/>
              </w:rPr>
            </w:pPr>
            <w:r>
              <w:rPr>
                <w:rFonts w:ascii="Calibri" w:cs="Calibri" w:eastAsia="Calibri" w:hAnsi="Calibri"/>
                <w:sz w:val="18"/>
                <w:szCs w:val="18"/>
                <w:color w:val="auto"/>
              </w:rPr>
              <w:t>Certfcaton of Chief Financial Ofcer Pursuant to 18 U.S.C. Secton 1350, as adopted pursuant to Secton 906 of the Sarbanes-Oxley</w:t>
            </w:r>
          </w:p>
        </w:tc>
      </w:tr>
      <w:tr>
        <w:trPr>
          <w:trHeight w:val="215"/>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80" w:type="dxa"/>
            <w:vAlign w:val="bottom"/>
          </w:tcPr>
          <w:p>
            <w:pPr>
              <w:ind w:left="20"/>
              <w:spacing w:after="0" w:line="215" w:lineRule="exact"/>
              <w:rPr>
                <w:sz w:val="20"/>
                <w:szCs w:val="20"/>
                <w:color w:val="auto"/>
              </w:rPr>
            </w:pPr>
            <w:r>
              <w:rPr>
                <w:rFonts w:ascii="Calibri" w:cs="Calibri" w:eastAsia="Calibri" w:hAnsi="Calibri"/>
                <w:sz w:val="18"/>
                <w:szCs w:val="18"/>
                <w:color w:val="auto"/>
              </w:rPr>
              <w:t>Act of 2002.</w:t>
            </w:r>
          </w:p>
        </w:tc>
      </w:tr>
    </w:tbl>
    <w:p>
      <w:pPr>
        <w:spacing w:after="0" w:line="82" w:lineRule="exact"/>
        <w:rPr>
          <w:sz w:val="20"/>
          <w:szCs w:val="20"/>
          <w:color w:val="auto"/>
        </w:rPr>
      </w:pPr>
    </w:p>
    <w:p>
      <w:pPr>
        <w:ind w:left="1560" w:right="60" w:hanging="997"/>
        <w:spacing w:after="0" w:line="216" w:lineRule="auto"/>
        <w:tabs>
          <w:tab w:leader="none" w:pos="156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The following fnancial statements and notes from the AbbVie Inc. Quarterly Report on Form 10-Q for the quarter ended June 30, 2022, fled on August 4, 2022, formated in iXBRL (Inline eXtensible Business Reportng Language): (i) Condensed Consolidated Statements of Earnings; (ii) Condensed Consolidated Statements of Comprehensive Income; (iii) Condensed Consolidated Balance Sheets; (iv)</w:t>
      </w:r>
    </w:p>
    <w:p>
      <w:pPr>
        <w:spacing w:after="0" w:line="2" w:lineRule="exact"/>
        <w:rPr>
          <w:rFonts w:ascii="Calibri" w:cs="Calibri" w:eastAsia="Calibri" w:hAnsi="Calibri"/>
          <w:sz w:val="17"/>
          <w:szCs w:val="17"/>
          <w:color w:val="auto"/>
        </w:rPr>
      </w:pPr>
    </w:p>
    <w:p>
      <w:pPr>
        <w:ind w:left="1560" w:right="60"/>
        <w:spacing w:after="0" w:line="200" w:lineRule="auto"/>
        <w:rPr>
          <w:rFonts w:ascii="Calibri" w:cs="Calibri" w:eastAsia="Calibri" w:hAnsi="Calibri"/>
          <w:sz w:val="17"/>
          <w:szCs w:val="17"/>
          <w:color w:val="auto"/>
        </w:rPr>
      </w:pPr>
      <w:r>
        <w:rPr>
          <w:rFonts w:ascii="Calibri" w:cs="Calibri" w:eastAsia="Calibri" w:hAnsi="Calibri"/>
          <w:sz w:val="18"/>
          <w:szCs w:val="18"/>
          <w:color w:val="auto"/>
        </w:rPr>
        <w:t>Condensed Consolidated Statements of Equity; (v) Condensed Consolidated Statements of Cash Flows; and (vi) the Notes to Condensed Consolidated Financial Statements.</w:t>
      </w:r>
    </w:p>
    <w:p>
      <w:pPr>
        <w:spacing w:after="0" w:line="84" w:lineRule="exact"/>
        <w:rPr>
          <w:sz w:val="20"/>
          <w:szCs w:val="20"/>
          <w:color w:val="auto"/>
        </w:rPr>
      </w:pPr>
    </w:p>
    <w:p>
      <w:pPr>
        <w:ind w:left="1560" w:right="420" w:hanging="997"/>
        <w:spacing w:after="0" w:line="213" w:lineRule="auto"/>
        <w:tabs>
          <w:tab w:leader="none" w:pos="156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Cover Page Interactve Data File (the cover page from the AbbVie Inc. Quarterly Report on Form 10-Q formated as Inline XBRL and contained in Exhibit 101).</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_______________________________________________________________________________</w:t>
      </w:r>
    </w:p>
    <w:p>
      <w:pPr>
        <w:spacing w:after="0" w:line="235" w:lineRule="auto"/>
        <w:rPr>
          <w:sz w:val="20"/>
          <w:szCs w:val="20"/>
          <w:color w:val="auto"/>
        </w:rPr>
      </w:pPr>
      <w:r>
        <w:rPr>
          <w:rFonts w:ascii="Calibri" w:cs="Calibri" w:eastAsia="Calibri" w:hAnsi="Calibri"/>
          <w:sz w:val="18"/>
          <w:szCs w:val="18"/>
          <w:color w:val="auto"/>
        </w:rPr>
        <w:t>* Denotes management contract or compensatory plan or arrangement required to be fled as an exhibit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709930</wp:posOffset>
            </wp:positionV>
            <wp:extent cx="51435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22"/>
          <w:szCs w:val="22"/>
          <w:b w:val="1"/>
          <w:bCs w:val="1"/>
          <w:color w:val="444867"/>
        </w:rPr>
        <w:t>SIGNATURE</w:t>
      </w:r>
    </w:p>
    <w:p>
      <w:pPr>
        <w:spacing w:after="0" w:line="30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3" w:lineRule="exact"/>
        <w:rPr>
          <w:sz w:val="20"/>
          <w:szCs w:val="20"/>
          <w:color w:val="auto"/>
        </w:rPr>
      </w:pPr>
    </w:p>
    <w:tbl>
      <w:tblPr>
        <w:tblLayout w:type="fixed"/>
        <w:tblInd w:w="5260" w:type="dxa"/>
        <w:tblCellMar>
          <w:top w:w="0" w:type="dxa"/>
          <w:left w:w="0" w:type="dxa"/>
          <w:bottom w:w="0" w:type="dxa"/>
          <w:right w:w="0" w:type="dxa"/>
        </w:tblCellMar>
      </w:tblPr>
      <w:tr>
        <w:trPr>
          <w:trHeight w:val="220"/>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b w:val="1"/>
                <w:bCs w:val="1"/>
                <w:color w:val="auto"/>
              </w:rPr>
              <w:t>ABBVIE INC.</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By:</w:t>
            </w:r>
          </w:p>
        </w:tc>
        <w:tc>
          <w:tcPr>
            <w:tcW w:w="5240" w:type="dxa"/>
            <w:vAlign w:val="bottom"/>
          </w:tcPr>
          <w:p>
            <w:pPr>
              <w:ind w:left="60"/>
              <w:spacing w:after="0"/>
              <w:rPr>
                <w:sz w:val="20"/>
                <w:szCs w:val="20"/>
                <w:color w:val="auto"/>
              </w:rPr>
            </w:pPr>
            <w:r>
              <w:rPr>
                <w:rFonts w:ascii="Calibri" w:cs="Calibri" w:eastAsia="Calibri" w:hAnsi="Calibri"/>
                <w:sz w:val="18"/>
                <w:szCs w:val="18"/>
                <w:color w:val="auto"/>
              </w:rPr>
              <w:t>/s/ Scot T. Reents</w:t>
            </w:r>
          </w:p>
        </w:tc>
      </w:tr>
      <w:tr>
        <w:trPr>
          <w:trHeight w:val="23"/>
        </w:trPr>
        <w:tc>
          <w:tcPr>
            <w:tcW w:w="7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08"/>
        </w:trPr>
        <w:tc>
          <w:tcPr>
            <w:tcW w:w="740" w:type="dxa"/>
            <w:vAlign w:val="bottom"/>
          </w:tcPr>
          <w:p>
            <w:pPr>
              <w:spacing w:after="0"/>
              <w:rPr>
                <w:sz w:val="18"/>
                <w:szCs w:val="18"/>
                <w:color w:val="auto"/>
              </w:rPr>
            </w:pPr>
          </w:p>
        </w:tc>
        <w:tc>
          <w:tcPr>
            <w:tcW w:w="5240" w:type="dxa"/>
            <w:vAlign w:val="bottom"/>
          </w:tcPr>
          <w:p>
            <w:pPr>
              <w:ind w:left="60"/>
              <w:spacing w:after="0" w:line="208" w:lineRule="exact"/>
              <w:rPr>
                <w:sz w:val="20"/>
                <w:szCs w:val="20"/>
                <w:color w:val="auto"/>
              </w:rPr>
            </w:pPr>
            <w:r>
              <w:rPr>
                <w:rFonts w:ascii="Calibri" w:cs="Calibri" w:eastAsia="Calibri" w:hAnsi="Calibri"/>
                <w:sz w:val="18"/>
                <w:szCs w:val="18"/>
                <w:color w:val="auto"/>
              </w:rPr>
              <w:t>Scot T. Reents</w:t>
            </w:r>
          </w:p>
        </w:tc>
      </w:tr>
      <w:tr>
        <w:trPr>
          <w:trHeight w:val="221"/>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color w:val="auto"/>
              </w:rPr>
              <w:t>Senior Vice President,</w:t>
            </w:r>
          </w:p>
        </w:tc>
      </w:tr>
      <w:tr>
        <w:trPr>
          <w:trHeight w:val="229"/>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color w:val="auto"/>
              </w:rPr>
              <w:t>Chief Financial Ofcer (Principal Financial Ofcer)</w:t>
            </w: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597535</wp:posOffset>
            </wp:positionV>
            <wp:extent cx="51435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340" w:type="dxa"/>
        <w:tblCellMar>
          <w:top w:w="0" w:type="dxa"/>
          <w:left w:w="0" w:type="dxa"/>
          <w:bottom w:w="0" w:type="dxa"/>
          <w:right w:w="0" w:type="dxa"/>
        </w:tblCellMar>
      </w:tblPr>
      <w:tr>
        <w:trPr>
          <w:trHeight w:val="251"/>
        </w:trPr>
        <w:tc>
          <w:tcPr>
            <w:tcW w:w="2000" w:type="dxa"/>
            <w:vAlign w:val="bottom"/>
          </w:tcPr>
          <w:p>
            <w:pPr>
              <w:spacing w:after="0"/>
              <w:rPr>
                <w:sz w:val="20"/>
                <w:szCs w:val="20"/>
                <w:color w:val="auto"/>
              </w:rPr>
            </w:pPr>
            <w:r>
              <w:rPr>
                <w:rFonts w:ascii="Calibri" w:cs="Calibri" w:eastAsia="Calibri" w:hAnsi="Calibri"/>
                <w:sz w:val="20"/>
                <w:szCs w:val="20"/>
                <w:i w:val="1"/>
                <w:iCs w:val="1"/>
                <w:color w:val="auto"/>
              </w:rPr>
              <w:t xml:space="preserve">2022 Form 10-Q </w:t>
            </w:r>
            <w:r>
              <w:rPr>
                <w:rFonts w:ascii="Calibri" w:cs="Calibri" w:eastAsia="Calibri" w:hAnsi="Calibri"/>
                <w:sz w:val="20"/>
                <w:szCs w:val="20"/>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b w:val="1"/>
                <w:bCs w:val="1"/>
                <w:i w:val="1"/>
                <w:iCs w:val="1"/>
                <w:color w:val="auto"/>
              </w:rPr>
              <w:t>39</w:t>
            </w:r>
          </w:p>
        </w:tc>
      </w:tr>
    </w:tbl>
    <w:p>
      <w:pPr>
        <w:sectPr>
          <w:pgSz w:w="11900" w:h="16838" w:orient="portrait"/>
          <w:cols w:equalWidth="0" w:num="1">
            <w:col w:w="11240"/>
          </w:cols>
          <w:pgMar w:left="320" w:top="1126" w:right="339" w:bottom="1440" w:gutter="0" w:footer="0" w:header="0"/>
        </w:sectPr>
      </w:pPr>
    </w:p>
    <w:bookmarkStart w:id="41" w:name="page42"/>
    <w:bookmarkEnd w:id="41"/>
    <w:p>
      <w:pPr>
        <w:jc w:val="right"/>
        <w:spacing w:after="0"/>
        <w:rPr>
          <w:sz w:val="20"/>
          <w:szCs w:val="20"/>
          <w:color w:val="auto"/>
        </w:rPr>
      </w:pPr>
      <w:r>
        <w:rPr>
          <w:rFonts w:ascii="Calibri" w:cs="Calibri" w:eastAsia="Calibri" w:hAnsi="Calibri"/>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ABBVIE NON-EMPLOYEE DIRECTORS’ FEE PLAN</w:t>
      </w:r>
    </w:p>
    <w:p>
      <w:pPr>
        <w:spacing w:after="0" w:line="24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(Amended and Restated Effective as of May 6, 2022)</w:t>
      </w:r>
    </w:p>
    <w:p>
      <w:pPr>
        <w:sectPr>
          <w:pgSz w:w="11900" w:h="16838" w:orient="portrait"/>
          <w:cols w:equalWidth="0" w:num="1">
            <w:col w:w="10120"/>
          </w:cols>
          <w:pgMar w:left="1440" w:top="1408" w:right="33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ABBVIE</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NON-EMPLOYEE DIRECTORS’ FEE PLAN</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SECTION 1.</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PURPOSE</w:t>
      </w:r>
    </w:p>
    <w:p>
      <w:pPr>
        <w:spacing w:after="0" w:line="200" w:lineRule="exact"/>
        <w:rPr>
          <w:sz w:val="20"/>
          <w:szCs w:val="20"/>
          <w:color w:val="auto"/>
        </w:rPr>
      </w:pPr>
    </w:p>
    <w:p>
      <w:pPr>
        <w:spacing w:after="0" w:line="266"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This AbbVie Non-Employee Directors’ Fee Plan (the “Plan”) is maintained by AbbVie Inc. (the “Company”) to attract and retain as members of its Board of Directors persons who are not full-time employees of the Company or any of its subsidiaries but whose business experience and judgment are valuable assets to the Company and its subsidiaries. The Plan was originally adopted by the Company effective January 1, 2013, and was last amended and restated effective as of May 8, 2020. The terms of the Plan set forth in this document shall be effective as of May 6, 2022 (the “Effective Date”).</w:t>
      </w:r>
    </w:p>
    <w:p>
      <w:pPr>
        <w:spacing w:after="0" w:line="2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SECTION 2.</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DIRECTORS COVERED</w:t>
      </w:r>
    </w:p>
    <w:p>
      <w:pPr>
        <w:spacing w:after="0" w:line="209"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As used in the Plan, the term “Director” means any person serving on the Board of Directors of the Company on the Effective Date or at any time thereafter who is not a full-time employee of the Company or any of its subsidiaries.</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SECTION 3.</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FEES PAYABLE TO DIRECTORS</w:t>
      </w:r>
    </w:p>
    <w:p>
      <w:pPr>
        <w:spacing w:after="0" w:line="20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3.1 Each Director shall be entitled to a deferred fee of $120,000 per year, earned monthly for each calendar month or portion thereof that the Director holds such position with the Company, excluding the month in which the Director is first elected to such position.</w:t>
      </w:r>
    </w:p>
    <w:p>
      <w:pPr>
        <w:spacing w:after="0" w:line="20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Lead Director and Executive Committee Chair Fees</w:t>
      </w:r>
    </w:p>
    <w:p>
      <w:pPr>
        <w:spacing w:after="0" w:line="233" w:lineRule="exact"/>
        <w:rPr>
          <w:sz w:val="20"/>
          <w:szCs w:val="20"/>
          <w:color w:val="auto"/>
        </w:rPr>
      </w:pPr>
    </w:p>
    <w:p>
      <w:pPr>
        <w:ind w:left="660" w:right="520" w:firstLine="644"/>
        <w:spacing w:after="0" w:line="244" w:lineRule="auto"/>
        <w:tabs>
          <w:tab w:leader="none" w:pos="180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serves as Lead Director for the Board of Directors shall be entitled to a deferred fee of $50,000 per year, earned monthly for each calendar month or portion thereof that the Director holds such position, excluding the month in which the Director is first elected to such position.</w:t>
      </w:r>
    </w:p>
    <w:p>
      <w:pPr>
        <w:spacing w:after="0" w:line="200" w:lineRule="exact"/>
        <w:rPr>
          <w:rFonts w:ascii="Times New Roman" w:cs="Times New Roman" w:eastAsia="Times New Roman" w:hAnsi="Times New Roman"/>
          <w:sz w:val="22"/>
          <w:szCs w:val="22"/>
          <w:color w:val="auto"/>
        </w:rPr>
      </w:pPr>
    </w:p>
    <w:p>
      <w:pPr>
        <w:jc w:val="both"/>
        <w:ind w:left="660" w:right="120" w:firstLine="644"/>
        <w:spacing w:after="0" w:line="244" w:lineRule="auto"/>
        <w:tabs>
          <w:tab w:leader="none" w:pos="17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serves as Chair of the Executive Committee of the Board of Directors shall be entitled to a deferred fee of $20,000 per year, earned monthly for each calendar month or portion thereof that the Director holds such position, excluding the month in which the Director is first elected to such position.</w:t>
      </w:r>
    </w:p>
    <w:p>
      <w:pPr>
        <w:spacing w:after="0" w:line="20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Audit Committee Fees</w:t>
      </w:r>
    </w:p>
    <w:p>
      <w:pPr>
        <w:spacing w:after="0" w:line="233" w:lineRule="exact"/>
        <w:rPr>
          <w:sz w:val="20"/>
          <w:szCs w:val="20"/>
          <w:color w:val="auto"/>
        </w:rPr>
      </w:pPr>
    </w:p>
    <w:p>
      <w:pPr>
        <w:ind w:left="660" w:right="120" w:firstLine="644"/>
        <w:spacing w:after="0" w:line="238" w:lineRule="auto"/>
        <w:tabs>
          <w:tab w:leader="none" w:pos="17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serves as Chair of the Audit Committee of the Board of Directors shall be entitled to a deferred fee of $30,000 per year, earned monthly for each calendar month or portion thereof that the Director holds such position, excluding the month in which the Director is first elected to such position.</w:t>
      </w:r>
    </w:p>
    <w:p>
      <w:pPr>
        <w:sectPr>
          <w:pgSz w:w="11900" w:h="16838" w:orient="portrait"/>
          <w:cols w:equalWidth="0" w:num="1">
            <w:col w:w="11180"/>
          </w:cols>
          <w:pgMar w:left="320" w:top="1404" w:right="399" w:bottom="1440" w:gutter="0" w:footer="0" w:header="0"/>
        </w:sectPr>
      </w:pPr>
    </w:p>
    <w:bookmarkStart w:id="43" w:name="page44"/>
    <w:bookmarkEnd w:id="43"/>
    <w:p>
      <w:pPr>
        <w:ind w:left="660" w:right="380" w:firstLine="644"/>
        <w:spacing w:after="0" w:line="239" w:lineRule="auto"/>
        <w:tabs>
          <w:tab w:leader="none" w:pos="177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who serves on the Audit Committee of the Board of Directors (other than the Chair of the Audit Committee) shall be entitled to a deferred fee of $10,000 per year, earned monthly for each calendar month or portion thereof that the Director holds such position, excluding the month in which the Director is first elected to such position.</w:t>
      </w:r>
    </w:p>
    <w:p>
      <w:pPr>
        <w:spacing w:after="0" w:line="20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3.4 A Director who serves as Chair of the Compensation Committee of the Board of Directors shall be entitled to a deferred fee of $20,000 per year, earned monthly for each calendar month or portion thereof that the Director holds such position, excluding the month in which the Director is first elected to such position.</w:t>
      </w:r>
    </w:p>
    <w:p>
      <w:pPr>
        <w:spacing w:after="0" w:line="206"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3.5 A Director who serves as Chair of the Nominations Committee of the Board of Directors shall be entitled to a deferred fee of $20,000 per year, earned monthly for each calendar month or portion thereof that the Director holds such position, excluding the month in which the Director is first elected to such position.</w:t>
      </w:r>
    </w:p>
    <w:p>
      <w:pPr>
        <w:spacing w:after="0" w:line="200"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3.6 A Director who serves as Chair of any other Committee created by the Board of Directors shall be entitled to a deferred fee of $25,000 per year, earned monthly for each calendar month or portion thereof that the Director holds such position, excluding the month in which the Director is first elected to such position.</w:t>
      </w:r>
    </w:p>
    <w:p>
      <w:pPr>
        <w:spacing w:after="0" w:line="20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3.7 A Director’s Deferred Fee Account shall be credited with interest annually. The rate of interest credited to deferred fees shall be equal to: (a) the average of the “prime rate” of interest set forth on the Bloomberg Screen BTMM or comparable successor quotation service on the first business day of January and the last business day of each month of the fiscal year; plus (b) two hundred twenty-five (225) basis points. For purposes of this provision, the term “deferred fees” shall include “deferred monthly fees,” and “deferred meeting fees,” and shall also include any such interest credited thereon.</w:t>
      </w:r>
    </w:p>
    <w:p>
      <w:pPr>
        <w:spacing w:after="0" w:line="20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3.8 For purposes of Sections 3.1, 3.2, 3.3, 3.4, 3.5 and 3.6, the automatic deferral of the fees specified therein shall be subject to a Director’s election to receive such fees currently pursuant to Section 4.1 or Section 8.1 of the Plan.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PAYMENT OF DIRECTORS’ FEES</w:t>
      </w:r>
    </w:p>
    <w:p>
      <w:pPr>
        <w:spacing w:after="0" w:line="20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4.1 Any Director may, by written notice filed with the Secretary of the Company no later than December 31 in a calendar year, elect to receive current payment of all or any portion of the monthly and meeting fees earned by him in calendar years subsequent to the calendar year in which he files such notice, in which case such fees shall not be deferred but shall be paid quarterly as earned and no interest shall be credited thereon. Such election shall be irrevocable as of December 31 of the year prior to the year in which the fees will be earned.</w:t>
      </w:r>
    </w:p>
    <w:p>
      <w:pPr>
        <w:spacing w:after="0" w:line="19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timing requirements described above, an individual who is newly elected as a Director may make the election described above by filing it with the Secretary of the Company within the thirty (30) day period immediately following the date he or she first becomes a Director eligible to participate in the Plan (and all plans that would be aggregated with the Plan pursuant to Treasury Regulation §1.409A-1(c)(2)(i)),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w:t>
      </w:r>
    </w:p>
    <w:p>
      <w:pPr>
        <w:sectPr>
          <w:pgSz w:w="11900" w:h="16838" w:orient="portrait"/>
          <w:cols w:equalWidth="0" w:num="1">
            <w:col w:w="11240"/>
          </w:cols>
          <w:pgMar w:left="320" w:top="1408" w:right="339" w:bottom="1440" w:gutter="0" w:footer="0" w:header="0"/>
        </w:sectPr>
      </w:pPr>
    </w:p>
    <w:bookmarkStart w:id="44" w:name="page45"/>
    <w:bookmarkEnd w:id="44"/>
    <w:p>
      <w:pPr>
        <w:ind w:right="100"/>
        <w:spacing w:after="0" w:line="233" w:lineRule="auto"/>
        <w:rPr>
          <w:sz w:val="20"/>
          <w:szCs w:val="20"/>
          <w:color w:val="auto"/>
        </w:rPr>
      </w:pPr>
      <w:r>
        <w:rPr>
          <w:rFonts w:ascii="Times New Roman" w:cs="Times New Roman" w:eastAsia="Times New Roman" w:hAnsi="Times New Roman"/>
          <w:sz w:val="22"/>
          <w:szCs w:val="22"/>
          <w:color w:val="auto"/>
        </w:rPr>
        <w:t xml:space="preserve">compensation subject to such election relates solely to services performed after the date of such election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election shall become irrevocable on the thirtieth day following the date he or she first becomes a Director eligible to participate in the Plan. In no event shall the fees subject to an election under this Section 4.1 be paid later than the last day of the “applicable 2½ month period,” as such term is defined in Treasury Regulation §1.409A-1(b)(4)(i)(A). Any Director who has previously provided notice pursuant to this Section 4.1 may, by written notice filed with the Secretary of the Company no later than December 31 in a calendar year, elect to defer payment of all or a portion of the monthly and meeting fees earned by him in calendar years subsequent to the year in which he files such notice, in which case such fees shall be paid to him in accordance with Section 4.2 below.</w:t>
      </w:r>
    </w:p>
    <w:p>
      <w:pPr>
        <w:spacing w:after="0" w:line="20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4.2 A Director’s deferred fees earned pursuant to the Plan shall commence to be paid on the first day of the calendar month next following the earlier of his death or his attainment of age sixty-five (65) if he is not then serving as a Director, or the termination of his service as a Director if he serves as a Director after the attainment of age sixty-five (65).</w:t>
      </w:r>
    </w:p>
    <w:p>
      <w:pPr>
        <w:spacing w:after="0" w:line="20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4.3 A Director’s deferred fees that have commenced to be payable pursuant to Section 4.2 shall be payable in annual installments in the order in which they shall have been deferred (i.e., the deferred fees and earnings thereon for the earliest year of service as a Director will be paid on the date provided for in Section 4.2, the deferred fees for the next earliest year of service as a Director will be paid on the anniversary of the payment of the first installment, etc.).</w:t>
      </w:r>
    </w:p>
    <w:p>
      <w:pPr>
        <w:spacing w:after="0" w:line="20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4.4 A Director’s deferred fees shall continue to be paid until all deferred fees which he is entitled to receive under the Plan shall have been paid to him (or, in case of his death, to his beneficiary).</w:t>
      </w:r>
    </w:p>
    <w:p>
      <w:pPr>
        <w:spacing w:after="0" w:line="17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4.5 If a Director incurs a termination of service as a Director within two (2) years following the occurrence of a Change in Control (as defined below), the aggregate unpaid balance of such Director’s deferred fees plus all unpaid interest credited thereon shall be paid to such Director in a lump sum within thirty (30) days following the date of such termination of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does not constitute a “change in control event” (as defined in Treasury Regulation §1.409A-3(i)(5)), then the aggregate unpaid balance of such Director’s deferred fees shall be paid in accordance with Sections 4.2 and 4.3.</w:t>
      </w:r>
    </w:p>
    <w:p>
      <w:pPr>
        <w:spacing w:after="0" w:line="20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Notwithstanding any other provision of the Plan, if a Director has made the alternative election set forth in Section 8.1, and if such Director incurs a termination of service as a Director within five (5) years following the occurrence of a Change in Control, the aggregate unpaid balance of such Director’s fees deposited to the Director’s Grantor Trust (as defined below) plus all unpaid interest credited thereon, shall be paid to such Director from the Director’s Grantor Trust in a lump sum within thirty (30) days following the date of such termination of service.</w:t>
      </w:r>
    </w:p>
    <w:p>
      <w:pPr>
        <w:spacing w:after="0" w:line="20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A “Change in Control” shall be deemed to have occurred on the earliest of the following dates:</w:t>
      </w:r>
    </w:p>
    <w:p>
      <w:pPr>
        <w:spacing w:after="0" w:line="233" w:lineRule="exact"/>
        <w:rPr>
          <w:sz w:val="20"/>
          <w:szCs w:val="20"/>
          <w:color w:val="auto"/>
        </w:rPr>
      </w:pPr>
    </w:p>
    <w:p>
      <w:pPr>
        <w:jc w:val="both"/>
        <w:ind w:left="660" w:right="160" w:firstLine="644"/>
        <w:spacing w:after="0" w:line="244" w:lineRule="auto"/>
        <w:tabs>
          <w:tab w:leader="none" w:pos="176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any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w:t>
      </w:r>
    </w:p>
    <w:p>
      <w:pPr>
        <w:sectPr>
          <w:pgSz w:w="11900" w:h="16838" w:orient="portrait"/>
          <w:cols w:equalWidth="0" w:num="1">
            <w:col w:w="11220"/>
          </w:cols>
          <w:pgMar w:left="320" w:top="1408" w:right="359" w:bottom="1440" w:gutter="0" w:footer="0" w:header="0"/>
        </w:sectPr>
      </w:pPr>
    </w:p>
    <w:bookmarkStart w:id="45" w:name="page46"/>
    <w:bookmarkEnd w:id="45"/>
    <w:p>
      <w:pPr>
        <w:ind w:left="660" w:right="40"/>
        <w:spacing w:after="0" w:line="258" w:lineRule="auto"/>
        <w:rPr>
          <w:sz w:val="20"/>
          <w:szCs w:val="20"/>
          <w:color w:val="auto"/>
        </w:rPr>
      </w:pPr>
      <w:r>
        <w:rPr>
          <w:rFonts w:ascii="Times New Roman" w:cs="Times New Roman" w:eastAsia="Times New Roman" w:hAnsi="Times New Roman"/>
          <w:sz w:val="22"/>
          <w:szCs w:val="22"/>
          <w:color w:val="auto"/>
        </w:rPr>
        <w:t>then outstanding securities, excluding any Person who becomes such a Beneficial Owner in connection with a transaction described in clause (i) of paragraph (c) below; or</w:t>
      </w:r>
    </w:p>
    <w:p>
      <w:pPr>
        <w:spacing w:after="0" w:line="185" w:lineRule="exact"/>
        <w:rPr>
          <w:sz w:val="20"/>
          <w:szCs w:val="20"/>
          <w:color w:val="auto"/>
        </w:rPr>
      </w:pPr>
    </w:p>
    <w:p>
      <w:pPr>
        <w:ind w:left="660" w:right="20" w:firstLine="644"/>
        <w:spacing w:after="0" w:line="246" w:lineRule="auto"/>
        <w:tabs>
          <w:tab w:leader="none" w:pos="177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97" w:lineRule="exact"/>
        <w:rPr>
          <w:rFonts w:ascii="Times New Roman" w:cs="Times New Roman" w:eastAsia="Times New Roman" w:hAnsi="Times New Roman"/>
          <w:sz w:val="21"/>
          <w:szCs w:val="21"/>
          <w:color w:val="auto"/>
        </w:rPr>
      </w:pPr>
    </w:p>
    <w:p>
      <w:pPr>
        <w:ind w:left="660" w:right="20" w:firstLine="644"/>
        <w:spacing w:after="0" w:line="243" w:lineRule="auto"/>
        <w:tabs>
          <w:tab w:leader="none" w:pos="176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there is consummated a merger or consolidation of the Company or any direct or indirect subsidiary of the Company with any other corporation or other entity, other than (i) a merger or consolidation (A) immediately following which the individuals who comprise the Board of Directors immediately prior thereto constitute at least a majority of the Board of Directors of the Company, the entity surviving such merger or consolidation or, if the Company or the entity surviving such merger or consolidation is then a subsidiary, the ultimate parent thereof and (B)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50% of the combined voting power of the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w:t>
      </w:r>
    </w:p>
    <w:p>
      <w:pPr>
        <w:spacing w:after="0" w:line="208" w:lineRule="exact"/>
        <w:rPr>
          <w:rFonts w:ascii="Times New Roman" w:cs="Times New Roman" w:eastAsia="Times New Roman" w:hAnsi="Times New Roman"/>
          <w:sz w:val="21"/>
          <w:szCs w:val="21"/>
          <w:color w:val="auto"/>
        </w:rPr>
      </w:pPr>
    </w:p>
    <w:p>
      <w:pPr>
        <w:ind w:left="660" w:firstLine="644"/>
        <w:spacing w:after="0" w:line="234" w:lineRule="auto"/>
        <w:tabs>
          <w:tab w:leader="none" w:pos="177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combination with the ownership of any trustee or other fiduciary holding securities under an employee benefit plan of the Company or any subsidiary of the Company, in substantially the same proportions as their ownership of the Company immediately prior to such sale.</w:t>
      </w:r>
    </w:p>
    <w:p>
      <w:pPr>
        <w:spacing w:after="0" w:line="204" w:lineRule="exact"/>
        <w:rPr>
          <w:sz w:val="20"/>
          <w:szCs w:val="20"/>
          <w:color w:val="auto"/>
        </w:rPr>
      </w:pPr>
    </w:p>
    <w:p>
      <w:pPr>
        <w:ind w:right="520"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have occurred by virtue of the consummation of any transaction or series of integrated transactions immediately following which the record holders of the common stock of the Company</w:t>
      </w:r>
    </w:p>
    <w:p>
      <w:pPr>
        <w:sectPr>
          <w:pgSz w:w="11900" w:h="16838" w:orient="portrait"/>
          <w:cols w:equalWidth="0" w:num="1">
            <w:col w:w="11200"/>
          </w:cols>
          <w:pgMar w:left="320" w:top="1408" w:right="379" w:bottom="1440" w:gutter="0" w:footer="0" w:header="0"/>
        </w:sectPr>
      </w:pPr>
    </w:p>
    <w:bookmarkStart w:id="46" w:name="page47"/>
    <w:bookmarkEnd w:id="46"/>
    <w:p>
      <w:pPr>
        <w:ind w:right="60"/>
        <w:spacing w:after="0" w:line="244" w:lineRule="auto"/>
        <w:rPr>
          <w:sz w:val="20"/>
          <w:szCs w:val="20"/>
          <w:color w:val="auto"/>
        </w:rPr>
      </w:pPr>
      <w:r>
        <w:rPr>
          <w:rFonts w:ascii="Times New Roman" w:cs="Times New Roman" w:eastAsia="Times New Roman" w:hAnsi="Times New Roman"/>
          <w:sz w:val="22"/>
          <w:szCs w:val="22"/>
          <w:color w:val="auto"/>
        </w:rPr>
        <w:t>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20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For purposes of this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w:t>
      </w:r>
    </w:p>
    <w:p>
      <w:pPr>
        <w:spacing w:after="0" w:line="2" w:lineRule="exact"/>
        <w:rPr>
          <w:sz w:val="20"/>
          <w:szCs w:val="20"/>
          <w:color w:val="auto"/>
        </w:rPr>
      </w:pPr>
    </w:p>
    <w:p>
      <w:pPr>
        <w:ind w:right="60" w:firstLine="8"/>
        <w:spacing w:after="0" w:line="237" w:lineRule="auto"/>
        <w:tabs>
          <w:tab w:leader="none" w:pos="36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corporation owned, directly or indirectly, by the stockholders of the Company in substantially the same proportions as their ownership of stock of the Company.</w:t>
      </w:r>
    </w:p>
    <w:p>
      <w:pPr>
        <w:spacing w:after="0" w:line="20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4.7 A “Potential Change in Control” shall exist during any period in which the circumstances described in paragraph (a), (b), (c) or (d), below, exist (provided, however, that a Potential Change in Control shall cease to exist not later than the occurrence of a Change in Control):</w:t>
      </w:r>
    </w:p>
    <w:p>
      <w:pPr>
        <w:spacing w:after="0" w:line="200" w:lineRule="exact"/>
        <w:rPr>
          <w:sz w:val="20"/>
          <w:szCs w:val="20"/>
          <w:color w:val="auto"/>
        </w:rPr>
      </w:pPr>
    </w:p>
    <w:p>
      <w:pPr>
        <w:ind w:left="660" w:right="280" w:firstLine="644"/>
        <w:spacing w:after="0" w:line="244" w:lineRule="auto"/>
        <w:tabs>
          <w:tab w:leader="none" w:pos="1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86" w:lineRule="exact"/>
        <w:rPr>
          <w:rFonts w:ascii="Times New Roman" w:cs="Times New Roman" w:eastAsia="Times New Roman" w:hAnsi="Times New Roman"/>
          <w:sz w:val="22"/>
          <w:szCs w:val="22"/>
          <w:color w:val="auto"/>
        </w:rPr>
      </w:pPr>
    </w:p>
    <w:p>
      <w:pPr>
        <w:ind w:left="660" w:right="140" w:firstLine="644"/>
        <w:spacing w:after="0" w:line="238"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(without regard to the exclusions set forth in clauses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203" w:lineRule="exact"/>
        <w:rPr>
          <w:rFonts w:ascii="Times New Roman" w:cs="Times New Roman" w:eastAsia="Times New Roman" w:hAnsi="Times New Roman"/>
          <w:sz w:val="22"/>
          <w:szCs w:val="22"/>
          <w:color w:val="auto"/>
        </w:rPr>
      </w:pPr>
    </w:p>
    <w:p>
      <w:pPr>
        <w:ind w:left="660" w:right="60" w:firstLine="644"/>
        <w:spacing w:after="0" w:line="239" w:lineRule="auto"/>
        <w:tabs>
          <w:tab w:leader="none" w:pos="1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becomes the Beneficial Owner, directly or indirectly, of securities of the Company representing 10% or more of either the then outstanding shares of common stock of the Company or the combined voting power of the Company’s then outstanding securities (not including any securities beneficially owned by such Person which are or were acquired directly from the Company or its Affiliates).</w:t>
      </w:r>
    </w:p>
    <w:p>
      <w:pPr>
        <w:spacing w:after="0" w:line="207" w:lineRule="exact"/>
        <w:rPr>
          <w:rFonts w:ascii="Times New Roman" w:cs="Times New Roman" w:eastAsia="Times New Roman" w:hAnsi="Times New Roman"/>
          <w:sz w:val="22"/>
          <w:szCs w:val="22"/>
          <w:color w:val="auto"/>
        </w:rPr>
      </w:pPr>
    </w:p>
    <w:p>
      <w:pPr>
        <w:ind w:left="660" w:right="40" w:firstLine="644"/>
        <w:spacing w:after="0" w:line="236" w:lineRule="auto"/>
        <w:tabs>
          <w:tab w:leader="none" w:pos="177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206"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4.8 The provisions of Sections 4.5, 4.6, 4.7 and this Section 4.8 may not be amended or deleted, nor superseded by any other provision of this Plan, (i) during the pendency of a Potential Change in Control and (ii) during the period beginning on the date of a Change in Control and ending on the date five (5) years following such Change in Control.</w:t>
      </w:r>
    </w:p>
    <w:p>
      <w:pPr>
        <w:sectPr>
          <w:pgSz w:w="11900" w:h="16838" w:orient="portrait"/>
          <w:cols w:equalWidth="0" w:num="1">
            <w:col w:w="11240"/>
          </w:cols>
          <w:pgMar w:left="320" w:top="1408" w:right="339" w:bottom="1440" w:gutter="0" w:footer="0" w:header="0"/>
        </w:sectPr>
      </w:pPr>
    </w:p>
    <w:bookmarkStart w:id="47" w:name="page48"/>
    <w:bookmarkEnd w:id="47"/>
    <w:p>
      <w:pPr>
        <w:spacing w:after="0" w:line="2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SECTION 5.</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CONVERSION TO COMMON STOCK UNITS</w:t>
      </w:r>
    </w:p>
    <w:p>
      <w:pPr>
        <w:spacing w:after="0" w:line="20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5.1 Any Director who is then serving as a director may, by written notice filed with the Secretary of the Company, irrevocably elect to have all or any portion of deferred fees previously earned but not yet paid, transferred from the Director’s Deferred Fee Account to a stock account established under this Section 5 (“Stock Account”). Any election as to a portion of such fees shall be expressed as a percentage and the same percentage shall be applied to all such fees regardless of the calendar year in which earned or to all deferred fees earned in designated calendar years, as specified by the Director. A Director may make no more than one notional investment election under this Section 5.l in any calendar year. All such elections may apply only to deferred fees for which an election has not previously been made and shall be irrevocable.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5.2 Any Director may, by written notice filed with the Secretary of the Company, elect to have all or any portion of deferred fees earned subsequent to the date such notice is filed credited to a Stock Account established under this Section 5. Fees covered by such election shall be credited to such account at the end of each calendar quarter in, or for which, such fees are earned. Such election may be revoked or modified by such Director, by written notice filed with the Secretary of the Company, as to deferred fees to be earned in calendar years subsequent to the calendar year such notice is filed, but shall be irrevocable as to deferred fees earned prior to such year.</w:t>
      </w:r>
    </w:p>
    <w:p>
      <w:pPr>
        <w:spacing w:after="0" w:line="208"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5.3 Deferred fees credited to a Stock Account under Section 5.1 shall be converted to Common Stock Units by dividing the deferred fees so credited by the closing price of common stock of the Company on the date the notice of election under Section 5 is received by the Company (or the next business day, if there are no sales on such date) as reported on the New York Stock Exchange Composite Reporting System. Deferred fees credited to a Stock Account under Section 5.2 shall be converted to Common Stock Units by dividing the deferred fees so credited by the closing price of common stock of the Company as of the last business day of the calendar quarter for which the credit is made, as reported on the New York Stock Exchange Composite Reporting System.</w:t>
      </w:r>
    </w:p>
    <w:p>
      <w:pPr>
        <w:spacing w:after="0" w:line="204"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5.4 Each Common Stock Unit shall be credited with (or adjusted for) the same cash and stock dividends, stock splits and other distributions and adjustments as are received by or applicable to one share of common stock of the Company. All cash dividends and other cash distributions credited to Common Stock Units shall be converted to additional Common Stock Units by dividing each such dividend or distribution by the closing price of common stock of the Company on the payment date for such dividend or distribution, as reported by the New York Stock Exchange Composite Reporting System.</w:t>
      </w:r>
    </w:p>
    <w:p>
      <w:pPr>
        <w:spacing w:after="0" w:line="190"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5.5 The value of the Common Stock Units credited each Director shall be paid to the Director in cash on the dates specified in Section 4.3 (or, if applicable, Section 4.5). The amount of each payment shall be determined by multiplying the Common Stock Units payable on each date specified in Section 4.3 (or, if applicable, Section 4.5) by the closing price of common stock of the Company on the day prior to the payment date (or the next preceding business day if there are no sales on such date), as reported by the New York Stock Exchange Composite Reporting System.</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SECTION 6.</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0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6.1 Each Director or former Director entitled to payment of deferred fees hereunder from time to time may name any person or persons (who may be named contingently or successively) to whom any deferred Director’s fees earned by him and payable to him are to be paid in case of his death before he receives any or all of such deferred Director’s fees. Each designation will revoke all prior designations by the same Director or former Director, shall be in a form prescribed by the Company, and will be effective only when filed by the Director or former Director in writing with the Secretary of the Company during his lifetime. If a deceased Director or former Director shall have failed to name a beneficiary in the manner provided above, or if the beneficiary named by a deceased Director or former Director dies before him or before payment of all the Director’s or former Director’s deferred Directors’ fees, the Company, in its discretion, may direct payment of the remaining installments required by Section 4.3 to either:</w:t>
      </w:r>
    </w:p>
    <w:p>
      <w:pPr>
        <w:spacing w:after="0" w:line="206" w:lineRule="exact"/>
        <w:rPr>
          <w:sz w:val="20"/>
          <w:szCs w:val="20"/>
          <w:color w:val="auto"/>
        </w:rPr>
      </w:pPr>
    </w:p>
    <w:p>
      <w:pPr>
        <w:ind w:left="660" w:right="140" w:firstLine="644"/>
        <w:spacing w:after="0" w:line="258" w:lineRule="auto"/>
        <w:tabs>
          <w:tab w:leader="none" w:pos="17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or more or all of the next of kin (including the surviving spouse) of the Director or former Director, and in such proportions as the Company determines; or</w:t>
      </w:r>
    </w:p>
    <w:p>
      <w:pPr>
        <w:spacing w:after="0" w:line="185" w:lineRule="exact"/>
        <w:rPr>
          <w:rFonts w:ascii="Times New Roman" w:cs="Times New Roman" w:eastAsia="Times New Roman" w:hAnsi="Times New Roman"/>
          <w:sz w:val="22"/>
          <w:szCs w:val="22"/>
          <w:color w:val="auto"/>
        </w:rPr>
      </w:pPr>
    </w:p>
    <w:p>
      <w:pPr>
        <w:ind w:left="660" w:right="340" w:firstLine="644"/>
        <w:spacing w:after="0" w:line="258" w:lineRule="auto"/>
        <w:tabs>
          <w:tab w:leader="none" w:pos="17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representative or representatives of the estate of the last to die of the Director or former Director and his last surviving beneficiary.</w:t>
      </w:r>
    </w:p>
    <w:p>
      <w:pPr>
        <w:spacing w:after="0" w:line="18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The person or persons to whom any deceased Director’s or former Director’s deferred Directors’ fees are payable under this Section will be referred to as his “beneficiary.”</w:t>
      </w:r>
    </w:p>
    <w:p>
      <w:pPr>
        <w:spacing w:after="0" w:line="172" w:lineRule="exact"/>
        <w:rPr>
          <w:sz w:val="20"/>
          <w:szCs w:val="20"/>
          <w:color w:val="auto"/>
        </w:rPr>
      </w:pPr>
    </w:p>
    <w:p>
      <w:pPr>
        <w:jc w:val="both"/>
        <w:ind w:right="260" w:firstLine="648"/>
        <w:spacing w:after="0" w:line="244" w:lineRule="auto"/>
        <w:rPr>
          <w:sz w:val="20"/>
          <w:szCs w:val="20"/>
          <w:color w:val="auto"/>
        </w:rPr>
      </w:pPr>
      <w:r>
        <w:rPr>
          <w:rFonts w:ascii="Times New Roman" w:cs="Times New Roman" w:eastAsia="Times New Roman" w:hAnsi="Times New Roman"/>
          <w:sz w:val="22"/>
          <w:szCs w:val="22"/>
          <w:color w:val="auto"/>
        </w:rPr>
        <w:t>6.2 Establishment of the Plan and coverage thereunder of any person shall not be construed to confer any right on the part of such person to be nominated for reelection to the Board of Directors of the Company, or to be reelected to the Board of Directors.</w:t>
      </w:r>
    </w:p>
    <w:p>
      <w:pPr>
        <w:spacing w:after="0" w:line="200"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6.3 Payment of deferred Directors’ fees will be made only to the person entitled thereto in accordance with the terms of the Plan, and deferred Directors’ fees are not in any way subject to the debts or other obligations of persons entitled thereto, and may not be voluntarily or involuntarily sold, transferred or assigned. When a person entitled to a payment under the Plan is under legal disability or, in the Company’s opinion, is in any way incapacitated so as to be unable to manage his financial affairs, the Company may direct that payment be made to such person’s legal representative, or to a relative or friend of such person for his benefit. Any payment made in accordance with the preceding sentence shall be in complete discharge of the Company’s obligation to make such payment under the Plan.</w:t>
      </w:r>
    </w:p>
    <w:p>
      <w:pPr>
        <w:spacing w:after="0" w:line="19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6.4 Any action required or permitted to be taken by the Company under the terms of the Plan shall be by affirmative vote of a majority of the members of the Board of Directors then in office.</w:t>
      </w:r>
    </w:p>
    <w:p>
      <w:pPr>
        <w:spacing w:after="0" w:line="185" w:lineRule="exact"/>
        <w:rPr>
          <w:sz w:val="20"/>
          <w:szCs w:val="20"/>
          <w:color w:val="auto"/>
        </w:rPr>
      </w:pPr>
    </w:p>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6.5 To the extent applicable, it is intended that the Plan comply with the provisions of Section 409A of the Internal Revenue Code of 1986, as amended (“Code Section 409A”). The Plan will be administered and interpreted in a manner consistent with this intent, and any</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32" w:lineRule="auto"/>
        <w:rPr>
          <w:sz w:val="20"/>
          <w:szCs w:val="20"/>
          <w:color w:val="auto"/>
        </w:rPr>
      </w:pPr>
      <w:r>
        <w:rPr>
          <w:rFonts w:ascii="Times New Roman" w:cs="Times New Roman" w:eastAsia="Times New Roman" w:hAnsi="Times New Roman"/>
          <w:sz w:val="22"/>
          <w:szCs w:val="22"/>
          <w:color w:val="auto"/>
        </w:rPr>
        <w:t>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this Plan, a Director shall not be deemed to have had a termination of service as a Director until the Director has incurred a separation from service as defined in Treasury Regulation §1.409A-1(h) and, to the extent required to avoid accelerated taxation and/or tax penalties under Code Section 409A and applicable guidance issued thereunder, payment of the amounts payable under the Plan that would otherwise be payable during the six-month period after the date of termination shall instead be paid on the first business day after the expiration of such six-month period, plus interest thereon, at a rate equal to the rate specified in Section 8.8 (to the extent that such interest is not already provided to the Director under Section 8.10), from the respective dates on which such amounts would otherwise have been paid until the actual date of payment. In addition, for purposes of the Plan, each amount to be paid and each installment payment shall be construed as a separate identified payment for purposes of Code Section 409A.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7.</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AND DISCONTINUANCE</w:t>
      </w:r>
    </w:p>
    <w:p>
      <w:pPr>
        <w:ind w:right="60" w:firstLine="648"/>
        <w:spacing w:after="0" w:line="230" w:lineRule="auto"/>
        <w:rPr>
          <w:sz w:val="20"/>
          <w:szCs w:val="20"/>
          <w:color w:val="auto"/>
        </w:rPr>
      </w:pPr>
      <w:r>
        <w:rPr>
          <w:rFonts w:ascii="Times New Roman" w:cs="Times New Roman" w:eastAsia="Times New Roman" w:hAnsi="Times New Roman"/>
          <w:sz w:val="22"/>
          <w:szCs w:val="22"/>
          <w:color w:val="auto"/>
        </w:rPr>
        <w:t>While the Company expects to continue the Plan, it must necessarily reserve, and does hereby reserve, the right to amend or discontinue the Plan at any time; provided, however, that any amendment or discontinuance of the Plan shall be prospective in operation only, and shall not affect the payment of any deferred Directors’ fees theretofore earned by any Director, or the conditions under which any such fees are to be paid or forfeited under the Plan. Any discontinuance of the Plan by the Company shall comply with the requirements of Code Section 409A.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8.</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ALTERNATE PAYMENT OF FEES</w:t>
      </w:r>
    </w:p>
    <w:p>
      <w:pPr>
        <w:spacing w:after="0" w:line="20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8.1 A Director who was first elected or appointed to the Board of Directors before January 1, 2016 may, by written notice filed with the Secretary of the Company prior to each calendar year, elect to receive all or a portion of his fees earned in the following calendar year in accordance with the provisions of Section 8. An election under this Section 8.1 shall become irrevocable as of December 31 of the calendar year prior to the year in which such monthly and meeting fees will be earned (or, in the case of a new Director elected or appointed before January 1, 2016, on the 30th day following the Director’s first participation in the Plan and all plans that would be aggregated with the Plan pursuant to Treasury Regulation §1.409A-1(c)(2)(i),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compensation subject to such election relates solely to services performed after the date of such election).</w:t>
      </w:r>
    </w:p>
    <w:p>
      <w:pPr>
        <w:spacing w:after="0" w:line="18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8.2 If payment of a Director’s fees is made pursuant to Section 8.1, such fees shall not be deferred and a portion of the gross amount of such fees shall be paid currently in cash for the Director directly to a “Grantor Trust” established by the Director, provided such trust is in a form determined by the Committee; and the balance of the gross amount of such fees shall be paid currently in cash directly to the Director, provided that the portion paid directly to the Director shall be an amount equal to the aggregate federal, state and local individual income taxes attributable to the gross fees paid pursuant to this Section 8.2 (determined in accordance with Section 8.14). In no event shall such fees be paid to the Grantor Trust or directly to the Director</w:t>
      </w:r>
    </w:p>
    <w:p>
      <w:pPr>
        <w:sectPr>
          <w:pgSz w:w="11900" w:h="16838" w:orient="portrait"/>
          <w:cols w:equalWidth="0" w:num="1">
            <w:col w:w="11220"/>
          </w:cols>
          <w:pgMar w:left="320" w:top="1408" w:right="359" w:bottom="1440" w:gutter="0" w:footer="0" w:header="0"/>
        </w:sectPr>
      </w:pPr>
    </w:p>
    <w:bookmarkStart w:id="50" w:name="page51"/>
    <w:bookmarkEnd w:id="50"/>
    <w:p>
      <w:pPr>
        <w:ind w:right="320"/>
        <w:spacing w:after="0" w:line="258" w:lineRule="auto"/>
        <w:rPr>
          <w:sz w:val="20"/>
          <w:szCs w:val="20"/>
          <w:color w:val="auto"/>
        </w:rPr>
      </w:pPr>
      <w:r>
        <w:rPr>
          <w:rFonts w:ascii="Times New Roman" w:cs="Times New Roman" w:eastAsia="Times New Roman" w:hAnsi="Times New Roman"/>
          <w:sz w:val="22"/>
          <w:szCs w:val="22"/>
          <w:color w:val="auto"/>
        </w:rPr>
        <w:t>later than the last day of the “applicable 2½ month period,” as such term is defined in Treasury Regulation §1.409A-1(b)(4)(i) (A).</w:t>
      </w:r>
    </w:p>
    <w:p>
      <w:pPr>
        <w:spacing w:after="0" w:line="18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8.3 The Company will establish and maintain four separate accounts in the name of each Director who has made an election under Section 8.1 as follows: a “Pre-Tax Fee Account,” an “After-Tax Fee Account,” a “Pre-Tax Stock Account” and an “After-Tax Stock Account” (collectively, the “Accounts”).</w:t>
      </w:r>
    </w:p>
    <w:p>
      <w:pPr>
        <w:spacing w:after="0" w:line="200" w:lineRule="exact"/>
        <w:rPr>
          <w:sz w:val="20"/>
          <w:szCs w:val="20"/>
          <w:color w:val="auto"/>
        </w:rPr>
      </w:pPr>
    </w:p>
    <w:p>
      <w:pPr>
        <w:ind w:left="660" w:firstLine="644"/>
        <w:spacing w:after="0" w:line="236" w:lineRule="auto"/>
        <w:tabs>
          <w:tab w:leader="none" w:pos="1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Pre-Tax Fee Account shall reflect the total amount of any fees paid in cash to a Director or deposited to a Director’s Grantor Trust, including the amount equal to the aggregate federal, state and local individual income taxes attributable to the fees paid pursuant to Section 8.2, and Interest to be credited to a Director pursuant to Section 8.8. The After-Tax Fee Account shall reflect such gross amounts but shall be maintained on an after-tax basis.</w:t>
      </w:r>
    </w:p>
    <w:p>
      <w:pPr>
        <w:spacing w:after="0" w:line="206" w:lineRule="exact"/>
        <w:rPr>
          <w:rFonts w:ascii="Times New Roman" w:cs="Times New Roman" w:eastAsia="Times New Roman" w:hAnsi="Times New Roman"/>
          <w:sz w:val="22"/>
          <w:szCs w:val="22"/>
          <w:color w:val="auto"/>
        </w:rPr>
      </w:pPr>
    </w:p>
    <w:p>
      <w:pPr>
        <w:ind w:left="660" w:right="40" w:firstLine="644"/>
        <w:spacing w:after="0" w:line="239" w:lineRule="auto"/>
        <w:tabs>
          <w:tab w:leader="none" w:pos="177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Pre-Tax Stock Account shall reflect the total amount of fees converted to Common Stock Units pursuant to Section 5, including the amount equal to the aggregate federal, state and local individual income taxes attributable to the fees paid pursuant to Section 8.2, and any adjustments made pursuant to Section 8.9. The After-Tax Stock Account shall reflect such gross amounts but shall be maintained on an after-tax basis.</w:t>
      </w:r>
    </w:p>
    <w:p>
      <w:pPr>
        <w:spacing w:after="0" w:line="207" w:lineRule="exact"/>
        <w:rPr>
          <w:rFonts w:ascii="Times New Roman" w:cs="Times New Roman" w:eastAsia="Times New Roman" w:hAnsi="Times New Roman"/>
          <w:sz w:val="22"/>
          <w:szCs w:val="22"/>
          <w:color w:val="auto"/>
        </w:rPr>
      </w:pPr>
    </w:p>
    <w:p>
      <w:pPr>
        <w:ind w:left="660" w:right="360" w:firstLine="644"/>
        <w:spacing w:after="0" w:line="258" w:lineRule="auto"/>
        <w:tabs>
          <w:tab w:leader="none" w:pos="1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Accounts established pursuant to this Section 8.3 are for the convenience of the administration of the Plan and no trust relationship with respect to such Accounts is intended or should be implied.</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As of the end of each calendar year, the Company shall adjust each Director’s Pre-Tax Fee Account as follows:</w:t>
      </w:r>
    </w:p>
    <w:p>
      <w:pPr>
        <w:spacing w:after="0" w:line="233" w:lineRule="exact"/>
        <w:rPr>
          <w:sz w:val="20"/>
          <w:szCs w:val="20"/>
          <w:color w:val="auto"/>
        </w:rPr>
      </w:pPr>
    </w:p>
    <w:p>
      <w:pPr>
        <w:jc w:val="both"/>
        <w:ind w:left="660" w:right="180" w:firstLine="644"/>
        <w:spacing w:after="0" w:line="255" w:lineRule="auto"/>
        <w:tabs>
          <w:tab w:leader="none" w:pos="176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charge, in any year in which the Director is entitled to receive a distribution from his or her Grantor Trust, an amount equal to the distribution from the fee account maintained thereunder that would have been made to the Director if the aggregate amounts paid according to Section 8.2 had instead been deferred under Section 3;</w:t>
      </w:r>
    </w:p>
    <w:p>
      <w:pPr>
        <w:spacing w:after="0" w:line="188" w:lineRule="exact"/>
        <w:rPr>
          <w:rFonts w:ascii="Times New Roman" w:cs="Times New Roman" w:eastAsia="Times New Roman" w:hAnsi="Times New Roman"/>
          <w:sz w:val="21"/>
          <w:szCs w:val="21"/>
          <w:color w:val="auto"/>
        </w:rPr>
      </w:pPr>
    </w:p>
    <w:p>
      <w:pPr>
        <w:jc w:val="both"/>
        <w:ind w:left="660" w:right="20" w:firstLine="644"/>
        <w:spacing w:after="0" w:line="239" w:lineRule="auto"/>
        <w:tabs>
          <w:tab w:leader="none" w:pos="177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gross amount of any fees paid for that year, not converted to Common Stock Units, that are paid to the Director (including the amount deposited in the Director’s Grantor Trust and the amount equal to the aggregate federal, state and local individual income taxes attributable to the fees paid pursuant to Section 8.2) according to Section 8.2; and</w:t>
      </w:r>
    </w:p>
    <w:p>
      <w:pPr>
        <w:spacing w:after="0" w:line="20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credit an amount equal to the Interest earned for that year according to Section 8.8.</w:t>
      </w:r>
    </w:p>
    <w:p>
      <w:pPr>
        <w:spacing w:after="0" w:line="23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As of the end of each calendar year, the Company shall adjust each Director’s After-Tax Fee Account as follows:</w:t>
      </w:r>
    </w:p>
    <w:p>
      <w:pPr>
        <w:sectPr>
          <w:pgSz w:w="11900" w:h="16838" w:orient="portrait"/>
          <w:cols w:equalWidth="0" w:num="1">
            <w:col w:w="11220"/>
          </w:cols>
          <w:pgMar w:left="320" w:top="1408" w:right="359" w:bottom="1440" w:gutter="0" w:footer="0" w:header="0"/>
        </w:sectPr>
      </w:pPr>
    </w:p>
    <w:bookmarkStart w:id="51" w:name="page52"/>
    <w:bookmarkEnd w:id="51"/>
    <w:p>
      <w:pPr>
        <w:ind w:right="20" w:firstLine="644"/>
        <w:spacing w:after="0" w:line="238" w:lineRule="auto"/>
        <w:tabs>
          <w:tab w:leader="none" w:pos="11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charge, in any year in which the Director is in receipt of a benefit distribution from his or her Grantor Trust, an amount equal to the product of (i) the distribution that would have been made to the Director if the aggregate amounts paid according to Section 8.2 had instead been deferred under Section 3, multiplied by (ii) a fraction, the numerator of which is the balance in the Director’s After-Tax Fee Account as of the end of the prior fiscal year and the denominator of which is the balance of the Director’s Pre-Tax Fee Account as of that same date;</w:t>
      </w:r>
    </w:p>
    <w:p>
      <w:pPr>
        <w:spacing w:after="0" w:line="203" w:lineRule="exact"/>
        <w:rPr>
          <w:rFonts w:ascii="Times New Roman" w:cs="Times New Roman" w:eastAsia="Times New Roman" w:hAnsi="Times New Roman"/>
          <w:sz w:val="22"/>
          <w:szCs w:val="22"/>
          <w:color w:val="auto"/>
        </w:rPr>
      </w:pPr>
    </w:p>
    <w:p>
      <w:pPr>
        <w:ind w:right="20" w:firstLine="644"/>
        <w:spacing w:after="0" w:line="245" w:lineRule="auto"/>
        <w:tabs>
          <w:tab w:leader="none" w:pos="11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fees not converted to Common Stock Units that are paid that year to the Director directly to the Director’s Grantor Trust according to Section 8.2; and</w:t>
      </w:r>
    </w:p>
    <w:p>
      <w:pPr>
        <w:spacing w:after="0" w:line="199"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credit an amount equal to the After-Tax Interest earned for that year according to Section 8.8.</w:t>
      </w:r>
    </w:p>
    <w:p>
      <w:pPr>
        <w:spacing w:after="0" w:line="2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As of the end of each calendar year, the Company shall adjust each Director’s Pre-Tax Stock Account as follows:</w:t>
      </w:r>
    </w:p>
    <w:p>
      <w:pPr>
        <w:spacing w:after="0" w:line="233" w:lineRule="exact"/>
        <w:rPr>
          <w:sz w:val="20"/>
          <w:szCs w:val="20"/>
          <w:color w:val="auto"/>
        </w:rPr>
      </w:pPr>
    </w:p>
    <w:p>
      <w:pPr>
        <w:ind w:right="100" w:firstLine="644"/>
        <w:spacing w:after="0" w:line="261" w:lineRule="auto"/>
        <w:tabs>
          <w:tab w:leader="none" w:pos="110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charge, in any year in which the Director is entitled to receive a distribution from his or her Grantor Trust, an amount equal to the distribution that would have been made to the Director if the aggregate amount of fees paid according to Section 8.2 had instead been deferred under Section 3 and the adjustments had been made under Section 5;</w:t>
      </w:r>
    </w:p>
    <w:p>
      <w:pPr>
        <w:spacing w:after="0" w:line="184" w:lineRule="exact"/>
        <w:rPr>
          <w:rFonts w:ascii="Times New Roman" w:cs="Times New Roman" w:eastAsia="Times New Roman" w:hAnsi="Times New Roman"/>
          <w:sz w:val="21"/>
          <w:szCs w:val="21"/>
          <w:color w:val="auto"/>
        </w:rPr>
      </w:pPr>
    </w:p>
    <w:p>
      <w:pPr>
        <w:ind w:firstLine="644"/>
        <w:spacing w:after="0" w:line="239" w:lineRule="auto"/>
        <w:tabs>
          <w:tab w:leader="none" w:pos="11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total amount of any fees for that year that are converted to Common Stock Units and paid to the Director (including the amount deposited in the Director’s Grantor Trust and the amount equal to the aggregate federal, state and local individual income taxes attributable to the fees paid pursuant to Section 8.2) and allocated to the Stock Account maintained thereunder) according to Section 8.2; and</w:t>
      </w:r>
    </w:p>
    <w:p>
      <w:pPr>
        <w:spacing w:after="0" w:line="207"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net earnings of the Director’s Grantor Trust for the year; and</w:t>
      </w:r>
    </w:p>
    <w:p>
      <w:pPr>
        <w:spacing w:after="0" w:line="219"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credit an amount equal to the Book Value Adjustments to be made for that year according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8.9.</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As of the end of each calendar year, the Company shall adjust each Director’s After-Tax Stock Account as follows:</w:t>
      </w:r>
    </w:p>
    <w:p>
      <w:pPr>
        <w:spacing w:after="0" w:line="233" w:lineRule="exact"/>
        <w:rPr>
          <w:sz w:val="20"/>
          <w:szCs w:val="20"/>
          <w:color w:val="auto"/>
        </w:rPr>
      </w:pPr>
    </w:p>
    <w:p>
      <w:pPr>
        <w:ind w:right="80" w:firstLine="644"/>
        <w:spacing w:after="0" w:line="236" w:lineRule="auto"/>
        <w:tabs>
          <w:tab w:leader="none" w:pos="110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charge, in any year in which the Director is entitled to receive a distribution from his or her Grantor Trust, an amount equal to the product of (i) the distribution that would have been made to the Director if the aggregate amounts paid according to Section 8.2 had instead been deferred under Section 3 and the adjustments had been made under Section 5, multiplied by (ii) a fraction, the numerator of which is the balance in the Director’s After-Tax Stock Account as of the end of the prior fiscal year and the denominator of which is the balance of the Director’s Pre-Tax Stock Account as of that same date;</w:t>
      </w:r>
    </w:p>
    <w:p>
      <w:pPr>
        <w:sectPr>
          <w:pgSz w:w="11900" w:h="16838" w:orient="portrait"/>
          <w:cols w:equalWidth="0" w:num="1">
            <w:col w:w="10560"/>
          </w:cols>
          <w:pgMar w:left="980" w:top="1408" w:right="359" w:bottom="1440" w:gutter="0" w:footer="0" w:header="0"/>
        </w:sectPr>
      </w:pPr>
    </w:p>
    <w:bookmarkStart w:id="52" w:name="page53"/>
    <w:bookmarkEnd w:id="52"/>
    <w:p>
      <w:pPr>
        <w:spacing w:after="0" w:line="212" w:lineRule="exact"/>
        <w:rPr>
          <w:sz w:val="20"/>
          <w:szCs w:val="20"/>
          <w:color w:val="auto"/>
        </w:rPr>
      </w:pPr>
    </w:p>
    <w:p>
      <w:pPr>
        <w:ind w:left="660" w:right="240" w:firstLine="644"/>
        <w:spacing w:after="0" w:line="244" w:lineRule="auto"/>
        <w:tabs>
          <w:tab w:leader="none" w:pos="177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fees converted to Common Stock Units that are paid that year to the Director directly to the Director’s Grantor Trust and allocated to the Stock Account maintained thereunder according to Section 8.2; and</w:t>
      </w:r>
    </w:p>
    <w:p>
      <w:pPr>
        <w:spacing w:after="0" w:line="20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credit an amount equal to the net earnings of the Director’s Grantor Trust for the year; and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credit an amount equal to the Book Value Adjustments to be made for that year according to</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8.9.</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color w:val="auto"/>
        </w:rPr>
        <w:t>The Director’s Pre-Tax Fee Account and After-Tax Fee Account shall be credited with interest as follows:</w:t>
      </w:r>
    </w:p>
    <w:p>
      <w:pPr>
        <w:spacing w:after="0" w:line="233" w:lineRule="exact"/>
        <w:rPr>
          <w:sz w:val="20"/>
          <w:szCs w:val="20"/>
          <w:color w:val="auto"/>
        </w:rPr>
      </w:pPr>
    </w:p>
    <w:p>
      <w:pPr>
        <w:ind w:left="660" w:right="820" w:firstLine="644"/>
        <w:spacing w:after="0" w:line="241" w:lineRule="auto"/>
        <w:tabs>
          <w:tab w:leader="none" w:pos="1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each calendar year, a Director’s Pre-Tax Fee Account shall be credited with interest (“Interest”) at the following rate:</w:t>
      </w:r>
    </w:p>
    <w:p>
      <w:pPr>
        <w:spacing w:after="0" w:line="1" w:lineRule="exact"/>
        <w:rPr>
          <w:rFonts w:ascii="Times New Roman" w:cs="Times New Roman" w:eastAsia="Times New Roman" w:hAnsi="Times New Roman"/>
          <w:sz w:val="22"/>
          <w:szCs w:val="22"/>
          <w:color w:val="auto"/>
        </w:rPr>
      </w:pPr>
    </w:p>
    <w:p>
      <w:pPr>
        <w:ind w:left="1300" w:right="220" w:firstLine="652"/>
        <w:spacing w:after="0" w:line="235" w:lineRule="auto"/>
        <w:tabs>
          <w:tab w:leader="none" w:pos="236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“prime rate” of interest set forth on the Bloomberg Screen BTMM or comparable successor quotation service on the first business day of January and the last business day of each month of the fiscal year; plus</w:t>
      </w:r>
    </w:p>
    <w:p>
      <w:pPr>
        <w:spacing w:after="0" w:line="204"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hundred twenty-five (225) basis points.</w:t>
      </w:r>
    </w:p>
    <w:p>
      <w:pPr>
        <w:spacing w:after="0" w:line="233" w:lineRule="exact"/>
        <w:rPr>
          <w:rFonts w:ascii="Times New Roman" w:cs="Times New Roman" w:eastAsia="Times New Roman" w:hAnsi="Times New Roman"/>
          <w:sz w:val="22"/>
          <w:szCs w:val="22"/>
          <w:color w:val="auto"/>
        </w:rPr>
      </w:pPr>
    </w:p>
    <w:p>
      <w:pPr>
        <w:ind w:left="660" w:right="80" w:firstLine="644"/>
        <w:spacing w:after="0" w:line="244" w:lineRule="auto"/>
        <w:tabs>
          <w:tab w:leader="none" w:pos="17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each calendar year, a Director’s After-Tax Fee Account shall be credited with the amount of Interest set forth above, multiplied by (one minus the aggregate of the applicable federal, state and local individual income tax rates and employment tax rate) (the “After-Tax Interest”).</w:t>
      </w:r>
    </w:p>
    <w:p>
      <w:pPr>
        <w:spacing w:after="0" w:line="200"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8.9 As of the end of each calendar year, a Director’s Pre-Tax Stock Account and After-Tax Stock Account shall be adjusted as provided in Section 5.4, to the extent applicable, and shall also be adjusted to reflect the increase or decrease in the fair market value of the Company’s common stock determined in accordance with Section 5.5, except that (i) any reference to the payment date in such Section shall mean December 31 of the applicable calendar year for purposes of this Section, and (ii) adjustments to the After-Tax Stock Account shall be made on an after-tax basis. Such adjustments shall be referred to as “Book Value Adjustments.”</w:t>
      </w:r>
    </w:p>
    <w:p>
      <w:pPr>
        <w:spacing w:after="0" w:line="20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8.10 In addition to any fees paid to a Director’s Grantor Trust under Section 8.2 during the year, the Company shall also make a payment (an “Interest Payment”) with respect to each Director who has established a Grantor Trust for each year in which the Grantor Trust is in effect. The Interest Payment shall equal the excess, if any, of the gross amount of the Interest credited to the Director (as defined in Section 8.8(a)), over the net earnings of the Director’s Grantor Trust for the year, and shall be paid within the thirty (30)-day period beginning April 1 of the following calendar year. A portion of such gross Interest Payment, equal to the excess, if any, of the Net Interest Accrual over the net earnings of the Director’s Grantor Trust, shall be deposited in the Director’s Grantor Trust, with the balance paid to the Director; provided, however, in the event that the net earnings of the Director’s Grantor Trust exceeds the Net Interest Accrual, a distribution from the Grantor Trust shall be required in accordance with Section 8.15. A Director’s Net Interest Accrual for a year is an amount equal to the After-Tax</w:t>
      </w:r>
    </w:p>
    <w:p>
      <w:pPr>
        <w:sectPr>
          <w:pgSz w:w="11900" w:h="16838" w:orient="portrait"/>
          <w:cols w:equalWidth="0" w:num="1">
            <w:col w:w="11220"/>
          </w:cols>
          <w:pgMar w:left="320" w:top="144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Interest credited to the Director’s After-Tax Fee Account for that year in accordance with Section 8.8(b).</w:t>
      </w:r>
    </w:p>
    <w:p>
      <w:pPr>
        <w:spacing w:after="0" w:line="233"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8.11 In addition to the fees paid under Section 8.2 during the year and the Interest Payment described above, the Company shall also make a payment (a “Principal Payment”) with respect to each Director who has established a Grantor Trust for each year in which the Grantor Trust is in effect, to be credited to the Stock Account maintained thereunder. The Principal Payment shall equal the excess, if any, of 75 percent of the fair market value (as determined in accordance with Section 6.5) of the balance of the Director’s Pre-Tax Stock Account on December 31 over the balance in the Stock Account maintained under the Director’s Grantor Trust as of that same date, and shall be paid within the thirty (30)-day period beginning April 1 of the following calendar year. For the calendar year in which the last installment distribution is made from the Director’s Grantor Trust (meaning, the year that is X years following the year of the event triggering the payments, where X is the same number of years served by the Director), the payment made under this Section 8.11 shall equal the excess, if any, of 100 percent of the balance of the Director’s After-Tax Stock Account over the balance in the Stock Account maintained under the Director’s Grantor Trust as of that same date.</w:t>
      </w:r>
    </w:p>
    <w:p>
      <w:pPr>
        <w:spacing w:after="0" w:line="21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8.12 Each Director’s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established by the Committee.</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8.13 For purposes of Section 8, a Director’s federal income tax rate shall be deemed to be the highest marginal rate of federal individual income tax in effect in the calendar year in which a calculation under this Section is to be made and state and local tax rates shall be deemed to be the highest marginal rates of individual income tax in effect in the state and locality of the Director’s residence on the date such a calculation is made, net of any federal tax benefits without a benefit for any net capital losses. Notwithstanding the preceding sentence, if a Director is not a citizen or resident of the United States, his or her income tax rates shall be deemed to be the highest marginal income tax rates actually imposed on the Director’s benefits under this Plan or earnings under his or her Grantor Trust without a benefit for any net capital losses.</w:t>
      </w:r>
    </w:p>
    <w:p>
      <w:pPr>
        <w:spacing w:after="0" w:line="210"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2"/>
          <w:szCs w:val="22"/>
          <w:color w:val="auto"/>
        </w:rPr>
        <w:t>8.14 If a portion of a Director’s fees have been paid to a Grantor Trust pursuant to Section 8.2, then those fees and earnings thereon shall be paid to him from the Grantor Trust in the order in which they were earned (i.e., the fees for the earliest year of service as a Director will be the first fees distributed from the Grantor Trust(s), the fees for the next earliest year of service as a Director will be paid on the anniversary of the payment of the first installment, etc.). The distribution of a Director’s fees shall continue until all fees which the Director is entitled to receive under the Plan shall have been paid in accordance with the terms of the Grantor Trust(s).</w:t>
      </w:r>
    </w:p>
    <w:p>
      <w:pPr>
        <w:spacing w:after="0" w:line="20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8.15 AbbVie, as the administrator of the Director’s Grantor Trust, may direct the trustee to distribute to the Director from the income of such Grantor Trust, a sum of money sufficient to pay the taxes on trust earnings for such year, to the extent a sufficient sum of money has not been paid to the Director pursuant to Section 8.10 or 8.11, as applicable. The taxes shall be determined in accordance with Section 8.13.</w:t>
      </w:r>
    </w:p>
    <w:p>
      <w:pPr>
        <w:sectPr>
          <w:pgSz w:w="11900" w:h="16838" w:orient="portrait"/>
          <w:cols w:equalWidth="0" w:num="1">
            <w:col w:w="11240"/>
          </w:cols>
          <w:pgMar w:left="320" w:top="1408" w:right="339" w:bottom="1440" w:gutter="0" w:footer="0" w:header="0"/>
        </w:sectPr>
      </w:pPr>
    </w:p>
    <w:bookmarkStart w:id="54" w:name="page55"/>
    <w:bookmarkEnd w:id="54"/>
    <w:p>
      <w:pPr>
        <w:spacing w:after="0" w:line="212"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1"/>
          <w:szCs w:val="21"/>
          <w:color w:val="auto"/>
        </w:rPr>
        <w:t>8.16 AbbVie, as the administrator of the Director’s Grantor Trust, may direct the trustee to pay the appropriate federal, state and local individual income taxes attributable to the fees and other payments paid to the Director pursuant to Sections 8.2,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8.10 and 8.11 to the applicable tax authorities on behalf of the Director. The taxes shall be determined in accordance with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w:t>
      </w:r>
    </w:p>
    <w:p>
      <w:pPr>
        <w:sectPr>
          <w:pgSz w:w="11900" w:h="16838" w:orient="portrait"/>
          <w:cols w:equalWidth="0" w:num="1">
            <w:col w:w="11200"/>
          </w:cols>
          <w:pgMar w:left="320" w:top="1440" w:right="379" w:bottom="1440" w:gutter="0" w:footer="0" w:header="0"/>
        </w:sectPr>
      </w:pPr>
    </w:p>
    <w:bookmarkStart w:id="55" w:name="page56"/>
    <w:bookmarkEnd w:id="55"/>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of Chief Executve Ofcer</w:t>
      </w:r>
    </w:p>
    <w:p>
      <w:pPr>
        <w:jc w:val="center"/>
        <w:spacing w:after="0" w:line="235" w:lineRule="auto"/>
        <w:rPr>
          <w:sz w:val="20"/>
          <w:szCs w:val="20"/>
          <w:color w:val="auto"/>
        </w:rPr>
      </w:pPr>
      <w:r>
        <w:rPr>
          <w:rFonts w:ascii="Calibri" w:cs="Calibri" w:eastAsia="Calibri" w:hAnsi="Calibri"/>
          <w:sz w:val="18"/>
          <w:szCs w:val="18"/>
          <w:b w:val="1"/>
          <w:bCs w:val="1"/>
          <w:color w:val="auto"/>
        </w:rPr>
        <w:t>Required by Rule 13a-14(a) (17 CFR 240.13a-14(a))</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I, Richard A. Gonzalez, certfy that:</w:t>
      </w:r>
    </w:p>
    <w:p>
      <w:pPr>
        <w:spacing w:after="0" w:line="239" w:lineRule="exact"/>
        <w:rPr>
          <w:sz w:val="20"/>
          <w:szCs w:val="20"/>
          <w:color w:val="auto"/>
        </w:rPr>
      </w:pPr>
    </w:p>
    <w:p>
      <w:pPr>
        <w:ind w:left="300" w:hanging="292"/>
        <w:spacing w:after="0"/>
        <w:tabs>
          <w:tab w:leader="none" w:pos="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AbbVie Inc.;</w:t>
      </w:r>
    </w:p>
    <w:p>
      <w:pPr>
        <w:spacing w:after="0" w:line="244" w:lineRule="exact"/>
        <w:rPr>
          <w:rFonts w:ascii="Calibri" w:cs="Calibri" w:eastAsia="Calibri" w:hAnsi="Calibri"/>
          <w:sz w:val="18"/>
          <w:szCs w:val="18"/>
          <w:color w:val="auto"/>
        </w:rPr>
      </w:pPr>
    </w:p>
    <w:p>
      <w:pPr>
        <w:ind w:left="660" w:right="140" w:hanging="652"/>
        <w:spacing w:after="0" w:line="235" w:lineRule="auto"/>
        <w:tabs>
          <w:tab w:leader="none" w:pos="304"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5" w:lineRule="exact"/>
        <w:rPr>
          <w:rFonts w:ascii="Calibri" w:cs="Calibri" w:eastAsia="Calibri" w:hAnsi="Calibri"/>
          <w:sz w:val="18"/>
          <w:szCs w:val="18"/>
          <w:color w:val="auto"/>
        </w:rPr>
      </w:pPr>
    </w:p>
    <w:p>
      <w:pPr>
        <w:ind w:left="660" w:right="560" w:hanging="652"/>
        <w:spacing w:after="0" w:line="235" w:lineRule="auto"/>
        <w:tabs>
          <w:tab w:leader="none" w:pos="304"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44" w:lineRule="exact"/>
        <w:rPr>
          <w:rFonts w:ascii="Calibri" w:cs="Calibri" w:eastAsia="Calibri" w:hAnsi="Calibri"/>
          <w:sz w:val="18"/>
          <w:szCs w:val="18"/>
          <w:color w:val="auto"/>
        </w:rPr>
      </w:pPr>
    </w:p>
    <w:p>
      <w:pPr>
        <w:ind w:left="660" w:right="260" w:hanging="652"/>
        <w:spacing w:after="0" w:line="235" w:lineRule="auto"/>
        <w:tabs>
          <w:tab w:leader="none" w:pos="304"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45" w:lineRule="exact"/>
        <w:rPr>
          <w:rFonts w:ascii="Calibri" w:cs="Calibri" w:eastAsia="Calibri" w:hAnsi="Calibri"/>
          <w:sz w:val="18"/>
          <w:szCs w:val="18"/>
          <w:color w:val="auto"/>
        </w:rPr>
      </w:pPr>
    </w:p>
    <w:p>
      <w:pPr>
        <w:ind w:left="980" w:right="40" w:hanging="324"/>
        <w:spacing w:after="0" w:line="235" w:lineRule="auto"/>
        <w:tabs>
          <w:tab w:leader="none" w:pos="952"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45" w:lineRule="exact"/>
        <w:rPr>
          <w:rFonts w:ascii="Calibri" w:cs="Calibri" w:eastAsia="Calibri" w:hAnsi="Calibri"/>
          <w:sz w:val="18"/>
          <w:szCs w:val="18"/>
          <w:color w:val="auto"/>
        </w:rPr>
      </w:pPr>
    </w:p>
    <w:p>
      <w:pPr>
        <w:ind w:left="980" w:right="460" w:hanging="324"/>
        <w:spacing w:after="0" w:line="235" w:lineRule="auto"/>
        <w:tabs>
          <w:tab w:leader="none" w:pos="96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45" w:lineRule="exact"/>
        <w:rPr>
          <w:rFonts w:ascii="Calibri" w:cs="Calibri" w:eastAsia="Calibri" w:hAnsi="Calibri"/>
          <w:sz w:val="18"/>
          <w:szCs w:val="18"/>
          <w:color w:val="auto"/>
        </w:rPr>
      </w:pPr>
    </w:p>
    <w:p>
      <w:pPr>
        <w:ind w:left="980" w:right="120" w:hanging="324"/>
        <w:spacing w:after="0" w:line="235" w:lineRule="auto"/>
        <w:tabs>
          <w:tab w:leader="none" w:pos="942"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44" w:lineRule="exact"/>
        <w:rPr>
          <w:rFonts w:ascii="Calibri" w:cs="Calibri" w:eastAsia="Calibri" w:hAnsi="Calibri"/>
          <w:sz w:val="18"/>
          <w:szCs w:val="18"/>
          <w:color w:val="auto"/>
        </w:rPr>
      </w:pPr>
    </w:p>
    <w:p>
      <w:pPr>
        <w:ind w:left="980" w:right="100" w:hanging="324"/>
        <w:spacing w:after="0" w:line="235" w:lineRule="auto"/>
        <w:tabs>
          <w:tab w:leader="none" w:pos="96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44" w:lineRule="exact"/>
        <w:rPr>
          <w:rFonts w:ascii="Calibri" w:cs="Calibri" w:eastAsia="Calibri" w:hAnsi="Calibri"/>
          <w:sz w:val="18"/>
          <w:szCs w:val="18"/>
          <w:color w:val="auto"/>
        </w:rPr>
      </w:pPr>
    </w:p>
    <w:p>
      <w:pPr>
        <w:ind w:left="660" w:right="600" w:hanging="652"/>
        <w:spacing w:after="0" w:line="235" w:lineRule="auto"/>
        <w:tabs>
          <w:tab w:leader="none" w:pos="304"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have disclosed, based on our most recent evaluaton of internal control over fnancial reportng, to AbbVie’s auditors and the audit commitee of AbbVie’s board of directors:</w:t>
      </w:r>
    </w:p>
    <w:p>
      <w:pPr>
        <w:spacing w:after="0" w:line="244" w:lineRule="exact"/>
        <w:rPr>
          <w:rFonts w:ascii="Calibri" w:cs="Calibri" w:eastAsia="Calibri" w:hAnsi="Calibri"/>
          <w:sz w:val="18"/>
          <w:szCs w:val="18"/>
          <w:color w:val="auto"/>
        </w:rPr>
      </w:pPr>
    </w:p>
    <w:p>
      <w:pPr>
        <w:ind w:left="980" w:right="180" w:hanging="324"/>
        <w:spacing w:after="0" w:line="235" w:lineRule="auto"/>
        <w:tabs>
          <w:tab w:leader="none" w:pos="952"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44" w:lineRule="exact"/>
        <w:rPr>
          <w:rFonts w:ascii="Calibri" w:cs="Calibri" w:eastAsia="Calibri" w:hAnsi="Calibri"/>
          <w:sz w:val="18"/>
          <w:szCs w:val="18"/>
          <w:color w:val="auto"/>
        </w:rPr>
      </w:pPr>
    </w:p>
    <w:p>
      <w:pPr>
        <w:ind w:left="980" w:right="120" w:hanging="324"/>
        <w:spacing w:after="0" w:line="235" w:lineRule="auto"/>
        <w:tabs>
          <w:tab w:leader="none" w:pos="96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AbbVie’s internal control over fnancial reportng.</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320" w:type="dxa"/>
            <w:vAlign w:val="bottom"/>
          </w:tcPr>
          <w:p>
            <w:pPr>
              <w:spacing w:after="0"/>
              <w:rPr>
                <w:sz w:val="20"/>
                <w:szCs w:val="20"/>
                <w:color w:val="auto"/>
              </w:rPr>
            </w:pPr>
            <w:r>
              <w:rPr>
                <w:rFonts w:ascii="Calibri" w:cs="Calibri" w:eastAsia="Calibri" w:hAnsi="Calibri"/>
                <w:sz w:val="18"/>
                <w:szCs w:val="18"/>
                <w:color w:val="auto"/>
              </w:rPr>
              <w:t>Date:   August 4, 2022</w:t>
            </w:r>
          </w:p>
        </w:tc>
        <w:tc>
          <w:tcPr>
            <w:tcW w:w="4720" w:type="dxa"/>
            <w:vAlign w:val="bottom"/>
          </w:tcPr>
          <w:p>
            <w:pPr>
              <w:ind w:left="20"/>
              <w:spacing w:after="0"/>
              <w:rPr>
                <w:sz w:val="20"/>
                <w:szCs w:val="20"/>
                <w:color w:val="auto"/>
              </w:rPr>
            </w:pPr>
            <w:r>
              <w:rPr>
                <w:rFonts w:ascii="Calibri" w:cs="Calibri" w:eastAsia="Calibri" w:hAnsi="Calibri"/>
                <w:sz w:val="18"/>
                <w:szCs w:val="18"/>
                <w:color w:val="auto"/>
              </w:rPr>
              <w:t>/s/ Richard A. Gonzalez</w:t>
            </w:r>
          </w:p>
        </w:tc>
      </w:tr>
      <w:tr>
        <w:trPr>
          <w:trHeight w:val="23"/>
        </w:trPr>
        <w:tc>
          <w:tcPr>
            <w:tcW w:w="53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08"/>
        </w:trPr>
        <w:tc>
          <w:tcPr>
            <w:tcW w:w="5320" w:type="dxa"/>
            <w:vAlign w:val="bottom"/>
          </w:tcPr>
          <w:p>
            <w:pPr>
              <w:spacing w:after="0"/>
              <w:rPr>
                <w:sz w:val="18"/>
                <w:szCs w:val="18"/>
                <w:color w:val="auto"/>
              </w:rPr>
            </w:pPr>
          </w:p>
        </w:tc>
        <w:tc>
          <w:tcPr>
            <w:tcW w:w="4720" w:type="dxa"/>
            <w:vAlign w:val="bottom"/>
          </w:tcPr>
          <w:p>
            <w:pPr>
              <w:ind w:left="20"/>
              <w:spacing w:after="0" w:line="208" w:lineRule="exact"/>
              <w:rPr>
                <w:sz w:val="20"/>
                <w:szCs w:val="20"/>
                <w:color w:val="auto"/>
              </w:rPr>
            </w:pPr>
            <w:r>
              <w:rPr>
                <w:rFonts w:ascii="Calibri" w:cs="Calibri" w:eastAsia="Calibri" w:hAnsi="Calibri"/>
                <w:sz w:val="18"/>
                <w:szCs w:val="18"/>
                <w:color w:val="auto"/>
              </w:rPr>
              <w:t>Richard A. Gonzalez, Chairman of the Board</w:t>
            </w:r>
          </w:p>
        </w:tc>
      </w:tr>
      <w:tr>
        <w:trPr>
          <w:trHeight w:val="221"/>
        </w:trPr>
        <w:tc>
          <w:tcPr>
            <w:tcW w:w="5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Calibri" w:cs="Calibri" w:eastAsia="Calibri" w:hAnsi="Calibri"/>
                <w:sz w:val="18"/>
                <w:szCs w:val="18"/>
                <w:color w:val="auto"/>
              </w:rPr>
              <w:t>and Chief Executve Ofcer</w:t>
            </w:r>
          </w:p>
        </w:tc>
      </w:tr>
    </w:tbl>
    <w:p>
      <w:pPr>
        <w:sectPr>
          <w:pgSz w:w="11900" w:h="16838" w:orient="portrait"/>
          <w:cols w:equalWidth="0" w:num="1">
            <w:col w:w="11240"/>
          </w:cols>
          <w:pgMar w:left="320" w:top="882" w:right="339" w:bottom="1440" w:gutter="0" w:footer="0" w:header="0"/>
        </w:sectPr>
      </w:pPr>
    </w:p>
    <w:bookmarkStart w:id="56" w:name="page57"/>
    <w:bookmarkEnd w:id="56"/>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of Chief Financial Ofcer</w:t>
      </w:r>
    </w:p>
    <w:p>
      <w:pPr>
        <w:jc w:val="center"/>
        <w:spacing w:after="0" w:line="235" w:lineRule="auto"/>
        <w:rPr>
          <w:sz w:val="20"/>
          <w:szCs w:val="20"/>
          <w:color w:val="auto"/>
        </w:rPr>
      </w:pPr>
      <w:r>
        <w:rPr>
          <w:rFonts w:ascii="Calibri" w:cs="Calibri" w:eastAsia="Calibri" w:hAnsi="Calibri"/>
          <w:sz w:val="18"/>
          <w:szCs w:val="18"/>
          <w:b w:val="1"/>
          <w:bCs w:val="1"/>
          <w:color w:val="auto"/>
        </w:rPr>
        <w:t>Required by Rule 13a-14(a) (17 CFR 240.13a-14(a))</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I, Scot T. Reents, certfy that:</w:t>
      </w:r>
    </w:p>
    <w:p>
      <w:pPr>
        <w:spacing w:after="0" w:line="239" w:lineRule="exact"/>
        <w:rPr>
          <w:sz w:val="20"/>
          <w:szCs w:val="20"/>
          <w:color w:val="auto"/>
        </w:rPr>
      </w:pPr>
    </w:p>
    <w:p>
      <w:pPr>
        <w:ind w:left="300" w:hanging="292"/>
        <w:spacing w:after="0"/>
        <w:tabs>
          <w:tab w:leader="none" w:pos="30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AbbVie Inc.;</w:t>
      </w:r>
    </w:p>
    <w:p>
      <w:pPr>
        <w:spacing w:after="0" w:line="244" w:lineRule="exact"/>
        <w:rPr>
          <w:rFonts w:ascii="Calibri" w:cs="Calibri" w:eastAsia="Calibri" w:hAnsi="Calibri"/>
          <w:sz w:val="18"/>
          <w:szCs w:val="18"/>
          <w:color w:val="auto"/>
        </w:rPr>
      </w:pPr>
    </w:p>
    <w:p>
      <w:pPr>
        <w:ind w:left="660" w:right="140" w:hanging="652"/>
        <w:spacing w:after="0" w:line="235" w:lineRule="auto"/>
        <w:tabs>
          <w:tab w:leader="none" w:pos="304"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5" w:lineRule="exact"/>
        <w:rPr>
          <w:rFonts w:ascii="Calibri" w:cs="Calibri" w:eastAsia="Calibri" w:hAnsi="Calibri"/>
          <w:sz w:val="18"/>
          <w:szCs w:val="18"/>
          <w:color w:val="auto"/>
        </w:rPr>
      </w:pPr>
    </w:p>
    <w:p>
      <w:pPr>
        <w:ind w:left="660" w:right="560" w:hanging="652"/>
        <w:spacing w:after="0" w:line="235" w:lineRule="auto"/>
        <w:tabs>
          <w:tab w:leader="none" w:pos="304"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44" w:lineRule="exact"/>
        <w:rPr>
          <w:rFonts w:ascii="Calibri" w:cs="Calibri" w:eastAsia="Calibri" w:hAnsi="Calibri"/>
          <w:sz w:val="18"/>
          <w:szCs w:val="18"/>
          <w:color w:val="auto"/>
        </w:rPr>
      </w:pPr>
    </w:p>
    <w:p>
      <w:pPr>
        <w:ind w:left="660" w:right="260" w:hanging="652"/>
        <w:spacing w:after="0" w:line="235" w:lineRule="auto"/>
        <w:tabs>
          <w:tab w:leader="none" w:pos="304"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45" w:lineRule="exact"/>
        <w:rPr>
          <w:rFonts w:ascii="Calibri" w:cs="Calibri" w:eastAsia="Calibri" w:hAnsi="Calibri"/>
          <w:sz w:val="18"/>
          <w:szCs w:val="18"/>
          <w:color w:val="auto"/>
        </w:rPr>
      </w:pPr>
    </w:p>
    <w:p>
      <w:pPr>
        <w:ind w:left="980" w:right="40" w:hanging="324"/>
        <w:spacing w:after="0" w:line="235" w:lineRule="auto"/>
        <w:tabs>
          <w:tab w:leader="none" w:pos="952"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45" w:lineRule="exact"/>
        <w:rPr>
          <w:rFonts w:ascii="Calibri" w:cs="Calibri" w:eastAsia="Calibri" w:hAnsi="Calibri"/>
          <w:sz w:val="18"/>
          <w:szCs w:val="18"/>
          <w:color w:val="auto"/>
        </w:rPr>
      </w:pPr>
    </w:p>
    <w:p>
      <w:pPr>
        <w:ind w:left="980" w:right="460" w:hanging="324"/>
        <w:spacing w:after="0" w:line="235" w:lineRule="auto"/>
        <w:tabs>
          <w:tab w:leader="none" w:pos="96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45" w:lineRule="exact"/>
        <w:rPr>
          <w:rFonts w:ascii="Calibri" w:cs="Calibri" w:eastAsia="Calibri" w:hAnsi="Calibri"/>
          <w:sz w:val="18"/>
          <w:szCs w:val="18"/>
          <w:color w:val="auto"/>
        </w:rPr>
      </w:pPr>
    </w:p>
    <w:p>
      <w:pPr>
        <w:ind w:left="980" w:right="120" w:hanging="324"/>
        <w:spacing w:after="0" w:line="235" w:lineRule="auto"/>
        <w:tabs>
          <w:tab w:leader="none" w:pos="942"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44" w:lineRule="exact"/>
        <w:rPr>
          <w:rFonts w:ascii="Calibri" w:cs="Calibri" w:eastAsia="Calibri" w:hAnsi="Calibri"/>
          <w:sz w:val="18"/>
          <w:szCs w:val="18"/>
          <w:color w:val="auto"/>
        </w:rPr>
      </w:pPr>
    </w:p>
    <w:p>
      <w:pPr>
        <w:ind w:left="980" w:right="100" w:hanging="324"/>
        <w:spacing w:after="0" w:line="235" w:lineRule="auto"/>
        <w:tabs>
          <w:tab w:leader="none" w:pos="96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44" w:lineRule="exact"/>
        <w:rPr>
          <w:rFonts w:ascii="Calibri" w:cs="Calibri" w:eastAsia="Calibri" w:hAnsi="Calibri"/>
          <w:sz w:val="18"/>
          <w:szCs w:val="18"/>
          <w:color w:val="auto"/>
        </w:rPr>
      </w:pPr>
    </w:p>
    <w:p>
      <w:pPr>
        <w:ind w:left="660" w:right="600" w:hanging="652"/>
        <w:spacing w:after="0" w:line="235" w:lineRule="auto"/>
        <w:tabs>
          <w:tab w:leader="none" w:pos="304"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have disclosed, based on our most recent evaluaton of internal control over fnancial reportng, to AbbVie’s auditors and the audit commitee of AbbVie’s board of directors:</w:t>
      </w:r>
    </w:p>
    <w:p>
      <w:pPr>
        <w:spacing w:after="0" w:line="244" w:lineRule="exact"/>
        <w:rPr>
          <w:rFonts w:ascii="Calibri" w:cs="Calibri" w:eastAsia="Calibri" w:hAnsi="Calibri"/>
          <w:sz w:val="18"/>
          <w:szCs w:val="18"/>
          <w:color w:val="auto"/>
        </w:rPr>
      </w:pPr>
    </w:p>
    <w:p>
      <w:pPr>
        <w:ind w:left="980" w:right="180" w:hanging="324"/>
        <w:spacing w:after="0" w:line="235" w:lineRule="auto"/>
        <w:tabs>
          <w:tab w:leader="none" w:pos="952"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44" w:lineRule="exact"/>
        <w:rPr>
          <w:rFonts w:ascii="Calibri" w:cs="Calibri" w:eastAsia="Calibri" w:hAnsi="Calibri"/>
          <w:sz w:val="18"/>
          <w:szCs w:val="18"/>
          <w:color w:val="auto"/>
        </w:rPr>
      </w:pPr>
    </w:p>
    <w:p>
      <w:pPr>
        <w:ind w:left="980" w:right="120" w:hanging="324"/>
        <w:spacing w:after="0" w:line="235" w:lineRule="auto"/>
        <w:tabs>
          <w:tab w:leader="none" w:pos="96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AbbVie’s internal control over fnancial reportng.</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320" w:type="dxa"/>
            <w:vAlign w:val="bottom"/>
          </w:tcPr>
          <w:p>
            <w:pPr>
              <w:spacing w:after="0"/>
              <w:rPr>
                <w:sz w:val="20"/>
                <w:szCs w:val="20"/>
                <w:color w:val="auto"/>
              </w:rPr>
            </w:pPr>
            <w:r>
              <w:rPr>
                <w:rFonts w:ascii="Calibri" w:cs="Calibri" w:eastAsia="Calibri" w:hAnsi="Calibri"/>
                <w:sz w:val="18"/>
                <w:szCs w:val="18"/>
                <w:color w:val="auto"/>
              </w:rPr>
              <w:t>Date:   August 4, 2022</w:t>
            </w:r>
          </w:p>
        </w:tc>
        <w:tc>
          <w:tcPr>
            <w:tcW w:w="4720" w:type="dxa"/>
            <w:vAlign w:val="bottom"/>
          </w:tcPr>
          <w:p>
            <w:pPr>
              <w:ind w:left="20"/>
              <w:spacing w:after="0"/>
              <w:rPr>
                <w:sz w:val="20"/>
                <w:szCs w:val="20"/>
                <w:color w:val="auto"/>
              </w:rPr>
            </w:pPr>
            <w:r>
              <w:rPr>
                <w:rFonts w:ascii="Calibri" w:cs="Calibri" w:eastAsia="Calibri" w:hAnsi="Calibri"/>
                <w:sz w:val="18"/>
                <w:szCs w:val="18"/>
                <w:color w:val="auto"/>
              </w:rPr>
              <w:t>/s/ Scot T. Reents</w:t>
            </w:r>
          </w:p>
        </w:tc>
      </w:tr>
      <w:tr>
        <w:trPr>
          <w:trHeight w:val="23"/>
        </w:trPr>
        <w:tc>
          <w:tcPr>
            <w:tcW w:w="53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08"/>
        </w:trPr>
        <w:tc>
          <w:tcPr>
            <w:tcW w:w="5320" w:type="dxa"/>
            <w:vAlign w:val="bottom"/>
          </w:tcPr>
          <w:p>
            <w:pPr>
              <w:spacing w:after="0"/>
              <w:rPr>
                <w:sz w:val="18"/>
                <w:szCs w:val="18"/>
                <w:color w:val="auto"/>
              </w:rPr>
            </w:pPr>
          </w:p>
        </w:tc>
        <w:tc>
          <w:tcPr>
            <w:tcW w:w="4720" w:type="dxa"/>
            <w:vAlign w:val="bottom"/>
          </w:tcPr>
          <w:p>
            <w:pPr>
              <w:ind w:left="20"/>
              <w:spacing w:after="0" w:line="208" w:lineRule="exact"/>
              <w:rPr>
                <w:sz w:val="20"/>
                <w:szCs w:val="20"/>
                <w:color w:val="auto"/>
              </w:rPr>
            </w:pPr>
            <w:r>
              <w:rPr>
                <w:rFonts w:ascii="Calibri" w:cs="Calibri" w:eastAsia="Calibri" w:hAnsi="Calibri"/>
                <w:sz w:val="18"/>
                <w:szCs w:val="18"/>
                <w:color w:val="auto"/>
              </w:rPr>
              <w:t>Scot T. Reents, Senior Vice President,</w:t>
            </w:r>
          </w:p>
        </w:tc>
      </w:tr>
      <w:tr>
        <w:trPr>
          <w:trHeight w:val="221"/>
        </w:trPr>
        <w:tc>
          <w:tcPr>
            <w:tcW w:w="5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Calibri" w:cs="Calibri" w:eastAsia="Calibri" w:hAnsi="Calibri"/>
                <w:sz w:val="18"/>
                <w:szCs w:val="18"/>
                <w:color w:val="auto"/>
              </w:rPr>
              <w:t>Chief Financial Ofcer</w:t>
            </w:r>
          </w:p>
        </w:tc>
      </w:tr>
    </w:tbl>
    <w:p>
      <w:pPr>
        <w:sectPr>
          <w:pgSz w:w="11900" w:h="16838" w:orient="portrait"/>
          <w:cols w:equalWidth="0" w:num="1">
            <w:col w:w="11240"/>
          </w:cols>
          <w:pgMar w:left="320" w:top="882"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Secton 906 of the Sarbanes-Oxley Act of 2002</w:t>
      </w:r>
    </w:p>
    <w:p>
      <w:pPr>
        <w:spacing w:after="0" w:line="245" w:lineRule="exact"/>
        <w:rPr>
          <w:sz w:val="20"/>
          <w:szCs w:val="20"/>
          <w:color w:val="auto"/>
        </w:rPr>
      </w:pPr>
    </w:p>
    <w:p>
      <w:pPr>
        <w:ind w:right="60"/>
        <w:spacing w:after="0" w:line="249" w:lineRule="auto"/>
        <w:rPr>
          <w:sz w:val="20"/>
          <w:szCs w:val="20"/>
          <w:color w:val="auto"/>
        </w:rPr>
      </w:pPr>
      <w:r>
        <w:rPr>
          <w:rFonts w:ascii="Calibri" w:cs="Calibri" w:eastAsia="Calibri" w:hAnsi="Calibri"/>
          <w:sz w:val="17"/>
          <w:szCs w:val="17"/>
          <w:color w:val="auto"/>
        </w:rPr>
        <w:t>In connecton with the Quarterly Report of AbbVie Inc. (the “Company”) on Form 10-Q for the period ended June 30, 2022 as fled with the Securites and Exchange Commission (the “Report”), I, Richard A. Gonzalez, Chairman of the Board and Chief Executve Ofcer of the Company, certfy, pursuant to 18 U.S.C.</w:t>
      </w:r>
    </w:p>
    <w:p>
      <w:pPr>
        <w:ind w:left="140" w:hanging="132"/>
        <w:spacing w:after="0" w:line="236" w:lineRule="auto"/>
        <w:tabs>
          <w:tab w:leader="none" w:pos="1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1350, as adopted pursuant to § 906 of the Sarbanes-Oxley Act of 2002, that:</w:t>
      </w:r>
    </w:p>
    <w:p>
      <w:pPr>
        <w:spacing w:after="0" w:line="239" w:lineRule="exact"/>
        <w:rPr>
          <w:rFonts w:ascii="Calibri" w:cs="Calibri" w:eastAsia="Calibri" w:hAnsi="Calibri"/>
          <w:sz w:val="18"/>
          <w:szCs w:val="18"/>
          <w:color w:val="auto"/>
        </w:rPr>
      </w:pPr>
    </w:p>
    <w:p>
      <w:pPr>
        <w:ind w:left="680" w:hanging="348"/>
        <w:spacing w:after="0"/>
        <w:tabs>
          <w:tab w:leader="none" w:pos="680" w:val="left"/>
        </w:tabs>
        <w:numPr>
          <w:ilvl w:val="1"/>
          <w:numId w:val="40"/>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9" w:lineRule="exact"/>
        <w:rPr>
          <w:rFonts w:ascii="Calibri" w:cs="Calibri" w:eastAsia="Calibri" w:hAnsi="Calibri"/>
          <w:sz w:val="18"/>
          <w:szCs w:val="18"/>
          <w:color w:val="auto"/>
        </w:rPr>
      </w:pPr>
    </w:p>
    <w:p>
      <w:pPr>
        <w:ind w:left="680" w:hanging="348"/>
        <w:spacing w:after="0"/>
        <w:tabs>
          <w:tab w:leader="none" w:pos="680" w:val="left"/>
        </w:tabs>
        <w:numPr>
          <w:ilvl w:val="1"/>
          <w:numId w:val="40"/>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37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Richard A. Gonzalez</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Chairman of the Board and Chief Executve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August 4, 2022</w:t>
      </w:r>
    </w:p>
    <w:p>
      <w:pPr>
        <w:spacing w:after="0" w:line="200" w:lineRule="exact"/>
        <w:rPr>
          <w:sz w:val="20"/>
          <w:szCs w:val="20"/>
          <w:color w:val="auto"/>
        </w:rPr>
      </w:pPr>
    </w:p>
    <w:p>
      <w:pPr>
        <w:spacing w:after="0" w:line="36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AbbVie Inc. and will be retained by AbbVie Inc. and furnished to the Securites and Exchange Commission or its staf upon request.</w:t>
      </w:r>
    </w:p>
    <w:p>
      <w:pPr>
        <w:sectPr>
          <w:pgSz w:w="11900" w:h="16838" w:orient="portrait"/>
          <w:cols w:equalWidth="0" w:num="1">
            <w:col w:w="11240"/>
          </w:cols>
          <w:pgMar w:left="320" w:top="882"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Secton 906 of the Sarbanes-Oxley Act of 2002</w:t>
      </w:r>
    </w:p>
    <w:p>
      <w:pPr>
        <w:spacing w:after="0" w:line="245"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connecton with the Quarterly Report of AbbVie Inc. (the “Company”) on Form 10-Q for the period ended June 30, 2022 as fled with the Securites and Exchange Commission (the “Report”), I, Scot T. Reents, Senior Vice President, Chief Financial Ofcer of the Company, certfy, pursuant to 18 U.S.C. § 1350, as adopted pursuant to § 906 of the Sarbanes-Oxley Act of 2002, that:</w:t>
      </w:r>
    </w:p>
    <w:p>
      <w:pPr>
        <w:spacing w:after="0" w:line="241" w:lineRule="exact"/>
        <w:rPr>
          <w:sz w:val="20"/>
          <w:szCs w:val="20"/>
          <w:color w:val="auto"/>
        </w:rPr>
      </w:pPr>
    </w:p>
    <w:p>
      <w:pPr>
        <w:ind w:left="680" w:hanging="348"/>
        <w:spacing w:after="0"/>
        <w:tabs>
          <w:tab w:leader="none" w:pos="6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9" w:lineRule="exact"/>
        <w:rPr>
          <w:rFonts w:ascii="Calibri" w:cs="Calibri" w:eastAsia="Calibri" w:hAnsi="Calibri"/>
          <w:sz w:val="18"/>
          <w:szCs w:val="18"/>
          <w:color w:val="auto"/>
        </w:rPr>
      </w:pPr>
    </w:p>
    <w:p>
      <w:pPr>
        <w:ind w:left="680" w:hanging="348"/>
        <w:spacing w:after="0"/>
        <w:tabs>
          <w:tab w:leader="none" w:pos="6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37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 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Scot T. Reents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Senior Vice President, Chief Financial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August 4, 2022</w:t>
      </w:r>
    </w:p>
    <w:p>
      <w:pPr>
        <w:spacing w:after="0" w:line="200" w:lineRule="exact"/>
        <w:rPr>
          <w:sz w:val="20"/>
          <w:szCs w:val="20"/>
          <w:color w:val="auto"/>
        </w:rPr>
      </w:pPr>
    </w:p>
    <w:p>
      <w:pPr>
        <w:spacing w:after="0" w:line="36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AbbVie Inc. and will be retained by AbbVie Inc. and furnished to the Securites and Exchange Commission or its staf upon request.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Roman"/>
      <w:start w:val="3"/>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3"/>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01"/>
    </w:lvl>
  </w:abstractNum>
  <w:abstractNum w:abstractNumId="21">
    <w:nsid w:val="737B8DDC"/>
    <w:multiLevelType w:val="hybridMultilevel"/>
    <w:lvl w:ilvl="0">
      <w:lvlJc w:val="left"/>
      <w:lvlText w:val="%1"/>
      <w:numFmt w:val="decimal"/>
      <w:start w:val="104"/>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Roman"/>
      <w:start w:val="4"/>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lowerLetter"/>
      <w:start w:val="1"/>
    </w:lvl>
    <w:lvl w:ilvl="1">
      <w:lvlJc w:val="left"/>
      <w:lvlText w:val="(%2)"/>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lvl w:ilvl="1">
      <w:lvlJc w:val="left"/>
      <w:lvlText w:val="(%2)"/>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2022-08-04T15:01:41Z</dcterms:created>
  <dcterms:modified xsi:type="dcterms:W3CDTF">2022-08-04T15:01:41Z</dcterms:modified>
</cp:coreProperties>
</file>