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678815</wp:posOffset>
            </wp:positionH>
            <wp:positionV relativeFrom="page">
              <wp:posOffset>721995</wp:posOffset>
            </wp:positionV>
            <wp:extent cx="67252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5285" cy="6985"/>
                    </a:xfrm>
                    <a:prstGeom prst="rect">
                      <a:avLst/>
                    </a:prstGeom>
                    <a:noFill/>
                  </pic:spPr>
                </pic:pic>
              </a:graphicData>
            </a:graphic>
          </wp:anchor>
        </w:drawing>
        <w:drawing>
          <wp:anchor simplePos="0" relativeHeight="251657728" behindDoc="1" locked="0" layoutInCell="0" allowOverlap="1">
            <wp:simplePos x="0" y="0"/>
            <wp:positionH relativeFrom="page">
              <wp:posOffset>678815</wp:posOffset>
            </wp:positionH>
            <wp:positionV relativeFrom="page">
              <wp:posOffset>688340</wp:posOffset>
            </wp:positionV>
            <wp:extent cx="672528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5285" cy="1333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28" w:lineRule="exact"/>
        <w:rPr>
          <w:sz w:val="24"/>
          <w:szCs w:val="24"/>
          <w:color w:val="auto"/>
        </w:rPr>
      </w:pPr>
    </w:p>
    <w:p>
      <w:pPr>
        <w:ind w:left="300" w:hanging="295"/>
        <w:spacing w:after="0"/>
        <w:tabs>
          <w:tab w:leader="none" w:pos="300" w:val="left"/>
        </w:tabs>
        <w:numPr>
          <w:ilvl w:val="0"/>
          <w:numId w:val="1"/>
        </w:numPr>
        <w:rPr>
          <w:rFonts w:ascii="MS PGothic" w:cs="MS PGothic" w:eastAsia="MS PGothic" w:hAnsi="MS PGothic"/>
          <w:sz w:val="15"/>
          <w:szCs w:val="15"/>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2023</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0"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5"/>
          <w:szCs w:val="15"/>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20"/>
                <w:szCs w:val="20"/>
                <w:color w:val="auto"/>
              </w:rPr>
            </w:pPr>
            <w:r>
              <w:rPr>
                <w:rFonts w:ascii="Arial" w:cs="Arial" w:eastAsia="Arial" w:hAnsi="Arial"/>
                <w:sz w:val="16"/>
                <w:szCs w:val="16"/>
                <w:color w:val="auto"/>
                <w:w w:val="94"/>
              </w:rPr>
              <w:t>For the transiton period from</w:t>
            </w:r>
          </w:p>
        </w:tc>
        <w:tc>
          <w:tcPr>
            <w:tcW w:w="1200" w:type="dxa"/>
            <w:vAlign w:val="bottom"/>
          </w:tcPr>
          <w:p>
            <w:pPr>
              <w:spacing w:after="0"/>
              <w:rPr>
                <w:sz w:val="16"/>
                <w:szCs w:val="16"/>
                <w:color w:val="auto"/>
              </w:rPr>
            </w:pPr>
          </w:p>
        </w:tc>
        <w:tc>
          <w:tcPr>
            <w:tcW w:w="3500" w:type="dxa"/>
            <w:vAlign w:val="bottom"/>
            <w:gridSpan w:val="3"/>
          </w:tcPr>
          <w:p>
            <w:pPr>
              <w:ind w:left="40"/>
              <w:spacing w:after="0"/>
              <w:rPr>
                <w:sz w:val="20"/>
                <w:szCs w:val="20"/>
                <w:color w:val="auto"/>
              </w:rPr>
            </w:pPr>
            <w:r>
              <w:rPr>
                <w:rFonts w:ascii="Arial" w:cs="Arial" w:eastAsia="Arial" w:hAnsi="Arial"/>
                <w:sz w:val="16"/>
                <w:szCs w:val="16"/>
                <w:color w:val="auto"/>
              </w:rPr>
              <w:t>to</w:t>
            </w:r>
          </w:p>
        </w:tc>
      </w:tr>
      <w:tr>
        <w:trPr>
          <w:trHeight w:val="205"/>
        </w:trPr>
        <w:tc>
          <w:tcPr>
            <w:tcW w:w="19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100" w:type="dxa"/>
            <w:vAlign w:val="bottom"/>
          </w:tcPr>
          <w:p>
            <w:pPr>
              <w:ind w:left="160"/>
              <w:spacing w:after="0"/>
              <w:rPr>
                <w:sz w:val="20"/>
                <w:szCs w:val="20"/>
                <w:color w:val="auto"/>
              </w:rPr>
            </w:pPr>
            <w:r>
              <w:rPr>
                <w:rFonts w:ascii="Arial" w:cs="Arial" w:eastAsia="Arial" w:hAnsi="Arial"/>
                <w:sz w:val="13"/>
                <w:szCs w:val="13"/>
                <w:b w:val="1"/>
                <w:bCs w:val="1"/>
                <w:color w:val="auto"/>
                <w:w w:val="84"/>
              </w:rPr>
              <w:t>Commission File Number: 001-35565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5080</wp:posOffset>
            </wp:positionV>
            <wp:extent cx="110490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4900" cy="188595"/>
                    </a:xfrm>
                    <a:prstGeom prst="rect">
                      <a:avLst/>
                    </a:prstGeom>
                    <a:noFill/>
                  </pic:spPr>
                </pic:pic>
              </a:graphicData>
            </a:graphic>
          </wp:anchor>
        </w:drawing>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AbbVie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specifed in its charter)</w:t>
      </w:r>
    </w:p>
    <w:p>
      <w:pPr>
        <w:sectPr>
          <w:pgSz w:w="11900" w:h="16838" w:orient="portrait"/>
          <w:cols w:equalWidth="0" w:num="1">
            <w:col w:w="11280"/>
          </w:cols>
          <w:pgMar w:left="300" w:top="1172" w:right="319" w:bottom="1440" w:gutter="0" w:footer="0" w:header="0"/>
        </w:sectPr>
      </w:pPr>
    </w:p>
    <w:p>
      <w:pPr>
        <w:spacing w:after="0" w:line="31" w:lineRule="exact"/>
        <w:rPr>
          <w:sz w:val="24"/>
          <w:szCs w:val="24"/>
          <w:color w:val="auto"/>
        </w:rPr>
      </w:pPr>
    </w:p>
    <w:p>
      <w:pPr>
        <w:ind w:left="2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32-0375147</w:t>
      </w:r>
    </w:p>
    <w:p>
      <w:pPr>
        <w:spacing w:after="0" w:line="46" w:lineRule="exact"/>
        <w:rPr>
          <w:sz w:val="24"/>
          <w:szCs w:val="24"/>
          <w:color w:val="auto"/>
        </w:rPr>
      </w:pPr>
    </w:p>
    <w:p>
      <w:pPr>
        <w:sectPr>
          <w:pgSz w:w="11900" w:h="16838" w:orient="portrait"/>
          <w:cols w:equalWidth="0" w:num="2">
            <w:col w:w="7520" w:space="720"/>
            <w:col w:w="3040"/>
          </w:cols>
          <w:pgMar w:left="300" w:top="1172" w:right="319" w:bottom="1440" w:gutter="0" w:footer="0" w:header="0"/>
          <w:type w:val="continuous"/>
        </w:sectPr>
      </w:pPr>
    </w:p>
    <w:p>
      <w:pPr>
        <w:ind w:left="1400"/>
        <w:spacing w:after="0"/>
        <w:rPr>
          <w:sz w:val="20"/>
          <w:szCs w:val="20"/>
          <w:color w:val="auto"/>
        </w:rPr>
      </w:pPr>
      <w:r>
        <w:rPr>
          <w:rFonts w:ascii="Arial" w:cs="Arial" w:eastAsia="Arial" w:hAnsi="Arial"/>
          <w:sz w:val="10"/>
          <w:szCs w:val="10"/>
          <w:color w:val="auto"/>
        </w:rPr>
        <w:t>(State or other jurisdicton of 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identfcaton number)</w:t>
      </w:r>
    </w:p>
    <w:p>
      <w:pPr>
        <w:spacing w:after="0" w:line="127" w:lineRule="exact"/>
        <w:rPr>
          <w:sz w:val="24"/>
          <w:szCs w:val="24"/>
          <w:color w:val="auto"/>
        </w:rPr>
      </w:pPr>
    </w:p>
    <w:p>
      <w:pPr>
        <w:sectPr>
          <w:pgSz w:w="11900" w:h="16838" w:orient="portrait"/>
          <w:cols w:equalWidth="0" w:num="2">
            <w:col w:w="6920" w:space="720"/>
            <w:col w:w="3640"/>
          </w:cols>
          <w:pgMar w:left="300" w:top="1172" w:right="319" w:bottom="1440" w:gutter="0" w:footer="0" w:header="0"/>
          <w:type w:val="continuous"/>
        </w:sectPr>
      </w:pPr>
    </w:p>
    <w:p>
      <w:pPr>
        <w:jc w:val="center"/>
        <w:spacing w:after="0"/>
        <w:rPr>
          <w:sz w:val="20"/>
          <w:szCs w:val="20"/>
          <w:color w:val="auto"/>
        </w:rPr>
      </w:pPr>
      <w:r>
        <w:rPr>
          <w:rFonts w:ascii="Arial" w:cs="Arial" w:eastAsia="Arial" w:hAnsi="Arial"/>
          <w:sz w:val="11"/>
          <w:szCs w:val="11"/>
          <w:b w:val="1"/>
          <w:bCs w:val="1"/>
          <w:color w:val="auto"/>
        </w:rPr>
        <w:t>1 North Waukegan Road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North Chicago, Illinois 60064-6400</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 xml:space="preserve">Telephone: </w:t>
      </w:r>
      <w:r>
        <w:rPr>
          <w:rFonts w:ascii="Arial" w:cs="Arial" w:eastAsia="Arial" w:hAnsi="Arial"/>
          <w:sz w:val="11"/>
          <w:szCs w:val="11"/>
          <w:b w:val="1"/>
          <w:bCs w:val="1"/>
          <w:color w:val="auto"/>
        </w:rPr>
        <w:t>(847) 932-7900</w:t>
      </w:r>
    </w:p>
    <w:p>
      <w:pPr>
        <w:sectPr>
          <w:pgSz w:w="11900" w:h="16838" w:orient="portrait"/>
          <w:cols w:equalWidth="0" w:num="1">
            <w:col w:w="11280"/>
          </w:cols>
          <w:pgMar w:left="300" w:top="1172" w:right="319" w:bottom="1440" w:gutter="0" w:footer="0" w:header="0"/>
          <w:type w:val="continuous"/>
        </w:sectPr>
      </w:pPr>
    </w:p>
    <w:p>
      <w:pPr>
        <w:spacing w:after="0" w:line="73"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560"/>
        <w:spacing w:after="0" w:line="254" w:lineRule="auto"/>
        <w:rPr>
          <w:sz w:val="20"/>
          <w:szCs w:val="20"/>
          <w:color w:val="auto"/>
        </w:rPr>
      </w:pPr>
      <w:r>
        <w:rPr>
          <w:rFonts w:ascii="Arial" w:cs="Arial" w:eastAsia="Arial" w:hAnsi="Arial"/>
          <w:sz w:val="13"/>
          <w:szCs w:val="13"/>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73" w:lineRule="exact"/>
        <w:rPr>
          <w:sz w:val="24"/>
          <w:szCs w:val="24"/>
          <w:color w:val="auto"/>
        </w:rPr>
      </w:pPr>
    </w:p>
    <w:tbl>
      <w:tblPr>
        <w:tblLayout w:type="fixed"/>
        <w:tblInd w:w="2340" w:type="dxa"/>
        <w:tblCellMar>
          <w:top w:w="0" w:type="dxa"/>
          <w:left w:w="0" w:type="dxa"/>
          <w:bottom w:w="0" w:type="dxa"/>
          <w:right w:w="0" w:type="dxa"/>
        </w:tblCellMar>
      </w:tblPr>
      <w:tr>
        <w:trPr>
          <w:trHeight w:val="180"/>
        </w:trPr>
        <w:tc>
          <w:tcPr>
            <w:tcW w:w="3680" w:type="dxa"/>
            <w:vAlign w:val="bottom"/>
          </w:tcPr>
          <w:p>
            <w:pPr>
              <w:jc w:val="right"/>
              <w:ind w:right="2296"/>
              <w:spacing w:after="0" w:line="161" w:lineRule="exact"/>
              <w:rPr>
                <w:sz w:val="20"/>
                <w:szCs w:val="20"/>
                <w:color w:val="auto"/>
              </w:rPr>
            </w:pPr>
            <w:r>
              <w:rPr>
                <w:rFonts w:ascii="Arial" w:cs="Arial" w:eastAsia="Arial" w:hAnsi="Arial"/>
                <w:sz w:val="13"/>
                <w:szCs w:val="13"/>
                <w:color w:val="auto"/>
                <w:w w:val="85"/>
              </w:rPr>
              <w:t xml:space="preserve">Large Accelerated Filer </w:t>
            </w:r>
            <w:r>
              <w:rPr>
                <w:rFonts w:ascii="MS PGothic" w:cs="MS PGothic" w:eastAsia="MS PGothic" w:hAnsi="MS PGothic"/>
                <w:sz w:val="14"/>
                <w:szCs w:val="14"/>
                <w:color w:val="auto"/>
                <w:w w:val="85"/>
              </w:rPr>
              <w:t>☒</w:t>
            </w:r>
          </w:p>
        </w:tc>
        <w:tc>
          <w:tcPr>
            <w:tcW w:w="3920" w:type="dxa"/>
            <w:vAlign w:val="bottom"/>
          </w:tcPr>
          <w:p>
            <w:pPr>
              <w:jc w:val="right"/>
              <w:spacing w:after="0" w:line="16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4"/>
                <w:szCs w:val="14"/>
                <w:color w:val="auto"/>
              </w:rPr>
              <w:t>☐</w:t>
            </w:r>
          </w:p>
        </w:tc>
      </w:tr>
      <w:tr>
        <w:trPr>
          <w:trHeight w:val="180"/>
        </w:trPr>
        <w:tc>
          <w:tcPr>
            <w:tcW w:w="3680" w:type="dxa"/>
            <w:vAlign w:val="bottom"/>
          </w:tcPr>
          <w:p>
            <w:pPr>
              <w:jc w:val="right"/>
              <w:ind w:right="2296"/>
              <w:spacing w:after="0" w:line="161" w:lineRule="exact"/>
              <w:rPr>
                <w:sz w:val="20"/>
                <w:szCs w:val="20"/>
                <w:color w:val="auto"/>
              </w:rPr>
            </w:pPr>
            <w:r>
              <w:rPr>
                <w:rFonts w:ascii="Arial" w:cs="Arial" w:eastAsia="Arial" w:hAnsi="Arial"/>
                <w:sz w:val="13"/>
                <w:szCs w:val="13"/>
                <w:color w:val="auto"/>
                <w:w w:val="90"/>
              </w:rPr>
              <w:t xml:space="preserve">Non-Accelerated Filer </w:t>
            </w:r>
            <w:r>
              <w:rPr>
                <w:rFonts w:ascii="MS PGothic" w:cs="MS PGothic" w:eastAsia="MS PGothic" w:hAnsi="MS PGothic"/>
                <w:sz w:val="14"/>
                <w:szCs w:val="14"/>
                <w:color w:val="auto"/>
                <w:w w:val="90"/>
              </w:rPr>
              <w:t>☐</w:t>
            </w:r>
          </w:p>
        </w:tc>
        <w:tc>
          <w:tcPr>
            <w:tcW w:w="3920" w:type="dxa"/>
            <w:vAlign w:val="bottom"/>
          </w:tcPr>
          <w:p>
            <w:pPr>
              <w:jc w:val="right"/>
              <w:spacing w:after="0" w:line="161" w:lineRule="exact"/>
              <w:rPr>
                <w:sz w:val="20"/>
                <w:szCs w:val="20"/>
                <w:color w:val="auto"/>
              </w:rPr>
            </w:pPr>
            <w:r>
              <w:rPr>
                <w:rFonts w:ascii="Arial" w:cs="Arial" w:eastAsia="Arial" w:hAnsi="Arial"/>
                <w:sz w:val="13"/>
                <w:szCs w:val="13"/>
                <w:color w:val="auto"/>
              </w:rPr>
              <w:t xml:space="preserve">Smaller reportng company </w:t>
            </w:r>
            <w:r>
              <w:rPr>
                <w:rFonts w:ascii="MS PGothic" w:cs="MS PGothic" w:eastAsia="MS PGothic" w:hAnsi="MS PGothic"/>
                <w:sz w:val="14"/>
                <w:szCs w:val="14"/>
                <w:color w:val="auto"/>
              </w:rPr>
              <w:t>☐</w:t>
            </w:r>
          </w:p>
        </w:tc>
      </w:tr>
      <w:tr>
        <w:trPr>
          <w:trHeight w:val="237"/>
        </w:trPr>
        <w:tc>
          <w:tcPr>
            <w:tcW w:w="3680" w:type="dxa"/>
            <w:vAlign w:val="bottom"/>
          </w:tcPr>
          <w:p>
            <w:pPr>
              <w:spacing w:after="0"/>
              <w:rPr>
                <w:sz w:val="20"/>
                <w:szCs w:val="20"/>
                <w:color w:val="auto"/>
              </w:rPr>
            </w:pPr>
          </w:p>
        </w:tc>
        <w:tc>
          <w:tcPr>
            <w:tcW w:w="3920" w:type="dxa"/>
            <w:vAlign w:val="bottom"/>
          </w:tcPr>
          <w:p>
            <w:pPr>
              <w:jc w:val="right"/>
              <w:spacing w:after="0" w:line="161"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4"/>
                <w:szCs w:val="14"/>
                <w:color w:val="auto"/>
              </w:rPr>
              <w:t>☐</w:t>
            </w:r>
          </w:p>
        </w:tc>
      </w:tr>
    </w:tbl>
    <w:p>
      <w:pPr>
        <w:spacing w:after="0" w:line="63" w:lineRule="exact"/>
        <w:rPr>
          <w:sz w:val="24"/>
          <w:szCs w:val="24"/>
          <w:color w:val="auto"/>
        </w:rPr>
      </w:pPr>
    </w:p>
    <w:p>
      <w:pPr>
        <w:ind w:right="100"/>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3"/>
          <w:szCs w:val="13"/>
          <w:color w:val="auto"/>
        </w:rPr>
        <w:t>☐</w:t>
      </w:r>
    </w:p>
    <w:p>
      <w:pPr>
        <w:spacing w:after="0" w:line="150" w:lineRule="exact"/>
        <w:tabs>
          <w:tab w:leader="none" w:pos="5980" w:val="left"/>
        </w:tabs>
        <w:rPr>
          <w:sz w:val="20"/>
          <w:szCs w:val="20"/>
          <w:color w:val="auto"/>
        </w:rPr>
      </w:pPr>
      <w:r>
        <w:rPr>
          <w:rFonts w:ascii="Arial" w:cs="Arial" w:eastAsia="Arial" w:hAnsi="Arial"/>
          <w:sz w:val="13"/>
          <w:szCs w:val="13"/>
          <w:color w:val="auto"/>
        </w:rPr>
        <w:t>Indicate by check mark whether the registrant is a shell company (as defned in Rule 12b-2 of the Exchange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1"/>
          <w:szCs w:val="11"/>
          <w:color w:val="auto"/>
        </w:rPr>
        <w:t>☐</w:t>
      </w:r>
      <w:r>
        <w:rPr>
          <w:rFonts w:ascii="Arial" w:cs="Arial" w:eastAsia="Arial" w:hAnsi="Arial"/>
          <w:sz w:val="10"/>
          <w:szCs w:val="10"/>
          <w:color w:val="auto"/>
        </w:rPr>
        <w:t xml:space="preserve"> No </w:t>
      </w:r>
      <w:r>
        <w:rPr>
          <w:rFonts w:ascii="MS PGothic" w:cs="MS PGothic" w:eastAsia="MS PGothic" w:hAnsi="MS PGothic"/>
          <w:sz w:val="11"/>
          <w:szCs w:val="11"/>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Securites registered pursuant to Secton 12(b) of the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4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6"/>
              </w:rPr>
              <w:t>Title of each class</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6"/>
              </w:rPr>
              <w:t>Trading Symbol(s)</w:t>
            </w:r>
          </w:p>
        </w:tc>
        <w:tc>
          <w:tcPr>
            <w:tcW w:w="4260" w:type="dxa"/>
            <w:vAlign w:val="bottom"/>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c>
          <w:tcPr>
            <w:tcW w:w="0" w:type="dxa"/>
            <w:vAlign w:val="bottom"/>
          </w:tcPr>
          <w:p>
            <w:pPr>
              <w:spacing w:after="0"/>
              <w:rPr>
                <w:sz w:val="1"/>
                <w:szCs w:val="1"/>
                <w:color w:val="auto"/>
              </w:rPr>
            </w:pPr>
          </w:p>
        </w:tc>
      </w:tr>
      <w:tr>
        <w:trPr>
          <w:trHeight w:val="34"/>
        </w:trPr>
        <w:tc>
          <w:tcPr>
            <w:tcW w:w="4060" w:type="dxa"/>
            <w:vAlign w:val="bottom"/>
            <w:tcBorders>
              <w:bottom w:val="single" w:sz="8" w:color="auto"/>
            </w:tcBorders>
          </w:tcPr>
          <w:p>
            <w:pPr>
              <w:spacing w:after="0"/>
              <w:rPr>
                <w:sz w:val="2"/>
                <w:szCs w:val="2"/>
                <w:color w:val="auto"/>
              </w:rPr>
            </w:pPr>
          </w:p>
        </w:tc>
        <w:tc>
          <w:tcPr>
            <w:tcW w:w="42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20" w:type="dxa"/>
            <w:vAlign w:val="bottom"/>
            <w:vMerge w:val="restart"/>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jc w:val="center"/>
              <w:spacing w:after="0"/>
              <w:rPr>
                <w:sz w:val="20"/>
                <w:szCs w:val="20"/>
                <w:color w:val="auto"/>
              </w:rPr>
            </w:pPr>
            <w:r>
              <w:rPr>
                <w:rFonts w:ascii="Arial" w:cs="Arial" w:eastAsia="Arial" w:hAnsi="Arial"/>
                <w:sz w:val="11"/>
                <w:szCs w:val="11"/>
                <w:color w:val="auto"/>
                <w:w w:val="91"/>
              </w:rPr>
              <w:t>Common Stock, par value $0.01 per share</w:t>
            </w:r>
          </w:p>
        </w:tc>
        <w:tc>
          <w:tcPr>
            <w:tcW w:w="420" w:type="dxa"/>
            <w:vAlign w:val="bottom"/>
            <w:vMerge w:val="continue"/>
          </w:tcPr>
          <w:p>
            <w:pPr>
              <w:spacing w:after="0"/>
              <w:rPr>
                <w:sz w:val="11"/>
                <w:szCs w:val="11"/>
                <w:color w:val="auto"/>
              </w:rPr>
            </w:pPr>
          </w:p>
        </w:tc>
        <w:tc>
          <w:tcPr>
            <w:tcW w:w="2120" w:type="dxa"/>
            <w:vAlign w:val="bottom"/>
          </w:tcPr>
          <w:p>
            <w:pPr>
              <w:jc w:val="center"/>
              <w:spacing w:after="0"/>
              <w:rPr>
                <w:sz w:val="20"/>
                <w:szCs w:val="20"/>
                <w:color w:val="auto"/>
              </w:rPr>
            </w:pPr>
            <w:r>
              <w:rPr>
                <w:rFonts w:ascii="Arial" w:cs="Arial" w:eastAsia="Arial" w:hAnsi="Arial"/>
                <w:sz w:val="11"/>
                <w:szCs w:val="11"/>
                <w:color w:val="auto"/>
                <w:w w:val="81"/>
              </w:rPr>
              <w:t>ABBV</w:t>
            </w:r>
          </w:p>
        </w:tc>
        <w:tc>
          <w:tcPr>
            <w:tcW w:w="420" w:type="dxa"/>
            <w:vAlign w:val="bottom"/>
            <w:vMerge w:val="continue"/>
          </w:tcPr>
          <w:p>
            <w:pPr>
              <w:spacing w:after="0"/>
              <w:rPr>
                <w:sz w:val="11"/>
                <w:szCs w:val="11"/>
                <w:color w:val="auto"/>
              </w:rPr>
            </w:pP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60" w:type="dxa"/>
            <w:vAlign w:val="bottom"/>
          </w:tcPr>
          <w:p>
            <w:pPr>
              <w:jc w:val="center"/>
              <w:spacing w:after="0"/>
              <w:rPr>
                <w:sz w:val="20"/>
                <w:szCs w:val="20"/>
                <w:color w:val="auto"/>
              </w:rPr>
            </w:pPr>
            <w:r>
              <w:rPr>
                <w:rFonts w:ascii="Arial" w:cs="Arial" w:eastAsia="Arial" w:hAnsi="Arial"/>
                <w:sz w:val="11"/>
                <w:szCs w:val="11"/>
                <w:color w:val="auto"/>
                <w:w w:val="87"/>
              </w:rPr>
              <w:t>Chicago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1.500% Senior Notes due 2023</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9"/>
              </w:rPr>
              <w:t>ABBV23B</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1.375% Senior Notes due 2024</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6"/>
              </w:rPr>
              <w:t>ABBV24</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1.250% Senior Notes due 2024</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9"/>
              </w:rPr>
              <w:t>ABBV24B</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0.750% Senior Notes due 2027</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6"/>
              </w:rPr>
              <w:t>ABBV27</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2.125% Senior Notes due 2028</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6"/>
              </w:rPr>
              <w:t>ABBV28</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2.625% Senior Notes due 2028</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9"/>
              </w:rPr>
              <w:t>ABBV28B</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2.125% Senior Notes due 2029</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6"/>
              </w:rPr>
              <w:t>ABBV29</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159"/>
        </w:trPr>
        <w:tc>
          <w:tcPr>
            <w:tcW w:w="4480" w:type="dxa"/>
            <w:vAlign w:val="bottom"/>
            <w:gridSpan w:val="2"/>
          </w:tcPr>
          <w:p>
            <w:pPr>
              <w:jc w:val="center"/>
              <w:ind w:right="420"/>
              <w:spacing w:after="0"/>
              <w:rPr>
                <w:sz w:val="20"/>
                <w:szCs w:val="20"/>
                <w:color w:val="auto"/>
              </w:rPr>
            </w:pPr>
            <w:r>
              <w:rPr>
                <w:rFonts w:ascii="Arial" w:cs="Arial" w:eastAsia="Arial" w:hAnsi="Arial"/>
                <w:sz w:val="11"/>
                <w:szCs w:val="11"/>
                <w:color w:val="auto"/>
                <w:w w:val="92"/>
              </w:rPr>
              <w:t>1.250% Senior Notes due 2031</w:t>
            </w:r>
          </w:p>
        </w:tc>
        <w:tc>
          <w:tcPr>
            <w:tcW w:w="2540" w:type="dxa"/>
            <w:vAlign w:val="bottom"/>
            <w:gridSpan w:val="2"/>
          </w:tcPr>
          <w:p>
            <w:pPr>
              <w:jc w:val="center"/>
              <w:ind w:right="420"/>
              <w:spacing w:after="0"/>
              <w:rPr>
                <w:sz w:val="20"/>
                <w:szCs w:val="20"/>
                <w:color w:val="auto"/>
              </w:rPr>
            </w:pPr>
            <w:r>
              <w:rPr>
                <w:rFonts w:ascii="Arial" w:cs="Arial" w:eastAsia="Arial" w:hAnsi="Arial"/>
                <w:sz w:val="11"/>
                <w:szCs w:val="11"/>
                <w:color w:val="auto"/>
                <w:w w:val="86"/>
              </w:rPr>
              <w:t>ABBV31</w:t>
            </w:r>
          </w:p>
        </w:tc>
        <w:tc>
          <w:tcPr>
            <w:tcW w:w="4260" w:type="dxa"/>
            <w:vAlign w:val="bottom"/>
          </w:tcPr>
          <w:p>
            <w:pPr>
              <w:jc w:val="center"/>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As of October 27, 2023, AbbVie Inc. had 1,765,537,421 shares of common stock at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654050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72"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8220" w:type="dxa"/>
            <w:vAlign w:val="bottom"/>
          </w:tcPr>
          <w:p>
            <w:pPr>
              <w:ind w:left="260"/>
              <w:spacing w:after="0"/>
              <w:rPr>
                <w:sz w:val="20"/>
                <w:szCs w:val="20"/>
                <w:color w:val="auto"/>
              </w:rPr>
            </w:pPr>
            <w:r>
              <w:rPr>
                <w:rFonts w:ascii="Arial" w:cs="Arial" w:eastAsia="Arial" w:hAnsi="Arial"/>
                <w:sz w:val="14"/>
                <w:szCs w:val="14"/>
                <w:b w:val="1"/>
                <w:bCs w:val="1"/>
                <w:color w:val="auto"/>
              </w:rPr>
              <w:t>FINANCIAL INFORMATION</w:t>
            </w:r>
          </w:p>
        </w:tc>
        <w:tc>
          <w:tcPr>
            <w:tcW w:w="2340" w:type="dxa"/>
            <w:vAlign w:val="bottom"/>
          </w:tcPr>
          <w:p>
            <w:pPr>
              <w:spacing w:after="0"/>
              <w:rPr>
                <w:sz w:val="15"/>
                <w:szCs w:val="15"/>
                <w:color w:val="auto"/>
              </w:rPr>
            </w:pPr>
          </w:p>
        </w:tc>
      </w:tr>
      <w:tr>
        <w:trPr>
          <w:trHeight w:val="178"/>
        </w:trPr>
        <w:tc>
          <w:tcPr>
            <w:tcW w:w="7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93"/>
        </w:trPr>
        <w:tc>
          <w:tcPr>
            <w:tcW w:w="720" w:type="dxa"/>
            <w:vAlign w:val="bottom"/>
          </w:tcPr>
          <w:p>
            <w:pPr>
              <w:ind w:left="20"/>
              <w:spacing w:after="0"/>
              <w:rPr>
                <w:sz w:val="20"/>
                <w:szCs w:val="20"/>
                <w:color w:val="auto"/>
              </w:rPr>
            </w:pPr>
            <w:r>
              <w:rPr>
                <w:rFonts w:ascii="Arial" w:cs="Arial" w:eastAsia="Arial" w:hAnsi="Arial"/>
                <w:sz w:val="14"/>
                <w:szCs w:val="14"/>
                <w:color w:val="auto"/>
              </w:rPr>
              <w:t>Item 1.</w:t>
            </w:r>
          </w:p>
        </w:tc>
        <w:tc>
          <w:tcPr>
            <w:tcW w:w="8220" w:type="dxa"/>
            <w:vAlign w:val="bottom"/>
          </w:tcPr>
          <w:p>
            <w:pPr>
              <w:ind w:left="260"/>
              <w:spacing w:after="0"/>
              <w:rPr>
                <w:sz w:val="20"/>
                <w:szCs w:val="20"/>
                <w:color w:val="auto"/>
              </w:rPr>
            </w:pPr>
            <w:r>
              <w:rPr>
                <w:rFonts w:ascii="Arial" w:cs="Arial" w:eastAsia="Arial" w:hAnsi="Arial"/>
                <w:sz w:val="14"/>
                <w:szCs w:val="14"/>
                <w:color w:val="auto"/>
              </w:rPr>
              <w:t>FINANCIAL STATEMENTS AND SUPPLEMENTARY DATA</w:t>
            </w:r>
          </w:p>
        </w:tc>
        <w:tc>
          <w:tcPr>
            <w:tcW w:w="23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720" w:type="dxa"/>
            <w:vAlign w:val="bottom"/>
          </w:tcPr>
          <w:p>
            <w:pPr>
              <w:ind w:left="20"/>
              <w:spacing w:after="0"/>
              <w:rPr>
                <w:sz w:val="20"/>
                <w:szCs w:val="20"/>
                <w:color w:val="auto"/>
              </w:rPr>
            </w:pPr>
            <w:r>
              <w:rPr>
                <w:rFonts w:ascii="Arial" w:cs="Arial" w:eastAsia="Arial" w:hAnsi="Arial"/>
                <w:sz w:val="14"/>
                <w:szCs w:val="14"/>
                <w:color w:val="auto"/>
              </w:rPr>
              <w:t>Item 2.</w:t>
            </w:r>
          </w:p>
        </w:tc>
        <w:tc>
          <w:tcPr>
            <w:tcW w:w="8220" w:type="dxa"/>
            <w:vAlign w:val="bottom"/>
          </w:tcPr>
          <w:p>
            <w:pPr>
              <w:ind w:left="26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0"/>
        </w:trPr>
        <w:tc>
          <w:tcPr>
            <w:tcW w:w="720" w:type="dxa"/>
            <w:vAlign w:val="bottom"/>
          </w:tcPr>
          <w:p>
            <w:pPr>
              <w:ind w:left="20"/>
              <w:spacing w:after="0"/>
              <w:rPr>
                <w:sz w:val="20"/>
                <w:szCs w:val="20"/>
                <w:color w:val="auto"/>
              </w:rPr>
            </w:pPr>
            <w:r>
              <w:rPr>
                <w:rFonts w:ascii="Arial" w:cs="Arial" w:eastAsia="Arial" w:hAnsi="Arial"/>
                <w:sz w:val="14"/>
                <w:szCs w:val="14"/>
                <w:color w:val="auto"/>
              </w:rPr>
              <w:t>Item 3.</w:t>
            </w:r>
          </w:p>
        </w:tc>
        <w:tc>
          <w:tcPr>
            <w:tcW w:w="8220" w:type="dxa"/>
            <w:vAlign w:val="bottom"/>
          </w:tcPr>
          <w:p>
            <w:pPr>
              <w:ind w:left="260"/>
              <w:spacing w:after="0"/>
              <w:rPr>
                <w:sz w:val="20"/>
                <w:szCs w:val="20"/>
                <w:color w:val="auto"/>
              </w:rPr>
            </w:pPr>
            <w:r>
              <w:rPr>
                <w:rFonts w:ascii="Arial" w:cs="Arial" w:eastAsia="Arial" w:hAnsi="Arial"/>
                <w:sz w:val="14"/>
                <w:szCs w:val="14"/>
                <w:color w:val="auto"/>
              </w:rPr>
              <w:t>QUANTITATIVE AND QUALITATIVE DISCLOSURES ABOUT MARKET RISK</w:t>
            </w:r>
          </w:p>
        </w:tc>
        <w:tc>
          <w:tcPr>
            <w:tcW w:w="23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0"/>
        </w:trPr>
        <w:tc>
          <w:tcPr>
            <w:tcW w:w="720" w:type="dxa"/>
            <w:vAlign w:val="bottom"/>
          </w:tcPr>
          <w:p>
            <w:pPr>
              <w:ind w:left="20"/>
              <w:spacing w:after="0"/>
              <w:rPr>
                <w:sz w:val="20"/>
                <w:szCs w:val="20"/>
                <w:color w:val="auto"/>
              </w:rPr>
            </w:pPr>
            <w:r>
              <w:rPr>
                <w:rFonts w:ascii="Arial" w:cs="Arial" w:eastAsia="Arial" w:hAnsi="Arial"/>
                <w:sz w:val="14"/>
                <w:szCs w:val="14"/>
                <w:color w:val="auto"/>
              </w:rPr>
              <w:t>Item 4.</w:t>
            </w:r>
          </w:p>
        </w:tc>
        <w:tc>
          <w:tcPr>
            <w:tcW w:w="8220" w:type="dxa"/>
            <w:vAlign w:val="bottom"/>
          </w:tcPr>
          <w:p>
            <w:pPr>
              <w:ind w:left="260"/>
              <w:spacing w:after="0"/>
              <w:rPr>
                <w:sz w:val="20"/>
                <w:szCs w:val="20"/>
                <w:color w:val="auto"/>
              </w:rPr>
            </w:pPr>
            <w:r>
              <w:rPr>
                <w:rFonts w:ascii="Arial" w:cs="Arial" w:eastAsia="Arial" w:hAnsi="Arial"/>
                <w:sz w:val="14"/>
                <w:szCs w:val="14"/>
                <w:color w:val="auto"/>
              </w:rPr>
              <w:t>CONTROLS AND PROCEDURES</w:t>
            </w:r>
          </w:p>
        </w:tc>
        <w:tc>
          <w:tcPr>
            <w:tcW w:w="23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5"/>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PART II.</w:t>
            </w:r>
          </w:p>
        </w:tc>
        <w:tc>
          <w:tcPr>
            <w:tcW w:w="8220" w:type="dxa"/>
            <w:vAlign w:val="bottom"/>
          </w:tcPr>
          <w:p>
            <w:pPr>
              <w:ind w:left="260"/>
              <w:spacing w:after="0"/>
              <w:rPr>
                <w:sz w:val="20"/>
                <w:szCs w:val="20"/>
                <w:color w:val="auto"/>
              </w:rPr>
            </w:pPr>
            <w:r>
              <w:rPr>
                <w:rFonts w:ascii="Arial" w:cs="Arial" w:eastAsia="Arial" w:hAnsi="Arial"/>
                <w:sz w:val="14"/>
                <w:szCs w:val="14"/>
                <w:b w:val="1"/>
                <w:bCs w:val="1"/>
                <w:color w:val="auto"/>
              </w:rPr>
              <w:t>OTHER INFORMATION</w:t>
            </w:r>
          </w:p>
        </w:tc>
        <w:tc>
          <w:tcPr>
            <w:tcW w:w="2340" w:type="dxa"/>
            <w:vAlign w:val="bottom"/>
          </w:tcPr>
          <w:p>
            <w:pPr>
              <w:spacing w:after="0"/>
              <w:rPr>
                <w:sz w:val="24"/>
                <w:szCs w:val="24"/>
                <w:color w:val="auto"/>
              </w:rPr>
            </w:pPr>
          </w:p>
        </w:tc>
      </w:tr>
      <w:tr>
        <w:trPr>
          <w:trHeight w:val="391"/>
        </w:trPr>
        <w:tc>
          <w:tcPr>
            <w:tcW w:w="720" w:type="dxa"/>
            <w:vAlign w:val="bottom"/>
          </w:tcPr>
          <w:p>
            <w:pPr>
              <w:ind w:left="20"/>
              <w:spacing w:after="0"/>
              <w:rPr>
                <w:sz w:val="20"/>
                <w:szCs w:val="20"/>
                <w:color w:val="auto"/>
              </w:rPr>
            </w:pPr>
            <w:r>
              <w:rPr>
                <w:rFonts w:ascii="Arial" w:cs="Arial" w:eastAsia="Arial" w:hAnsi="Arial"/>
                <w:sz w:val="14"/>
                <w:szCs w:val="14"/>
                <w:color w:val="auto"/>
              </w:rPr>
              <w:t>Item 1.</w:t>
            </w:r>
          </w:p>
        </w:tc>
        <w:tc>
          <w:tcPr>
            <w:tcW w:w="8220" w:type="dxa"/>
            <w:vAlign w:val="bottom"/>
          </w:tcPr>
          <w:p>
            <w:pPr>
              <w:ind w:left="260"/>
              <w:spacing w:after="0"/>
              <w:rPr>
                <w:sz w:val="20"/>
                <w:szCs w:val="20"/>
                <w:color w:val="auto"/>
              </w:rPr>
            </w:pPr>
            <w:r>
              <w:rPr>
                <w:rFonts w:ascii="Arial" w:cs="Arial" w:eastAsia="Arial" w:hAnsi="Arial"/>
                <w:sz w:val="14"/>
                <w:szCs w:val="14"/>
                <w:color w:val="auto"/>
              </w:rPr>
              <w:t>LEGAL PROCEEDINGS</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720" w:type="dxa"/>
            <w:vAlign w:val="bottom"/>
          </w:tcPr>
          <w:p>
            <w:pPr>
              <w:ind w:left="20"/>
              <w:spacing w:after="0"/>
              <w:rPr>
                <w:sz w:val="20"/>
                <w:szCs w:val="20"/>
                <w:color w:val="auto"/>
              </w:rPr>
            </w:pPr>
            <w:r>
              <w:rPr>
                <w:rFonts w:ascii="Arial" w:cs="Arial" w:eastAsia="Arial" w:hAnsi="Arial"/>
                <w:sz w:val="14"/>
                <w:szCs w:val="14"/>
                <w:color w:val="auto"/>
              </w:rPr>
              <w:t>Item 2.</w:t>
            </w:r>
          </w:p>
        </w:tc>
        <w:tc>
          <w:tcPr>
            <w:tcW w:w="8220" w:type="dxa"/>
            <w:vAlign w:val="bottom"/>
          </w:tcPr>
          <w:p>
            <w:pPr>
              <w:ind w:left="260"/>
              <w:spacing w:after="0"/>
              <w:rPr>
                <w:sz w:val="20"/>
                <w:szCs w:val="20"/>
                <w:color w:val="auto"/>
              </w:rPr>
            </w:pPr>
            <w:r>
              <w:rPr>
                <w:rFonts w:ascii="Arial" w:cs="Arial" w:eastAsia="Arial" w:hAnsi="Arial"/>
                <w:sz w:val="14"/>
                <w:szCs w:val="14"/>
                <w:color w:val="auto"/>
              </w:rPr>
              <w:t>UNREGISTERED SALES OF EQUITY SECURITIES AND USE OF PROCEEDS</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720" w:type="dxa"/>
            <w:vAlign w:val="bottom"/>
          </w:tcPr>
          <w:p>
            <w:pPr>
              <w:ind w:left="20"/>
              <w:spacing w:after="0"/>
              <w:rPr>
                <w:sz w:val="20"/>
                <w:szCs w:val="20"/>
                <w:color w:val="auto"/>
              </w:rPr>
            </w:pPr>
            <w:r>
              <w:rPr>
                <w:rFonts w:ascii="Arial" w:cs="Arial" w:eastAsia="Arial" w:hAnsi="Arial"/>
                <w:sz w:val="14"/>
                <w:szCs w:val="14"/>
                <w:color w:val="auto"/>
              </w:rPr>
              <w:t>Item 5.</w:t>
            </w:r>
          </w:p>
        </w:tc>
        <w:tc>
          <w:tcPr>
            <w:tcW w:w="8220" w:type="dxa"/>
            <w:vAlign w:val="bottom"/>
          </w:tcPr>
          <w:p>
            <w:pPr>
              <w:ind w:left="260"/>
              <w:spacing w:after="0"/>
              <w:rPr>
                <w:sz w:val="20"/>
                <w:szCs w:val="20"/>
                <w:color w:val="auto"/>
              </w:rPr>
            </w:pPr>
            <w:r>
              <w:rPr>
                <w:rFonts w:ascii="Arial" w:cs="Arial" w:eastAsia="Arial" w:hAnsi="Arial"/>
                <w:sz w:val="14"/>
                <w:szCs w:val="14"/>
                <w:color w:val="auto"/>
              </w:rPr>
              <w:t>OTHER ITEMS</w:t>
            </w:r>
          </w:p>
        </w:tc>
        <w:tc>
          <w:tcPr>
            <w:tcW w:w="23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720" w:type="dxa"/>
            <w:vAlign w:val="bottom"/>
          </w:tcPr>
          <w:p>
            <w:pPr>
              <w:ind w:left="20"/>
              <w:spacing w:after="0"/>
              <w:rPr>
                <w:sz w:val="20"/>
                <w:szCs w:val="20"/>
                <w:color w:val="auto"/>
              </w:rPr>
            </w:pPr>
            <w:r>
              <w:rPr>
                <w:rFonts w:ascii="Arial" w:cs="Arial" w:eastAsia="Arial" w:hAnsi="Arial"/>
                <w:sz w:val="14"/>
                <w:szCs w:val="14"/>
                <w:color w:val="auto"/>
              </w:rPr>
              <w:t>Item 6.</w:t>
            </w:r>
          </w:p>
        </w:tc>
        <w:tc>
          <w:tcPr>
            <w:tcW w:w="8220" w:type="dxa"/>
            <w:vAlign w:val="bottom"/>
          </w:tcPr>
          <w:p>
            <w:pPr>
              <w:ind w:left="260"/>
              <w:spacing w:after="0"/>
              <w:rPr>
                <w:sz w:val="20"/>
                <w:szCs w:val="20"/>
                <w:color w:val="auto"/>
              </w:rPr>
            </w:pPr>
            <w:r>
              <w:rPr>
                <w:rFonts w:ascii="Arial" w:cs="Arial" w:eastAsia="Arial" w:hAnsi="Arial"/>
                <w:sz w:val="14"/>
                <w:szCs w:val="14"/>
                <w:color w:val="auto"/>
              </w:rPr>
              <w:t>EXHIBITS</w:t>
            </w:r>
          </w:p>
        </w:tc>
        <w:tc>
          <w:tcPr>
            <w:tcW w:w="23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132"/>
        </w:trPr>
        <w:tc>
          <w:tcPr>
            <w:tcW w:w="7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444867"/>
        </w:rPr>
        <w:t>PART I. FINANCIAL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ITEM 1.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Condensed Consolidated Statements of Earnings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Nine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5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13,927</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40,017</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42,933</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6,485</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14,711</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13,244</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Selling, general and administratve</w:t>
            </w: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3,372</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9,679</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11,843</w:t>
            </w: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1,723</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5,748</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Acquired IPR&amp;D and milestones</w:t>
            </w: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66</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496</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operatng expense (income),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(179)</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operatng costs and expenses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11,646</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10,209</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30,455</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30,318</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Operatng earnings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2,281</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9,562</w:t>
            </w: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12,615</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398</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1,306</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Net foreign exchange loss</w:t>
            </w: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25</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97</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3,121</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71"/>
        </w:trPr>
        <w:tc>
          <w:tcPr>
            <w:tcW w:w="5560" w:type="dxa"/>
            <w:vAlign w:val="bottom"/>
          </w:tcPr>
          <w:p>
            <w:pPr>
              <w:ind w:left="20"/>
              <w:spacing w:after="0"/>
              <w:rPr>
                <w:sz w:val="20"/>
                <w:szCs w:val="20"/>
                <w:color w:val="auto"/>
              </w:rPr>
            </w:pPr>
            <w:r>
              <w:rPr>
                <w:rFonts w:ascii="Arial" w:cs="Arial" w:eastAsia="Arial" w:hAnsi="Arial"/>
                <w:sz w:val="14"/>
                <w:szCs w:val="14"/>
                <w:color w:val="auto"/>
              </w:rPr>
              <w:t>Earnings before income tax expense</w:t>
            </w:r>
          </w:p>
        </w:tc>
        <w:tc>
          <w:tcPr>
            <w:tcW w:w="32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1,953</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5,038</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10,512</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172</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989</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71"/>
        </w:trPr>
        <w:tc>
          <w:tcPr>
            <w:tcW w:w="55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32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1,781</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4,049</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9,373</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earnings atributable to noncontrolling interest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earnings atributable to AbbVie Inc.</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1,778</w:t>
            </w:r>
          </w:p>
        </w:tc>
        <w:tc>
          <w:tcPr>
            <w:tcW w:w="5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4,041</w:t>
            </w:r>
          </w:p>
        </w:tc>
        <w:tc>
          <w:tcPr>
            <w:tcW w:w="5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data</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 atributable to AbbVie Inc.</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2.27</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share atributable to AbbVie Inc.</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1.00</w:t>
            </w:r>
          </w:p>
        </w:tc>
        <w:tc>
          <w:tcPr>
            <w:tcW w:w="5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2.26</w:t>
            </w:r>
          </w:p>
        </w:tc>
        <w:tc>
          <w:tcPr>
            <w:tcW w:w="5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93"/>
        </w:trPr>
        <w:tc>
          <w:tcPr>
            <w:tcW w:w="5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Weighted-average basic shares outstanding</w:t>
            </w: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1,767</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1,768</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Weighted-average diluted shares outstanding</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1,771</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1,772</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fnancial statements.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1</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Condensed Consolidated Statements of Comprehensive Income (unaudited)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4"/>
          </w:tcPr>
          <w:p>
            <w:pPr>
              <w:ind w:left="32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Pr>
          <w:p>
            <w:pPr>
              <w:spacing w:after="0"/>
              <w:rPr>
                <w:sz w:val="10"/>
                <w:szCs w:val="10"/>
                <w:color w:val="auto"/>
              </w:rPr>
            </w:pPr>
          </w:p>
        </w:tc>
        <w:tc>
          <w:tcPr>
            <w:tcW w:w="1840" w:type="dxa"/>
            <w:vAlign w:val="bottom"/>
            <w:gridSpan w:val="3"/>
          </w:tcPr>
          <w:p>
            <w:pPr>
              <w:jc w:val="right"/>
              <w:ind w:right="491"/>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45"/>
        </w:trPr>
        <w:tc>
          <w:tcPr>
            <w:tcW w:w="7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70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178"/>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1,781</w:t>
            </w:r>
          </w:p>
        </w:tc>
        <w:tc>
          <w:tcPr>
            <w:tcW w:w="3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4,049</w:t>
            </w:r>
          </w:p>
        </w:tc>
        <w:tc>
          <w:tcPr>
            <w:tcW w:w="40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9,373</w:t>
            </w:r>
          </w:p>
        </w:tc>
        <w:tc>
          <w:tcPr>
            <w:tcW w:w="0" w:type="dxa"/>
            <w:vAlign w:val="bottom"/>
          </w:tcPr>
          <w:p>
            <w:pPr>
              <w:spacing w:after="0"/>
              <w:rPr>
                <w:sz w:val="1"/>
                <w:szCs w:val="1"/>
                <w:color w:val="auto"/>
              </w:rPr>
            </w:pPr>
          </w:p>
        </w:tc>
      </w:tr>
      <w:tr>
        <w:trPr>
          <w:trHeight w:val="212"/>
        </w:trPr>
        <w:tc>
          <w:tcPr>
            <w:tcW w:w="7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704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w w:val="94"/>
              </w:rPr>
              <w:t>Foreign currency translaton adjustments, net of tax expense (beneft) of $(17) for the three months and $(11) for the nine</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w w:val="94"/>
              </w:rPr>
              <w:t>months ended September 30, 2023 and $(11) for the three months and $(30) for the nine months ended September 30,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27"/>
        </w:trPr>
        <w:tc>
          <w:tcPr>
            <w:tcW w:w="7040" w:type="dxa"/>
            <w:vAlign w:val="bottom"/>
          </w:tcPr>
          <w:p>
            <w:pPr>
              <w:ind w:left="20"/>
              <w:spacing w:after="0" w:line="127" w:lineRule="exact"/>
              <w:rPr>
                <w:sz w:val="20"/>
                <w:szCs w:val="20"/>
                <w:color w:val="auto"/>
              </w:rPr>
            </w:pPr>
            <w:r>
              <w:rPr>
                <w:rFonts w:ascii="Arial" w:cs="Arial" w:eastAsia="Arial" w:hAnsi="Arial"/>
                <w:sz w:val="14"/>
                <w:szCs w:val="14"/>
                <w:color w:val="auto"/>
                <w:w w:val="96"/>
              </w:rPr>
              <w:t>Net investment hedging actvites, net of tax expense (beneft) of $84 for the three months and $26 for the nine months</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040" w:type="dxa"/>
            <w:vAlign w:val="bottom"/>
          </w:tcPr>
          <w:p>
            <w:pPr>
              <w:ind w:left="20"/>
              <w:spacing w:after="0"/>
              <w:rPr>
                <w:sz w:val="20"/>
                <w:szCs w:val="20"/>
                <w:color w:val="auto"/>
              </w:rPr>
            </w:pPr>
            <w:r>
              <w:rPr>
                <w:rFonts w:ascii="Arial" w:cs="Arial" w:eastAsia="Arial" w:hAnsi="Arial"/>
                <w:sz w:val="14"/>
                <w:szCs w:val="14"/>
                <w:color w:val="auto"/>
                <w:w w:val="97"/>
              </w:rPr>
              <w:t>ended September 30, 2023 and $165 for the three months and $348 for the nine months ended September 30, 2022</w:t>
            </w:r>
          </w:p>
        </w:tc>
        <w:tc>
          <w:tcPr>
            <w:tcW w:w="24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302</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89</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36"/>
        </w:trPr>
        <w:tc>
          <w:tcPr>
            <w:tcW w:w="70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9"/>
              </w:rPr>
              <w:t>Pension and post-employment benefts, net of tax expense (beneft) of $1 for the three months and $11 for the nine</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months ended September 30, 2023 and $14 for the three months and $35 for the nine months ended September 30, 2022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38</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27"/>
        </w:trPr>
        <w:tc>
          <w:tcPr>
            <w:tcW w:w="7040" w:type="dxa"/>
            <w:vAlign w:val="bottom"/>
          </w:tcPr>
          <w:p>
            <w:pPr>
              <w:ind w:left="20"/>
              <w:spacing w:after="0" w:line="127" w:lineRule="exact"/>
              <w:rPr>
                <w:sz w:val="20"/>
                <w:szCs w:val="20"/>
                <w:color w:val="auto"/>
              </w:rPr>
            </w:pPr>
            <w:r>
              <w:rPr>
                <w:rFonts w:ascii="Arial" w:cs="Arial" w:eastAsia="Arial" w:hAnsi="Arial"/>
                <w:sz w:val="14"/>
                <w:szCs w:val="14"/>
                <w:color w:val="auto"/>
                <w:w w:val="96"/>
              </w:rPr>
              <w:t>Cash fow hedging actvites, net of tax expense (beneft) of $7 for the three months and $(1) for the nine months ended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September 30, 2023 and $14 for the three months and $17 for the nine months ended September 30, 2022</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52</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3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4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71"/>
        </w:trPr>
        <w:tc>
          <w:tcPr>
            <w:tcW w:w="70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1,680</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3,895</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8,829</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atributable to noncontrolling interest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w:t>
            </w:r>
          </w:p>
        </w:tc>
        <w:tc>
          <w:tcPr>
            <w:tcW w:w="4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 atributable to AbbVie Inc.</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1,677</w:t>
            </w:r>
          </w:p>
        </w:tc>
        <w:tc>
          <w:tcPr>
            <w:tcW w:w="3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3,702</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3,887</w:t>
            </w:r>
          </w:p>
        </w:tc>
        <w:tc>
          <w:tcPr>
            <w:tcW w:w="4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2</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Condensed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except share data)</w:t>
            </w:r>
          </w:p>
        </w:tc>
        <w:tc>
          <w:tcPr>
            <w:tcW w:w="260" w:type="dxa"/>
            <w:vAlign w:val="bottom"/>
          </w:tcPr>
          <w:p>
            <w:pPr>
              <w:spacing w:after="0"/>
              <w:rPr>
                <w:sz w:val="10"/>
                <w:szCs w:val="10"/>
                <w:color w:val="auto"/>
              </w:rPr>
            </w:pPr>
          </w:p>
        </w:tc>
        <w:tc>
          <w:tcPr>
            <w:tcW w:w="1200" w:type="dxa"/>
            <w:vAlign w:val="bottom"/>
          </w:tcPr>
          <w:p>
            <w:pPr>
              <w:jc w:val="center"/>
              <w:ind w:right="190"/>
              <w:spacing w:after="0"/>
              <w:rPr>
                <w:sz w:val="20"/>
                <w:szCs w:val="20"/>
                <w:color w:val="auto"/>
              </w:rPr>
            </w:pPr>
            <w:r>
              <w:rPr>
                <w:rFonts w:ascii="Arial" w:cs="Arial" w:eastAsia="Arial" w:hAnsi="Arial"/>
                <w:sz w:val="11"/>
                <w:szCs w:val="11"/>
                <w:b w:val="1"/>
                <w:bCs w:val="1"/>
                <w:color w:val="auto"/>
                <w:w w:val="93"/>
              </w:rPr>
              <w:t>September 30,</w:t>
            </w:r>
          </w:p>
        </w:tc>
        <w:tc>
          <w:tcPr>
            <w:tcW w:w="260" w:type="dxa"/>
            <w:vAlign w:val="bottom"/>
          </w:tcPr>
          <w:p>
            <w:pPr>
              <w:spacing w:after="0"/>
              <w:rPr>
                <w:sz w:val="10"/>
                <w:szCs w:val="10"/>
                <w:color w:val="auto"/>
              </w:rPr>
            </w:pPr>
          </w:p>
        </w:tc>
        <w:tc>
          <w:tcPr>
            <w:tcW w:w="1140" w:type="dxa"/>
            <w:vAlign w:val="bottom"/>
          </w:tcPr>
          <w:p>
            <w:pPr>
              <w:jc w:val="right"/>
              <w:ind w:right="29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5"/>
        </w:trPr>
        <w:tc>
          <w:tcPr>
            <w:tcW w:w="8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90"/>
              <w:spacing w:after="0"/>
              <w:rPr>
                <w:sz w:val="20"/>
                <w:szCs w:val="20"/>
                <w:color w:val="auto"/>
              </w:rPr>
            </w:pPr>
            <w:r>
              <w:rPr>
                <w:rFonts w:ascii="Arial" w:cs="Arial" w:eastAsia="Arial" w:hAnsi="Arial"/>
                <w:sz w:val="11"/>
                <w:szCs w:val="11"/>
                <w:b w:val="1"/>
                <w:bCs w:val="1"/>
                <w:color w:val="auto"/>
                <w:w w:val="89"/>
              </w:rPr>
              <w:t>2023</w:t>
            </w:r>
          </w:p>
        </w:tc>
        <w:tc>
          <w:tcPr>
            <w:tcW w:w="260" w:type="dxa"/>
            <w:vAlign w:val="bottom"/>
          </w:tcPr>
          <w:p>
            <w:pPr>
              <w:spacing w:after="0"/>
              <w:rPr>
                <w:sz w:val="12"/>
                <w:szCs w:val="12"/>
                <w:color w:val="auto"/>
              </w:rPr>
            </w:pPr>
          </w:p>
        </w:tc>
        <w:tc>
          <w:tcPr>
            <w:tcW w:w="1140" w:type="dxa"/>
            <w:vAlign w:val="bottom"/>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3"/>
        </w:trPr>
        <w:tc>
          <w:tcPr>
            <w:tcW w:w="8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90"/>
              <w:spacing w:after="0" w:line="154" w:lineRule="exact"/>
              <w:rPr>
                <w:sz w:val="20"/>
                <w:szCs w:val="20"/>
                <w:color w:val="auto"/>
              </w:rPr>
            </w:pPr>
            <w:r>
              <w:rPr>
                <w:rFonts w:ascii="Arial" w:cs="Arial" w:eastAsia="Arial" w:hAnsi="Arial"/>
                <w:sz w:val="14"/>
                <w:szCs w:val="14"/>
                <w:color w:val="auto"/>
                <w:w w:val="93"/>
              </w:rPr>
              <w:t>(unaudited)</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2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equivalents</w:t>
            </w: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13,287</w:t>
            </w: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9,201</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11,412</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11,254</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3,981</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180"/>
        </w:trPr>
        <w:tc>
          <w:tcPr>
            <w:tcW w:w="8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4,541</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0" w:type="dxa"/>
            <w:vAlign w:val="bottom"/>
          </w:tcPr>
          <w:p>
            <w:pPr>
              <w:spacing w:after="0"/>
              <w:rPr>
                <w:sz w:val="1"/>
                <w:szCs w:val="1"/>
                <w:color w:val="auto"/>
              </w:rPr>
            </w:pPr>
          </w:p>
        </w:tc>
      </w:tr>
      <w:tr>
        <w:trPr>
          <w:trHeight w:val="172"/>
        </w:trPr>
        <w:tc>
          <w:tcPr>
            <w:tcW w:w="8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33,224</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28,463</w:t>
            </w:r>
          </w:p>
        </w:tc>
        <w:tc>
          <w:tcPr>
            <w:tcW w:w="0" w:type="dxa"/>
            <w:vAlign w:val="bottom"/>
          </w:tcPr>
          <w:p>
            <w:pPr>
              <w:spacing w:after="0"/>
              <w:rPr>
                <w:sz w:val="1"/>
                <w:szCs w:val="1"/>
                <w:color w:val="auto"/>
              </w:rPr>
            </w:pPr>
          </w:p>
        </w:tc>
      </w:tr>
      <w:tr>
        <w:trPr>
          <w:trHeight w:val="107"/>
        </w:trPr>
        <w:tc>
          <w:tcPr>
            <w:tcW w:w="84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275</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4,934</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58,603</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67,439</w:t>
            </w: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32,091</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32,156</w:t>
            </w:r>
          </w:p>
        </w:tc>
        <w:tc>
          <w:tcPr>
            <w:tcW w:w="0" w:type="dxa"/>
            <w:vAlign w:val="bottom"/>
          </w:tcPr>
          <w:p>
            <w:pPr>
              <w:spacing w:after="0"/>
              <w:rPr>
                <w:sz w:val="1"/>
                <w:szCs w:val="1"/>
                <w:color w:val="auto"/>
              </w:rPr>
            </w:pPr>
          </w:p>
        </w:tc>
      </w:tr>
      <w:tr>
        <w:trPr>
          <w:trHeight w:val="179"/>
        </w:trPr>
        <w:tc>
          <w:tcPr>
            <w:tcW w:w="8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7,094</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5,571</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136,221</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138,805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8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Liabilites and Equity</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20" w:type="dxa"/>
            <w:vAlign w:val="bottom"/>
          </w:tcPr>
          <w:p>
            <w:pPr>
              <w:ind w:left="140"/>
              <w:spacing w:after="0"/>
              <w:rPr>
                <w:sz w:val="20"/>
                <w:szCs w:val="20"/>
                <w:color w:val="auto"/>
              </w:rPr>
            </w:pPr>
            <w:r>
              <w:rPr>
                <w:rFonts w:ascii="Arial" w:cs="Arial" w:eastAsia="Arial" w:hAnsi="Arial"/>
                <w:sz w:val="14"/>
                <w:szCs w:val="14"/>
                <w:b w:val="1"/>
                <w:bCs w:val="1"/>
                <w:color w:val="auto"/>
              </w:rPr>
              <w:t>Current liabilites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borrowings</w:t>
            </w: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Current porton of long-term debt and fnance lease obligatons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5,113</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180"/>
        </w:trPr>
        <w:tc>
          <w:tcPr>
            <w:tcW w:w="8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Accounts payable and accrued liabilites</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29,658</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25,402</w:t>
            </w:r>
          </w:p>
        </w:tc>
        <w:tc>
          <w:tcPr>
            <w:tcW w:w="0" w:type="dxa"/>
            <w:vAlign w:val="bottom"/>
          </w:tcPr>
          <w:p>
            <w:pPr>
              <w:spacing w:after="0"/>
              <w:rPr>
                <w:sz w:val="1"/>
                <w:szCs w:val="1"/>
                <w:color w:val="auto"/>
              </w:rPr>
            </w:pPr>
          </w:p>
        </w:tc>
      </w:tr>
      <w:tr>
        <w:trPr>
          <w:trHeight w:val="172"/>
        </w:trPr>
        <w:tc>
          <w:tcPr>
            <w:tcW w:w="8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 current liabilites</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34,773</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29,538</w:t>
            </w:r>
          </w:p>
        </w:tc>
        <w:tc>
          <w:tcPr>
            <w:tcW w:w="0" w:type="dxa"/>
            <w:vAlign w:val="bottom"/>
          </w:tcPr>
          <w:p>
            <w:pPr>
              <w:spacing w:after="0"/>
              <w:rPr>
                <w:sz w:val="1"/>
                <w:szCs w:val="1"/>
                <w:color w:val="auto"/>
              </w:rPr>
            </w:pPr>
          </w:p>
        </w:tc>
      </w:tr>
      <w:tr>
        <w:trPr>
          <w:trHeight w:val="97"/>
        </w:trPr>
        <w:tc>
          <w:tcPr>
            <w:tcW w:w="8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Long-term debt and fnance lease obligatons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55,631</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59,135</w:t>
            </w: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2,044</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Other long-term liabilites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31,644</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30,655</w:t>
            </w:r>
          </w:p>
        </w:tc>
        <w:tc>
          <w:tcPr>
            <w:tcW w:w="0" w:type="dxa"/>
            <w:vAlign w:val="bottom"/>
          </w:tcPr>
          <w:p>
            <w:pPr>
              <w:spacing w:after="0"/>
              <w:rPr>
                <w:sz w:val="1"/>
                <w:szCs w:val="1"/>
                <w:color w:val="auto"/>
              </w:rPr>
            </w:pPr>
          </w:p>
        </w:tc>
      </w:tr>
      <w:tr>
        <w:trPr>
          <w:trHeight w:val="128"/>
        </w:trPr>
        <w:tc>
          <w:tcPr>
            <w:tcW w:w="8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Commitments and contngencies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20" w:type="dxa"/>
            <w:vAlign w:val="bottom"/>
          </w:tcPr>
          <w:p>
            <w:pPr>
              <w:ind w:left="14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420" w:type="dxa"/>
            <w:vAlign w:val="bottom"/>
            <w:shd w:val="clear" w:color="auto" w:fill="CCEEFF"/>
          </w:tcPr>
          <w:p>
            <w:pPr>
              <w:ind w:left="140"/>
              <w:spacing w:after="0" w:line="127" w:lineRule="exact"/>
              <w:rPr>
                <w:sz w:val="20"/>
                <w:szCs w:val="20"/>
                <w:color w:val="auto"/>
              </w:rPr>
            </w:pPr>
            <w:r>
              <w:rPr>
                <w:rFonts w:ascii="Arial" w:cs="Arial" w:eastAsia="Arial" w:hAnsi="Arial"/>
                <w:sz w:val="14"/>
                <w:szCs w:val="14"/>
                <w:color w:val="auto"/>
                <w:w w:val="91"/>
              </w:rPr>
              <w:t>Common stock, $0.01 par value, 4,000,000,000 shares authorized, 1,822,577,212 shares issued as of September 30, 2023 and 1,813,770,294 as</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December 31, 2022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Common stock held in treasury, at cost, 57,091,177 shares as of September 30, 2023 and 44,589,000 as of December 31, 2022</w:t>
            </w:r>
          </w:p>
        </w:tc>
        <w:tc>
          <w:tcPr>
            <w:tcW w:w="260" w:type="dxa"/>
            <w:vAlign w:val="bottom"/>
          </w:tcPr>
          <w:p>
            <w:pPr>
              <w:spacing w:after="0"/>
              <w:rPr>
                <w:sz w:val="15"/>
                <w:szCs w:val="15"/>
                <w:color w:val="auto"/>
              </w:rPr>
            </w:pP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(6,525)</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(4,594)</w:t>
            </w: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Additonal paid-in capital</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20,021</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19,245</w:t>
            </w:r>
          </w:p>
        </w:tc>
        <w:tc>
          <w:tcPr>
            <w:tcW w:w="0" w:type="dxa"/>
            <w:vAlign w:val="bottom"/>
          </w:tcPr>
          <w:p>
            <w:pPr>
              <w:spacing w:after="0"/>
              <w:rPr>
                <w:sz w:val="1"/>
                <w:szCs w:val="1"/>
                <w:color w:val="auto"/>
              </w:rPr>
            </w:pPr>
          </w:p>
        </w:tc>
      </w:tr>
      <w:tr>
        <w:trPr>
          <w:trHeight w:val="179"/>
        </w:trPr>
        <w:tc>
          <w:tcPr>
            <w:tcW w:w="84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933</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4,784</w:t>
            </w:r>
          </w:p>
        </w:tc>
        <w:tc>
          <w:tcPr>
            <w:tcW w:w="0" w:type="dxa"/>
            <w:vAlign w:val="bottom"/>
          </w:tcPr>
          <w:p>
            <w:pPr>
              <w:spacing w:after="0"/>
              <w:rPr>
                <w:sz w:val="1"/>
                <w:szCs w:val="1"/>
                <w:color w:val="auto"/>
              </w:rPr>
            </w:pPr>
          </w:p>
        </w:tc>
      </w:tr>
      <w:tr>
        <w:trPr>
          <w:trHeight w:val="180"/>
        </w:trPr>
        <w:tc>
          <w:tcPr>
            <w:tcW w:w="8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(2,353)</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172"/>
        </w:trPr>
        <w:tc>
          <w:tcPr>
            <w:tcW w:w="842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260" w:type="dxa"/>
            <w:vAlign w:val="bottom"/>
          </w:tcPr>
          <w:p>
            <w:pPr>
              <w:spacing w:after="0"/>
              <w:rPr>
                <w:sz w:val="14"/>
                <w:szCs w:val="1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12,094</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17,254</w:t>
            </w:r>
          </w:p>
        </w:tc>
        <w:tc>
          <w:tcPr>
            <w:tcW w:w="0" w:type="dxa"/>
            <w:vAlign w:val="bottom"/>
          </w:tcPr>
          <w:p>
            <w:pPr>
              <w:spacing w:after="0"/>
              <w:rPr>
                <w:sz w:val="1"/>
                <w:szCs w:val="1"/>
                <w:color w:val="auto"/>
              </w:rPr>
            </w:pPr>
          </w:p>
        </w:tc>
      </w:tr>
      <w:tr>
        <w:trPr>
          <w:trHeight w:val="179"/>
        </w:trPr>
        <w:tc>
          <w:tcPr>
            <w:tcW w:w="8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2"/>
        </w:trPr>
        <w:tc>
          <w:tcPr>
            <w:tcW w:w="8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12,129</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17,287</w:t>
            </w:r>
          </w:p>
        </w:tc>
        <w:tc>
          <w:tcPr>
            <w:tcW w:w="0" w:type="dxa"/>
            <w:vAlign w:val="bottom"/>
          </w:tcPr>
          <w:p>
            <w:pPr>
              <w:spacing w:after="0"/>
              <w:rPr>
                <w:sz w:val="1"/>
                <w:szCs w:val="1"/>
                <w:color w:val="auto"/>
              </w:rPr>
            </w:pPr>
          </w:p>
        </w:tc>
      </w:tr>
      <w:tr>
        <w:trPr>
          <w:trHeight w:val="150"/>
        </w:trPr>
        <w:tc>
          <w:tcPr>
            <w:tcW w:w="8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 liabilites and equity</w:t>
            </w:r>
          </w:p>
        </w:tc>
        <w:tc>
          <w:tcPr>
            <w:tcW w:w="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136,221</w:t>
            </w:r>
          </w:p>
        </w:tc>
        <w:tc>
          <w:tcPr>
            <w:tcW w:w="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138,805</w:t>
            </w: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3</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Condensed Consolidated Statements of Equity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560" w:type="dxa"/>
            <w:vAlign w:val="bottom"/>
          </w:tcPr>
          <w:p>
            <w:pPr>
              <w:jc w:val="right"/>
              <w:ind w:right="63"/>
              <w:spacing w:after="0"/>
              <w:rPr>
                <w:sz w:val="20"/>
                <w:szCs w:val="20"/>
                <w:color w:val="auto"/>
              </w:rPr>
            </w:pPr>
            <w:r>
              <w:rPr>
                <w:rFonts w:ascii="Arial" w:cs="Arial" w:eastAsia="Arial" w:hAnsi="Arial"/>
                <w:sz w:val="11"/>
                <w:szCs w:val="11"/>
                <w:b w:val="1"/>
                <w:bCs w:val="1"/>
                <w:color w:val="auto"/>
              </w:rPr>
              <w:t>Common shares</w:t>
            </w:r>
          </w:p>
        </w:tc>
        <w:tc>
          <w:tcPr>
            <w:tcW w:w="880" w:type="dxa"/>
            <w:vAlign w:val="bottom"/>
            <w:gridSpan w:val="2"/>
            <w:vMerge w:val="restart"/>
          </w:tcPr>
          <w:p>
            <w:pPr>
              <w:jc w:val="right"/>
              <w:ind w:right="23"/>
              <w:spacing w:after="0"/>
              <w:rPr>
                <w:sz w:val="20"/>
                <w:szCs w:val="20"/>
                <w:color w:val="auto"/>
              </w:rPr>
            </w:pPr>
            <w:r>
              <w:rPr>
                <w:rFonts w:ascii="Arial" w:cs="Arial" w:eastAsia="Arial" w:hAnsi="Arial"/>
                <w:sz w:val="11"/>
                <w:szCs w:val="11"/>
                <w:b w:val="1"/>
                <w:bCs w:val="1"/>
                <w:color w:val="auto"/>
                <w:w w:val="98"/>
              </w:rPr>
              <w:t>Common stock</w:t>
            </w:r>
          </w:p>
        </w:tc>
        <w:tc>
          <w:tcPr>
            <w:tcW w:w="920" w:type="dxa"/>
            <w:vAlign w:val="bottom"/>
            <w:gridSpan w:val="2"/>
            <w:vMerge w:val="restart"/>
          </w:tcPr>
          <w:p>
            <w:pPr>
              <w:jc w:val="right"/>
              <w:ind w:right="63"/>
              <w:spacing w:after="0"/>
              <w:rPr>
                <w:sz w:val="20"/>
                <w:szCs w:val="20"/>
                <w:color w:val="auto"/>
              </w:rPr>
            </w:pPr>
            <w:r>
              <w:rPr>
                <w:rFonts w:ascii="Arial" w:cs="Arial" w:eastAsia="Arial" w:hAnsi="Arial"/>
                <w:sz w:val="11"/>
                <w:szCs w:val="11"/>
                <w:b w:val="1"/>
                <w:bCs w:val="1"/>
                <w:color w:val="auto"/>
                <w:w w:val="99"/>
              </w:rPr>
              <w:t>Treasury stock</w:t>
            </w:r>
          </w:p>
        </w:tc>
        <w:tc>
          <w:tcPr>
            <w:tcW w:w="94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Additonal paid-</w:t>
            </w:r>
          </w:p>
        </w:tc>
        <w:tc>
          <w:tcPr>
            <w:tcW w:w="180" w:type="dxa"/>
            <w:vAlign w:val="bottom"/>
          </w:tcPr>
          <w:p>
            <w:pPr>
              <w:spacing w:after="0"/>
              <w:rPr>
                <w:sz w:val="10"/>
                <w:szCs w:val="10"/>
                <w:color w:val="auto"/>
              </w:rPr>
            </w:pPr>
          </w:p>
        </w:tc>
        <w:tc>
          <w:tcPr>
            <w:tcW w:w="720" w:type="dxa"/>
            <w:vAlign w:val="bottom"/>
          </w:tcPr>
          <w:p>
            <w:pPr>
              <w:jc w:val="right"/>
              <w:ind w:right="183"/>
              <w:spacing w:after="0"/>
              <w:rPr>
                <w:sz w:val="20"/>
                <w:szCs w:val="20"/>
                <w:color w:val="auto"/>
              </w:rPr>
            </w:pPr>
            <w:r>
              <w:rPr>
                <w:rFonts w:ascii="Arial" w:cs="Arial" w:eastAsia="Arial" w:hAnsi="Arial"/>
                <w:sz w:val="11"/>
                <w:szCs w:val="11"/>
                <w:b w:val="1"/>
                <w:bCs w:val="1"/>
                <w:color w:val="auto"/>
                <w:w w:val="98"/>
              </w:rPr>
              <w:t>Retained</w:t>
            </w:r>
          </w:p>
        </w:tc>
        <w:tc>
          <w:tcPr>
            <w:tcW w:w="160" w:type="dxa"/>
            <w:vAlign w:val="bottom"/>
          </w:tcPr>
          <w:p>
            <w:pPr>
              <w:spacing w:after="0"/>
              <w:rPr>
                <w:sz w:val="10"/>
                <w:szCs w:val="10"/>
                <w:color w:val="auto"/>
              </w:rPr>
            </w:pPr>
          </w:p>
        </w:tc>
        <w:tc>
          <w:tcPr>
            <w:tcW w:w="1120" w:type="dxa"/>
            <w:vAlign w:val="bottom"/>
          </w:tcPr>
          <w:p>
            <w:pPr>
              <w:jc w:val="right"/>
              <w:ind w:right="123"/>
              <w:spacing w:after="0"/>
              <w:rPr>
                <w:sz w:val="20"/>
                <w:szCs w:val="20"/>
                <w:color w:val="auto"/>
              </w:rPr>
            </w:pPr>
            <w:r>
              <w:rPr>
                <w:rFonts w:ascii="Arial" w:cs="Arial" w:eastAsia="Arial" w:hAnsi="Arial"/>
                <w:sz w:val="11"/>
                <w:szCs w:val="11"/>
                <w:b w:val="1"/>
                <w:bCs w:val="1"/>
                <w:color w:val="auto"/>
                <w:w w:val="92"/>
              </w:rPr>
              <w:t>Accumulated other</w:t>
            </w:r>
          </w:p>
        </w:tc>
        <w:tc>
          <w:tcPr>
            <w:tcW w:w="128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w w:val="95"/>
              </w:rPr>
              <w:t>Noncontrolling interest</w:t>
            </w:r>
          </w:p>
        </w:tc>
        <w:tc>
          <w:tcPr>
            <w:tcW w:w="220" w:type="dxa"/>
            <w:vAlign w:val="bottom"/>
          </w:tcPr>
          <w:p>
            <w:pPr>
              <w:spacing w:after="0"/>
              <w:rPr>
                <w:sz w:val="10"/>
                <w:szCs w:val="10"/>
                <w:color w:val="auto"/>
              </w:rPr>
            </w:pPr>
          </w:p>
        </w:tc>
        <w:tc>
          <w:tcPr>
            <w:tcW w:w="6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5"/>
        </w:trPr>
        <w:tc>
          <w:tcPr>
            <w:tcW w:w="2660" w:type="dxa"/>
            <w:vAlign w:val="bottom"/>
            <w:vMerge w:val="continue"/>
          </w:tcPr>
          <w:p>
            <w:pPr>
              <w:spacing w:after="0"/>
              <w:rPr>
                <w:sz w:val="12"/>
                <w:szCs w:val="12"/>
                <w:color w:val="auto"/>
              </w:rPr>
            </w:pPr>
          </w:p>
        </w:tc>
        <w:tc>
          <w:tcPr>
            <w:tcW w:w="1560" w:type="dxa"/>
            <w:vAlign w:val="bottom"/>
          </w:tcPr>
          <w:p>
            <w:pPr>
              <w:jc w:val="right"/>
              <w:ind w:right="163"/>
              <w:spacing w:after="0"/>
              <w:rPr>
                <w:sz w:val="20"/>
                <w:szCs w:val="20"/>
                <w:color w:val="auto"/>
              </w:rPr>
            </w:pPr>
            <w:r>
              <w:rPr>
                <w:rFonts w:ascii="Arial" w:cs="Arial" w:eastAsia="Arial" w:hAnsi="Arial"/>
                <w:sz w:val="11"/>
                <w:szCs w:val="11"/>
                <w:b w:val="1"/>
                <w:bCs w:val="1"/>
                <w:color w:val="auto"/>
              </w:rPr>
              <w:t>outstanding</w:t>
            </w: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03"/>
              <w:spacing w:after="0"/>
              <w:rPr>
                <w:sz w:val="20"/>
                <w:szCs w:val="20"/>
                <w:color w:val="auto"/>
              </w:rPr>
            </w:pPr>
            <w:r>
              <w:rPr>
                <w:rFonts w:ascii="Arial" w:cs="Arial" w:eastAsia="Arial" w:hAnsi="Arial"/>
                <w:sz w:val="11"/>
                <w:szCs w:val="11"/>
                <w:b w:val="1"/>
                <w:bCs w:val="1"/>
                <w:color w:val="auto"/>
              </w:rPr>
              <w:t>in capital</w:t>
            </w:r>
          </w:p>
        </w:tc>
        <w:tc>
          <w:tcPr>
            <w:tcW w:w="180" w:type="dxa"/>
            <w:vAlign w:val="bottom"/>
          </w:tcPr>
          <w:p>
            <w:pPr>
              <w:spacing w:after="0"/>
              <w:rPr>
                <w:sz w:val="12"/>
                <w:szCs w:val="12"/>
                <w:color w:val="auto"/>
              </w:rPr>
            </w:pPr>
          </w:p>
        </w:tc>
        <w:tc>
          <w:tcPr>
            <w:tcW w:w="720" w:type="dxa"/>
            <w:vAlign w:val="bottom"/>
          </w:tcPr>
          <w:p>
            <w:pPr>
              <w:jc w:val="right"/>
              <w:ind w:right="183"/>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1120" w:type="dxa"/>
            <w:vAlign w:val="bottom"/>
          </w:tcPr>
          <w:p>
            <w:pPr>
              <w:jc w:val="right"/>
              <w:ind w:right="123"/>
              <w:spacing w:after="0"/>
              <w:rPr>
                <w:sz w:val="20"/>
                <w:szCs w:val="20"/>
                <w:color w:val="auto"/>
              </w:rPr>
            </w:pPr>
            <w:r>
              <w:rPr>
                <w:rFonts w:ascii="Arial" w:cs="Arial" w:eastAsia="Arial" w:hAnsi="Arial"/>
                <w:sz w:val="11"/>
                <w:szCs w:val="11"/>
                <w:b w:val="1"/>
                <w:bCs w:val="1"/>
                <w:color w:val="auto"/>
                <w:w w:val="86"/>
              </w:rPr>
              <w:t>comprehensive loss</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2022</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1,768</w:t>
            </w: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(4,591)</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18,906</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3,516</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(3,196)</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35</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14,688</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Net earnings atributable to AbbVie Inc.</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3,949</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3,949</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 net of tax</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(2,512)</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(2,512)</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treasury stock</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Stock-based compensaton plans and other</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59"/>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Change in noncontrolling interest</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2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at September 30, 2022</w:t>
            </w:r>
          </w:p>
        </w:tc>
        <w:tc>
          <w:tcPr>
            <w:tcW w:w="15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1,768</w:t>
            </w: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(4,590)</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19,056</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4,953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(3,443)</w:t>
            </w: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33</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16,027</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2023</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1,765</w:t>
            </w:r>
          </w:p>
        </w:tc>
        <w:tc>
          <w:tcPr>
            <w:tcW w:w="42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(6,528)</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19,839</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1,789</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(2,252)</w:t>
            </w:r>
          </w:p>
        </w:tc>
        <w:tc>
          <w:tcPr>
            <w:tcW w:w="60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32</w:t>
            </w:r>
          </w:p>
        </w:tc>
        <w:tc>
          <w:tcPr>
            <w:tcW w:w="2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12,898</w:t>
            </w:r>
          </w:p>
        </w:tc>
        <w:tc>
          <w:tcPr>
            <w:tcW w:w="0" w:type="dxa"/>
            <w:vAlign w:val="bottom"/>
          </w:tcPr>
          <w:p>
            <w:pPr>
              <w:spacing w:after="0"/>
              <w:rPr>
                <w:sz w:val="1"/>
                <w:szCs w:val="1"/>
                <w:color w:val="auto"/>
              </w:rPr>
            </w:pPr>
          </w:p>
        </w:tc>
      </w:tr>
      <w:tr>
        <w:trPr>
          <w:trHeight w:val="166"/>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earnings atributable to AbbVie Inc.</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1,778</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Other comprehensive loss, net of tax</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(101)</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(2,634)</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(2,634)</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Purchases of treasury stock</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compensaton plans and other</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182</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5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Change in noncontrolling interest</w:t>
            </w:r>
          </w:p>
        </w:tc>
        <w:tc>
          <w:tcPr>
            <w:tcW w:w="15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7"/>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2023</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1,765</w:t>
            </w:r>
          </w:p>
        </w:tc>
        <w:tc>
          <w:tcPr>
            <w:tcW w:w="42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(6,525)</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20,021</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(2,353)</w:t>
            </w:r>
          </w:p>
        </w:tc>
        <w:tc>
          <w:tcPr>
            <w:tcW w:w="60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35</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1,768</w:t>
            </w: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(3,143)</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18,305</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3,127</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(2,899)</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15,436</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Net earnings atributable to AbbVie Inc.</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9,363</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9,363</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 net of tax</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(544)</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(7,537)</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(7,537)</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treasury stock</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(1,483)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(1,483)</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Stock-based compensaton plans and other</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10</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36</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751</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159"/>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Change in noncontrolling interest</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w:t>
            </w:r>
          </w:p>
        </w:tc>
        <w:tc>
          <w:tcPr>
            <w:tcW w:w="2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at September 30, 2022</w:t>
            </w:r>
          </w:p>
        </w:tc>
        <w:tc>
          <w:tcPr>
            <w:tcW w:w="15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1,768</w:t>
            </w: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(4,590)</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19,056</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4,953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(3,443)</w:t>
            </w: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33</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16,027</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1,769</w:t>
            </w:r>
          </w:p>
        </w:tc>
        <w:tc>
          <w:tcPr>
            <w:tcW w:w="42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(4,594)</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19,245</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4,784</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(2,199)</w:t>
            </w:r>
          </w:p>
        </w:tc>
        <w:tc>
          <w:tcPr>
            <w:tcW w:w="60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33</w:t>
            </w:r>
          </w:p>
        </w:tc>
        <w:tc>
          <w:tcPr>
            <w:tcW w:w="2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17,287</w:t>
            </w:r>
          </w:p>
        </w:tc>
        <w:tc>
          <w:tcPr>
            <w:tcW w:w="0" w:type="dxa"/>
            <w:vAlign w:val="bottom"/>
          </w:tcPr>
          <w:p>
            <w:pPr>
              <w:spacing w:after="0"/>
              <w:rPr>
                <w:sz w:val="1"/>
                <w:szCs w:val="1"/>
                <w:color w:val="auto"/>
              </w:rPr>
            </w:pPr>
          </w:p>
        </w:tc>
      </w:tr>
      <w:tr>
        <w:trPr>
          <w:trHeight w:val="166"/>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earnings atributable to AbbVie Inc.</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4,041</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4,041</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Other comprehensive loss, net of tax</w:t>
            </w:r>
          </w:p>
        </w:tc>
        <w:tc>
          <w:tcPr>
            <w:tcW w:w="15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(154)</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(7,892)</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(7,892)</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1"/>
                <w:szCs w:val="11"/>
                <w:color w:val="auto"/>
              </w:rPr>
              <w:t>Purchases of treasury stock</w:t>
            </w:r>
          </w:p>
        </w:tc>
        <w:tc>
          <w:tcPr>
            <w:tcW w:w="1560" w:type="dxa"/>
            <w:vAlign w:val="bottom"/>
          </w:tcPr>
          <w:p>
            <w:pPr>
              <w:jc w:val="right"/>
              <w:ind w:right="3"/>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580" w:type="dxa"/>
            <w:vAlign w:val="bottom"/>
          </w:tcPr>
          <w:p>
            <w:pPr>
              <w:jc w:val="right"/>
              <w:ind w:right="23"/>
              <w:spacing w:after="0"/>
              <w:rPr>
                <w:sz w:val="20"/>
                <w:szCs w:val="20"/>
                <w:color w:val="auto"/>
              </w:rPr>
            </w:pPr>
            <w:r>
              <w:rPr>
                <w:rFonts w:ascii="Arial" w:cs="Arial" w:eastAsia="Arial" w:hAnsi="Arial"/>
                <w:sz w:val="11"/>
                <w:szCs w:val="11"/>
                <w:color w:val="auto"/>
              </w:rPr>
              <w:t>(1,969)</w:t>
            </w:r>
          </w:p>
        </w:tc>
        <w:tc>
          <w:tcPr>
            <w:tcW w:w="18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(1,969)</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compensaton plans and other</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776</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5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Change in noncontrolling interest</w:t>
            </w:r>
          </w:p>
        </w:tc>
        <w:tc>
          <w:tcPr>
            <w:tcW w:w="15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7"/>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2023</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1,765</w:t>
            </w:r>
          </w:p>
        </w:tc>
        <w:tc>
          <w:tcPr>
            <w:tcW w:w="42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18</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(6,525)</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20,021</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(2,353)</w:t>
            </w:r>
          </w:p>
        </w:tc>
        <w:tc>
          <w:tcPr>
            <w:tcW w:w="60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35</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4</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Condensed Consolidated Statements of Cash Flows (unaudited)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Nine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(brackets denote cash outlows)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4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fows from operatng actvites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4,049</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9,373</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Adjustments to reconcile net earnings to net cash from operatng actvites: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Depreciaton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565</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79"/>
        </w:trPr>
        <w:tc>
          <w:tcPr>
            <w:tcW w:w="8480" w:type="dxa"/>
            <w:vAlign w:val="bottom"/>
          </w:tcPr>
          <w:p>
            <w:pPr>
              <w:ind w:left="140"/>
              <w:spacing w:after="0"/>
              <w:rPr>
                <w:sz w:val="20"/>
                <w:szCs w:val="20"/>
                <w:color w:val="auto"/>
              </w:rPr>
            </w:pPr>
            <w:r>
              <w:rPr>
                <w:rFonts w:ascii="Arial" w:cs="Arial" w:eastAsia="Arial" w:hAnsi="Arial"/>
                <w:sz w:val="14"/>
                <w:szCs w:val="14"/>
                <w:color w:val="auto"/>
              </w:rPr>
              <w:t>Amortzaton of intangible assets</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6,057</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5,728</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(1,498)</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79"/>
        </w:trPr>
        <w:tc>
          <w:tcPr>
            <w:tcW w:w="8480" w:type="dxa"/>
            <w:vAlign w:val="bottom"/>
          </w:tcPr>
          <w:p>
            <w:pPr>
              <w:ind w:left="140"/>
              <w:spacing w:after="0"/>
              <w:rPr>
                <w:sz w:val="20"/>
                <w:szCs w:val="20"/>
                <w:color w:val="auto"/>
              </w:rPr>
            </w:pPr>
            <w:r>
              <w:rPr>
                <w:rFonts w:ascii="Arial" w:cs="Arial" w:eastAsia="Arial" w:hAnsi="Arial"/>
                <w:sz w:val="14"/>
                <w:szCs w:val="14"/>
                <w:color w:val="auto"/>
              </w:rPr>
              <w:t>Change in fair value of contngent consideraton liabilites</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3,432</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contngent consideraton liabilites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(407)</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9"/>
        </w:trPr>
        <w:tc>
          <w:tcPr>
            <w:tcW w:w="8480" w:type="dxa"/>
            <w:vAlign w:val="bottom"/>
          </w:tcPr>
          <w:p>
            <w:pPr>
              <w:ind w:left="140"/>
              <w:spacing w:after="0"/>
              <w:rPr>
                <w:sz w:val="20"/>
                <w:szCs w:val="20"/>
                <w:color w:val="auto"/>
              </w:rPr>
            </w:pPr>
            <w:r>
              <w:rPr>
                <w:rFonts w:ascii="Arial" w:cs="Arial" w:eastAsia="Arial" w:hAnsi="Arial"/>
                <w:sz w:val="14"/>
                <w:szCs w:val="14"/>
                <w:color w:val="auto"/>
              </w:rPr>
              <w:t>Stock-based compensaton</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622</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Acquired IPR&amp;D and milestones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496</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79"/>
        </w:trPr>
        <w:tc>
          <w:tcPr>
            <w:tcW w:w="8480" w:type="dxa"/>
            <w:vAlign w:val="bottom"/>
          </w:tcPr>
          <w:p>
            <w:pPr>
              <w:ind w:left="140"/>
              <w:spacing w:after="0"/>
              <w:rPr>
                <w:sz w:val="20"/>
                <w:szCs w:val="20"/>
                <w:color w:val="auto"/>
              </w:rPr>
            </w:pPr>
            <w:r>
              <w:rPr>
                <w:rFonts w:ascii="Arial" w:cs="Arial" w:eastAsia="Arial" w:hAnsi="Arial"/>
                <w:sz w:val="14"/>
                <w:szCs w:val="14"/>
                <w:color w:val="auto"/>
              </w:rPr>
              <w:t>Gain on divesttures</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litgaton reserve adjustments, net of cash payments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(205)</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79"/>
        </w:trPr>
        <w:tc>
          <w:tcPr>
            <w:tcW w:w="8480" w:type="dxa"/>
            <w:vAlign w:val="bottom"/>
          </w:tcPr>
          <w:p>
            <w:pPr>
              <w:ind w:left="140"/>
              <w:spacing w:after="0"/>
              <w:rPr>
                <w:sz w:val="20"/>
                <w:szCs w:val="20"/>
                <w:color w:val="auto"/>
              </w:rPr>
            </w:pPr>
            <w:r>
              <w:rPr>
                <w:rFonts w:ascii="Arial" w:cs="Arial" w:eastAsia="Arial" w:hAnsi="Arial"/>
                <w:sz w:val="14"/>
                <w:szCs w:val="14"/>
                <w:color w:val="auto"/>
              </w:rPr>
              <w:t>Impairment of intangible assets</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2,824</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(219)</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9"/>
        </w:trPr>
        <w:tc>
          <w:tcPr>
            <w:tcW w:w="8480" w:type="dxa"/>
            <w:vAlign w:val="bottom"/>
          </w:tcPr>
          <w:p>
            <w:pPr>
              <w:ind w:left="140"/>
              <w:spacing w:after="0"/>
              <w:rPr>
                <w:sz w:val="20"/>
                <w:szCs w:val="20"/>
                <w:color w:val="auto"/>
              </w:rPr>
            </w:pPr>
            <w:r>
              <w:rPr>
                <w:rFonts w:ascii="Arial" w:cs="Arial" w:eastAsia="Arial" w:hAnsi="Arial"/>
                <w:sz w:val="14"/>
                <w:szCs w:val="14"/>
                <w:color w:val="auto"/>
              </w:rPr>
              <w:t>Changes in operatng assets and liabilites, net of acquisitons: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(273)</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79"/>
        </w:trPr>
        <w:tc>
          <w:tcPr>
            <w:tcW w:w="848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(513)</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9"/>
        </w:trPr>
        <w:tc>
          <w:tcPr>
            <w:tcW w:w="8480" w:type="dxa"/>
            <w:vAlign w:val="bottom"/>
          </w:tcPr>
          <w:p>
            <w:pPr>
              <w:ind w:left="260"/>
              <w:spacing w:after="0"/>
              <w:rPr>
                <w:sz w:val="20"/>
                <w:szCs w:val="20"/>
                <w:color w:val="auto"/>
              </w:rPr>
            </w:pPr>
            <w:r>
              <w:rPr>
                <w:rFonts w:ascii="Arial" w:cs="Arial" w:eastAsia="Arial" w:hAnsi="Arial"/>
                <w:sz w:val="14"/>
                <w:szCs w:val="14"/>
                <w:color w:val="auto"/>
              </w:rPr>
              <w:t>Accounts payable and other liabilites</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3,661</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Income tax assets and liabilites,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(899)</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2"/>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fows from operatng actvites</w:t>
            </w:r>
          </w:p>
        </w:tc>
        <w:tc>
          <w:tcPr>
            <w:tcW w:w="32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18,086</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17,515</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fows from investng actvites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Acquisitons and investments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(670)</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Acquisitons of property and equipment</w:t>
            </w: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(572)</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 securites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Sales and maturites of investment securites</w:t>
            </w:r>
          </w:p>
        </w:tc>
        <w:tc>
          <w:tcPr>
            <w:tcW w:w="32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41</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72"/>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fows from investng actvites</w:t>
            </w:r>
          </w:p>
        </w:tc>
        <w:tc>
          <w:tcPr>
            <w:tcW w:w="320" w:type="dxa"/>
            <w:vAlign w:val="bottom"/>
          </w:tcPr>
          <w:p>
            <w:pPr>
              <w:spacing w:after="0"/>
              <w:rPr>
                <w:sz w:val="14"/>
                <w:szCs w:val="1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(1,209)</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fows from fnancing actvites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Repayments of long-term debt and fnance lease obligatons</w:t>
            </w: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(2,355)</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(7,582)</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(7,913)</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(7,537)</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(1,969)</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optons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149</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Payments of contngent consideraton liabilites</w:t>
            </w: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(735)</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2"/>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fows from fnancing actvites</w:t>
            </w:r>
          </w:p>
        </w:tc>
        <w:tc>
          <w:tcPr>
            <w:tcW w:w="320" w:type="dxa"/>
            <w:vAlign w:val="bottom"/>
          </w:tcPr>
          <w:p>
            <w:pPr>
              <w:spacing w:after="0"/>
              <w:rPr>
                <w:sz w:val="14"/>
                <w:szCs w:val="1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(12,773)</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(15,169)</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Efect of exchange rate changes on cash and equivalents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1"/>
        </w:trPr>
        <w:tc>
          <w:tcPr>
            <w:tcW w:w="8480" w:type="dxa"/>
            <w:vAlign w:val="bottom"/>
          </w:tcPr>
          <w:p>
            <w:pPr>
              <w:ind w:left="20"/>
              <w:spacing w:after="0"/>
              <w:rPr>
                <w:sz w:val="20"/>
                <w:szCs w:val="20"/>
                <w:color w:val="auto"/>
              </w:rPr>
            </w:pPr>
            <w:r>
              <w:rPr>
                <w:rFonts w:ascii="Arial" w:cs="Arial" w:eastAsia="Arial" w:hAnsi="Arial"/>
                <w:sz w:val="14"/>
                <w:szCs w:val="14"/>
                <w:color w:val="auto"/>
              </w:rPr>
              <w:t>Net change in cash and equivalents</w:t>
            </w:r>
          </w:p>
        </w:tc>
        <w:tc>
          <w:tcPr>
            <w:tcW w:w="32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4,086</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equivalents, beginning of period</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9,201</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9,746</w:t>
            </w:r>
          </w:p>
        </w:tc>
        <w:tc>
          <w:tcPr>
            <w:tcW w:w="0" w:type="dxa"/>
            <w:vAlign w:val="bottom"/>
          </w:tcPr>
          <w:p>
            <w:pPr>
              <w:spacing w:after="0"/>
              <w:rPr>
                <w:sz w:val="1"/>
                <w:szCs w:val="1"/>
                <w:color w:val="auto"/>
              </w:rPr>
            </w:pPr>
          </w:p>
        </w:tc>
      </w:tr>
      <w:tr>
        <w:trPr>
          <w:trHeight w:val="193"/>
        </w:trPr>
        <w:tc>
          <w:tcPr>
            <w:tcW w:w="8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equivalents, end of period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13,287</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auto"/>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800" w:type="dxa"/>
            <w:vAlign w:val="bottom"/>
            <w:gridSpan w:val="2"/>
          </w:tcPr>
          <w:p>
            <w:pPr>
              <w:ind w:left="2800"/>
              <w:spacing w:after="0"/>
              <w:rPr>
                <w:sz w:val="20"/>
                <w:szCs w:val="20"/>
                <w:color w:val="auto"/>
              </w:rPr>
            </w:pPr>
            <w:r>
              <w:rPr>
                <w:rFonts w:ascii="Arial" w:cs="Arial" w:eastAsia="Arial" w:hAnsi="Arial"/>
                <w:sz w:val="14"/>
                <w:szCs w:val="14"/>
                <w:color w:val="auto"/>
                <w:w w:val="97"/>
              </w:rPr>
              <w:t>The accompanying notes are an integral part of these condensed consolidated fnancial statements.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5</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444867"/>
        </w:rPr>
        <w:t>AbbVie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Notes to Condensed Consolidated Financial Statements (unaudited)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1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Basis of Historical Presentaton</w:t>
      </w:r>
    </w:p>
    <w:p>
      <w:pPr>
        <w:spacing w:after="0" w:line="53" w:lineRule="exact"/>
        <w:rPr>
          <w:sz w:val="20"/>
          <w:szCs w:val="20"/>
          <w:color w:val="auto"/>
        </w:rPr>
      </w:pPr>
    </w:p>
    <w:p>
      <w:pPr>
        <w:ind w:right="280"/>
        <w:spacing w:after="0" w:line="287" w:lineRule="auto"/>
        <w:rPr>
          <w:sz w:val="20"/>
          <w:szCs w:val="20"/>
          <w:color w:val="auto"/>
        </w:rPr>
      </w:pPr>
      <w:r>
        <w:rPr>
          <w:rFonts w:ascii="Arial" w:cs="Arial" w:eastAsia="Arial" w:hAnsi="Arial"/>
          <w:sz w:val="13"/>
          <w:szCs w:val="13"/>
          <w:color w:val="auto"/>
        </w:rPr>
        <w:t>The unaudited interim condensed consolidated fnancial statements of AbbVie Inc. (AbbVie or the company) have been prepared pursuant to the rules and regulatons of the U.S. Securites and Exchange Commission. Accordingly, certain informaton and footnote disclosures normally included in annual fnancial statements prepared in accordance with generally accepted accountng principles in the United States (U.S. GAAP) have been omited. These unaudited interim condensed consolidated fnancial statements should be read in conjuncton with the company’s audited consolidated fnancial statements and notes included in the company’s Annual Report on Form 10-K for the year ended December 31, 2022.</w:t>
      </w:r>
    </w:p>
    <w:p>
      <w:pPr>
        <w:spacing w:after="0" w:line="8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It is management’s opinion that these fnancial statements include all normal and recurring adjustments necessary for a fair presentaton of the company’s fnancial positon and operatng results. Net revenues and net earnings for any interim period are not necessarily indicatve of future or annual results. Certain other reclassifcatons were made to conform the prior period interim condensed consolidated fnancial statements to the current period presentaton.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2 Supplemental Financial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Interest Expense, Net</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6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0"/>
              </w:rPr>
              <w:t>Three months ended</w:t>
            </w:r>
          </w:p>
        </w:tc>
        <w:tc>
          <w:tcPr>
            <w:tcW w:w="860" w:type="dxa"/>
            <w:vAlign w:val="bottom"/>
          </w:tcPr>
          <w:p>
            <w:pPr>
              <w:spacing w:after="0"/>
              <w:rPr>
                <w:sz w:val="10"/>
                <w:szCs w:val="10"/>
                <w:color w:val="auto"/>
              </w:rPr>
            </w:pPr>
          </w:p>
        </w:tc>
        <w:tc>
          <w:tcPr>
            <w:tcW w:w="1940" w:type="dxa"/>
            <w:vAlign w:val="bottom"/>
          </w:tcPr>
          <w:p>
            <w:pPr>
              <w:jc w:val="center"/>
              <w:ind w:right="803"/>
              <w:spacing w:after="0"/>
              <w:rPr>
                <w:sz w:val="20"/>
                <w:szCs w:val="20"/>
                <w:color w:val="auto"/>
              </w:rPr>
            </w:pPr>
            <w:r>
              <w:rPr>
                <w:rFonts w:ascii="Arial" w:cs="Arial" w:eastAsia="Arial" w:hAnsi="Arial"/>
                <w:sz w:val="11"/>
                <w:szCs w:val="11"/>
                <w:b w:val="1"/>
                <w:bCs w:val="1"/>
                <w:color w:val="auto"/>
                <w:w w:val="90"/>
              </w:rPr>
              <w:t>Nine months ended</w:t>
            </w:r>
          </w:p>
        </w:tc>
        <w:tc>
          <w:tcPr>
            <w:tcW w:w="0" w:type="dxa"/>
            <w:vAlign w:val="bottom"/>
          </w:tcPr>
          <w:p>
            <w:pPr>
              <w:spacing w:after="0"/>
              <w:rPr>
                <w:sz w:val="1"/>
                <w:szCs w:val="1"/>
                <w:color w:val="auto"/>
              </w:rPr>
            </w:pPr>
          </w:p>
        </w:tc>
      </w:tr>
      <w:tr>
        <w:trPr>
          <w:trHeight w:val="145"/>
        </w:trPr>
        <w:tc>
          <w:tcPr>
            <w:tcW w:w="5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6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3"/>
              </w:rPr>
              <w:t>September 30,</w:t>
            </w:r>
          </w:p>
        </w:tc>
        <w:tc>
          <w:tcPr>
            <w:tcW w:w="860" w:type="dxa"/>
            <w:vAlign w:val="bottom"/>
          </w:tcPr>
          <w:p>
            <w:pPr>
              <w:spacing w:after="0"/>
              <w:rPr>
                <w:sz w:val="12"/>
                <w:szCs w:val="12"/>
                <w:color w:val="auto"/>
              </w:rPr>
            </w:pPr>
          </w:p>
        </w:tc>
        <w:tc>
          <w:tcPr>
            <w:tcW w:w="1940" w:type="dxa"/>
            <w:vAlign w:val="bottom"/>
          </w:tcPr>
          <w:p>
            <w:pPr>
              <w:jc w:val="center"/>
              <w:ind w:right="803"/>
              <w:spacing w:after="0"/>
              <w:rPr>
                <w:sz w:val="20"/>
                <w:szCs w:val="20"/>
                <w:color w:val="auto"/>
              </w:rPr>
            </w:pPr>
            <w:r>
              <w:rPr>
                <w:rFonts w:ascii="Arial" w:cs="Arial" w:eastAsia="Arial" w:hAnsi="Arial"/>
                <w:sz w:val="11"/>
                <w:szCs w:val="11"/>
                <w:b w:val="1"/>
                <w:bCs w:val="1"/>
                <w:color w:val="auto"/>
                <w:w w:val="90"/>
              </w:rPr>
              <w:t>September 30,</w:t>
            </w:r>
          </w:p>
        </w:tc>
        <w:tc>
          <w:tcPr>
            <w:tcW w:w="0" w:type="dxa"/>
            <w:vAlign w:val="bottom"/>
          </w:tcPr>
          <w:p>
            <w:pPr>
              <w:spacing w:after="0"/>
              <w:rPr>
                <w:sz w:val="1"/>
                <w:szCs w:val="1"/>
                <w:color w:val="auto"/>
              </w:rPr>
            </w:pPr>
          </w:p>
        </w:tc>
      </w:tr>
      <w:tr>
        <w:trPr>
          <w:trHeight w:val="25"/>
        </w:trPr>
        <w:tc>
          <w:tcPr>
            <w:tcW w:w="554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5540" w:type="dxa"/>
            <w:vAlign w:val="bottom"/>
            <w:vMerge w:val="continue"/>
          </w:tcPr>
          <w:p>
            <w:pPr>
              <w:spacing w:after="0"/>
              <w:rPr>
                <w:sz w:val="11"/>
                <w:szCs w:val="11"/>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2023</w:t>
            </w:r>
          </w:p>
        </w:tc>
        <w:tc>
          <w:tcPr>
            <w:tcW w:w="1960" w:type="dxa"/>
            <w:vAlign w:val="bottom"/>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100" w:type="dxa"/>
            <w:vAlign w:val="bottom"/>
            <w:vMerge w:val="continue"/>
          </w:tcPr>
          <w:p>
            <w:pPr>
              <w:spacing w:after="0"/>
              <w:rPr>
                <w:sz w:val="11"/>
                <w:szCs w:val="11"/>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b w:val="1"/>
                <w:bCs w:val="1"/>
                <w:color w:val="auto"/>
              </w:rPr>
              <w:t>2023</w:t>
            </w:r>
          </w:p>
        </w:tc>
        <w:tc>
          <w:tcPr>
            <w:tcW w:w="1940" w:type="dxa"/>
            <w:vAlign w:val="bottom"/>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40" w:type="dxa"/>
            <w:vAlign w:val="bottom"/>
            <w:tcBorders>
              <w:top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center"/>
              <w:ind w:left="369"/>
              <w:spacing w:after="0"/>
              <w:rPr>
                <w:sz w:val="20"/>
                <w:szCs w:val="20"/>
                <w:color w:val="auto"/>
              </w:rPr>
            </w:pPr>
            <w:r>
              <w:rPr>
                <w:rFonts w:ascii="Arial" w:cs="Arial" w:eastAsia="Arial" w:hAnsi="Arial"/>
                <w:sz w:val="14"/>
                <w:szCs w:val="14"/>
                <w:color w:val="auto"/>
                <w:w w:val="85"/>
              </w:rPr>
              <w:t>555</w:t>
            </w:r>
          </w:p>
        </w:tc>
        <w:tc>
          <w:tcPr>
            <w:tcW w:w="64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560</w:t>
            </w:r>
          </w:p>
        </w:tc>
        <w:tc>
          <w:tcPr>
            <w:tcW w:w="2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1,660</w:t>
            </w:r>
          </w:p>
        </w:tc>
        <w:tc>
          <w:tcPr>
            <w:tcW w:w="2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income</w:t>
            </w:r>
          </w:p>
        </w:tc>
        <w:tc>
          <w:tcPr>
            <w:tcW w:w="2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auto"/>
                <w:w w:val="91"/>
              </w:rPr>
              <w:t>(157)</w:t>
            </w:r>
          </w:p>
        </w:tc>
        <w:tc>
          <w:tcPr>
            <w:tcW w:w="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(354)</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24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left="369"/>
              <w:spacing w:after="0"/>
              <w:rPr>
                <w:sz w:val="20"/>
                <w:szCs w:val="20"/>
                <w:color w:val="auto"/>
              </w:rPr>
            </w:pPr>
            <w:r>
              <w:rPr>
                <w:rFonts w:ascii="Arial" w:cs="Arial" w:eastAsia="Arial" w:hAnsi="Arial"/>
                <w:sz w:val="14"/>
                <w:szCs w:val="14"/>
                <w:color w:val="auto"/>
                <w:w w:val="85"/>
              </w:rPr>
              <w:t>398</w:t>
            </w:r>
          </w:p>
        </w:tc>
        <w:tc>
          <w:tcPr>
            <w:tcW w:w="64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497</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1,306</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680" w:type="dxa"/>
            <w:vAlign w:val="bottom"/>
          </w:tcPr>
          <w:p>
            <w:pPr>
              <w:spacing w:after="0"/>
              <w:rPr>
                <w:sz w:val="20"/>
                <w:szCs w:val="20"/>
                <w:color w:val="auto"/>
              </w:rPr>
            </w:pPr>
            <w:r>
              <w:rPr>
                <w:rFonts w:ascii="Arial" w:cs="Arial" w:eastAsia="Arial" w:hAnsi="Arial"/>
                <w:sz w:val="14"/>
                <w:szCs w:val="14"/>
                <w:b w:val="1"/>
                <w:bCs w:val="1"/>
                <w:color w:val="444867"/>
              </w:rPr>
              <w:t>Inventories</w:t>
            </w: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93"/>
              <w:spacing w:after="0"/>
              <w:rPr>
                <w:sz w:val="20"/>
                <w:szCs w:val="20"/>
                <w:color w:val="auto"/>
              </w:rPr>
            </w:pPr>
            <w:r>
              <w:rPr>
                <w:rFonts w:ascii="Arial" w:cs="Arial" w:eastAsia="Arial" w:hAnsi="Arial"/>
                <w:sz w:val="11"/>
                <w:szCs w:val="11"/>
                <w:b w:val="1"/>
                <w:bCs w:val="1"/>
                <w:color w:val="auto"/>
                <w:w w:val="93"/>
              </w:rPr>
              <w:t>September 30,</w:t>
            </w:r>
          </w:p>
        </w:tc>
        <w:tc>
          <w:tcPr>
            <w:tcW w:w="260" w:type="dxa"/>
            <w:vAlign w:val="bottom"/>
          </w:tcPr>
          <w:p>
            <w:pPr>
              <w:spacing w:after="0"/>
              <w:rPr>
                <w:sz w:val="11"/>
                <w:szCs w:val="11"/>
                <w:color w:val="auto"/>
              </w:rPr>
            </w:pPr>
          </w:p>
        </w:tc>
        <w:tc>
          <w:tcPr>
            <w:tcW w:w="1140" w:type="dxa"/>
            <w:vAlign w:val="bottom"/>
          </w:tcPr>
          <w:p>
            <w:pPr>
              <w:jc w:val="center"/>
              <w:ind w:right="173"/>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5"/>
        </w:trPr>
        <w:tc>
          <w:tcPr>
            <w:tcW w:w="36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93"/>
              <w:spacing w:after="0"/>
              <w:rPr>
                <w:sz w:val="20"/>
                <w:szCs w:val="20"/>
                <w:color w:val="auto"/>
              </w:rPr>
            </w:pPr>
            <w:r>
              <w:rPr>
                <w:rFonts w:ascii="Arial" w:cs="Arial" w:eastAsia="Arial" w:hAnsi="Arial"/>
                <w:sz w:val="11"/>
                <w:szCs w:val="11"/>
                <w:b w:val="1"/>
                <w:bCs w:val="1"/>
                <w:color w:val="auto"/>
                <w:w w:val="89"/>
              </w:rPr>
              <w:t>2023</w:t>
            </w:r>
          </w:p>
        </w:tc>
        <w:tc>
          <w:tcPr>
            <w:tcW w:w="260" w:type="dxa"/>
            <w:vAlign w:val="bottom"/>
          </w:tcPr>
          <w:p>
            <w:pPr>
              <w:spacing w:after="0"/>
              <w:rPr>
                <w:sz w:val="12"/>
                <w:szCs w:val="12"/>
                <w:color w:val="auto"/>
              </w:rPr>
            </w:pPr>
          </w:p>
        </w:tc>
        <w:tc>
          <w:tcPr>
            <w:tcW w:w="1140" w:type="dxa"/>
            <w:vAlign w:val="bottom"/>
          </w:tcPr>
          <w:p>
            <w:pPr>
              <w:jc w:val="center"/>
              <w:ind w:right="153"/>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1,035</w:t>
            </w: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79"/>
        </w:trPr>
        <w:tc>
          <w:tcPr>
            <w:tcW w:w="368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1,690</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1,256</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Inventories</w:t>
            </w:r>
          </w:p>
        </w:tc>
        <w:tc>
          <w:tcPr>
            <w:tcW w:w="2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3,981</w:t>
            </w:r>
          </w:p>
        </w:tc>
        <w:tc>
          <w:tcPr>
            <w:tcW w:w="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4"/>
                <w:szCs w:val="14"/>
                <w:b w:val="1"/>
                <w:bCs w:val="1"/>
                <w:color w:val="444867"/>
              </w:rPr>
              <w:t>Property and Equipment, Net</w:t>
            </w: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93"/>
              <w:spacing w:after="0"/>
              <w:rPr>
                <w:sz w:val="20"/>
                <w:szCs w:val="20"/>
                <w:color w:val="auto"/>
              </w:rPr>
            </w:pPr>
            <w:r>
              <w:rPr>
                <w:rFonts w:ascii="Arial" w:cs="Arial" w:eastAsia="Arial" w:hAnsi="Arial"/>
                <w:sz w:val="11"/>
                <w:szCs w:val="11"/>
                <w:b w:val="1"/>
                <w:bCs w:val="1"/>
                <w:color w:val="auto"/>
                <w:w w:val="93"/>
              </w:rPr>
              <w:t>September 30,</w:t>
            </w:r>
          </w:p>
        </w:tc>
        <w:tc>
          <w:tcPr>
            <w:tcW w:w="260" w:type="dxa"/>
            <w:vAlign w:val="bottom"/>
          </w:tcPr>
          <w:p>
            <w:pPr>
              <w:spacing w:after="0"/>
              <w:rPr>
                <w:sz w:val="11"/>
                <w:szCs w:val="11"/>
                <w:color w:val="auto"/>
              </w:rPr>
            </w:pPr>
          </w:p>
        </w:tc>
        <w:tc>
          <w:tcPr>
            <w:tcW w:w="1140" w:type="dxa"/>
            <w:vAlign w:val="bottom"/>
          </w:tcPr>
          <w:p>
            <w:pPr>
              <w:jc w:val="center"/>
              <w:ind w:right="173"/>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5"/>
        </w:trPr>
        <w:tc>
          <w:tcPr>
            <w:tcW w:w="368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93"/>
              <w:spacing w:after="0"/>
              <w:rPr>
                <w:sz w:val="20"/>
                <w:szCs w:val="20"/>
                <w:color w:val="auto"/>
              </w:rPr>
            </w:pPr>
            <w:r>
              <w:rPr>
                <w:rFonts w:ascii="Arial" w:cs="Arial" w:eastAsia="Arial" w:hAnsi="Arial"/>
                <w:sz w:val="11"/>
                <w:szCs w:val="11"/>
                <w:b w:val="1"/>
                <w:bCs w:val="1"/>
                <w:color w:val="auto"/>
                <w:w w:val="89"/>
              </w:rPr>
              <w:t>2023</w:t>
            </w:r>
          </w:p>
        </w:tc>
        <w:tc>
          <w:tcPr>
            <w:tcW w:w="260" w:type="dxa"/>
            <w:vAlign w:val="bottom"/>
          </w:tcPr>
          <w:p>
            <w:pPr>
              <w:spacing w:after="0"/>
              <w:rPr>
                <w:sz w:val="12"/>
                <w:szCs w:val="12"/>
                <w:color w:val="auto"/>
              </w:rPr>
            </w:pPr>
          </w:p>
        </w:tc>
        <w:tc>
          <w:tcPr>
            <w:tcW w:w="1140" w:type="dxa"/>
            <w:vAlign w:val="bottom"/>
          </w:tcPr>
          <w:p>
            <w:pPr>
              <w:jc w:val="center"/>
              <w:ind w:right="153"/>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gross</w:t>
            </w:r>
          </w:p>
        </w:tc>
        <w:tc>
          <w:tcPr>
            <w:tcW w:w="2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11,374</w:t>
            </w:r>
          </w:p>
        </w:tc>
        <w:tc>
          <w:tcPr>
            <w:tcW w:w="2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10,986</w:t>
            </w:r>
          </w:p>
        </w:tc>
        <w:tc>
          <w:tcPr>
            <w:tcW w:w="0" w:type="dxa"/>
            <w:vAlign w:val="bottom"/>
          </w:tcPr>
          <w:p>
            <w:pPr>
              <w:spacing w:after="0"/>
              <w:rPr>
                <w:sz w:val="1"/>
                <w:szCs w:val="1"/>
                <w:color w:val="auto"/>
              </w:rPr>
            </w:pPr>
          </w:p>
        </w:tc>
      </w:tr>
      <w:tr>
        <w:trPr>
          <w:trHeight w:val="1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Accumulated depreciaton</w:t>
            </w:r>
          </w:p>
        </w:tc>
        <w:tc>
          <w:tcPr>
            <w:tcW w:w="2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(6,440)</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(6,051)</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4,934</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auto"/>
        </w:rPr>
        <w:t>Depreciaton expense was $196 million for the three months and $565 million for the nine months ended September 30, 2023 and $181 million for the three months and $582 million for the nine months ended September 30, 2022.</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6</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444867"/>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2"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AbbVie grants certain restricted stock units (RSUs) that are considered to be partcipatng securites. Due to the presence of partcipatng securites, AbbVie calculates earnings per share (EPS) using the more dilutve of the treasury stock or the two-class method. For all periods presented, the two-class method was more dilutve.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impact of the two-class method: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Nine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5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5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Basic EPS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atributable to AbbVie Inc.</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1,778</w:t>
            </w:r>
          </w:p>
        </w:tc>
        <w:tc>
          <w:tcPr>
            <w:tcW w:w="5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4,041</w:t>
            </w:r>
          </w:p>
        </w:tc>
        <w:tc>
          <w:tcPr>
            <w:tcW w:w="56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 allocated to partcipatng securites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32</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Earnings available to common shareholders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1,767</w:t>
            </w:r>
          </w:p>
        </w:tc>
        <w:tc>
          <w:tcPr>
            <w:tcW w:w="5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4,009</w:t>
            </w:r>
          </w:p>
        </w:tc>
        <w:tc>
          <w:tcPr>
            <w:tcW w:w="56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6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Weighted-average basic shares outstanding</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
              <w:spacing w:after="0" w:line="143" w:lineRule="exact"/>
              <w:rPr>
                <w:sz w:val="20"/>
                <w:szCs w:val="20"/>
                <w:color w:val="auto"/>
              </w:rPr>
            </w:pPr>
            <w:r>
              <w:rPr>
                <w:rFonts w:ascii="Arial" w:cs="Arial" w:eastAsia="Arial" w:hAnsi="Arial"/>
                <w:sz w:val="14"/>
                <w:szCs w:val="14"/>
                <w:color w:val="auto"/>
              </w:rPr>
              <w:t>1,767</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1,771</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color w:val="auto"/>
              </w:rPr>
              <w:t>1,768</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 atributable to AbbVie Inc.</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1.00</w:t>
            </w:r>
          </w:p>
        </w:tc>
        <w:tc>
          <w:tcPr>
            <w:tcW w:w="5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2.27</w:t>
            </w:r>
          </w:p>
        </w:tc>
        <w:tc>
          <w:tcPr>
            <w:tcW w:w="56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Net earnings atributable to AbbVie Inc.</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1,778</w:t>
            </w:r>
          </w:p>
        </w:tc>
        <w:tc>
          <w:tcPr>
            <w:tcW w:w="5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4,041</w:t>
            </w:r>
          </w:p>
        </w:tc>
        <w:tc>
          <w:tcPr>
            <w:tcW w:w="5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9,363</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Earnings allocated to partcipatng securites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 available to common shareholders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1,767</w:t>
            </w:r>
          </w:p>
        </w:tc>
        <w:tc>
          <w:tcPr>
            <w:tcW w:w="5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4,009</w:t>
            </w:r>
          </w:p>
        </w:tc>
        <w:tc>
          <w:tcPr>
            <w:tcW w:w="5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common stock outstanding</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1,767</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1,768</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Efect of dilutve securites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Weighted-average diluted shares outstanding</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1,771</w:t>
            </w:r>
          </w:p>
        </w:tc>
        <w:tc>
          <w:tcPr>
            <w:tcW w:w="5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1,772</w:t>
            </w:r>
          </w:p>
        </w:tc>
        <w:tc>
          <w:tcPr>
            <w:tcW w:w="5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share atributable to AbbVie Inc.</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w:t>
            </w:r>
          </w:p>
        </w:tc>
        <w:tc>
          <w:tcPr>
            <w:tcW w:w="5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2.26</w:t>
            </w:r>
          </w:p>
        </w:tc>
        <w:tc>
          <w:tcPr>
            <w:tcW w:w="5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500"/>
        <w:spacing w:after="0" w:line="278" w:lineRule="auto"/>
        <w:rPr>
          <w:sz w:val="20"/>
          <w:szCs w:val="20"/>
          <w:color w:val="auto"/>
        </w:rPr>
      </w:pPr>
      <w:r>
        <w:rPr>
          <w:rFonts w:ascii="Arial" w:cs="Arial" w:eastAsia="Arial" w:hAnsi="Arial"/>
          <w:sz w:val="14"/>
          <w:szCs w:val="14"/>
          <w:color w:val="auto"/>
        </w:rPr>
        <w:t>Certain shares issuable under stock-based compensaton plans were excluded from the computaton of EPS because the efect would have been antdilutve. The number of common shares excluded was insignifcant for all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4 Licensing, Acquisitons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Other Licensing &amp; Acquisitons Actvity</w:t>
      </w:r>
    </w:p>
    <w:p>
      <w:pPr>
        <w:spacing w:after="0" w:line="127"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Cash outlows related to acquisitons and investments totaled $670 million for the nine months ended September 30, 2023 and $494 million for the nine months ended September 30, 2022. AbbVie recorded acquired IPR&amp;D and milestones expense of $66 million for the three months and $496 million for the nine months ended September 30, 2023 and $40 million for the three months and $454 million for the nine months ended September 30, 2022.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Syndesi Therapeutcs SA</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In February 2022, AbbVie acquired Syndesi Therapeutcs SA and its portolio of novel modulators of the synaptc vesicle protein 2A, including its lead molecule ABBV-552, previously named SDI-118, and accounted for the transacton as an asset acquisiton. ABBV-552 is a small molecule, which is being evaluated to target nerve terminals to enhance synaptc efciency. Under the terms of the agreement, AbbVie made an upfront payment of $130 million which was recorded to acquired IPR&amp;D and milestones expense in the condensed consolidated statement of earnings in the frst quarter of 2022. The agreement also includes additonal future payments of up to $870 million upon the achievement of certain development, regulatory and commercial milestones.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Juvise Pharmaceutcals</w:t>
      </w:r>
    </w:p>
    <w:p>
      <w:pPr>
        <w:spacing w:after="0" w:line="115" w:lineRule="exact"/>
        <w:rPr>
          <w:sz w:val="20"/>
          <w:szCs w:val="20"/>
          <w:color w:val="auto"/>
        </w:rPr>
      </w:pPr>
    </w:p>
    <w:p>
      <w:pPr>
        <w:ind w:right="320"/>
        <w:spacing w:after="0" w:line="242" w:lineRule="auto"/>
        <w:rPr>
          <w:sz w:val="20"/>
          <w:szCs w:val="20"/>
          <w:color w:val="auto"/>
        </w:rPr>
      </w:pPr>
      <w:r>
        <w:rPr>
          <w:rFonts w:ascii="Arial" w:cs="Arial" w:eastAsia="Arial" w:hAnsi="Arial"/>
          <w:sz w:val="14"/>
          <w:szCs w:val="14"/>
          <w:color w:val="auto"/>
        </w:rPr>
        <w:t>In June 2022, AbbVie and Laboratories Juvise Pharmaceutcals (Juvise) entered into an asset purchase agreement where Juvise acquired worldwide commercial rights of a mature brand Pylera, which is used for the treatment of peptc ulcers with an infecton by the bacterium Helicobacter pylori. The transacton was accounted for as the sale of an asset. Upon completon of the transacton,</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7</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9" w:name="page10"/>
    <w:bookmarkEnd w:id="9"/>
    <w:p>
      <w:pPr>
        <w:spacing w:after="0" w:line="262" w:lineRule="auto"/>
        <w:rPr>
          <w:sz w:val="20"/>
          <w:szCs w:val="20"/>
          <w:color w:val="auto"/>
        </w:rPr>
      </w:pPr>
      <w:r>
        <w:rPr>
          <w:rFonts w:ascii="Arial" w:cs="Arial" w:eastAsia="Arial" w:hAnsi="Arial"/>
          <w:sz w:val="14"/>
          <w:szCs w:val="14"/>
          <w:color w:val="auto"/>
        </w:rPr>
        <w:t>AbbVie received net cash proceeds of $215 million and recognized a pre-tax gain of $172 million which was recorded in other operatng income in the condensed consolidated statement of earnings in the second quarter of 2022.</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Arrangements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AbbVie entered into several other arrangements resultng in charges related to upfront payments of $44 million for the three months and $396 million for the nine months ended September 30, 2023 and $40 million for the three months and $262 million for the nine months ended September 30, 2022. Acquired IPR&amp;D and milestones expense also included development milestones of $22 million for the three months and $100 million for the nine months ended September 30, 2023 and $62 million for the nine months ended September 30, 2022. There were no development milestones for the three months ended September 30, 2022.</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5 Collaboratons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2" w:lineRule="exact"/>
        <w:rPr>
          <w:sz w:val="20"/>
          <w:szCs w:val="20"/>
          <w:color w:val="auto"/>
        </w:rPr>
      </w:pPr>
    </w:p>
    <w:p>
      <w:pPr>
        <w:ind w:right="520"/>
        <w:spacing w:after="0" w:line="278" w:lineRule="auto"/>
        <w:rPr>
          <w:sz w:val="20"/>
          <w:szCs w:val="20"/>
          <w:color w:val="auto"/>
        </w:rPr>
      </w:pPr>
      <w:r>
        <w:rPr>
          <w:rFonts w:ascii="Arial" w:cs="Arial" w:eastAsia="Arial" w:hAnsi="Arial"/>
          <w:sz w:val="14"/>
          <w:szCs w:val="14"/>
          <w:color w:val="auto"/>
        </w:rPr>
        <w:t>The company has ongoing transactons with other enttes through collaboraton agreements. The following represent the signifcant collaboraton agreements impactng the periods ended September 30, 2023 and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Collaboraton with Janssen Biotech, Inc.</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 December 2011, Pharmacyclics, a wholly-owned subsidiary of AbbVie, entered into a worldwide collaboraton and license agreement with Janssen Biotech, Inc. and its afliates (Janssen), one of the Janssen Pharmaceutcal companies of Johnson &amp; Johnson, for the joint development and commercializaton of Imbruvica, a novel, orally actve, selectve covalent inhibitor of Bruton’s tyrosine kinase and certain compounds structurally related to Imbruvica, for oncology and other indicatons, excluding all immune and infammatory mediated diseases or conditons and all psychiatric or psychological diseases or conditons, in the United States and outside the United States.</w:t>
      </w:r>
    </w:p>
    <w:p>
      <w:pPr>
        <w:spacing w:after="0" w:line="95"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The collaboraton provides Janssen with an exclusive license to commercialize Imbruvica outside of the United States and co-exclusively with AbbVie in the United States. Both partes are responsible for the development, manufacturing and marketng of any products generated as a result of the collaboraton. The collaboraton has no set duraton or specifc expiraton date and provides for potental future development, regulatory and approval milestone payments of up to $200 million to AbbVie. The collaboraton also includes a cost sharing arrangement for associated collaboraton actvites. Except in certain cases, Janssen is responsible for approximately 60% of collaboraton development costs and AbbVie is responsible for the remaining 40% of collaboraton development costs.</w:t>
      </w:r>
    </w:p>
    <w:p>
      <w:pPr>
        <w:spacing w:after="0" w:line="97"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In the United States, both partes have co-exclusive rights to commercialize the products; however, AbbVie is the principal in the end-customer product sales. AbbVie and Janssen share pre-tax profts and losses equally from the commercializaton of products. Sales of Imbruvica are included in AbbVie's net revenues. Janssen's share of profts is included in AbbVie's cost of products sold. Other costs incurred under the collaboraton are reported in their respectve expense line items, net of Janssen's share.</w:t>
      </w:r>
    </w:p>
    <w:p>
      <w:pPr>
        <w:spacing w:after="0" w:line="82" w:lineRule="exact"/>
        <w:rPr>
          <w:sz w:val="20"/>
          <w:szCs w:val="20"/>
          <w:color w:val="auto"/>
        </w:rPr>
      </w:pPr>
    </w:p>
    <w:p>
      <w:pPr>
        <w:ind w:right="60"/>
        <w:spacing w:after="0" w:line="318" w:lineRule="auto"/>
        <w:rPr>
          <w:sz w:val="20"/>
          <w:szCs w:val="20"/>
          <w:color w:val="auto"/>
        </w:rPr>
      </w:pPr>
      <w:r>
        <w:rPr>
          <w:rFonts w:ascii="Arial" w:cs="Arial" w:eastAsia="Arial" w:hAnsi="Arial"/>
          <w:sz w:val="13"/>
          <w:szCs w:val="13"/>
          <w:color w:val="auto"/>
        </w:rPr>
        <w:t>Outside the United States, Janssen is responsible for and has exclusive rights to commercialize Imbruvica. AbbVie and Janssen share pre-tax profts and losses equally from the commercializaton of products. AbbVie's share of profts is included in AbbVie's net revenues. Other costs incurred under the collaboraton are reported in their respectve expense line items, net of Janssen's share.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proft and cost sharing relatonship between Janssen and AbbVie: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860" w:type="dxa"/>
            <w:vAlign w:val="bottom"/>
            <w:gridSpan w:val="3"/>
          </w:tcPr>
          <w:p>
            <w:pPr>
              <w:jc w:val="center"/>
              <w:ind w:left="259"/>
              <w:spacing w:after="0"/>
              <w:rPr>
                <w:sz w:val="20"/>
                <w:szCs w:val="20"/>
                <w:color w:val="auto"/>
              </w:rPr>
            </w:pPr>
            <w:r>
              <w:rPr>
                <w:rFonts w:ascii="Arial" w:cs="Arial" w:eastAsia="Arial" w:hAnsi="Arial"/>
                <w:sz w:val="11"/>
                <w:szCs w:val="11"/>
                <w:b w:val="1"/>
                <w:bCs w:val="1"/>
                <w:color w:val="auto"/>
                <w:w w:val="90"/>
              </w:rPr>
              <w:t>Three months ended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3"/>
          </w:tcPr>
          <w:p>
            <w:pPr>
              <w:jc w:val="center"/>
              <w:ind w:left="319"/>
              <w:spacing w:after="0"/>
              <w:rPr>
                <w:sz w:val="20"/>
                <w:szCs w:val="20"/>
                <w:color w:val="auto"/>
              </w:rPr>
            </w:pPr>
            <w:r>
              <w:rPr>
                <w:rFonts w:ascii="Arial" w:cs="Arial" w:eastAsia="Arial" w:hAnsi="Arial"/>
                <w:sz w:val="11"/>
                <w:szCs w:val="11"/>
                <w:b w:val="1"/>
                <w:bCs w:val="1"/>
                <w:color w:val="auto"/>
                <w:w w:val="90"/>
              </w:rPr>
              <w:t>Nine months ended</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jc w:val="center"/>
              <w:ind w:right="296"/>
              <w:spacing w:after="0"/>
              <w:rPr>
                <w:sz w:val="20"/>
                <w:szCs w:val="20"/>
                <w:color w:val="auto"/>
              </w:rPr>
            </w:pPr>
            <w:r>
              <w:rPr>
                <w:rFonts w:ascii="Arial" w:cs="Arial" w:eastAsia="Arial" w:hAnsi="Arial"/>
                <w:sz w:val="11"/>
                <w:szCs w:val="11"/>
                <w:b w:val="1"/>
                <w:bCs w:val="1"/>
                <w:color w:val="auto"/>
                <w:w w:val="90"/>
              </w:rPr>
              <w:t>September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tcPr>
          <w:p>
            <w:pPr>
              <w:jc w:val="center"/>
              <w:ind w:right="256"/>
              <w:spacing w:after="0"/>
              <w:rPr>
                <w:sz w:val="20"/>
                <w:szCs w:val="20"/>
                <w:color w:val="auto"/>
              </w:rPr>
            </w:pPr>
            <w:r>
              <w:rPr>
                <w:rFonts w:ascii="Arial" w:cs="Arial" w:eastAsia="Arial" w:hAnsi="Arial"/>
                <w:sz w:val="11"/>
                <w:szCs w:val="11"/>
                <w:b w:val="1"/>
                <w:bCs w:val="1"/>
                <w:color w:val="auto"/>
                <w:w w:val="90"/>
              </w:rPr>
              <w:t>September 30,</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68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 - Janssen's share of profts (included in cost of products sold)</w:t>
            </w:r>
          </w:p>
        </w:tc>
        <w:tc>
          <w:tcPr>
            <w:tcW w:w="700" w:type="dxa"/>
            <w:vAlign w:val="bottom"/>
            <w:shd w:val="clear" w:color="auto" w:fill="CCEEFF"/>
          </w:tcPr>
          <w:p>
            <w:pPr>
              <w:jc w:val="right"/>
              <w:ind w:right="55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316</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925</w:t>
            </w:r>
          </w:p>
        </w:tc>
        <w:tc>
          <w:tcPr>
            <w:tcW w:w="740" w:type="dxa"/>
            <w:vAlign w:val="bottom"/>
            <w:shd w:val="clear" w:color="auto" w:fill="CCEEFF"/>
          </w:tcPr>
          <w:p>
            <w:pPr>
              <w:jc w:val="right"/>
              <w:ind w:right="516"/>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1,210</w:t>
            </w:r>
          </w:p>
        </w:tc>
        <w:tc>
          <w:tcPr>
            <w:tcW w:w="0" w:type="dxa"/>
            <w:vAlign w:val="bottom"/>
          </w:tcPr>
          <w:p>
            <w:pPr>
              <w:spacing w:after="0"/>
              <w:rPr>
                <w:sz w:val="1"/>
                <w:szCs w:val="1"/>
                <w:color w:val="auto"/>
              </w:rPr>
            </w:pPr>
          </w:p>
        </w:tc>
      </w:tr>
      <w:tr>
        <w:trPr>
          <w:trHeight w:val="179"/>
        </w:trPr>
        <w:tc>
          <w:tcPr>
            <w:tcW w:w="6800" w:type="dxa"/>
            <w:vAlign w:val="bottom"/>
          </w:tcPr>
          <w:p>
            <w:pPr>
              <w:ind w:left="20"/>
              <w:spacing w:after="0"/>
              <w:rPr>
                <w:sz w:val="20"/>
                <w:szCs w:val="20"/>
                <w:color w:val="auto"/>
              </w:rPr>
            </w:pPr>
            <w:r>
              <w:rPr>
                <w:rFonts w:ascii="Arial" w:cs="Arial" w:eastAsia="Arial" w:hAnsi="Arial"/>
                <w:sz w:val="14"/>
                <w:szCs w:val="14"/>
                <w:color w:val="auto"/>
              </w:rPr>
              <w:t>Internatonal - AbbVie's share of profts (included in net revenues)</w:t>
            </w:r>
          </w:p>
        </w:tc>
        <w:tc>
          <w:tcPr>
            <w:tcW w:w="7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color w:val="auto"/>
              </w:rPr>
              <w:t>230</w:t>
            </w:r>
          </w:p>
        </w:tc>
        <w:tc>
          <w:tcPr>
            <w:tcW w:w="7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color w:val="auto"/>
              </w:rPr>
              <w:t>711</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Global - AbbVie's share of other costs (included in respectve line items)</w:t>
            </w:r>
          </w:p>
        </w:tc>
        <w:tc>
          <w:tcPr>
            <w:tcW w:w="7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59</w:t>
            </w:r>
          </w:p>
        </w:tc>
        <w:tc>
          <w:tcPr>
            <w:tcW w:w="7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171</w:t>
            </w:r>
          </w:p>
        </w:tc>
        <w:tc>
          <w:tcPr>
            <w:tcW w:w="7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auto"/>
        </w:rPr>
        <w:t>AbbVie’s receivable from Janssen, included in accounts receivable, net, was $253 million at September 30, 2023 and $295 million at December 31, 2022. AbbVie’s payable to Janssen, included in accounts payable and accrued liabilites, was $308 million at September 30, 2023 and $379 million at December 31,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Collaboraton with Genentech, Inc.</w:t>
      </w:r>
    </w:p>
    <w:p>
      <w:pPr>
        <w:spacing w:after="0" w:line="127" w:lineRule="exact"/>
        <w:rPr>
          <w:sz w:val="20"/>
          <w:szCs w:val="20"/>
          <w:color w:val="auto"/>
        </w:rPr>
      </w:pPr>
    </w:p>
    <w:p>
      <w:pPr>
        <w:ind w:right="40"/>
        <w:spacing w:after="0" w:line="318" w:lineRule="auto"/>
        <w:rPr>
          <w:sz w:val="20"/>
          <w:szCs w:val="20"/>
          <w:color w:val="auto"/>
        </w:rPr>
      </w:pPr>
      <w:r>
        <w:rPr>
          <w:rFonts w:ascii="Arial" w:cs="Arial" w:eastAsia="Arial" w:hAnsi="Arial"/>
          <w:sz w:val="13"/>
          <w:szCs w:val="13"/>
          <w:color w:val="auto"/>
        </w:rPr>
        <w:t>AbbVie and Genentech, Inc. (Genentech), a member of the Roche Group, are partes to a collaboraton and license agreement executed in 2007 to jointly research, develop and commercialize human therapeutc products containing BCL-2 inhibitors and certain other compound inhibitors which includes Venclexta, a BCL-2 inhibitor used to treat certain hematological malignancies. AbbVie</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8</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0" w:name="page11"/>
    <w:bookmarkEnd w:id="10"/>
    <w:p>
      <w:pPr>
        <w:ind w:right="20"/>
        <w:spacing w:after="0" w:line="278" w:lineRule="auto"/>
        <w:rPr>
          <w:sz w:val="20"/>
          <w:szCs w:val="20"/>
          <w:color w:val="auto"/>
        </w:rPr>
      </w:pPr>
      <w:r>
        <w:rPr>
          <w:rFonts w:ascii="Arial" w:cs="Arial" w:eastAsia="Arial" w:hAnsi="Arial"/>
          <w:sz w:val="14"/>
          <w:szCs w:val="14"/>
          <w:color w:val="auto"/>
        </w:rPr>
        <w:t>shares equally with Genentech all pre-tax profts and losses from the development and commercializaton of Venclexta in the United States. AbbVie pays royaltes on Venclexta net revenues outside the United States.</w:t>
      </w:r>
    </w:p>
    <w:p>
      <w:pPr>
        <w:spacing w:after="0" w:line="73" w:lineRule="exact"/>
        <w:rPr>
          <w:sz w:val="20"/>
          <w:szCs w:val="20"/>
          <w:color w:val="auto"/>
        </w:rPr>
      </w:pPr>
    </w:p>
    <w:p>
      <w:pPr>
        <w:ind w:right="240"/>
        <w:spacing w:after="0" w:line="261" w:lineRule="auto"/>
        <w:rPr>
          <w:sz w:val="20"/>
          <w:szCs w:val="20"/>
          <w:color w:val="auto"/>
        </w:rPr>
      </w:pPr>
      <w:r>
        <w:rPr>
          <w:rFonts w:ascii="Arial" w:cs="Arial" w:eastAsia="Arial" w:hAnsi="Arial"/>
          <w:sz w:val="14"/>
          <w:szCs w:val="14"/>
          <w:color w:val="auto"/>
        </w:rPr>
        <w:t>AbbVie manufactures and distributes Venclexta globally and is the principal in the end-customer product sales. Sales of Venclexta are included in AbbVie’s net revenues. Genentech’s share of United States profts is included in AbbVie’s cost of products sold. AbbVie records sales and marketng costs associated with the United States collaboraton as part of selling, general and administratve (SG&amp;A) expenses and global development costs as part of research and development (R&amp;D) expenses, net of Genentech’s share. Royaltes paid for Venclexta revenues outside the United States are also included in AbbVie’s cost of products sold.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proft and cost sharing relatonship between Genentech and AbbVie: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860" w:type="dxa"/>
            <w:vAlign w:val="bottom"/>
            <w:gridSpan w:val="3"/>
          </w:tcPr>
          <w:p>
            <w:pPr>
              <w:jc w:val="center"/>
              <w:ind w:left="259"/>
              <w:spacing w:after="0"/>
              <w:rPr>
                <w:sz w:val="20"/>
                <w:szCs w:val="20"/>
                <w:color w:val="auto"/>
              </w:rPr>
            </w:pPr>
            <w:r>
              <w:rPr>
                <w:rFonts w:ascii="Arial" w:cs="Arial" w:eastAsia="Arial" w:hAnsi="Arial"/>
                <w:sz w:val="11"/>
                <w:szCs w:val="11"/>
                <w:b w:val="1"/>
                <w:bCs w:val="1"/>
                <w:color w:val="auto"/>
                <w:w w:val="90"/>
              </w:rPr>
              <w:t>Three months ended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jc w:val="center"/>
              <w:ind w:left="279"/>
              <w:spacing w:after="0"/>
              <w:rPr>
                <w:sz w:val="20"/>
                <w:szCs w:val="20"/>
                <w:color w:val="auto"/>
              </w:rPr>
            </w:pPr>
            <w:r>
              <w:rPr>
                <w:rFonts w:ascii="Arial" w:cs="Arial" w:eastAsia="Arial" w:hAnsi="Arial"/>
                <w:sz w:val="11"/>
                <w:szCs w:val="11"/>
                <w:b w:val="1"/>
                <w:bCs w:val="1"/>
                <w:color w:val="auto"/>
                <w:w w:val="90"/>
              </w:rPr>
              <w:t>Nine months ended</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jc w:val="center"/>
              <w:ind w:right="296"/>
              <w:spacing w:after="0"/>
              <w:rPr>
                <w:sz w:val="20"/>
                <w:szCs w:val="20"/>
                <w:color w:val="auto"/>
              </w:rPr>
            </w:pPr>
            <w:r>
              <w:rPr>
                <w:rFonts w:ascii="Arial" w:cs="Arial" w:eastAsia="Arial" w:hAnsi="Arial"/>
                <w:sz w:val="11"/>
                <w:szCs w:val="11"/>
                <w:b w:val="1"/>
                <w:bCs w:val="1"/>
                <w:color w:val="auto"/>
                <w:w w:val="90"/>
              </w:rPr>
              <w:t>September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jc w:val="center"/>
              <w:ind w:right="296"/>
              <w:spacing w:after="0"/>
              <w:rPr>
                <w:sz w:val="20"/>
                <w:szCs w:val="20"/>
                <w:color w:val="auto"/>
              </w:rPr>
            </w:pPr>
            <w:r>
              <w:rPr>
                <w:rFonts w:ascii="Arial" w:cs="Arial" w:eastAsia="Arial" w:hAnsi="Arial"/>
                <w:sz w:val="11"/>
                <w:szCs w:val="11"/>
                <w:b w:val="1"/>
                <w:bCs w:val="1"/>
                <w:color w:val="auto"/>
                <w:w w:val="90"/>
              </w:rPr>
              <w:t>September 30,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68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Genentech's share of profts, including royaltes (included in cost of products sold)</w:t>
            </w:r>
          </w:p>
        </w:tc>
        <w:tc>
          <w:tcPr>
            <w:tcW w:w="700" w:type="dxa"/>
            <w:vAlign w:val="bottom"/>
            <w:shd w:val="clear" w:color="auto" w:fill="CCEEFF"/>
          </w:tcPr>
          <w:p>
            <w:pPr>
              <w:jc w:val="right"/>
              <w:ind w:right="55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225</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641</w:t>
            </w:r>
          </w:p>
        </w:tc>
        <w:tc>
          <w:tcPr>
            <w:tcW w:w="780" w:type="dxa"/>
            <w:vAlign w:val="bottom"/>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79"/>
        </w:trPr>
        <w:tc>
          <w:tcPr>
            <w:tcW w:w="6800" w:type="dxa"/>
            <w:vAlign w:val="bottom"/>
          </w:tcPr>
          <w:p>
            <w:pPr>
              <w:ind w:left="20"/>
              <w:spacing w:after="0"/>
              <w:rPr>
                <w:sz w:val="20"/>
                <w:szCs w:val="20"/>
                <w:color w:val="auto"/>
              </w:rPr>
            </w:pPr>
            <w:r>
              <w:rPr>
                <w:rFonts w:ascii="Arial" w:cs="Arial" w:eastAsia="Arial" w:hAnsi="Arial"/>
                <w:sz w:val="14"/>
                <w:szCs w:val="14"/>
                <w:color w:val="auto"/>
              </w:rPr>
              <w:t>AbbVie's share of sales and marketng costs from U.S. collaboraton (included in SG&amp;A)</w:t>
            </w:r>
          </w:p>
        </w:tc>
        <w:tc>
          <w:tcPr>
            <w:tcW w:w="7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color w:val="auto"/>
              </w:rPr>
              <w:t>13</w:t>
            </w:r>
          </w:p>
        </w:tc>
        <w:tc>
          <w:tcPr>
            <w:tcW w:w="7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color w:val="auto"/>
              </w:rPr>
              <w:t>32</w:t>
            </w:r>
          </w:p>
        </w:tc>
        <w:tc>
          <w:tcPr>
            <w:tcW w:w="7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AbbVie's share of development costs (included in R&amp;D)</w:t>
            </w:r>
          </w:p>
        </w:tc>
        <w:tc>
          <w:tcPr>
            <w:tcW w:w="7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24</w:t>
            </w:r>
          </w:p>
        </w:tc>
        <w:tc>
          <w:tcPr>
            <w:tcW w:w="7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82</w:t>
            </w:r>
          </w:p>
        </w:tc>
        <w:tc>
          <w:tcPr>
            <w:tcW w:w="7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6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Goodwill</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the carrying amount of goodwill: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426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32,156</w:t>
            </w:r>
          </w:p>
        </w:tc>
      </w:tr>
      <w:tr>
        <w:trPr>
          <w:trHeight w:val="17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currency translaton adjustments</w:t>
            </w:r>
          </w:p>
        </w:tc>
        <w:tc>
          <w:tcPr>
            <w:tcW w:w="4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19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2023</w:t>
            </w:r>
          </w:p>
        </w:tc>
        <w:tc>
          <w:tcPr>
            <w:tcW w:w="426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32,091</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4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auto"/>
        </w:rPr>
        <w:t>The company performs its annual goodwill impairment assessment in the third quarter, or earlier if impairment indicators exist. As of September 30, 2023, there were no accumulated goodwill impairment losses.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Intangible Assets, Net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intangible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5"/>
              <w:spacing w:after="0"/>
              <w:rPr>
                <w:sz w:val="20"/>
                <w:szCs w:val="20"/>
                <w:color w:val="auto"/>
              </w:rPr>
            </w:pPr>
            <w:r>
              <w:rPr>
                <w:rFonts w:ascii="Arial" w:cs="Arial" w:eastAsia="Arial" w:hAnsi="Arial"/>
                <w:sz w:val="11"/>
                <w:szCs w:val="11"/>
                <w:b w:val="1"/>
                <w:bCs w:val="1"/>
                <w:color w:val="auto"/>
                <w:w w:val="91"/>
              </w:rPr>
              <w:t>September 30, 2023</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5"/>
              <w:spacing w:after="0"/>
              <w:rPr>
                <w:sz w:val="20"/>
                <w:szCs w:val="20"/>
                <w:color w:val="auto"/>
              </w:rPr>
            </w:pPr>
            <w:r>
              <w:rPr>
                <w:rFonts w:ascii="Arial" w:cs="Arial" w:eastAsia="Arial" w:hAnsi="Arial"/>
                <w:sz w:val="11"/>
                <w:szCs w:val="11"/>
                <w:b w:val="1"/>
                <w:bCs w:val="1"/>
                <w:color w:val="auto"/>
                <w:w w:val="90"/>
              </w:rPr>
              <w:t>December 31, 2022</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jc w:val="center"/>
              <w:ind w:right="216"/>
              <w:spacing w:after="0" w:line="86" w:lineRule="exact"/>
              <w:rPr>
                <w:sz w:val="20"/>
                <w:szCs w:val="20"/>
                <w:color w:val="auto"/>
              </w:rPr>
            </w:pPr>
            <w:r>
              <w:rPr>
                <w:rFonts w:ascii="Arial" w:cs="Arial" w:eastAsia="Arial" w:hAnsi="Arial"/>
                <w:sz w:val="9"/>
                <w:szCs w:val="9"/>
                <w:b w:val="1"/>
                <w:bCs w:val="1"/>
                <w:color w:val="auto"/>
                <w:w w:val="99"/>
              </w:rPr>
              <w:t>Gross</w:t>
            </w: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jc w:val="center"/>
              <w:ind w:right="176"/>
              <w:spacing w:after="0" w:line="86" w:lineRule="exact"/>
              <w:rPr>
                <w:sz w:val="20"/>
                <w:szCs w:val="20"/>
                <w:color w:val="auto"/>
              </w:rPr>
            </w:pPr>
            <w:r>
              <w:rPr>
                <w:rFonts w:ascii="Arial" w:cs="Arial" w:eastAsia="Arial" w:hAnsi="Arial"/>
                <w:sz w:val="9"/>
                <w:szCs w:val="9"/>
                <w:b w:val="1"/>
                <w:bCs w:val="1"/>
                <w:color w:val="auto"/>
              </w:rPr>
              <w:t>Net</w:t>
            </w:r>
          </w:p>
        </w:tc>
        <w:tc>
          <w:tcPr>
            <w:tcW w:w="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jc w:val="center"/>
              <w:ind w:right="216"/>
              <w:spacing w:after="0" w:line="86" w:lineRule="exact"/>
              <w:rPr>
                <w:sz w:val="20"/>
                <w:szCs w:val="20"/>
                <w:color w:val="auto"/>
              </w:rPr>
            </w:pPr>
            <w:r>
              <w:rPr>
                <w:rFonts w:ascii="Arial" w:cs="Arial" w:eastAsia="Arial" w:hAnsi="Arial"/>
                <w:sz w:val="9"/>
                <w:szCs w:val="9"/>
                <w:b w:val="1"/>
                <w:bCs w:val="1"/>
                <w:color w:val="auto"/>
                <w:w w:val="99"/>
              </w:rPr>
              <w:t>Gross</w:t>
            </w: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jc w:val="center"/>
              <w:ind w:right="176"/>
              <w:spacing w:after="0" w:line="86" w:lineRule="exact"/>
              <w:rPr>
                <w:sz w:val="20"/>
                <w:szCs w:val="20"/>
                <w:color w:val="auto"/>
              </w:rPr>
            </w:pPr>
            <w:r>
              <w:rPr>
                <w:rFonts w:ascii="Arial" w:cs="Arial" w:eastAsia="Arial" w:hAnsi="Arial"/>
                <w:sz w:val="9"/>
                <w:szCs w:val="9"/>
                <w:b w:val="1"/>
                <w:bCs w:val="1"/>
                <w:color w:val="auto"/>
              </w:rPr>
              <w:t>Net</w:t>
            </w:r>
          </w:p>
        </w:tc>
        <w:tc>
          <w:tcPr>
            <w:tcW w:w="0" w:type="dxa"/>
            <w:vAlign w:val="bottom"/>
          </w:tcPr>
          <w:p>
            <w:pPr>
              <w:spacing w:after="0"/>
              <w:rPr>
                <w:sz w:val="1"/>
                <w:szCs w:val="1"/>
                <w:color w:val="auto"/>
              </w:rPr>
            </w:pPr>
          </w:p>
        </w:tc>
      </w:tr>
      <w:tr>
        <w:trPr>
          <w:trHeight w:val="117"/>
        </w:trPr>
        <w:tc>
          <w:tcPr>
            <w:tcW w:w="3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0"/>
                <w:szCs w:val="10"/>
                <w:color w:val="auto"/>
              </w:rPr>
            </w:pPr>
          </w:p>
        </w:tc>
        <w:tc>
          <w:tcPr>
            <w:tcW w:w="940" w:type="dxa"/>
            <w:vAlign w:val="bottom"/>
          </w:tcPr>
          <w:p>
            <w:pPr>
              <w:jc w:val="center"/>
              <w:ind w:right="216"/>
              <w:spacing w:after="0" w:line="117" w:lineRule="exact"/>
              <w:rPr>
                <w:sz w:val="20"/>
                <w:szCs w:val="20"/>
                <w:color w:val="auto"/>
              </w:rPr>
            </w:pPr>
            <w:r>
              <w:rPr>
                <w:rFonts w:ascii="Arial" w:cs="Arial" w:eastAsia="Arial" w:hAnsi="Arial"/>
                <w:sz w:val="11"/>
                <w:szCs w:val="11"/>
                <w:b w:val="1"/>
                <w:bCs w:val="1"/>
                <w:color w:val="auto"/>
                <w:w w:val="87"/>
              </w:rPr>
              <w:t>carrying</w:t>
            </w:r>
          </w:p>
        </w:tc>
        <w:tc>
          <w:tcPr>
            <w:tcW w:w="160" w:type="dxa"/>
            <w:vAlign w:val="bottom"/>
          </w:tcPr>
          <w:p>
            <w:pPr>
              <w:spacing w:after="0"/>
              <w:rPr>
                <w:sz w:val="10"/>
                <w:szCs w:val="10"/>
                <w:color w:val="auto"/>
              </w:rPr>
            </w:pPr>
          </w:p>
        </w:tc>
        <w:tc>
          <w:tcPr>
            <w:tcW w:w="1100" w:type="dxa"/>
            <w:vAlign w:val="bottom"/>
          </w:tcPr>
          <w:p>
            <w:pPr>
              <w:jc w:val="center"/>
              <w:ind w:right="115"/>
              <w:spacing w:after="0" w:line="117" w:lineRule="exact"/>
              <w:rPr>
                <w:sz w:val="20"/>
                <w:szCs w:val="20"/>
                <w:color w:val="auto"/>
              </w:rPr>
            </w:pPr>
            <w:r>
              <w:rPr>
                <w:rFonts w:ascii="Arial" w:cs="Arial" w:eastAsia="Arial" w:hAnsi="Arial"/>
                <w:sz w:val="11"/>
                <w:szCs w:val="11"/>
                <w:b w:val="1"/>
                <w:bCs w:val="1"/>
                <w:color w:val="auto"/>
                <w:w w:val="86"/>
              </w:rPr>
              <w:t>Accumulated</w:t>
            </w:r>
          </w:p>
        </w:tc>
        <w:tc>
          <w:tcPr>
            <w:tcW w:w="260" w:type="dxa"/>
            <w:vAlign w:val="bottom"/>
          </w:tcPr>
          <w:p>
            <w:pPr>
              <w:spacing w:after="0"/>
              <w:rPr>
                <w:sz w:val="10"/>
                <w:szCs w:val="10"/>
                <w:color w:val="auto"/>
              </w:rPr>
            </w:pPr>
          </w:p>
        </w:tc>
        <w:tc>
          <w:tcPr>
            <w:tcW w:w="102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87"/>
              </w:rPr>
              <w:t>carrying</w:t>
            </w:r>
          </w:p>
        </w:tc>
        <w:tc>
          <w:tcPr>
            <w:tcW w:w="220" w:type="dxa"/>
            <w:vAlign w:val="bottom"/>
          </w:tcPr>
          <w:p>
            <w:pPr>
              <w:spacing w:after="0"/>
              <w:rPr>
                <w:sz w:val="10"/>
                <w:szCs w:val="10"/>
                <w:color w:val="auto"/>
              </w:rPr>
            </w:pPr>
          </w:p>
        </w:tc>
        <w:tc>
          <w:tcPr>
            <w:tcW w:w="940" w:type="dxa"/>
            <w:vAlign w:val="bottom"/>
          </w:tcPr>
          <w:p>
            <w:pPr>
              <w:jc w:val="center"/>
              <w:ind w:right="216"/>
              <w:spacing w:after="0" w:line="117" w:lineRule="exact"/>
              <w:rPr>
                <w:sz w:val="20"/>
                <w:szCs w:val="20"/>
                <w:color w:val="auto"/>
              </w:rPr>
            </w:pPr>
            <w:r>
              <w:rPr>
                <w:rFonts w:ascii="Arial" w:cs="Arial" w:eastAsia="Arial" w:hAnsi="Arial"/>
                <w:sz w:val="11"/>
                <w:szCs w:val="11"/>
                <w:b w:val="1"/>
                <w:bCs w:val="1"/>
                <w:color w:val="auto"/>
                <w:w w:val="87"/>
              </w:rPr>
              <w:t>carrying</w:t>
            </w:r>
          </w:p>
        </w:tc>
        <w:tc>
          <w:tcPr>
            <w:tcW w:w="180" w:type="dxa"/>
            <w:vAlign w:val="bottom"/>
          </w:tcPr>
          <w:p>
            <w:pPr>
              <w:spacing w:after="0"/>
              <w:rPr>
                <w:sz w:val="10"/>
                <w:szCs w:val="10"/>
                <w:color w:val="auto"/>
              </w:rPr>
            </w:pPr>
          </w:p>
        </w:tc>
        <w:tc>
          <w:tcPr>
            <w:tcW w:w="1080" w:type="dxa"/>
            <w:vAlign w:val="bottom"/>
          </w:tcPr>
          <w:p>
            <w:pPr>
              <w:jc w:val="center"/>
              <w:ind w:right="115"/>
              <w:spacing w:after="0" w:line="117" w:lineRule="exact"/>
              <w:rPr>
                <w:sz w:val="20"/>
                <w:szCs w:val="20"/>
                <w:color w:val="auto"/>
              </w:rPr>
            </w:pPr>
            <w:r>
              <w:rPr>
                <w:rFonts w:ascii="Arial" w:cs="Arial" w:eastAsia="Arial" w:hAnsi="Arial"/>
                <w:sz w:val="11"/>
                <w:szCs w:val="11"/>
                <w:b w:val="1"/>
                <w:bCs w:val="1"/>
                <w:color w:val="auto"/>
                <w:w w:val="89"/>
              </w:rPr>
              <w:t>Accumulated</w:t>
            </w:r>
          </w:p>
        </w:tc>
        <w:tc>
          <w:tcPr>
            <w:tcW w:w="280" w:type="dxa"/>
            <w:vAlign w:val="bottom"/>
          </w:tcPr>
          <w:p>
            <w:pPr>
              <w:spacing w:after="0"/>
              <w:rPr>
                <w:sz w:val="10"/>
                <w:szCs w:val="10"/>
                <w:color w:val="auto"/>
              </w:rPr>
            </w:pPr>
          </w:p>
        </w:tc>
        <w:tc>
          <w:tcPr>
            <w:tcW w:w="920" w:type="dxa"/>
            <w:vAlign w:val="bottom"/>
          </w:tcPr>
          <w:p>
            <w:pPr>
              <w:jc w:val="center"/>
              <w:ind w:right="196"/>
              <w:spacing w:after="0" w:line="117" w:lineRule="exact"/>
              <w:rPr>
                <w:sz w:val="20"/>
                <w:szCs w:val="20"/>
                <w:color w:val="auto"/>
              </w:rPr>
            </w:pPr>
            <w:r>
              <w:rPr>
                <w:rFonts w:ascii="Arial" w:cs="Arial" w:eastAsia="Arial" w:hAnsi="Arial"/>
                <w:sz w:val="11"/>
                <w:szCs w:val="11"/>
                <w:b w:val="1"/>
                <w:bCs w:val="1"/>
                <w:color w:val="auto"/>
                <w:w w:val="87"/>
              </w:rPr>
              <w:t>carrying</w:t>
            </w:r>
          </w:p>
        </w:tc>
        <w:tc>
          <w:tcPr>
            <w:tcW w:w="0" w:type="dxa"/>
            <w:vAlign w:val="bottom"/>
          </w:tcPr>
          <w:p>
            <w:pPr>
              <w:spacing w:after="0"/>
              <w:rPr>
                <w:sz w:val="1"/>
                <w:szCs w:val="1"/>
                <w:color w:val="auto"/>
              </w:rPr>
            </w:pPr>
          </w:p>
        </w:tc>
      </w:tr>
      <w:tr>
        <w:trPr>
          <w:trHeight w:val="145"/>
        </w:trPr>
        <w:tc>
          <w:tcPr>
            <w:tcW w:w="3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96"/>
              <w:spacing w:after="0"/>
              <w:rPr>
                <w:sz w:val="20"/>
                <w:szCs w:val="20"/>
                <w:color w:val="auto"/>
              </w:rPr>
            </w:pPr>
            <w:r>
              <w:rPr>
                <w:rFonts w:ascii="Arial" w:cs="Arial" w:eastAsia="Arial" w:hAnsi="Arial"/>
                <w:sz w:val="11"/>
                <w:szCs w:val="11"/>
                <w:b w:val="1"/>
                <w:bCs w:val="1"/>
                <w:color w:val="auto"/>
                <w:w w:val="90"/>
              </w:rPr>
              <w:t>amount</w:t>
            </w:r>
          </w:p>
        </w:tc>
        <w:tc>
          <w:tcPr>
            <w:tcW w:w="160" w:type="dxa"/>
            <w:vAlign w:val="bottom"/>
          </w:tcPr>
          <w:p>
            <w:pPr>
              <w:spacing w:after="0"/>
              <w:rPr>
                <w:sz w:val="12"/>
                <w:szCs w:val="12"/>
                <w:color w:val="auto"/>
              </w:rPr>
            </w:pPr>
          </w:p>
        </w:tc>
        <w:tc>
          <w:tcPr>
            <w:tcW w:w="1100" w:type="dxa"/>
            <w:vAlign w:val="bottom"/>
          </w:tcPr>
          <w:p>
            <w:pPr>
              <w:jc w:val="center"/>
              <w:ind w:right="75"/>
              <w:spacing w:after="0"/>
              <w:rPr>
                <w:sz w:val="20"/>
                <w:szCs w:val="20"/>
                <w:color w:val="auto"/>
              </w:rPr>
            </w:pPr>
            <w:r>
              <w:rPr>
                <w:rFonts w:ascii="Arial" w:cs="Arial" w:eastAsia="Arial" w:hAnsi="Arial"/>
                <w:sz w:val="11"/>
                <w:szCs w:val="11"/>
                <w:b w:val="1"/>
                <w:bCs w:val="1"/>
                <w:color w:val="auto"/>
              </w:rPr>
              <w:t>amortzaton</w:t>
            </w:r>
          </w:p>
        </w:tc>
        <w:tc>
          <w:tcPr>
            <w:tcW w:w="26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amount</w:t>
            </w:r>
          </w:p>
        </w:tc>
        <w:tc>
          <w:tcPr>
            <w:tcW w:w="220" w:type="dxa"/>
            <w:vAlign w:val="bottom"/>
          </w:tcPr>
          <w:p>
            <w:pPr>
              <w:spacing w:after="0"/>
              <w:rPr>
                <w:sz w:val="12"/>
                <w:szCs w:val="12"/>
                <w:color w:val="auto"/>
              </w:rPr>
            </w:pPr>
          </w:p>
        </w:tc>
        <w:tc>
          <w:tcPr>
            <w:tcW w:w="940" w:type="dxa"/>
            <w:vAlign w:val="bottom"/>
          </w:tcPr>
          <w:p>
            <w:pPr>
              <w:jc w:val="center"/>
              <w:ind w:right="176"/>
              <w:spacing w:after="0"/>
              <w:rPr>
                <w:sz w:val="20"/>
                <w:szCs w:val="20"/>
                <w:color w:val="auto"/>
              </w:rPr>
            </w:pPr>
            <w:r>
              <w:rPr>
                <w:rFonts w:ascii="Arial" w:cs="Arial" w:eastAsia="Arial" w:hAnsi="Arial"/>
                <w:sz w:val="11"/>
                <w:szCs w:val="11"/>
                <w:b w:val="1"/>
                <w:bCs w:val="1"/>
                <w:color w:val="auto"/>
                <w:w w:val="95"/>
              </w:rPr>
              <w:t>amount</w:t>
            </w:r>
          </w:p>
        </w:tc>
        <w:tc>
          <w:tcPr>
            <w:tcW w:w="180" w:type="dxa"/>
            <w:vAlign w:val="bottom"/>
          </w:tcPr>
          <w:p>
            <w:pPr>
              <w:spacing w:after="0"/>
              <w:rPr>
                <w:sz w:val="12"/>
                <w:szCs w:val="12"/>
                <w:color w:val="auto"/>
              </w:rPr>
            </w:pPr>
          </w:p>
        </w:tc>
        <w:tc>
          <w:tcPr>
            <w:tcW w:w="1080" w:type="dxa"/>
            <w:vAlign w:val="bottom"/>
          </w:tcPr>
          <w:p>
            <w:pPr>
              <w:jc w:val="center"/>
              <w:ind w:right="95"/>
              <w:spacing w:after="0"/>
              <w:rPr>
                <w:sz w:val="20"/>
                <w:szCs w:val="20"/>
                <w:color w:val="auto"/>
              </w:rPr>
            </w:pPr>
            <w:r>
              <w:rPr>
                <w:rFonts w:ascii="Arial" w:cs="Arial" w:eastAsia="Arial" w:hAnsi="Arial"/>
                <w:sz w:val="11"/>
                <w:szCs w:val="11"/>
                <w:b w:val="1"/>
                <w:bCs w:val="1"/>
                <w:color w:val="auto"/>
              </w:rPr>
              <w:t>amortzaton</w:t>
            </w:r>
          </w:p>
        </w:tc>
        <w:tc>
          <w:tcPr>
            <w:tcW w:w="280" w:type="dxa"/>
            <w:vAlign w:val="bottom"/>
          </w:tcPr>
          <w:p>
            <w:pPr>
              <w:spacing w:after="0"/>
              <w:rPr>
                <w:sz w:val="12"/>
                <w:szCs w:val="12"/>
                <w:color w:val="auto"/>
              </w:rPr>
            </w:pPr>
          </w:p>
        </w:tc>
        <w:tc>
          <w:tcPr>
            <w:tcW w:w="920" w:type="dxa"/>
            <w:vAlign w:val="bottom"/>
          </w:tcPr>
          <w:p>
            <w:pPr>
              <w:jc w:val="center"/>
              <w:ind w:right="156"/>
              <w:spacing w:after="0"/>
              <w:rPr>
                <w:sz w:val="20"/>
                <w:szCs w:val="20"/>
                <w:color w:val="auto"/>
              </w:rPr>
            </w:pPr>
            <w:r>
              <w:rPr>
                <w:rFonts w:ascii="Arial" w:cs="Arial" w:eastAsia="Arial" w:hAnsi="Arial"/>
                <w:sz w:val="11"/>
                <w:szCs w:val="11"/>
                <w:b w:val="1"/>
                <w:bCs w:val="1"/>
                <w:color w:val="auto"/>
                <w:w w:val="95"/>
              </w:rPr>
              <w:t>amount</w:t>
            </w:r>
          </w:p>
        </w:tc>
        <w:tc>
          <w:tcPr>
            <w:tcW w:w="0" w:type="dxa"/>
            <w:vAlign w:val="bottom"/>
          </w:tcPr>
          <w:p>
            <w:pPr>
              <w:spacing w:after="0"/>
              <w:rPr>
                <w:sz w:val="1"/>
                <w:szCs w:val="1"/>
                <w:color w:val="auto"/>
              </w:rPr>
            </w:pPr>
          </w:p>
        </w:tc>
      </w:tr>
      <w:tr>
        <w:trPr>
          <w:trHeight w:val="25"/>
        </w:trPr>
        <w:tc>
          <w:tcPr>
            <w:tcW w:w="3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20"/>
              <w:spacing w:after="0"/>
              <w:rPr>
                <w:sz w:val="20"/>
                <w:szCs w:val="20"/>
                <w:color w:val="auto"/>
              </w:rPr>
            </w:pPr>
            <w:r>
              <w:rPr>
                <w:rFonts w:ascii="Arial" w:cs="Arial" w:eastAsia="Arial" w:hAnsi="Arial"/>
                <w:sz w:val="14"/>
                <w:szCs w:val="14"/>
                <w:color w:val="auto"/>
              </w:rPr>
              <w:t>Defnite-lived intangible assets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Developed product rights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76,526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(21,170)</w:t>
            </w: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87,698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(25,003)</w:t>
            </w:r>
          </w:p>
        </w:tc>
        <w:tc>
          <w:tcPr>
            <w:tcW w:w="2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62,695</w:t>
            </w:r>
          </w:p>
        </w:tc>
        <w:tc>
          <w:tcPr>
            <w:tcW w:w="0" w:type="dxa"/>
            <w:vAlign w:val="bottom"/>
          </w:tcPr>
          <w:p>
            <w:pPr>
              <w:spacing w:after="0"/>
              <w:rPr>
                <w:sz w:val="1"/>
                <w:szCs w:val="1"/>
                <w:color w:val="auto"/>
              </w:rPr>
            </w:pPr>
          </w:p>
        </w:tc>
      </w:tr>
      <w:tr>
        <w:trPr>
          <w:trHeight w:val="179"/>
        </w:trPr>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License agreements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8,261</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(5,299)</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8,474</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(4,642)</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defnite-lived intangible assets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84,787</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(26,469)</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96,172</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(29,645)</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66,527</w:t>
            </w:r>
          </w:p>
        </w:tc>
        <w:tc>
          <w:tcPr>
            <w:tcW w:w="0" w:type="dxa"/>
            <w:vAlign w:val="bottom"/>
          </w:tcPr>
          <w:p>
            <w:pPr>
              <w:spacing w:after="0"/>
              <w:rPr>
                <w:sz w:val="1"/>
                <w:szCs w:val="1"/>
                <w:color w:val="auto"/>
              </w:rPr>
            </w:pPr>
          </w:p>
        </w:tc>
      </w:tr>
      <w:tr>
        <w:trPr>
          <w:trHeight w:val="17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Indefnite-lived intangible assets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285</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912</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85,072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(26,469)</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58,603</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97,084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(29,645)</w:t>
            </w:r>
          </w:p>
        </w:tc>
        <w:tc>
          <w:tcPr>
            <w:tcW w:w="2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Defnite-Lived Intangible Assets</w:t>
      </w:r>
    </w:p>
    <w:p>
      <w:pPr>
        <w:spacing w:after="0" w:line="125" w:lineRule="exact"/>
        <w:rPr>
          <w:sz w:val="20"/>
          <w:szCs w:val="20"/>
          <w:color w:val="auto"/>
        </w:rPr>
      </w:pPr>
    </w:p>
    <w:p>
      <w:pPr>
        <w:ind w:right="420"/>
        <w:spacing w:after="0" w:line="278" w:lineRule="auto"/>
        <w:rPr>
          <w:sz w:val="20"/>
          <w:szCs w:val="20"/>
          <w:color w:val="auto"/>
        </w:rPr>
      </w:pPr>
      <w:r>
        <w:rPr>
          <w:rFonts w:ascii="Arial" w:cs="Arial" w:eastAsia="Arial" w:hAnsi="Arial"/>
          <w:sz w:val="14"/>
          <w:szCs w:val="14"/>
          <w:color w:val="auto"/>
        </w:rPr>
        <w:t>Amortzaton expense was $2.0 billion for the three months and $6.1 billion for the nine months ended September 30, 2023 and $2.0 billion for the three months and $5.7 billion for the nine months ended September 30, 2022. Amortzaton expense was included in cost of products sold in the condensed consolidated statements of earnings.</w:t>
      </w:r>
    </w:p>
    <w:p>
      <w:pPr>
        <w:spacing w:after="0" w:line="62" w:lineRule="exact"/>
        <w:rPr>
          <w:sz w:val="20"/>
          <w:szCs w:val="20"/>
          <w:color w:val="auto"/>
        </w:rPr>
      </w:pPr>
    </w:p>
    <w:p>
      <w:pPr>
        <w:ind w:right="160"/>
        <w:spacing w:after="0" w:line="301" w:lineRule="auto"/>
        <w:rPr>
          <w:sz w:val="20"/>
          <w:szCs w:val="20"/>
          <w:color w:val="auto"/>
        </w:rPr>
      </w:pPr>
      <w:r>
        <w:rPr>
          <w:rFonts w:ascii="Arial" w:cs="Arial" w:eastAsia="Arial" w:hAnsi="Arial"/>
          <w:sz w:val="13"/>
          <w:szCs w:val="13"/>
          <w:color w:val="auto"/>
        </w:rPr>
        <w:t>In August 2023, as part of the Infaton Reducton Act (IRA) of 2022, the company’s oncology product Imbruvica sold in the United States (U.S.) was included on the list of products selected for negotaton by the Centers for Medicare &amp; Medicaid Services. The selecton resulted in a signifcant decrease in the estmated future cash fows for the product and represented a triggering event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50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i w:val="1"/>
                <w:iCs w:val="1"/>
                <w:color w:val="auto"/>
              </w:rPr>
              <w:t>9</w:t>
            </w:r>
          </w:p>
        </w:tc>
      </w:tr>
      <w:tr>
        <w:trPr>
          <w:trHeight w:val="182"/>
        </w:trPr>
        <w:tc>
          <w:tcPr>
            <w:tcW w:w="10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1" w:name="page12"/>
    <w:bookmarkEnd w:id="11"/>
    <w:p>
      <w:pPr>
        <w:ind w:right="40"/>
        <w:spacing w:after="0" w:line="243" w:lineRule="auto"/>
        <w:rPr>
          <w:sz w:val="20"/>
          <w:szCs w:val="20"/>
          <w:color w:val="auto"/>
        </w:rPr>
      </w:pPr>
      <w:r>
        <w:rPr>
          <w:rFonts w:ascii="Arial" w:cs="Arial" w:eastAsia="Arial" w:hAnsi="Arial"/>
          <w:sz w:val="14"/>
          <w:szCs w:val="14"/>
          <w:color w:val="auto"/>
        </w:rPr>
        <w:t>which required the company to evaluate the underlying defnite lived-intangible asset for impairment. The company utlized a discounted cash fow analysis to determine the fair value of $1.9 billion, which was lower than the carrying value of $4.0 billion and resulted in a partal impairment of both the gross and net carrying amount as of August 29, 2023. Based on the revised cash fows, the company recorded a pre-tax impairment charge of $2.1 billion to cost of products sold in the condensed consolidated statement of earnings for the third quarter of 2023. The fair value measurement was based on Level 3 inputs including estmated net revenues, cost of products sold, R&amp;D costs, selling and marketng costs and discount rate. The remaining intangible asset carrying value related to Imbruvica in the U.S. totaled $1.8 billion as of September 30, 2023</w:t>
      </w:r>
      <w:r>
        <w:rPr>
          <w:rFonts w:ascii="Arial" w:cs="Arial" w:eastAsia="Arial" w:hAnsi="Arial"/>
          <w:sz w:val="15"/>
          <w:szCs w:val="15"/>
          <w:color w:val="auto"/>
        </w:rPr>
        <w:t>.</w:t>
      </w:r>
    </w:p>
    <w:p>
      <w:pPr>
        <w:spacing w:after="0" w:line="96"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In September 2022, the company made a strategic decision to reduce ongoing sales and marketng investment related to Vuity, an on-market product to treat presbyopia. This strategic decision contributed to a signifcant decrease in the estmated future cash fows for the product and represented a triggering event which required the company to evaluate the underlying defnite lived-intangible asset for impairment. The company utlized a discounted cash fow analysis to estmate the fair value of the intangible asset resultng in a full impairment of both the gross and net carrying amount. Based on the revised cash fows, the company recorded a pre-tax impairment charge of $770 million to cost of products sold in the condensed consolidated statement of earnings for the third quarter of 2022.</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Indefnite-Lived Intangible Assets</w:t>
      </w:r>
    </w:p>
    <w:p>
      <w:pPr>
        <w:spacing w:after="0" w:line="125"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auto"/>
        </w:rPr>
        <w:t>Indefnite-lived intangible assets represent acquired IPR&amp;D associated with products that have not yet received regulatory approval. The company performs its annual impairment assessment of indefnite-lived intangible assets in the third quarter, or earlier if impairment indicators exist.</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During the frst quarter of 2023, the company made a decision to revise the research and development plan for AGN-151607, a novel investgatonal neurotoxin for the preventon of postoperatve atrial fbrillaton in cardiac surgery patents. This decision contributed to a delay in the estmated tming of regulatory approval as well as a signifcant decrease in estmated future cash fows of the product and represented a triggering event which required the company to evaluate the underlying indefnite-lived intangible asset for impairment. The company utlized a discounted cash fow analysis to estmate the fair value which was below the carrying value of the intangible asset. Based on the revised cash fows, the company recorded a pre-tax impairment charge of $630 million to research and development expense in the condensed consolidated statement of earnings for the frst quarter of 2023.</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7 Integraton and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Allergan Integraton Plan</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Following the closing of the Allergan acquisiton, AbbVie implemented an integraton plan designed to reduce costs, integrate and optmize the combined organizaton and incurred total cumulatve charges of $2.5 billion through September 30, 2023. These costs consist of severance and employee beneft costs (cash severance, non-cash severance including accelerated equity award compensaton expense, retenton and other terminaton benefts) and other integraton expenses.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charges (benefts) associated with the Allergan acquisiton integraton plan: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4"/>
          </w:tcPr>
          <w:p>
            <w:pPr>
              <w:ind w:left="22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Pr>
          <w:p>
            <w:pPr>
              <w:spacing w:after="0"/>
              <w:rPr>
                <w:sz w:val="10"/>
                <w:szCs w:val="10"/>
                <w:color w:val="auto"/>
              </w:rPr>
            </w:pPr>
          </w:p>
        </w:tc>
        <w:tc>
          <w:tcPr>
            <w:tcW w:w="1680" w:type="dxa"/>
            <w:vAlign w:val="bottom"/>
            <w:gridSpan w:val="3"/>
          </w:tcPr>
          <w:p>
            <w:pPr>
              <w:jc w:val="right"/>
              <w:ind w:right="451"/>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73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178"/>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66</w:t>
            </w:r>
          </w:p>
        </w:tc>
        <w:tc>
          <w:tcPr>
            <w:tcW w:w="4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9"/>
        </w:trPr>
        <w:tc>
          <w:tcPr>
            <w:tcW w:w="73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administratve</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3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134</w:t>
            </w: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charges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202</w:t>
            </w:r>
          </w:p>
        </w:tc>
        <w:tc>
          <w:tcPr>
            <w:tcW w:w="4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
        </w:trPr>
        <w:tc>
          <w:tcPr>
            <w:tcW w:w="9240" w:type="dxa"/>
            <w:vAlign w:val="bottom"/>
            <w:tcBorders>
              <w:bottom w:val="single" w:sz="8" w:color="auto"/>
            </w:tcBorders>
            <w:gridSpan w:val="5"/>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0" w:type="dxa"/>
            <w:vAlign w:val="bottom"/>
            <w:gridSpan w:val="7"/>
          </w:tcPr>
          <w:p>
            <w:pPr>
              <w:spacing w:after="0"/>
              <w:rPr>
                <w:sz w:val="20"/>
                <w:szCs w:val="20"/>
                <w:color w:val="auto"/>
              </w:rPr>
            </w:pPr>
            <w:r>
              <w:rPr>
                <w:rFonts w:ascii="Arial" w:cs="Arial" w:eastAsia="Arial" w:hAnsi="Arial"/>
                <w:sz w:val="14"/>
                <w:szCs w:val="14"/>
                <w:color w:val="auto"/>
                <w:w w:val="94"/>
              </w:rPr>
              <w:t>The following table summarizes the cash actvity in the recorded liability associated with the Allergan integraton plan for the nine months ended September 30, 2023:</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3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balance as of December 31, 2022</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9"/>
        </w:trPr>
        <w:tc>
          <w:tcPr>
            <w:tcW w:w="7380" w:type="dxa"/>
            <w:vAlign w:val="bottom"/>
          </w:tcPr>
          <w:p>
            <w:pPr>
              <w:ind w:left="20"/>
              <w:spacing w:after="0"/>
              <w:rPr>
                <w:sz w:val="20"/>
                <w:szCs w:val="20"/>
                <w:color w:val="auto"/>
              </w:rPr>
            </w:pPr>
            <w:r>
              <w:rPr>
                <w:rFonts w:ascii="Arial" w:cs="Arial" w:eastAsia="Arial" w:hAnsi="Arial"/>
                <w:sz w:val="14"/>
                <w:szCs w:val="14"/>
                <w:color w:val="auto"/>
              </w:rPr>
              <w:t>Charges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Payments and other adjustments</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balance as of September 30, 2023</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10</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444867"/>
        </w:rPr>
        <w:t>Other Restructuring</w:t>
      </w:r>
    </w:p>
    <w:p>
      <w:pPr>
        <w:spacing w:after="0" w:line="117"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auto"/>
        </w:rPr>
        <w:t>AbbVie recorded restructuring charges of $10 million for the three months and $55 million for the nine months ended September 30, 2023 and $50 million for the three months and $143 million for the nine months ended September 30, 2022.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cash actvity in the restructuring reserve for the nine months ended September 30,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Accrued balance as of December 31, 2022</w:t>
            </w:r>
          </w:p>
        </w:tc>
        <w:tc>
          <w:tcPr>
            <w:tcW w:w="432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79"/>
        </w:trPr>
        <w:tc>
          <w:tcPr>
            <w:tcW w:w="620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4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Payments and other adjustments</w:t>
            </w:r>
          </w:p>
        </w:tc>
        <w:tc>
          <w:tcPr>
            <w:tcW w:w="4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71"/>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balance as of September 30, 2023</w:t>
            </w:r>
          </w:p>
        </w:tc>
        <w:tc>
          <w:tcPr>
            <w:tcW w:w="4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8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Risk Management Policy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See Note 11 to the company’s Annual Report on Form 10-K for the year ended December 31, 2022 for a summary of AbbVie’s risk management policy and use of derivatve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Financial Instruments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Various AbbVie foreign subsidiaries enter into foreign currency forward exchange contracts to manage exposures to changes in foreign exchange rates for antcipated intercompany transactons denominated in a currency other than the functonal currency of the local entty. These contracts, with notonal amounts totaling $2.5 billion at September 30, 2023 and $1.7 billion at December 31, 2022, are designated as cash fow hedges and are recorded at fair value. The duratons of these forward exchange contracts were generally less than 18 months. Accumulated gains and losses as of September 30, 2023 are reclassifed from accumulated other comprehensive income (loss) (AOCI) and included in cost of products sold at the tme the products are sold, generally not exceeding six months from the date of setlement.</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2019, the company entered into treasury rate lock agreements with notonal amounts totaling $10.0 billion to hedge exposure to variability in future cash fows resultng from changes in interest rates related to the issuance of long-term debt in connecton with the acquisiton of Allergan. The treasury rate lock agreements were designated as cash fow hedges and recorded at fair value. The agreements were net setled upon issuance of the senior notes in 2019 and the resultng net gain was included in AOCI. This gain is reclassifed to interest expense, net over the term of the related debt.</w:t>
      </w:r>
    </w:p>
    <w:p>
      <w:pPr>
        <w:spacing w:after="0" w:line="95"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The company was a party to interest rate swap contracts designated as cash fow hedges that matured in November 2022. The efect of the hedge contracts was to change a foatng-rate interest obligaton to a fxed rate for that porton of the foatng-rate debt. Realized and unrealized gains or losses were included in AOCI and reclassifed to interest expense, net over the lives of the foatng-rate debt.</w:t>
      </w:r>
    </w:p>
    <w:p>
      <w:pPr>
        <w:spacing w:after="0" w:line="82"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June 2023, the company entered into a cross-currency swap contract with a notonal amount totaling €433 million to hedge the company’s exposure to changes in future cash fows of foreign currency denominated debt related to changes in foreign exchange rates. The cross-currency swap contract was designated as a cash fow hedge and efectvely converted the interest and principal payments of the related foreign currency denominated debt to U.S. dollars. The unrealized gains and losses on the contract are included in AOCI and are reclassifed to net foreign exchange loss over the term of the related debt.</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Resultng gains or losses are refected in net foreign exchange gain or loss in the condensed consolidated statements of earnings and are generally ofset by losses or gains on the foreign currency exposure being managed. These contracts had notonal amounts totaling $6.8 billion at September 30, 2023 and $6.5 billion at December 31, 2022.</w:t>
      </w:r>
    </w:p>
    <w:p>
      <w:pPr>
        <w:spacing w:after="0" w:line="95"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The company also uses foreign currency forward exchange contracts or foreign currency denominated debt to hedge its net investments in certain foreign subsidiaries and afliates. The company had an aggregate principal amount of senior Euro notes designated as net investment hedges of €5.4 billion at September 30, 2023 and €5.9 billion at December 31, 2022. In additon, the company had foreign currency forward exchange contracts designated as net investment hedges with notonal amounts totaling €4.9 billion, SEK1.4 billion, CAD750 million and CHF50 million at September 30, 2023 and €4.3 billion, SEK2.0 billion, CAD750 million and CHF90 million at December 31, 2022. The company uses the spot method of assessing hedge efectveness for derivatve instruments designated as net investment hedges. Realized and unrealized gains and losses from these hedges are included in AOCI</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11</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and the inital fair value of hedge components excluded from the assessment of efectveness is recognized in interest expense, net over the life of the hedging instrument.</w:t>
      </w:r>
    </w:p>
    <w:p>
      <w:pPr>
        <w:spacing w:after="0" w:line="125"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The company is a party to interest rate swap contracts designated as fair value hedges with notonal amounts totaling $5.0 billion at September 30, 2023 and $4.5 billion at December 31, 2022. The efect of the hedge contracts is to change a fxed-rate interest obligaton to a foatng rate for that porton of the debt. AbbVie records the contracts at fair value and adjusts the carrying amount of the fxed-rate debt by an ofsetng amount.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No amounts are excluded from the assessment of efectveness for cash fow hedges or fair value hedges.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12</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The following table summarizes the amounts and locaton of AbbVie’s derivatve instruments on the condensed consolidated balance sheets: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2800" w:type="dxa"/>
            <w:vAlign w:val="bottom"/>
            <w:gridSpan w:val="2"/>
          </w:tcPr>
          <w:p>
            <w:pPr>
              <w:jc w:val="right"/>
              <w:ind w:right="523"/>
              <w:spacing w:after="0"/>
              <w:rPr>
                <w:sz w:val="20"/>
                <w:szCs w:val="20"/>
                <w:color w:val="auto"/>
              </w:rPr>
            </w:pPr>
            <w:r>
              <w:rPr>
                <w:rFonts w:ascii="Arial" w:cs="Arial" w:eastAsia="Arial" w:hAnsi="Arial"/>
                <w:sz w:val="11"/>
                <w:szCs w:val="11"/>
                <w:b w:val="1"/>
                <w:bCs w:val="1"/>
                <w:color w:val="auto"/>
              </w:rPr>
              <w:t>Fair value –</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2"/>
          </w:tcPr>
          <w:p>
            <w:pPr>
              <w:jc w:val="right"/>
              <w:ind w:right="503"/>
              <w:spacing w:after="0"/>
              <w:rPr>
                <w:sz w:val="20"/>
                <w:szCs w:val="20"/>
                <w:color w:val="auto"/>
              </w:rPr>
            </w:pPr>
            <w:r>
              <w:rPr>
                <w:rFonts w:ascii="Arial" w:cs="Arial" w:eastAsia="Arial" w:hAnsi="Arial"/>
                <w:sz w:val="11"/>
                <w:szCs w:val="11"/>
                <w:b w:val="1"/>
                <w:bCs w:val="1"/>
                <w:color w:val="auto"/>
              </w:rPr>
              <w:t>Fair value –</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60" w:type="dxa"/>
            <w:vAlign w:val="bottom"/>
          </w:tcPr>
          <w:p>
            <w:pPr>
              <w:spacing w:after="0"/>
              <w:rPr>
                <w:sz w:val="12"/>
                <w:szCs w:val="12"/>
                <w:color w:val="auto"/>
              </w:rPr>
            </w:pPr>
          </w:p>
        </w:tc>
        <w:tc>
          <w:tcPr>
            <w:tcW w:w="280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Derivatves in asset positon</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Derivatves in liability positon</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326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Balance sheet capton</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1"/>
              </w:rPr>
              <w:t>September 30, 2023</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2"/>
              </w:rPr>
              <w:t>December 31, 2022</w:t>
            </w:r>
          </w:p>
        </w:tc>
        <w:tc>
          <w:tcPr>
            <w:tcW w:w="10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Balance sheet capton</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1"/>
              </w:rPr>
              <w:t>September 30, 2023</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0"/>
              </w:rPr>
              <w:t>December 31, 2022</w:t>
            </w:r>
          </w:p>
        </w:tc>
        <w:tc>
          <w:tcPr>
            <w:tcW w:w="0" w:type="dxa"/>
            <w:vAlign w:val="bottom"/>
          </w:tcPr>
          <w:p>
            <w:pPr>
              <w:spacing w:after="0"/>
              <w:rPr>
                <w:sz w:val="1"/>
                <w:szCs w:val="1"/>
                <w:color w:val="auto"/>
              </w:rPr>
            </w:pPr>
          </w:p>
        </w:tc>
      </w:tr>
      <w:tr>
        <w:trPr>
          <w:trHeight w:val="148"/>
        </w:trPr>
        <w:tc>
          <w:tcPr>
            <w:tcW w:w="3260" w:type="dxa"/>
            <w:vAlign w:val="bottom"/>
          </w:tcPr>
          <w:p>
            <w:pPr>
              <w:ind w:left="20"/>
              <w:spacing w:after="0"/>
              <w:rPr>
                <w:sz w:val="20"/>
                <w:szCs w:val="20"/>
                <w:color w:val="auto"/>
              </w:rPr>
            </w:pPr>
            <w:r>
              <w:rPr>
                <w:rFonts w:ascii="Arial" w:cs="Arial" w:eastAsia="Arial" w:hAnsi="Arial"/>
                <w:sz w:val="11"/>
                <w:szCs w:val="11"/>
                <w:color w:val="auto"/>
              </w:rPr>
              <w:t>Foreign currency forward exchange contracts</w:t>
            </w:r>
          </w:p>
        </w:tc>
        <w:tc>
          <w:tcPr>
            <w:tcW w:w="1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26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Designated as cash fow hedges</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Prepaid expenses and other $</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jc w:val="right"/>
              <w:ind w:right="43"/>
              <w:spacing w:after="0" w:line="105" w:lineRule="exact"/>
              <w:rPr>
                <w:sz w:val="20"/>
                <w:szCs w:val="20"/>
                <w:color w:val="auto"/>
              </w:rPr>
            </w:pPr>
            <w:r>
              <w:rPr>
                <w:rFonts w:ascii="Arial" w:cs="Arial" w:eastAsia="Arial" w:hAnsi="Arial"/>
                <w:sz w:val="11"/>
                <w:szCs w:val="11"/>
                <w:color w:val="auto"/>
              </w:rPr>
              <w:t>Accounts payable and accrued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0"/>
        </w:trPr>
        <w:tc>
          <w:tcPr>
            <w:tcW w:w="3260" w:type="dxa"/>
            <w:vAlign w:val="bottom"/>
            <w:tcBorders>
              <w:bottom w:val="single" w:sz="8" w:color="CCEEFF"/>
            </w:tcBorders>
            <w:vMerge w:val="continue"/>
            <w:shd w:val="clear" w:color="auto" w:fill="CCEEFF"/>
          </w:tcPr>
          <w:p>
            <w:pPr>
              <w:spacing w:after="0"/>
              <w:rPr>
                <w:sz w:val="13"/>
                <w:szCs w:val="13"/>
                <w:color w:val="auto"/>
              </w:rPr>
            </w:pPr>
          </w:p>
        </w:tc>
        <w:tc>
          <w:tcPr>
            <w:tcW w:w="176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liabilites $</w:t>
            </w: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60" w:type="dxa"/>
            <w:vAlign w:val="bottom"/>
          </w:tcPr>
          <w:p>
            <w:pPr>
              <w:ind w:left="180"/>
              <w:spacing w:after="0"/>
              <w:rPr>
                <w:sz w:val="20"/>
                <w:szCs w:val="20"/>
                <w:color w:val="auto"/>
              </w:rPr>
            </w:pPr>
            <w:r>
              <w:rPr>
                <w:rFonts w:ascii="Arial" w:cs="Arial" w:eastAsia="Arial" w:hAnsi="Arial"/>
                <w:sz w:val="11"/>
                <w:szCs w:val="11"/>
                <w:color w:val="auto"/>
              </w:rPr>
              <w:t>Designated as cash fow hedges</w:t>
            </w:r>
          </w:p>
        </w:tc>
        <w:tc>
          <w:tcPr>
            <w:tcW w:w="1760" w:type="dxa"/>
            <w:vAlign w:val="bottom"/>
          </w:tcPr>
          <w:p>
            <w:pPr>
              <w:jc w:val="right"/>
              <w:ind w:right="43"/>
              <w:spacing w:after="0"/>
              <w:rPr>
                <w:sz w:val="20"/>
                <w:szCs w:val="20"/>
                <w:color w:val="auto"/>
              </w:rPr>
            </w:pPr>
            <w:r>
              <w:rPr>
                <w:rFonts w:ascii="Arial" w:cs="Arial" w:eastAsia="Arial" w:hAnsi="Arial"/>
                <w:sz w:val="11"/>
                <w:szCs w:val="11"/>
                <w:color w:val="auto"/>
              </w:rPr>
              <w:t>Other assets</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760" w:type="dxa"/>
            <w:vAlign w:val="bottom"/>
          </w:tcPr>
          <w:p>
            <w:pPr>
              <w:jc w:val="right"/>
              <w:ind w:right="43"/>
              <w:spacing w:after="0"/>
              <w:rPr>
                <w:sz w:val="20"/>
                <w:szCs w:val="20"/>
                <w:color w:val="auto"/>
              </w:rPr>
            </w:pPr>
            <w:r>
              <w:rPr>
                <w:rFonts w:ascii="Arial" w:cs="Arial" w:eastAsia="Arial" w:hAnsi="Arial"/>
                <w:sz w:val="11"/>
                <w:szCs w:val="11"/>
                <w:color w:val="auto"/>
              </w:rPr>
              <w:t>Other long-term liabilites</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326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Designated as net investment hedges</w:t>
            </w:r>
          </w:p>
        </w:tc>
        <w:tc>
          <w:tcPr>
            <w:tcW w:w="17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Prepaid expenses and other</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jc w:val="right"/>
              <w:ind w:right="43"/>
              <w:spacing w:after="0" w:line="105" w:lineRule="exact"/>
              <w:rPr>
                <w:sz w:val="20"/>
                <w:szCs w:val="20"/>
                <w:color w:val="auto"/>
              </w:rPr>
            </w:pPr>
            <w:r>
              <w:rPr>
                <w:rFonts w:ascii="Arial" w:cs="Arial" w:eastAsia="Arial" w:hAnsi="Arial"/>
                <w:sz w:val="11"/>
                <w:szCs w:val="11"/>
                <w:color w:val="auto"/>
              </w:rPr>
              <w:t>Accounts payable and accrued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50"/>
        </w:trPr>
        <w:tc>
          <w:tcPr>
            <w:tcW w:w="3260" w:type="dxa"/>
            <w:vAlign w:val="bottom"/>
            <w:tcBorders>
              <w:bottom w:val="single" w:sz="8" w:color="CCEEFF"/>
            </w:tcBorders>
            <w:vMerge w:val="continue"/>
            <w:shd w:val="clear" w:color="auto" w:fill="CCEEFF"/>
          </w:tcPr>
          <w:p>
            <w:pPr>
              <w:spacing w:after="0"/>
              <w:rPr>
                <w:sz w:val="13"/>
                <w:szCs w:val="13"/>
                <w:color w:val="auto"/>
              </w:rPr>
            </w:pPr>
          </w:p>
        </w:tc>
        <w:tc>
          <w:tcPr>
            <w:tcW w:w="176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liabilites</w:t>
            </w: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60" w:type="dxa"/>
            <w:vAlign w:val="bottom"/>
          </w:tcPr>
          <w:p>
            <w:pPr>
              <w:ind w:left="180"/>
              <w:spacing w:after="0"/>
              <w:rPr>
                <w:sz w:val="20"/>
                <w:szCs w:val="20"/>
                <w:color w:val="auto"/>
              </w:rPr>
            </w:pPr>
            <w:r>
              <w:rPr>
                <w:rFonts w:ascii="Arial" w:cs="Arial" w:eastAsia="Arial" w:hAnsi="Arial"/>
                <w:sz w:val="11"/>
                <w:szCs w:val="11"/>
                <w:color w:val="auto"/>
              </w:rPr>
              <w:t>Designated as net investment hedges</w:t>
            </w:r>
          </w:p>
        </w:tc>
        <w:tc>
          <w:tcPr>
            <w:tcW w:w="1760" w:type="dxa"/>
            <w:vAlign w:val="bottom"/>
          </w:tcPr>
          <w:p>
            <w:pPr>
              <w:jc w:val="right"/>
              <w:ind w:right="43"/>
              <w:spacing w:after="0"/>
              <w:rPr>
                <w:sz w:val="20"/>
                <w:szCs w:val="20"/>
                <w:color w:val="auto"/>
              </w:rPr>
            </w:pPr>
            <w:r>
              <w:rPr>
                <w:rFonts w:ascii="Arial" w:cs="Arial" w:eastAsia="Arial" w:hAnsi="Arial"/>
                <w:sz w:val="11"/>
                <w:szCs w:val="11"/>
                <w:color w:val="auto"/>
              </w:rPr>
              <w:t>Other assets</w:t>
            </w:r>
          </w:p>
        </w:tc>
        <w:tc>
          <w:tcPr>
            <w:tcW w:w="104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3"/>
                <w:szCs w:val="13"/>
                <w:color w:val="auto"/>
              </w:rPr>
            </w:pPr>
          </w:p>
        </w:tc>
        <w:tc>
          <w:tcPr>
            <w:tcW w:w="1760" w:type="dxa"/>
            <w:vAlign w:val="bottom"/>
          </w:tcPr>
          <w:p>
            <w:pPr>
              <w:jc w:val="right"/>
              <w:ind w:right="43"/>
              <w:spacing w:after="0"/>
              <w:rPr>
                <w:sz w:val="20"/>
                <w:szCs w:val="20"/>
                <w:color w:val="auto"/>
              </w:rPr>
            </w:pPr>
            <w:r>
              <w:rPr>
                <w:rFonts w:ascii="Arial" w:cs="Arial" w:eastAsia="Arial" w:hAnsi="Arial"/>
                <w:sz w:val="11"/>
                <w:szCs w:val="11"/>
                <w:color w:val="auto"/>
              </w:rPr>
              <w:t>Other long-term liabilites</w:t>
            </w:r>
          </w:p>
        </w:tc>
        <w:tc>
          <w:tcPr>
            <w:tcW w:w="104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05"/>
        </w:trPr>
        <w:tc>
          <w:tcPr>
            <w:tcW w:w="326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Not designated as hedges</w:t>
            </w:r>
          </w:p>
        </w:tc>
        <w:tc>
          <w:tcPr>
            <w:tcW w:w="17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Prepaid expenses and other</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jc w:val="right"/>
              <w:ind w:right="43"/>
              <w:spacing w:after="0" w:line="105" w:lineRule="exact"/>
              <w:rPr>
                <w:sz w:val="20"/>
                <w:szCs w:val="20"/>
                <w:color w:val="auto"/>
              </w:rPr>
            </w:pPr>
            <w:r>
              <w:rPr>
                <w:rFonts w:ascii="Arial" w:cs="Arial" w:eastAsia="Arial" w:hAnsi="Arial"/>
                <w:sz w:val="11"/>
                <w:szCs w:val="11"/>
                <w:color w:val="auto"/>
              </w:rPr>
              <w:t>Accounts payable and accrued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50"/>
        </w:trPr>
        <w:tc>
          <w:tcPr>
            <w:tcW w:w="3260" w:type="dxa"/>
            <w:vAlign w:val="bottom"/>
            <w:tcBorders>
              <w:bottom w:val="single" w:sz="8" w:color="CCEEFF"/>
            </w:tcBorders>
            <w:vMerge w:val="continue"/>
            <w:shd w:val="clear" w:color="auto" w:fill="CCEEFF"/>
          </w:tcPr>
          <w:p>
            <w:pPr>
              <w:spacing w:after="0"/>
              <w:rPr>
                <w:sz w:val="13"/>
                <w:szCs w:val="13"/>
                <w:color w:val="auto"/>
              </w:rPr>
            </w:pPr>
          </w:p>
        </w:tc>
        <w:tc>
          <w:tcPr>
            <w:tcW w:w="176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liabilites</w:t>
            </w: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60" w:type="dxa"/>
            <w:vAlign w:val="bottom"/>
          </w:tcPr>
          <w:p>
            <w:pPr>
              <w:ind w:left="20"/>
              <w:spacing w:after="0"/>
              <w:rPr>
                <w:sz w:val="20"/>
                <w:szCs w:val="20"/>
                <w:color w:val="auto"/>
              </w:rPr>
            </w:pPr>
            <w:r>
              <w:rPr>
                <w:rFonts w:ascii="Arial" w:cs="Arial" w:eastAsia="Arial" w:hAnsi="Arial"/>
                <w:sz w:val="11"/>
                <w:szCs w:val="11"/>
                <w:color w:val="auto"/>
              </w:rPr>
              <w:t>Cross-currency swap contracts</w:t>
            </w: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26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Designated as cash fow hedges</w:t>
            </w:r>
          </w:p>
        </w:tc>
        <w:tc>
          <w:tcPr>
            <w:tcW w:w="17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Prepaid expenses and other</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760" w:type="dxa"/>
            <w:vAlign w:val="bottom"/>
            <w:shd w:val="clear" w:color="auto" w:fill="CCEEFF"/>
          </w:tcPr>
          <w:p>
            <w:pPr>
              <w:jc w:val="right"/>
              <w:ind w:right="43"/>
              <w:spacing w:after="0" w:line="105" w:lineRule="exact"/>
              <w:rPr>
                <w:sz w:val="20"/>
                <w:szCs w:val="20"/>
                <w:color w:val="auto"/>
              </w:rPr>
            </w:pPr>
            <w:r>
              <w:rPr>
                <w:rFonts w:ascii="Arial" w:cs="Arial" w:eastAsia="Arial" w:hAnsi="Arial"/>
                <w:sz w:val="11"/>
                <w:szCs w:val="11"/>
                <w:color w:val="auto"/>
              </w:rPr>
              <w:t>Accounts payable and accrued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260" w:type="dxa"/>
            <w:vAlign w:val="bottom"/>
            <w:tcBorders>
              <w:bottom w:val="single" w:sz="8" w:color="CCEEFF"/>
            </w:tcBorders>
            <w:vMerge w:val="continue"/>
            <w:shd w:val="clear" w:color="auto" w:fill="CCEEFF"/>
          </w:tcPr>
          <w:p>
            <w:pPr>
              <w:spacing w:after="0"/>
              <w:rPr>
                <w:sz w:val="13"/>
                <w:szCs w:val="13"/>
                <w:color w:val="auto"/>
              </w:rPr>
            </w:pPr>
          </w:p>
        </w:tc>
        <w:tc>
          <w:tcPr>
            <w:tcW w:w="176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vMerge w:val="continue"/>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liabilites</w:t>
            </w: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60" w:type="dxa"/>
            <w:vAlign w:val="bottom"/>
          </w:tcPr>
          <w:p>
            <w:pPr>
              <w:ind w:left="20"/>
              <w:spacing w:after="0"/>
              <w:rPr>
                <w:sz w:val="20"/>
                <w:szCs w:val="20"/>
                <w:color w:val="auto"/>
              </w:rPr>
            </w:pPr>
            <w:r>
              <w:rPr>
                <w:rFonts w:ascii="Arial" w:cs="Arial" w:eastAsia="Arial" w:hAnsi="Arial"/>
                <w:sz w:val="11"/>
                <w:szCs w:val="11"/>
                <w:color w:val="auto"/>
              </w:rPr>
              <w:t>Interest rate swap contracts</w:t>
            </w: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26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Designated as fair value hedges</w:t>
            </w:r>
          </w:p>
        </w:tc>
        <w:tc>
          <w:tcPr>
            <w:tcW w:w="17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Prepaid expenses and other</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760" w:type="dxa"/>
            <w:vAlign w:val="bottom"/>
            <w:shd w:val="clear" w:color="auto" w:fill="CCEEFF"/>
          </w:tcPr>
          <w:p>
            <w:pPr>
              <w:jc w:val="right"/>
              <w:ind w:right="43"/>
              <w:spacing w:after="0" w:line="105" w:lineRule="exact"/>
              <w:rPr>
                <w:sz w:val="20"/>
                <w:szCs w:val="20"/>
                <w:color w:val="auto"/>
              </w:rPr>
            </w:pPr>
            <w:r>
              <w:rPr>
                <w:rFonts w:ascii="Arial" w:cs="Arial" w:eastAsia="Arial" w:hAnsi="Arial"/>
                <w:sz w:val="11"/>
                <w:szCs w:val="11"/>
                <w:color w:val="auto"/>
              </w:rPr>
              <w:t>Accounts payable and accrued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0"/>
        </w:trPr>
        <w:tc>
          <w:tcPr>
            <w:tcW w:w="3260" w:type="dxa"/>
            <w:vAlign w:val="bottom"/>
            <w:tcBorders>
              <w:bottom w:val="single" w:sz="8" w:color="CCEEFF"/>
            </w:tcBorders>
            <w:vMerge w:val="continue"/>
            <w:shd w:val="clear" w:color="auto" w:fill="CCEEFF"/>
          </w:tcPr>
          <w:p>
            <w:pPr>
              <w:spacing w:after="0"/>
              <w:rPr>
                <w:sz w:val="13"/>
                <w:szCs w:val="13"/>
                <w:color w:val="auto"/>
              </w:rPr>
            </w:pPr>
          </w:p>
        </w:tc>
        <w:tc>
          <w:tcPr>
            <w:tcW w:w="176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vMerge w:val="continue"/>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liabilites</w:t>
            </w: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6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Designated as fair value hedges</w:t>
            </w:r>
          </w:p>
        </w:tc>
        <w:tc>
          <w:tcPr>
            <w:tcW w:w="1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Other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Other long-term liabilites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434</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w:t>
            </w:r>
          </w:p>
        </w:tc>
        <w:tc>
          <w:tcPr>
            <w:tcW w:w="0" w:type="dxa"/>
            <w:vAlign w:val="bottom"/>
          </w:tcPr>
          <w:p>
            <w:pPr>
              <w:spacing w:after="0"/>
              <w:rPr>
                <w:sz w:val="1"/>
                <w:szCs w:val="1"/>
                <w:color w:val="auto"/>
              </w:rPr>
            </w:pPr>
          </w:p>
        </w:tc>
      </w:tr>
      <w:tr>
        <w:trPr>
          <w:trHeight w:val="175"/>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derivatves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auto"/>
        </w:rPr>
        <w:t>While certain derivatves are subject to netng arrangements with the company’s counterpartes, the company does not ofset derivatve assets and liabilites within the condensed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pre-tax amounts of gains (losses) from derivatve instruments recognized in other comprehensive loss: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1"/>
                <w:szCs w:val="11"/>
                <w:b w:val="1"/>
                <w:bCs w:val="1"/>
                <w:color w:val="auto"/>
                <w:w w:val="90"/>
              </w:rPr>
              <w:t>Three months ended</w:t>
            </w:r>
          </w:p>
        </w:tc>
        <w:tc>
          <w:tcPr>
            <w:tcW w:w="200" w:type="dxa"/>
            <w:vAlign w:val="bottom"/>
          </w:tcPr>
          <w:p>
            <w:pPr>
              <w:spacing w:after="0"/>
              <w:rPr>
                <w:sz w:val="10"/>
                <w:szCs w:val="10"/>
                <w:color w:val="auto"/>
              </w:rPr>
            </w:pPr>
          </w:p>
        </w:tc>
        <w:tc>
          <w:tcPr>
            <w:tcW w:w="1640" w:type="dxa"/>
            <w:vAlign w:val="bottom"/>
            <w:gridSpan w:val="3"/>
          </w:tcPr>
          <w:p>
            <w:pPr>
              <w:jc w:val="center"/>
              <w:ind w:right="132"/>
              <w:spacing w:after="0"/>
              <w:rPr>
                <w:sz w:val="20"/>
                <w:szCs w:val="20"/>
                <w:color w:val="auto"/>
              </w:rPr>
            </w:pPr>
            <w:r>
              <w:rPr>
                <w:rFonts w:ascii="Arial" w:cs="Arial" w:eastAsia="Arial" w:hAnsi="Arial"/>
                <w:sz w:val="11"/>
                <w:szCs w:val="11"/>
                <w:b w:val="1"/>
                <w:bCs w:val="1"/>
                <w:color w:val="auto"/>
                <w:w w:val="90"/>
              </w:rPr>
              <w:t>Nine months ended</w:t>
            </w:r>
          </w:p>
        </w:tc>
        <w:tc>
          <w:tcPr>
            <w:tcW w:w="0" w:type="dxa"/>
            <w:vAlign w:val="bottom"/>
          </w:tcPr>
          <w:p>
            <w:pPr>
              <w:spacing w:after="0"/>
              <w:rPr>
                <w:sz w:val="1"/>
                <w:szCs w:val="1"/>
                <w:color w:val="auto"/>
              </w:rPr>
            </w:pPr>
          </w:p>
        </w:tc>
      </w:tr>
      <w:tr>
        <w:trPr>
          <w:trHeight w:val="145"/>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left="295"/>
              <w:spacing w:after="0"/>
              <w:rPr>
                <w:sz w:val="20"/>
                <w:szCs w:val="20"/>
                <w:color w:val="auto"/>
              </w:rPr>
            </w:pPr>
            <w:r>
              <w:rPr>
                <w:rFonts w:ascii="Arial" w:cs="Arial" w:eastAsia="Arial" w:hAnsi="Arial"/>
                <w:sz w:val="11"/>
                <w:szCs w:val="11"/>
                <w:b w:val="1"/>
                <w:bCs w:val="1"/>
                <w:color w:val="auto"/>
                <w:w w:val="90"/>
              </w:rPr>
              <w:t>September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left="295"/>
              <w:spacing w:after="0"/>
              <w:rPr>
                <w:sz w:val="20"/>
                <w:szCs w:val="20"/>
                <w:color w:val="auto"/>
              </w:rPr>
            </w:pPr>
            <w:r>
              <w:rPr>
                <w:rFonts w:ascii="Arial" w:cs="Arial" w:eastAsia="Arial" w:hAnsi="Arial"/>
                <w:sz w:val="11"/>
                <w:szCs w:val="11"/>
                <w:b w:val="1"/>
                <w:bCs w:val="1"/>
                <w:color w:val="auto"/>
                <w:w w:val="90"/>
              </w:rPr>
              <w:t>September 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75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w w:val="89"/>
              </w:rPr>
              <w:t>2022</w:t>
            </w:r>
          </w:p>
        </w:tc>
        <w:tc>
          <w:tcPr>
            <w:tcW w:w="0" w:type="dxa"/>
            <w:vAlign w:val="bottom"/>
          </w:tcPr>
          <w:p>
            <w:pPr>
              <w:spacing w:after="0"/>
              <w:rPr>
                <w:sz w:val="1"/>
                <w:szCs w:val="1"/>
                <w:color w:val="auto"/>
              </w:rPr>
            </w:pPr>
          </w:p>
        </w:tc>
      </w:tr>
      <w:tr>
        <w:trPr>
          <w:trHeight w:val="177"/>
        </w:trPr>
        <w:tc>
          <w:tcPr>
            <w:tcW w:w="7500" w:type="dxa"/>
            <w:vAlign w:val="bottom"/>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Designated as cash fow hedges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76</w:t>
            </w:r>
          </w:p>
        </w:tc>
        <w:tc>
          <w:tcPr>
            <w:tcW w:w="3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81</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9"/>
        </w:trPr>
        <w:tc>
          <w:tcPr>
            <w:tcW w:w="7500" w:type="dxa"/>
            <w:vAlign w:val="bottom"/>
          </w:tcPr>
          <w:p>
            <w:pPr>
              <w:ind w:left="180"/>
              <w:spacing w:after="0"/>
              <w:rPr>
                <w:sz w:val="20"/>
                <w:szCs w:val="20"/>
                <w:color w:val="auto"/>
              </w:rPr>
            </w:pPr>
            <w:r>
              <w:rPr>
                <w:rFonts w:ascii="Arial" w:cs="Arial" w:eastAsia="Arial" w:hAnsi="Arial"/>
                <w:sz w:val="14"/>
                <w:szCs w:val="14"/>
                <w:color w:val="auto"/>
              </w:rPr>
              <w:t>Designated as net investment hedges</w:t>
            </w:r>
          </w:p>
        </w:tc>
        <w:tc>
          <w:tcPr>
            <w:tcW w:w="200" w:type="dxa"/>
            <w:vAlign w:val="bottom"/>
          </w:tcPr>
          <w:p>
            <w:pPr>
              <w:spacing w:after="0"/>
              <w:rPr>
                <w:sz w:val="15"/>
                <w:szCs w:val="15"/>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color w:val="auto"/>
              </w:rPr>
              <w:t>241</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color w:val="auto"/>
              </w:rPr>
              <w:t>153</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82"/>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 contracts designated as cash fow hedges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designated as cash fow hedges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Assuming market rates remain constant through contract maturites, the company expects to reclassify pre-tax gains of $74 million into cost of products sold for foreign currency cash fow hedges, pre-tax gains of $1 million into net foreign exchange loss for cross-currency swap cash fow hedges and pre-tax gains of $24 million into interest expense, net for treasury rate lock agreement cash fow hedges during the next 12 months.</w:t>
      </w:r>
    </w:p>
    <w:p>
      <w:pPr>
        <w:spacing w:after="0" w:line="9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Related to AbbVie’s non-derivatve, foreign currency denominated debt designated as net investment hedges, the company recognized in other comprehensive loss pre-tax gains of $173 million for the three months and pre-tax gains of $47 million for the nine months ended September 30, 2023 and pre-tax gains of $431 million for the three months and pre-tax gains of $932 million for the nine months ended September 30, 2022.</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13</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5" w:name="page16"/>
    <w:bookmarkEnd w:id="15"/>
    <w:p>
      <w:pPr>
        <w:ind w:right="280"/>
        <w:spacing w:after="0" w:line="273" w:lineRule="auto"/>
        <w:rPr>
          <w:sz w:val="20"/>
          <w:szCs w:val="20"/>
          <w:color w:val="auto"/>
        </w:rPr>
      </w:pPr>
      <w:r>
        <w:rPr>
          <w:rFonts w:ascii="Arial" w:cs="Arial" w:eastAsia="Arial" w:hAnsi="Arial"/>
          <w:sz w:val="14"/>
          <w:szCs w:val="14"/>
          <w:color w:val="auto"/>
        </w:rPr>
        <w:t>The following table summarizes the pre-tax amounts and locaton of derivatve instrument net gains (losses) recognized in the condensed consolidated statements of earnings, including the net gains (losses) reclassifed out of AOCI into net earnings. See Note 10 for the amount of net gains (losses) reclassifed out of AOCI.</w:t>
      </w: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4"/>
          </w:tcPr>
          <w:p>
            <w:pPr>
              <w:jc w:val="center"/>
              <w:ind w:right="300"/>
              <w:spacing w:after="0" w:line="115" w:lineRule="exact"/>
              <w:rPr>
                <w:sz w:val="20"/>
                <w:szCs w:val="20"/>
                <w:color w:val="auto"/>
              </w:rPr>
            </w:pPr>
            <w:r>
              <w:rPr>
                <w:rFonts w:ascii="Arial" w:cs="Arial" w:eastAsia="Arial" w:hAnsi="Arial"/>
                <w:sz w:val="11"/>
                <w:szCs w:val="11"/>
                <w:b w:val="1"/>
                <w:bCs w:val="1"/>
                <w:color w:val="auto"/>
                <w:w w:val="90"/>
              </w:rPr>
              <w:t>Three months ended</w:t>
            </w:r>
          </w:p>
        </w:tc>
        <w:tc>
          <w:tcPr>
            <w:tcW w:w="180" w:type="dxa"/>
            <w:vAlign w:val="bottom"/>
          </w:tcPr>
          <w:p>
            <w:pPr>
              <w:spacing w:after="0"/>
              <w:rPr>
                <w:sz w:val="10"/>
                <w:szCs w:val="10"/>
                <w:color w:val="auto"/>
              </w:rPr>
            </w:pPr>
          </w:p>
        </w:tc>
        <w:tc>
          <w:tcPr>
            <w:tcW w:w="1460" w:type="dxa"/>
            <w:vAlign w:val="bottom"/>
            <w:gridSpan w:val="3"/>
          </w:tcPr>
          <w:p>
            <w:pPr>
              <w:jc w:val="right"/>
              <w:ind w:right="291"/>
              <w:spacing w:after="0" w:line="115" w:lineRule="exact"/>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left="253"/>
              <w:spacing w:after="0"/>
              <w:rPr>
                <w:sz w:val="20"/>
                <w:szCs w:val="20"/>
                <w:color w:val="auto"/>
              </w:rPr>
            </w:pPr>
            <w:r>
              <w:rPr>
                <w:rFonts w:ascii="Arial" w:cs="Arial" w:eastAsia="Arial" w:hAnsi="Arial"/>
                <w:sz w:val="11"/>
                <w:szCs w:val="11"/>
                <w:b w:val="1"/>
                <w:bCs w:val="1"/>
                <w:color w:val="auto"/>
                <w:w w:val="93"/>
              </w:rPr>
              <w:t>September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411"/>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25"/>
        </w:trPr>
        <w:tc>
          <w:tcPr>
            <w:tcW w:w="4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900" w:type="dxa"/>
            <w:vAlign w:val="bottom"/>
            <w:vMerge w:val="restart"/>
          </w:tcPr>
          <w:p>
            <w:pPr>
              <w:jc w:val="right"/>
              <w:ind w:right="51"/>
              <w:spacing w:after="0"/>
              <w:rPr>
                <w:sz w:val="20"/>
                <w:szCs w:val="20"/>
                <w:color w:val="auto"/>
              </w:rPr>
            </w:pPr>
            <w:r>
              <w:rPr>
                <w:rFonts w:ascii="Arial" w:cs="Arial" w:eastAsia="Arial" w:hAnsi="Arial"/>
                <w:sz w:val="11"/>
                <w:szCs w:val="11"/>
                <w:b w:val="1"/>
                <w:bCs w:val="1"/>
                <w:color w:val="auto"/>
              </w:rPr>
              <w:t>Statement of earnings capton</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900" w:type="dxa"/>
            <w:vAlign w:val="bottom"/>
            <w:tcBorders>
              <w:bottom w:val="single" w:sz="8" w:color="auto"/>
            </w:tcBorders>
            <w:vMerge w:val="continue"/>
          </w:tcPr>
          <w:p>
            <w:pPr>
              <w:spacing w:after="0"/>
              <w:rPr>
                <w:sz w:val="12"/>
                <w:szCs w:val="12"/>
                <w:color w:val="auto"/>
              </w:rPr>
            </w:pPr>
          </w:p>
        </w:tc>
        <w:tc>
          <w:tcPr>
            <w:tcW w:w="29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2023</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Designated as cash fow hedges</w:t>
            </w:r>
          </w:p>
        </w:tc>
        <w:tc>
          <w:tcPr>
            <w:tcW w:w="3100" w:type="dxa"/>
            <w:vAlign w:val="bottom"/>
            <w:gridSpan w:val="2"/>
            <w:shd w:val="clear" w:color="auto" w:fill="CCEEFF"/>
          </w:tcPr>
          <w:p>
            <w:pPr>
              <w:ind w:left="1580"/>
              <w:spacing w:after="0"/>
              <w:rPr>
                <w:sz w:val="20"/>
                <w:szCs w:val="20"/>
                <w:color w:val="auto"/>
              </w:rPr>
            </w:pPr>
            <w:r>
              <w:rPr>
                <w:rFonts w:ascii="Arial" w:cs="Arial" w:eastAsia="Arial" w:hAnsi="Arial"/>
                <w:sz w:val="14"/>
                <w:szCs w:val="14"/>
                <w:color w:val="auto"/>
              </w:rPr>
              <w:t>Cost of products sold  $</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9"/>
        </w:trPr>
        <w:tc>
          <w:tcPr>
            <w:tcW w:w="4900" w:type="dxa"/>
            <w:vAlign w:val="bottom"/>
          </w:tcPr>
          <w:p>
            <w:pPr>
              <w:ind w:left="180"/>
              <w:spacing w:after="0"/>
              <w:rPr>
                <w:sz w:val="20"/>
                <w:szCs w:val="20"/>
                <w:color w:val="auto"/>
              </w:rPr>
            </w:pPr>
            <w:r>
              <w:rPr>
                <w:rFonts w:ascii="Arial" w:cs="Arial" w:eastAsia="Arial" w:hAnsi="Arial"/>
                <w:sz w:val="14"/>
                <w:szCs w:val="14"/>
                <w:color w:val="auto"/>
              </w:rPr>
              <w:t>Designated as net investment hedges</w:t>
            </w:r>
          </w:p>
        </w:tc>
        <w:tc>
          <w:tcPr>
            <w:tcW w:w="3100" w:type="dxa"/>
            <w:vAlign w:val="bottom"/>
            <w:gridSpan w:val="2"/>
          </w:tcPr>
          <w:p>
            <w:pPr>
              <w:jc w:val="right"/>
              <w:ind w:right="320"/>
              <w:spacing w:after="0"/>
              <w:rPr>
                <w:sz w:val="20"/>
                <w:szCs w:val="20"/>
                <w:color w:val="auto"/>
              </w:rPr>
            </w:pPr>
            <w:r>
              <w:rPr>
                <w:rFonts w:ascii="Arial" w:cs="Arial" w:eastAsia="Arial" w:hAnsi="Arial"/>
                <w:sz w:val="14"/>
                <w:szCs w:val="14"/>
                <w:color w:val="auto"/>
              </w:rPr>
              <w:t>Interest expense, net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28</w:t>
            </w: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85</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 designated as hedges</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Net foreign exchange loss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9"/>
        </w:trPr>
        <w:tc>
          <w:tcPr>
            <w:tcW w:w="4900" w:type="dxa"/>
            <w:vAlign w:val="bottom"/>
          </w:tcPr>
          <w:p>
            <w:pPr>
              <w:ind w:left="20"/>
              <w:spacing w:after="0"/>
              <w:rPr>
                <w:sz w:val="20"/>
                <w:szCs w:val="20"/>
                <w:color w:val="auto"/>
              </w:rPr>
            </w:pPr>
            <w:r>
              <w:rPr>
                <w:rFonts w:ascii="Arial" w:cs="Arial" w:eastAsia="Arial" w:hAnsi="Arial"/>
                <w:sz w:val="14"/>
                <w:szCs w:val="14"/>
                <w:color w:val="auto"/>
              </w:rPr>
              <w:t>Treasury rate lock agreements designated as cash fow hedges</w:t>
            </w:r>
          </w:p>
        </w:tc>
        <w:tc>
          <w:tcPr>
            <w:tcW w:w="3100" w:type="dxa"/>
            <w:vAlign w:val="bottom"/>
            <w:gridSpan w:val="2"/>
          </w:tcPr>
          <w:p>
            <w:pPr>
              <w:jc w:val="right"/>
              <w:ind w:right="320"/>
              <w:spacing w:after="0"/>
              <w:rPr>
                <w:sz w:val="20"/>
                <w:szCs w:val="20"/>
                <w:color w:val="auto"/>
              </w:rPr>
            </w:pPr>
            <w:r>
              <w:rPr>
                <w:rFonts w:ascii="Arial" w:cs="Arial" w:eastAsia="Arial" w:hAnsi="Arial"/>
                <w:sz w:val="14"/>
                <w:szCs w:val="14"/>
                <w:color w:val="auto"/>
              </w:rPr>
              <w:t>Interest expense, net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 contracts designated as cash fow hedges</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Net foreign exchange loss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900" w:type="dxa"/>
            <w:vAlign w:val="bottom"/>
          </w:tcPr>
          <w:p>
            <w:pPr>
              <w:ind w:left="20"/>
              <w:spacing w:after="0"/>
              <w:rPr>
                <w:sz w:val="20"/>
                <w:szCs w:val="20"/>
                <w:color w:val="auto"/>
              </w:rPr>
            </w:pPr>
            <w:r>
              <w:rPr>
                <w:rFonts w:ascii="Arial" w:cs="Arial" w:eastAsia="Arial" w:hAnsi="Arial"/>
                <w:sz w:val="14"/>
                <w:szCs w:val="14"/>
                <w:color w:val="auto"/>
              </w:rPr>
              <w:t>Interest rate swap contracts</w:t>
            </w: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Designated as cash fow hedges</w:t>
            </w:r>
          </w:p>
        </w:tc>
        <w:tc>
          <w:tcPr>
            <w:tcW w:w="3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Interest expense, net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4900" w:type="dxa"/>
            <w:vAlign w:val="bottom"/>
          </w:tcPr>
          <w:p>
            <w:pPr>
              <w:ind w:left="180"/>
              <w:spacing w:after="0"/>
              <w:rPr>
                <w:sz w:val="20"/>
                <w:szCs w:val="20"/>
                <w:color w:val="auto"/>
              </w:rPr>
            </w:pPr>
            <w:r>
              <w:rPr>
                <w:rFonts w:ascii="Arial" w:cs="Arial" w:eastAsia="Arial" w:hAnsi="Arial"/>
                <w:sz w:val="14"/>
                <w:szCs w:val="14"/>
                <w:color w:val="auto"/>
              </w:rPr>
              <w:t>Designated as fair value hedges</w:t>
            </w:r>
          </w:p>
        </w:tc>
        <w:tc>
          <w:tcPr>
            <w:tcW w:w="3100" w:type="dxa"/>
            <w:vAlign w:val="bottom"/>
            <w:gridSpan w:val="2"/>
          </w:tcPr>
          <w:p>
            <w:pPr>
              <w:jc w:val="right"/>
              <w:ind w:right="320"/>
              <w:spacing w:after="0"/>
              <w:rPr>
                <w:sz w:val="20"/>
                <w:szCs w:val="20"/>
                <w:color w:val="auto"/>
              </w:rPr>
            </w:pPr>
            <w:r>
              <w:rPr>
                <w:rFonts w:ascii="Arial" w:cs="Arial" w:eastAsia="Arial" w:hAnsi="Arial"/>
                <w:sz w:val="14"/>
                <w:szCs w:val="14"/>
                <w:color w:val="auto"/>
              </w:rPr>
              <w:t>Interest expense, net</w:t>
            </w: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8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Debt designated as hedged item in fair value hedges</w:t>
            </w:r>
          </w:p>
        </w:tc>
        <w:tc>
          <w:tcPr>
            <w:tcW w:w="31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Interest expense, net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58</w:t>
            </w:r>
          </w:p>
        </w:tc>
        <w:tc>
          <w:tcPr>
            <w:tcW w:w="3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Fair Value Measures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hierarchy consists of the following three levels:</w:t>
      </w:r>
    </w:p>
    <w:p>
      <w:pPr>
        <w:spacing w:after="0" w:line="115" w:lineRule="exact"/>
        <w:rPr>
          <w:sz w:val="20"/>
          <w:szCs w:val="20"/>
          <w:color w:val="auto"/>
        </w:rPr>
      </w:pPr>
    </w:p>
    <w:p>
      <w:pPr>
        <w:ind w:left="380" w:hanging="15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1 – Valuatons based on unadjusted quoted prices in actve markets for identcal assets that the company has the ability to access;</w:t>
      </w:r>
    </w:p>
    <w:p>
      <w:pPr>
        <w:spacing w:after="0" w:line="125" w:lineRule="exact"/>
        <w:rPr>
          <w:rFonts w:ascii="Arial" w:cs="Arial" w:eastAsia="Arial" w:hAnsi="Arial"/>
          <w:sz w:val="14"/>
          <w:szCs w:val="14"/>
          <w:color w:val="auto"/>
        </w:rPr>
      </w:pPr>
    </w:p>
    <w:p>
      <w:pPr>
        <w:ind w:left="380" w:right="440" w:hanging="152"/>
        <w:spacing w:after="0" w:line="278" w:lineRule="auto"/>
        <w:tabs>
          <w:tab w:leader="none" w:pos="376"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2 – Valuatons based on quoted prices for similar instruments in actve markets, quoted prices for identcal or similar instruments in markets that are not actve and model-based valuatons in which all signifcant inputs are observable in the market; and</w:t>
      </w:r>
    </w:p>
    <w:p>
      <w:pPr>
        <w:spacing w:after="0" w:line="83" w:lineRule="exact"/>
        <w:rPr>
          <w:rFonts w:ascii="Arial" w:cs="Arial" w:eastAsia="Arial" w:hAnsi="Arial"/>
          <w:sz w:val="14"/>
          <w:szCs w:val="14"/>
          <w:color w:val="auto"/>
        </w:rPr>
      </w:pPr>
    </w:p>
    <w:p>
      <w:pPr>
        <w:ind w:left="380" w:right="120" w:hanging="152"/>
        <w:spacing w:after="0" w:line="278" w:lineRule="auto"/>
        <w:tabs>
          <w:tab w:leader="none" w:pos="376"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3 – Valuatons using signifcant inputs that are unobservable in the market and include the use of judgment by the company’s management about the assumptons market partcipants would use in pricing the asset or liability.</w:t>
      </w:r>
    </w:p>
    <w:p>
      <w:pPr>
        <w:spacing w:after="0" w:line="73"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The following table summarizes the bases used to measure certain assets and liabilites carried at fair value on a recurring basis on the condensed consolidated balance sheet as of September 30, 2023:</w:t>
      </w:r>
    </w:p>
    <w:tbl>
      <w:tblPr>
        <w:tblLayout w:type="fixed"/>
        <w:tblInd w:w="0" w:type="dxa"/>
        <w:tblCellMar>
          <w:top w:w="0" w:type="dxa"/>
          <w:left w:w="0" w:type="dxa"/>
          <w:bottom w:w="0" w:type="dxa"/>
          <w:right w:w="0" w:type="dxa"/>
        </w:tblCellMar>
      </w:tblPr>
      <w:tr>
        <w:trPr>
          <w:trHeight w:val="145"/>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Basis of fair value measurement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jc w:val="center"/>
              <w:ind w:right="52"/>
              <w:spacing w:after="0" w:line="88" w:lineRule="exact"/>
              <w:rPr>
                <w:sz w:val="20"/>
                <w:szCs w:val="20"/>
                <w:color w:val="auto"/>
              </w:rPr>
            </w:pPr>
            <w:r>
              <w:rPr>
                <w:rFonts w:ascii="Arial" w:cs="Arial" w:eastAsia="Arial" w:hAnsi="Arial"/>
                <w:sz w:val="10"/>
                <w:szCs w:val="10"/>
                <w:b w:val="1"/>
                <w:bCs w:val="1"/>
                <w:color w:val="auto"/>
              </w:rPr>
              <w:t>Quoted prices in actve</w:t>
            </w:r>
          </w:p>
        </w:tc>
        <w:tc>
          <w:tcPr>
            <w:tcW w:w="158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Signifcant other observable</w:t>
            </w:r>
          </w:p>
        </w:tc>
        <w:tc>
          <w:tcPr>
            <w:tcW w:w="100" w:type="dxa"/>
            <w:vAlign w:val="bottom"/>
          </w:tcPr>
          <w:p>
            <w:pPr>
              <w:spacing w:after="0"/>
              <w:rPr>
                <w:sz w:val="7"/>
                <w:szCs w:val="7"/>
                <w:color w:val="auto"/>
              </w:rPr>
            </w:pPr>
          </w:p>
        </w:tc>
        <w:tc>
          <w:tcPr>
            <w:tcW w:w="1280" w:type="dxa"/>
            <w:vAlign w:val="bottom"/>
          </w:tcPr>
          <w:p>
            <w:pPr>
              <w:jc w:val="center"/>
              <w:ind w:right="33"/>
              <w:spacing w:after="0" w:line="88" w:lineRule="exact"/>
              <w:rPr>
                <w:sz w:val="20"/>
                <w:szCs w:val="20"/>
                <w:color w:val="auto"/>
              </w:rPr>
            </w:pPr>
            <w:r>
              <w:rPr>
                <w:rFonts w:ascii="Arial" w:cs="Arial" w:eastAsia="Arial" w:hAnsi="Arial"/>
                <w:sz w:val="10"/>
                <w:szCs w:val="10"/>
                <w:b w:val="1"/>
                <w:bCs w:val="1"/>
                <w:color w:val="auto"/>
                <w:w w:val="98"/>
              </w:rPr>
              <w:t>Signifcant unobservable</w:t>
            </w:r>
          </w:p>
        </w:tc>
        <w:tc>
          <w:tcPr>
            <w:tcW w:w="0" w:type="dxa"/>
            <w:vAlign w:val="bottom"/>
          </w:tcPr>
          <w:p>
            <w:pPr>
              <w:spacing w:after="0"/>
              <w:rPr>
                <w:sz w:val="1"/>
                <w:szCs w:val="1"/>
                <w:color w:val="auto"/>
              </w:rPr>
            </w:pPr>
          </w:p>
        </w:tc>
      </w:tr>
      <w:tr>
        <w:trPr>
          <w:trHeight w:val="117"/>
        </w:trPr>
        <w:tc>
          <w:tcPr>
            <w:tcW w:w="38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940" w:type="dxa"/>
            <w:vAlign w:val="bottom"/>
          </w:tcPr>
          <w:p>
            <w:pPr>
              <w:spacing w:after="0"/>
              <w:rPr>
                <w:sz w:val="10"/>
                <w:szCs w:val="10"/>
                <w:color w:val="auto"/>
              </w:rPr>
            </w:pPr>
          </w:p>
        </w:tc>
        <w:tc>
          <w:tcPr>
            <w:tcW w:w="1140" w:type="dxa"/>
            <w:vAlign w:val="bottom"/>
            <w:vMerge w:val="restart"/>
          </w:tcPr>
          <w:p>
            <w:pPr>
              <w:jc w:val="right"/>
              <w:ind w:right="610"/>
              <w:spacing w:after="0"/>
              <w:rPr>
                <w:sz w:val="20"/>
                <w:szCs w:val="20"/>
                <w:color w:val="auto"/>
              </w:rPr>
            </w:pPr>
            <w:r>
              <w:rPr>
                <w:rFonts w:ascii="Arial" w:cs="Arial" w:eastAsia="Arial" w:hAnsi="Arial"/>
                <w:sz w:val="11"/>
                <w:szCs w:val="11"/>
                <w:b w:val="1"/>
                <w:bCs w:val="1"/>
                <w:color w:val="auto"/>
              </w:rPr>
              <w:t>Total</w:t>
            </w:r>
          </w:p>
        </w:tc>
        <w:tc>
          <w:tcPr>
            <w:tcW w:w="136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w w:val="90"/>
              </w:rPr>
              <w:t>markets for identcal assets</w:t>
            </w:r>
          </w:p>
        </w:tc>
        <w:tc>
          <w:tcPr>
            <w:tcW w:w="400" w:type="dxa"/>
            <w:vAlign w:val="bottom"/>
          </w:tcPr>
          <w:p>
            <w:pPr>
              <w:spacing w:after="0"/>
              <w:rPr>
                <w:sz w:val="10"/>
                <w:szCs w:val="10"/>
                <w:color w:val="auto"/>
              </w:rPr>
            </w:pPr>
          </w:p>
        </w:tc>
        <w:tc>
          <w:tcPr>
            <w:tcW w:w="1180" w:type="dxa"/>
            <w:vAlign w:val="bottom"/>
          </w:tcPr>
          <w:p>
            <w:pPr>
              <w:jc w:val="center"/>
              <w:ind w:right="331"/>
              <w:spacing w:after="0" w:line="117" w:lineRule="exact"/>
              <w:rPr>
                <w:sz w:val="20"/>
                <w:szCs w:val="20"/>
                <w:color w:val="auto"/>
              </w:rPr>
            </w:pPr>
            <w:r>
              <w:rPr>
                <w:rFonts w:ascii="Arial" w:cs="Arial" w:eastAsia="Arial" w:hAnsi="Arial"/>
                <w:sz w:val="11"/>
                <w:szCs w:val="11"/>
                <w:b w:val="1"/>
                <w:bCs w:val="1"/>
                <w:color w:val="auto"/>
                <w:w w:val="90"/>
              </w:rPr>
              <w:t>inputs</w:t>
            </w:r>
          </w:p>
        </w:tc>
        <w:tc>
          <w:tcPr>
            <w:tcW w:w="100" w:type="dxa"/>
            <w:vAlign w:val="bottom"/>
          </w:tcPr>
          <w:p>
            <w:pPr>
              <w:spacing w:after="0"/>
              <w:rPr>
                <w:sz w:val="10"/>
                <w:szCs w:val="10"/>
                <w:color w:val="auto"/>
              </w:rPr>
            </w:pPr>
          </w:p>
        </w:tc>
        <w:tc>
          <w:tcPr>
            <w:tcW w:w="1280" w:type="dxa"/>
            <w:vAlign w:val="bottom"/>
          </w:tcPr>
          <w:p>
            <w:pPr>
              <w:jc w:val="center"/>
              <w:ind w:right="53"/>
              <w:spacing w:after="0" w:line="117" w:lineRule="exact"/>
              <w:rPr>
                <w:sz w:val="20"/>
                <w:szCs w:val="20"/>
                <w:color w:val="auto"/>
              </w:rPr>
            </w:pPr>
            <w:r>
              <w:rPr>
                <w:rFonts w:ascii="Arial" w:cs="Arial" w:eastAsia="Arial" w:hAnsi="Arial"/>
                <w:sz w:val="11"/>
                <w:szCs w:val="11"/>
                <w:b w:val="1"/>
                <w:bCs w:val="1"/>
                <w:color w:val="auto"/>
                <w:w w:val="84"/>
              </w:rPr>
              <w:t>inputs</w:t>
            </w:r>
          </w:p>
        </w:tc>
        <w:tc>
          <w:tcPr>
            <w:tcW w:w="0" w:type="dxa"/>
            <w:vAlign w:val="bottom"/>
          </w:tcPr>
          <w:p>
            <w:pPr>
              <w:spacing w:after="0"/>
              <w:rPr>
                <w:sz w:val="1"/>
                <w:szCs w:val="1"/>
                <w:color w:val="auto"/>
              </w:rPr>
            </w:pPr>
          </w:p>
        </w:tc>
      </w:tr>
      <w:tr>
        <w:trPr>
          <w:trHeight w:val="145"/>
        </w:trPr>
        <w:tc>
          <w:tcPr>
            <w:tcW w:w="388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52"/>
              <w:spacing w:after="0"/>
              <w:rPr>
                <w:sz w:val="20"/>
                <w:szCs w:val="20"/>
                <w:color w:val="auto"/>
              </w:rPr>
            </w:pPr>
            <w:r>
              <w:rPr>
                <w:rFonts w:ascii="Arial" w:cs="Arial" w:eastAsia="Arial" w:hAnsi="Arial"/>
                <w:sz w:val="11"/>
                <w:szCs w:val="11"/>
                <w:b w:val="1"/>
                <w:bCs w:val="1"/>
                <w:color w:val="auto"/>
                <w:w w:val="89"/>
              </w:rPr>
              <w:t>(Level 1)</w:t>
            </w:r>
          </w:p>
        </w:tc>
        <w:tc>
          <w:tcPr>
            <w:tcW w:w="400" w:type="dxa"/>
            <w:vAlign w:val="bottom"/>
          </w:tcPr>
          <w:p>
            <w:pPr>
              <w:spacing w:after="0"/>
              <w:rPr>
                <w:sz w:val="12"/>
                <w:szCs w:val="12"/>
                <w:color w:val="auto"/>
              </w:rPr>
            </w:pPr>
          </w:p>
        </w:tc>
        <w:tc>
          <w:tcPr>
            <w:tcW w:w="1180" w:type="dxa"/>
            <w:vAlign w:val="bottom"/>
          </w:tcPr>
          <w:p>
            <w:pPr>
              <w:jc w:val="center"/>
              <w:ind w:right="311"/>
              <w:spacing w:after="0"/>
              <w:rPr>
                <w:sz w:val="20"/>
                <w:szCs w:val="20"/>
                <w:color w:val="auto"/>
              </w:rPr>
            </w:pPr>
            <w:r>
              <w:rPr>
                <w:rFonts w:ascii="Arial" w:cs="Arial" w:eastAsia="Arial" w:hAnsi="Arial"/>
                <w:sz w:val="11"/>
                <w:szCs w:val="11"/>
                <w:b w:val="1"/>
                <w:bCs w:val="1"/>
                <w:color w:val="auto"/>
                <w:w w:val="89"/>
              </w:rPr>
              <w:t>(Level 2)</w:t>
            </w:r>
          </w:p>
        </w:tc>
        <w:tc>
          <w:tcPr>
            <w:tcW w:w="100" w:type="dxa"/>
            <w:vAlign w:val="bottom"/>
          </w:tcPr>
          <w:p>
            <w:pPr>
              <w:spacing w:after="0"/>
              <w:rPr>
                <w:sz w:val="12"/>
                <w:szCs w:val="12"/>
                <w:color w:val="auto"/>
              </w:rPr>
            </w:pPr>
          </w:p>
        </w:tc>
        <w:tc>
          <w:tcPr>
            <w:tcW w:w="1280" w:type="dxa"/>
            <w:vAlign w:val="bottom"/>
          </w:tcPr>
          <w:p>
            <w:pPr>
              <w:jc w:val="center"/>
              <w:ind w:right="13"/>
              <w:spacing w:after="0"/>
              <w:rPr>
                <w:sz w:val="20"/>
                <w:szCs w:val="20"/>
                <w:color w:val="auto"/>
              </w:rPr>
            </w:pPr>
            <w:r>
              <w:rPr>
                <w:rFonts w:ascii="Arial" w:cs="Arial" w:eastAsia="Arial" w:hAnsi="Arial"/>
                <w:sz w:val="11"/>
                <w:szCs w:val="11"/>
                <w:b w:val="1"/>
                <w:bCs w:val="1"/>
                <w:color w:val="auto"/>
                <w:w w:val="89"/>
              </w:rPr>
              <w:t>(Level 3)</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equivalents</w:t>
            </w:r>
          </w:p>
        </w:tc>
        <w:tc>
          <w:tcPr>
            <w:tcW w:w="19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13,287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w:t>
            </w:r>
          </w:p>
        </w:tc>
        <w:tc>
          <w:tcPr>
            <w:tcW w:w="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7,756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Money market funds and tme deposits</w:t>
            </w:r>
          </w:p>
        </w:tc>
        <w:tc>
          <w:tcPr>
            <w:tcW w:w="19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securites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Equity securites</w:t>
            </w:r>
          </w:p>
        </w:tc>
        <w:tc>
          <w:tcPr>
            <w:tcW w:w="19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w:t>
            </w:r>
          </w:p>
        </w:tc>
        <w:tc>
          <w:tcPr>
            <w:tcW w:w="400" w:type="dxa"/>
            <w:vAlign w:val="bottom"/>
          </w:tcPr>
          <w:p>
            <w:pPr>
              <w:spacing w:after="0"/>
              <w:rPr>
                <w:sz w:val="15"/>
                <w:szCs w:val="15"/>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19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1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13,743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5,617</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8,126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Liabilites</w:t>
            </w:r>
          </w:p>
        </w:tc>
        <w:tc>
          <w:tcPr>
            <w:tcW w:w="1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Interest rate swap contracts</w:t>
            </w:r>
          </w:p>
        </w:tc>
        <w:tc>
          <w:tcPr>
            <w:tcW w:w="19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436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436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 contracts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19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Contngent consideraton</w:t>
            </w:r>
          </w:p>
        </w:tc>
        <w:tc>
          <w:tcPr>
            <w:tcW w:w="19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18,674</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18,674</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liabilites</w:t>
            </w:r>
          </w:p>
        </w:tc>
        <w:tc>
          <w:tcPr>
            <w:tcW w:w="1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19,205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531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14</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6" w:name="page17"/>
    <w:bookmarkEnd w:id="16"/>
    <w:p>
      <w:pPr>
        <w:ind w:right="200"/>
        <w:spacing w:after="0" w:line="273" w:lineRule="auto"/>
        <w:rPr>
          <w:sz w:val="20"/>
          <w:szCs w:val="20"/>
          <w:color w:val="auto"/>
        </w:rPr>
      </w:pPr>
      <w:r>
        <w:rPr>
          <w:rFonts w:ascii="Arial" w:cs="Arial" w:eastAsia="Arial" w:hAnsi="Arial"/>
          <w:sz w:val="14"/>
          <w:szCs w:val="14"/>
          <w:color w:val="auto"/>
        </w:rPr>
        <w:t>The following table summarizes the bases used to measure certain assets and liabilites carried at fair value on a recurring basis on the condensed consolidated balance sheet as of December 31, 2022:</w:t>
      </w:r>
    </w:p>
    <w:tbl>
      <w:tblPr>
        <w:tblLayout w:type="fixed"/>
        <w:tblInd w:w="0" w:type="dxa"/>
        <w:tblCellMar>
          <w:top w:w="0" w:type="dxa"/>
          <w:left w:w="0" w:type="dxa"/>
          <w:bottom w:w="0" w:type="dxa"/>
          <w:right w:w="0" w:type="dxa"/>
        </w:tblCellMar>
      </w:tblPr>
      <w:tr>
        <w:trPr>
          <w:trHeight w:val="145"/>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Basis of fair value measurement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4"/>
        </w:trPr>
        <w:tc>
          <w:tcPr>
            <w:tcW w:w="3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86"/>
        </w:trPr>
        <w:tc>
          <w:tcPr>
            <w:tcW w:w="38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jc w:val="center"/>
              <w:ind w:right="53"/>
              <w:spacing w:after="0" w:line="86" w:lineRule="exact"/>
              <w:rPr>
                <w:sz w:val="20"/>
                <w:szCs w:val="20"/>
                <w:color w:val="auto"/>
              </w:rPr>
            </w:pPr>
            <w:r>
              <w:rPr>
                <w:rFonts w:ascii="Arial" w:cs="Arial" w:eastAsia="Arial" w:hAnsi="Arial"/>
                <w:sz w:val="9"/>
                <w:szCs w:val="9"/>
                <w:b w:val="1"/>
                <w:bCs w:val="1"/>
                <w:color w:val="auto"/>
              </w:rPr>
              <w:t>Quoted prices in actve</w:t>
            </w:r>
          </w:p>
        </w:tc>
        <w:tc>
          <w:tcPr>
            <w:tcW w:w="1580" w:type="dxa"/>
            <w:vAlign w:val="bottom"/>
            <w:gridSpan w:val="2"/>
          </w:tcPr>
          <w:p>
            <w:pPr>
              <w:jc w:val="center"/>
              <w:spacing w:after="0" w:line="86" w:lineRule="exact"/>
              <w:rPr>
                <w:sz w:val="20"/>
                <w:szCs w:val="20"/>
                <w:color w:val="auto"/>
              </w:rPr>
            </w:pPr>
            <w:r>
              <w:rPr>
                <w:rFonts w:ascii="Arial" w:cs="Arial" w:eastAsia="Arial" w:hAnsi="Arial"/>
                <w:sz w:val="9"/>
                <w:szCs w:val="9"/>
                <w:b w:val="1"/>
                <w:bCs w:val="1"/>
                <w:color w:val="auto"/>
              </w:rPr>
              <w:t>Signifcant other observable</w:t>
            </w:r>
          </w:p>
        </w:tc>
        <w:tc>
          <w:tcPr>
            <w:tcW w:w="100" w:type="dxa"/>
            <w:vAlign w:val="bottom"/>
          </w:tcPr>
          <w:p>
            <w:pPr>
              <w:spacing w:after="0"/>
              <w:rPr>
                <w:sz w:val="7"/>
                <w:szCs w:val="7"/>
                <w:color w:val="auto"/>
              </w:rPr>
            </w:pPr>
          </w:p>
        </w:tc>
        <w:tc>
          <w:tcPr>
            <w:tcW w:w="1280" w:type="dxa"/>
            <w:vAlign w:val="bottom"/>
          </w:tcPr>
          <w:p>
            <w:pPr>
              <w:jc w:val="center"/>
              <w:ind w:right="33"/>
              <w:spacing w:after="0" w:line="86" w:lineRule="exact"/>
              <w:rPr>
                <w:sz w:val="20"/>
                <w:szCs w:val="20"/>
                <w:color w:val="auto"/>
              </w:rPr>
            </w:pPr>
            <w:r>
              <w:rPr>
                <w:rFonts w:ascii="Arial" w:cs="Arial" w:eastAsia="Arial" w:hAnsi="Arial"/>
                <w:sz w:val="9"/>
                <w:szCs w:val="9"/>
                <w:b w:val="1"/>
                <w:bCs w:val="1"/>
                <w:color w:val="auto"/>
              </w:rPr>
              <w:t>Signifcant unobservable</w:t>
            </w:r>
          </w:p>
        </w:tc>
      </w:tr>
      <w:tr>
        <w:trPr>
          <w:trHeight w:val="108"/>
        </w:trPr>
        <w:tc>
          <w:tcPr>
            <w:tcW w:w="3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markets for identcal assets</w:t>
            </w:r>
          </w:p>
        </w:tc>
        <w:tc>
          <w:tcPr>
            <w:tcW w:w="400" w:type="dxa"/>
            <w:vAlign w:val="bottom"/>
          </w:tcPr>
          <w:p>
            <w:pPr>
              <w:spacing w:after="0"/>
              <w:rPr>
                <w:sz w:val="9"/>
                <w:szCs w:val="9"/>
                <w:color w:val="auto"/>
              </w:rPr>
            </w:pPr>
          </w:p>
        </w:tc>
        <w:tc>
          <w:tcPr>
            <w:tcW w:w="1180" w:type="dxa"/>
            <w:vAlign w:val="bottom"/>
          </w:tcPr>
          <w:p>
            <w:pPr>
              <w:jc w:val="center"/>
              <w:ind w:right="332"/>
              <w:spacing w:after="0" w:line="108" w:lineRule="exact"/>
              <w:rPr>
                <w:sz w:val="20"/>
                <w:szCs w:val="20"/>
                <w:color w:val="auto"/>
              </w:rPr>
            </w:pPr>
            <w:r>
              <w:rPr>
                <w:rFonts w:ascii="Arial" w:cs="Arial" w:eastAsia="Arial" w:hAnsi="Arial"/>
                <w:sz w:val="11"/>
                <w:szCs w:val="11"/>
                <w:b w:val="1"/>
                <w:bCs w:val="1"/>
                <w:color w:val="auto"/>
                <w:w w:val="90"/>
              </w:rPr>
              <w:t>inputs</w:t>
            </w:r>
          </w:p>
        </w:tc>
        <w:tc>
          <w:tcPr>
            <w:tcW w:w="100" w:type="dxa"/>
            <w:vAlign w:val="bottom"/>
          </w:tcPr>
          <w:p>
            <w:pPr>
              <w:spacing w:after="0"/>
              <w:rPr>
                <w:sz w:val="9"/>
                <w:szCs w:val="9"/>
                <w:color w:val="auto"/>
              </w:rPr>
            </w:pPr>
          </w:p>
        </w:tc>
        <w:tc>
          <w:tcPr>
            <w:tcW w:w="1280" w:type="dxa"/>
            <w:vAlign w:val="bottom"/>
          </w:tcPr>
          <w:p>
            <w:pPr>
              <w:jc w:val="center"/>
              <w:ind w:right="53"/>
              <w:spacing w:after="0" w:line="108" w:lineRule="exact"/>
              <w:rPr>
                <w:sz w:val="20"/>
                <w:szCs w:val="20"/>
                <w:color w:val="auto"/>
              </w:rPr>
            </w:pPr>
            <w:r>
              <w:rPr>
                <w:rFonts w:ascii="Arial" w:cs="Arial" w:eastAsia="Arial" w:hAnsi="Arial"/>
                <w:sz w:val="11"/>
                <w:szCs w:val="11"/>
                <w:b w:val="1"/>
                <w:bCs w:val="1"/>
                <w:color w:val="auto"/>
                <w:w w:val="84"/>
              </w:rPr>
              <w:t>inputs</w:t>
            </w:r>
          </w:p>
        </w:tc>
      </w:tr>
      <w:tr>
        <w:trPr>
          <w:trHeight w:val="145"/>
        </w:trPr>
        <w:tc>
          <w:tcPr>
            <w:tcW w:w="38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940" w:type="dxa"/>
            <w:vAlign w:val="bottom"/>
          </w:tcPr>
          <w:p>
            <w:pPr>
              <w:spacing w:after="0"/>
              <w:rPr>
                <w:sz w:val="12"/>
                <w:szCs w:val="12"/>
                <w:color w:val="auto"/>
              </w:rPr>
            </w:pPr>
          </w:p>
        </w:tc>
        <w:tc>
          <w:tcPr>
            <w:tcW w:w="1140" w:type="dxa"/>
            <w:vAlign w:val="bottom"/>
          </w:tcPr>
          <w:p>
            <w:pPr>
              <w:jc w:val="right"/>
              <w:ind w:right="611"/>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2"/>
                <w:szCs w:val="12"/>
                <w:color w:val="auto"/>
              </w:rPr>
            </w:pPr>
          </w:p>
        </w:tc>
        <w:tc>
          <w:tcPr>
            <w:tcW w:w="1240" w:type="dxa"/>
            <w:vAlign w:val="bottom"/>
          </w:tcPr>
          <w:p>
            <w:pPr>
              <w:jc w:val="center"/>
              <w:ind w:right="53"/>
              <w:spacing w:after="0"/>
              <w:rPr>
                <w:sz w:val="20"/>
                <w:szCs w:val="20"/>
                <w:color w:val="auto"/>
              </w:rPr>
            </w:pPr>
            <w:r>
              <w:rPr>
                <w:rFonts w:ascii="Arial" w:cs="Arial" w:eastAsia="Arial" w:hAnsi="Arial"/>
                <w:sz w:val="11"/>
                <w:szCs w:val="11"/>
                <w:b w:val="1"/>
                <w:bCs w:val="1"/>
                <w:color w:val="auto"/>
                <w:w w:val="89"/>
              </w:rPr>
              <w:t>(Level 1)</w:t>
            </w:r>
          </w:p>
        </w:tc>
        <w:tc>
          <w:tcPr>
            <w:tcW w:w="400" w:type="dxa"/>
            <w:vAlign w:val="bottom"/>
          </w:tcPr>
          <w:p>
            <w:pPr>
              <w:spacing w:after="0"/>
              <w:rPr>
                <w:sz w:val="12"/>
                <w:szCs w:val="12"/>
                <w:color w:val="auto"/>
              </w:rPr>
            </w:pPr>
          </w:p>
        </w:tc>
        <w:tc>
          <w:tcPr>
            <w:tcW w:w="1180" w:type="dxa"/>
            <w:vAlign w:val="bottom"/>
          </w:tcPr>
          <w:p>
            <w:pPr>
              <w:jc w:val="center"/>
              <w:ind w:right="312"/>
              <w:spacing w:after="0"/>
              <w:rPr>
                <w:sz w:val="20"/>
                <w:szCs w:val="20"/>
                <w:color w:val="auto"/>
              </w:rPr>
            </w:pPr>
            <w:r>
              <w:rPr>
                <w:rFonts w:ascii="Arial" w:cs="Arial" w:eastAsia="Arial" w:hAnsi="Arial"/>
                <w:sz w:val="11"/>
                <w:szCs w:val="11"/>
                <w:b w:val="1"/>
                <w:bCs w:val="1"/>
                <w:color w:val="auto"/>
                <w:w w:val="89"/>
              </w:rPr>
              <w:t>(Level 2)</w:t>
            </w:r>
          </w:p>
        </w:tc>
        <w:tc>
          <w:tcPr>
            <w:tcW w:w="100" w:type="dxa"/>
            <w:vAlign w:val="bottom"/>
          </w:tcPr>
          <w:p>
            <w:pPr>
              <w:spacing w:after="0"/>
              <w:rPr>
                <w:sz w:val="12"/>
                <w:szCs w:val="12"/>
                <w:color w:val="auto"/>
              </w:rPr>
            </w:pPr>
          </w:p>
        </w:tc>
        <w:tc>
          <w:tcPr>
            <w:tcW w:w="1280" w:type="dxa"/>
            <w:vAlign w:val="bottom"/>
          </w:tcPr>
          <w:p>
            <w:pPr>
              <w:jc w:val="center"/>
              <w:ind w:right="13"/>
              <w:spacing w:after="0"/>
              <w:rPr>
                <w:sz w:val="20"/>
                <w:szCs w:val="20"/>
                <w:color w:val="auto"/>
              </w:rPr>
            </w:pPr>
            <w:r>
              <w:rPr>
                <w:rFonts w:ascii="Arial" w:cs="Arial" w:eastAsia="Arial" w:hAnsi="Arial"/>
                <w:sz w:val="11"/>
                <w:szCs w:val="11"/>
                <w:b w:val="1"/>
                <w:bCs w:val="1"/>
                <w:color w:val="auto"/>
                <w:w w:val="89"/>
              </w:rPr>
              <w:t>(Level 3)</w:t>
            </w:r>
          </w:p>
        </w:tc>
      </w:tr>
      <w:tr>
        <w:trPr>
          <w:trHeight w:val="34"/>
        </w:trPr>
        <w:tc>
          <w:tcPr>
            <w:tcW w:w="38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equivalents</w:t>
            </w:r>
          </w:p>
        </w:tc>
        <w:tc>
          <w:tcPr>
            <w:tcW w:w="19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9,201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4,201</w:t>
            </w: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Money market funds and tme deposits</w:t>
            </w:r>
          </w:p>
        </w:tc>
        <w:tc>
          <w:tcPr>
            <w:tcW w:w="1940" w:type="dxa"/>
            <w:vAlign w:val="bottom"/>
          </w:tcPr>
          <w:p>
            <w:pPr>
              <w:spacing w:after="0"/>
              <w:rPr>
                <w:sz w:val="15"/>
                <w:szCs w:val="15"/>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securites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Equity securites</w:t>
            </w:r>
          </w:p>
        </w:tc>
        <w:tc>
          <w:tcPr>
            <w:tcW w:w="1940" w:type="dxa"/>
            <w:vAlign w:val="bottom"/>
          </w:tcPr>
          <w:p>
            <w:pPr>
              <w:spacing w:after="0"/>
              <w:rPr>
                <w:sz w:val="15"/>
                <w:szCs w:val="15"/>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w:t>
            </w:r>
          </w:p>
        </w:tc>
        <w:tc>
          <w:tcPr>
            <w:tcW w:w="40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19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1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9,504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4,260</w:t>
            </w:r>
          </w:p>
        </w:tc>
        <w:tc>
          <w:tcPr>
            <w:tcW w:w="4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5,244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Liabilites</w:t>
            </w:r>
          </w:p>
        </w:tc>
        <w:tc>
          <w:tcPr>
            <w:tcW w:w="1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Interest rate swap contracts</w:t>
            </w:r>
          </w:p>
        </w:tc>
        <w:tc>
          <w:tcPr>
            <w:tcW w:w="19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392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36"/>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392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19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Contngent consideraton</w:t>
            </w:r>
          </w:p>
        </w:tc>
        <w:tc>
          <w:tcPr>
            <w:tcW w:w="1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16,384</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16,384</w:t>
            </w:r>
          </w:p>
        </w:tc>
      </w:tr>
      <w:tr>
        <w:trPr>
          <w:trHeight w:val="196"/>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liabilites</w:t>
            </w:r>
          </w:p>
        </w:tc>
        <w:tc>
          <w:tcPr>
            <w:tcW w:w="19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16,908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16,384</w:t>
            </w: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80"/>
        <w:spacing w:after="0" w:line="295" w:lineRule="auto"/>
        <w:rPr>
          <w:sz w:val="20"/>
          <w:szCs w:val="20"/>
          <w:color w:val="auto"/>
        </w:rPr>
      </w:pPr>
      <w:r>
        <w:rPr>
          <w:rFonts w:ascii="Arial" w:cs="Arial" w:eastAsia="Arial" w:hAnsi="Arial"/>
          <w:sz w:val="13"/>
          <w:szCs w:val="13"/>
          <w:color w:val="auto"/>
        </w:rPr>
        <w:t>Money market funds and tme deposits are valued using relevant observable market inputs including quoted prices for similar assets and interest rate curves. Equity securites primarily consist of investments for which the fair values were determined by using the published market prices per unit multplied by the number of units held, without consideraton of transacton costs. The derivatves entered into by the company were valued using observable market inputs including published interest rate curves and both forward and spot prices for foreign currencies.</w:t>
      </w:r>
    </w:p>
    <w:p>
      <w:pPr>
        <w:spacing w:after="0" w:line="75"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fair value measurements of the contngent consideraton liabilites were determined based on signifcant unobservable inputs, including the discount rate, estmated probabilites and tming of achieving specifed development, regulatory and commercial milestones and the estmated amount of future sales of the acquired products. The potental contngent consideraton payments are estmated by applying a probability-weighted expected payment model for contngent milestone payments and a Monte Carlo simulaton model for contngent royalty payments, which are then discounted to present value. Changes to the fair value of the contngent consideraton liabilites can result from changes to one or a number of inputs, including discount rates, the probabilites of achieving the milestones, the tme required to achieve the milestones and estmated future sales. Signifcant judgment is employed in determining the appropriateness of certain of these inputs. Changes to the inputs described above could have a material impact on the company's fnancial positon and results of operatons in any given period.</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company's contngent consideraton liabilites was calculated using the following signifcant unobservable inputs: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020" w:type="dxa"/>
            <w:vAlign w:val="bottom"/>
          </w:tcPr>
          <w:p>
            <w:pPr>
              <w:spacing w:after="0"/>
              <w:rPr>
                <w:sz w:val="12"/>
                <w:szCs w:val="12"/>
                <w:color w:val="auto"/>
              </w:rPr>
            </w:pPr>
          </w:p>
        </w:tc>
        <w:tc>
          <w:tcPr>
            <w:tcW w:w="2680" w:type="dxa"/>
            <w:vAlign w:val="bottom"/>
            <w:gridSpan w:val="4"/>
          </w:tcPr>
          <w:p>
            <w:pPr>
              <w:ind w:left="820"/>
              <w:spacing w:after="0"/>
              <w:rPr>
                <w:sz w:val="20"/>
                <w:szCs w:val="20"/>
                <w:color w:val="auto"/>
              </w:rPr>
            </w:pPr>
            <w:r>
              <w:rPr>
                <w:rFonts w:ascii="Arial" w:cs="Arial" w:eastAsia="Arial" w:hAnsi="Arial"/>
                <w:sz w:val="11"/>
                <w:szCs w:val="11"/>
                <w:b w:val="1"/>
                <w:bCs w:val="1"/>
                <w:color w:val="auto"/>
              </w:rPr>
              <w:t>September 30, 2023</w:t>
            </w:r>
          </w:p>
        </w:tc>
        <w:tc>
          <w:tcPr>
            <w:tcW w:w="2580" w:type="dxa"/>
            <w:vAlign w:val="bottom"/>
            <w:gridSpan w:val="3"/>
          </w:tcPr>
          <w:p>
            <w:pPr>
              <w:jc w:val="right"/>
              <w:ind w:right="772"/>
              <w:spacing w:after="0"/>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34"/>
        </w:trPr>
        <w:tc>
          <w:tcPr>
            <w:tcW w:w="60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0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Range</w:t>
            </w: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12"/>
              <w:spacing w:after="0" w:line="150" w:lineRule="exact"/>
              <w:rPr>
                <w:sz w:val="20"/>
                <w:szCs w:val="20"/>
                <w:color w:val="auto"/>
              </w:rPr>
            </w:pPr>
            <w:r>
              <w:rPr>
                <w:rFonts w:ascii="Arial" w:cs="Arial" w:eastAsia="Arial" w:hAnsi="Arial"/>
                <w:sz w:val="11"/>
                <w:szCs w:val="11"/>
                <w:b w:val="1"/>
                <w:bCs w:val="1"/>
                <w:color w:val="auto"/>
                <w:w w:val="96"/>
              </w:rPr>
              <w:t>Weighted average</w:t>
            </w:r>
            <w:r>
              <w:rPr>
                <w:rFonts w:ascii="Arial" w:cs="Arial" w:eastAsia="Arial" w:hAnsi="Arial"/>
                <w:sz w:val="14"/>
                <w:szCs w:val="14"/>
                <w:b w:val="1"/>
                <w:bCs w:val="1"/>
                <w:color w:val="auto"/>
                <w:w w:val="96"/>
                <w:vertAlign w:val="superscript"/>
              </w:rPr>
              <w:t>(a)</w:t>
            </w:r>
          </w:p>
        </w:tc>
        <w:tc>
          <w:tcPr>
            <w:tcW w:w="10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Range</w:t>
            </w: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12"/>
              <w:spacing w:after="0" w:line="150" w:lineRule="exact"/>
              <w:rPr>
                <w:sz w:val="20"/>
                <w:szCs w:val="20"/>
                <w:color w:val="auto"/>
              </w:rPr>
            </w:pPr>
            <w:r>
              <w:rPr>
                <w:rFonts w:ascii="Arial" w:cs="Arial" w:eastAsia="Arial" w:hAnsi="Arial"/>
                <w:sz w:val="11"/>
                <w:szCs w:val="11"/>
                <w:b w:val="1"/>
                <w:bCs w:val="1"/>
                <w:color w:val="auto"/>
                <w:w w:val="94"/>
              </w:rPr>
              <w:t>Weighted average</w:t>
            </w:r>
            <w:r>
              <w:rPr>
                <w:rFonts w:ascii="Arial" w:cs="Arial" w:eastAsia="Arial" w:hAnsi="Arial"/>
                <w:sz w:val="14"/>
                <w:szCs w:val="14"/>
                <w:b w:val="1"/>
                <w:bCs w:val="1"/>
                <w:color w:val="auto"/>
                <w:w w:val="94"/>
                <w:vertAlign w:val="superscript"/>
              </w:rPr>
              <w:t>(a)</w:t>
            </w:r>
          </w:p>
        </w:tc>
        <w:tc>
          <w:tcPr>
            <w:tcW w:w="0" w:type="dxa"/>
            <w:vAlign w:val="bottom"/>
          </w:tcPr>
          <w:p>
            <w:pPr>
              <w:spacing w:after="0"/>
              <w:rPr>
                <w:sz w:val="1"/>
                <w:szCs w:val="1"/>
                <w:color w:val="auto"/>
              </w:rPr>
            </w:pP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13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5.3% - 6.1%</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4.7%- 5.1%</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9"/>
        </w:trPr>
        <w:tc>
          <w:tcPr>
            <w:tcW w:w="6020" w:type="dxa"/>
            <w:vAlign w:val="bottom"/>
          </w:tcPr>
          <w:p>
            <w:pPr>
              <w:ind w:left="20"/>
              <w:spacing w:after="0"/>
              <w:rPr>
                <w:sz w:val="20"/>
                <w:szCs w:val="20"/>
                <w:color w:val="auto"/>
              </w:rPr>
            </w:pPr>
            <w:r>
              <w:rPr>
                <w:rFonts w:ascii="Arial" w:cs="Arial" w:eastAsia="Arial" w:hAnsi="Arial"/>
                <w:sz w:val="14"/>
                <w:szCs w:val="14"/>
                <w:color w:val="auto"/>
              </w:rPr>
              <w:t>Probability of payment for unachieved milestones</w:t>
            </w: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0"/>
              </w:rPr>
              <w:t>- 100%</w:t>
            </w: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0"/>
              </w:rPr>
              <w:t>- 100%</w:t>
            </w:r>
          </w:p>
        </w:tc>
        <w:tc>
          <w:tcPr>
            <w:tcW w:w="12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2"/>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Probability of payment for royaltes by indicaton</w:t>
            </w:r>
            <w:r>
              <w:rPr>
                <w:rFonts w:ascii="Arial" w:cs="Arial" w:eastAsia="Arial" w:hAnsi="Arial"/>
                <w:sz w:val="18"/>
                <w:szCs w:val="18"/>
                <w:color w:val="auto"/>
                <w:vertAlign w:val="superscript"/>
              </w:rPr>
              <w:t>(b)</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0"/>
              </w:rPr>
              <w:t>- 100%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- 100%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Projected year of payments</w:t>
            </w:r>
          </w:p>
        </w:tc>
        <w:tc>
          <w:tcPr>
            <w:tcW w:w="13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2023 - 2034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2023 - 2034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0" w:hanging="195"/>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Unobservable inputs were weighted by the relatve fair value of the contngent consideraton liabilites.</w:t>
      </w:r>
    </w:p>
    <w:p>
      <w:pPr>
        <w:spacing w:after="0" w:line="114" w:lineRule="exact"/>
        <w:rPr>
          <w:rFonts w:ascii="Arial" w:cs="Arial" w:eastAsia="Arial" w:hAnsi="Arial"/>
          <w:sz w:val="14"/>
          <w:szCs w:val="14"/>
          <w:color w:val="auto"/>
        </w:rPr>
      </w:pPr>
    </w:p>
    <w:p>
      <w:pPr>
        <w:ind w:left="200" w:hanging="195"/>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Excluding approved indicatons, the estmated probability of payment was 89% at September 30, 2023 and 56% at December 31,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15</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7" w:name="page18"/>
    <w:bookmarkEnd w:id="17"/>
    <w:p>
      <w:pPr>
        <w:ind w:right="100"/>
        <w:spacing w:after="0" w:line="273" w:lineRule="auto"/>
        <w:rPr>
          <w:sz w:val="20"/>
          <w:szCs w:val="20"/>
          <w:color w:val="auto"/>
        </w:rPr>
      </w:pPr>
      <w:r>
        <w:rPr>
          <w:rFonts w:ascii="Arial" w:cs="Arial" w:eastAsia="Arial" w:hAnsi="Arial"/>
          <w:sz w:val="14"/>
          <w:szCs w:val="14"/>
          <w:color w:val="auto"/>
        </w:rPr>
        <w:t>There have been no transfers of assets or liabilites into or out of Level 3 of the fair value hierarchy. The following table presents the changes in fair value of total contngent consideraton liabilites which are measured using Level 3 inputs:</w:t>
      </w:r>
    </w:p>
    <w:tbl>
      <w:tblPr>
        <w:tblLayout w:type="fixed"/>
        <w:tblInd w:w="0" w:type="dxa"/>
        <w:tblCellMar>
          <w:top w:w="0" w:type="dxa"/>
          <w:left w:w="0" w:type="dxa"/>
          <w:bottom w:w="0" w:type="dxa"/>
          <w:right w:w="0" w:type="dxa"/>
        </w:tblCellMar>
      </w:tblPr>
      <w:tr>
        <w:trPr>
          <w:trHeight w:val="115"/>
        </w:trPr>
        <w:tc>
          <w:tcPr>
            <w:tcW w:w="8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Nine months ended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right"/>
              <w:ind w:right="109"/>
              <w:spacing w:after="0"/>
              <w:rPr>
                <w:sz w:val="20"/>
                <w:szCs w:val="20"/>
                <w:color w:val="auto"/>
              </w:rPr>
            </w:pPr>
            <w:r>
              <w:rPr>
                <w:rFonts w:ascii="Arial" w:cs="Arial" w:eastAsia="Arial" w:hAnsi="Arial"/>
                <w:sz w:val="11"/>
                <w:szCs w:val="11"/>
                <w:b w:val="1"/>
                <w:bCs w:val="1"/>
                <w:color w:val="auto"/>
              </w:rPr>
              <w:t>September 30,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5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5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16,384</w:t>
            </w:r>
          </w:p>
        </w:tc>
        <w:tc>
          <w:tcPr>
            <w:tcW w:w="5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179"/>
        </w:trPr>
        <w:tc>
          <w:tcPr>
            <w:tcW w:w="8560" w:type="dxa"/>
            <w:vAlign w:val="bottom"/>
          </w:tcPr>
          <w:p>
            <w:pPr>
              <w:ind w:left="20"/>
              <w:spacing w:after="0"/>
              <w:rPr>
                <w:sz w:val="20"/>
                <w:szCs w:val="20"/>
                <w:color w:val="auto"/>
              </w:rPr>
            </w:pPr>
            <w:r>
              <w:rPr>
                <w:rFonts w:ascii="Arial" w:cs="Arial" w:eastAsia="Arial" w:hAnsi="Arial"/>
                <w:sz w:val="14"/>
                <w:szCs w:val="14"/>
                <w:color w:val="auto"/>
              </w:rPr>
              <w:t>Change in fair value recognized in net earnings</w:t>
            </w:r>
          </w:p>
        </w:tc>
        <w:tc>
          <w:tcPr>
            <w:tcW w:w="320" w:type="dxa"/>
            <w:vAlign w:val="bottom"/>
          </w:tcPr>
          <w:p>
            <w:pPr>
              <w:spacing w:after="0"/>
              <w:rPr>
                <w:sz w:val="15"/>
                <w:szCs w:val="15"/>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color w:val="auto"/>
              </w:rPr>
              <w:t>3,432</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Payments</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71"/>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18,674</w:t>
            </w:r>
          </w:p>
        </w:tc>
        <w:tc>
          <w:tcPr>
            <w:tcW w:w="5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14,556</w:t>
            </w:r>
          </w:p>
        </w:tc>
        <w:tc>
          <w:tcPr>
            <w:tcW w:w="0" w:type="dxa"/>
            <w:vAlign w:val="bottom"/>
          </w:tcPr>
          <w:p>
            <w:pPr>
              <w:spacing w:after="0"/>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change in fair value recognized in net earnings is recorded in other expense (income), net in the condensed consolidated statements of earnings. Contngent consideraton payments of amounts up to the inital acquisiton date fair value are classifed as cash outlows from fnancing actvites and payments of amounts in excess of the inital acquisiton date fair value are classifed as cash outlows from operatng actvites in the condensed consolidated statements of cash fows.</w:t>
      </w:r>
    </w:p>
    <w:p>
      <w:pPr>
        <w:spacing w:after="0" w:line="93" w:lineRule="exact"/>
        <w:rPr>
          <w:sz w:val="20"/>
          <w:szCs w:val="20"/>
          <w:color w:val="auto"/>
        </w:rPr>
      </w:pPr>
    </w:p>
    <w:p>
      <w:pPr>
        <w:jc w:val="both"/>
        <w:ind w:right="240"/>
        <w:spacing w:after="0" w:line="278" w:lineRule="auto"/>
        <w:rPr>
          <w:sz w:val="20"/>
          <w:szCs w:val="20"/>
          <w:color w:val="auto"/>
        </w:rPr>
      </w:pPr>
      <w:r>
        <w:rPr>
          <w:rFonts w:ascii="Arial" w:cs="Arial" w:eastAsia="Arial" w:hAnsi="Arial"/>
          <w:sz w:val="14"/>
          <w:szCs w:val="14"/>
          <w:color w:val="auto"/>
        </w:rPr>
        <w:t>Certain fnancial instruments are carried at historical cost or some basis other than fair value. The book values, approximate fair values and bases used to measure the approximate fair values of certain fnancial instruments as of September 30, 2023 are shown in the table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20" w:type="dxa"/>
            <w:vAlign w:val="bottom"/>
            <w:gridSpan w:val="3"/>
          </w:tcPr>
          <w:p>
            <w:pPr>
              <w:jc w:val="center"/>
              <w:ind w:right="114"/>
              <w:spacing w:after="0"/>
              <w:rPr>
                <w:sz w:val="20"/>
                <w:szCs w:val="20"/>
                <w:color w:val="auto"/>
              </w:rPr>
            </w:pPr>
            <w:r>
              <w:rPr>
                <w:rFonts w:ascii="Arial" w:cs="Arial" w:eastAsia="Arial" w:hAnsi="Arial"/>
                <w:sz w:val="11"/>
                <w:szCs w:val="11"/>
                <w:b w:val="1"/>
                <w:bCs w:val="1"/>
                <w:color w:val="auto"/>
                <w:w w:val="88"/>
              </w:rPr>
              <w:t>Basis of fair value measurement</w:t>
            </w:r>
          </w:p>
        </w:tc>
        <w:tc>
          <w:tcPr>
            <w:tcW w:w="980" w:type="dxa"/>
            <w:vAlign w:val="bottom"/>
          </w:tcPr>
          <w:p>
            <w:pPr>
              <w:spacing w:after="0"/>
              <w:rPr>
                <w:sz w:val="12"/>
                <w:szCs w:val="12"/>
                <w:color w:val="auto"/>
              </w:rPr>
            </w:pPr>
          </w:p>
        </w:tc>
      </w:tr>
      <w:tr>
        <w:trPr>
          <w:trHeight w:val="34"/>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88"/>
        </w:trPr>
        <w:tc>
          <w:tcPr>
            <w:tcW w:w="4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rPr>
              <w:t>Quoted prices in actve</w:t>
            </w: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17"/>
        </w:trPr>
        <w:tc>
          <w:tcPr>
            <w:tcW w:w="4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1"/>
              </w:rPr>
              <w:t>markets for identcal</w:t>
            </w:r>
          </w:p>
        </w:tc>
        <w:tc>
          <w:tcPr>
            <w:tcW w:w="280" w:type="dxa"/>
            <w:vAlign w:val="bottom"/>
          </w:tcPr>
          <w:p>
            <w:pPr>
              <w:spacing w:after="0"/>
              <w:rPr>
                <w:sz w:val="10"/>
                <w:szCs w:val="10"/>
                <w:color w:val="auto"/>
              </w:rPr>
            </w:pPr>
          </w:p>
        </w:tc>
        <w:tc>
          <w:tcPr>
            <w:tcW w:w="1120" w:type="dxa"/>
            <w:vAlign w:val="bottom"/>
          </w:tcPr>
          <w:p>
            <w:pPr>
              <w:jc w:val="center"/>
              <w:ind w:right="115"/>
              <w:spacing w:after="0" w:line="117" w:lineRule="exact"/>
              <w:rPr>
                <w:sz w:val="20"/>
                <w:szCs w:val="20"/>
                <w:color w:val="auto"/>
              </w:rPr>
            </w:pPr>
            <w:r>
              <w:rPr>
                <w:rFonts w:ascii="Arial" w:cs="Arial" w:eastAsia="Arial" w:hAnsi="Arial"/>
                <w:sz w:val="11"/>
                <w:szCs w:val="11"/>
                <w:b w:val="1"/>
                <w:bCs w:val="1"/>
                <w:color w:val="auto"/>
                <w:w w:val="93"/>
              </w:rPr>
              <w:t>Signifcant other</w:t>
            </w:r>
          </w:p>
        </w:tc>
        <w:tc>
          <w:tcPr>
            <w:tcW w:w="1300" w:type="dxa"/>
            <w:vAlign w:val="bottom"/>
            <w:gridSpan w:val="2"/>
          </w:tcPr>
          <w:p>
            <w:pPr>
              <w:jc w:val="center"/>
              <w:ind w:left="14"/>
              <w:spacing w:after="0" w:line="117" w:lineRule="exact"/>
              <w:rPr>
                <w:sz w:val="20"/>
                <w:szCs w:val="20"/>
                <w:color w:val="auto"/>
              </w:rPr>
            </w:pPr>
            <w:r>
              <w:rPr>
                <w:rFonts w:ascii="Arial" w:cs="Arial" w:eastAsia="Arial" w:hAnsi="Arial"/>
                <w:sz w:val="11"/>
                <w:szCs w:val="11"/>
                <w:b w:val="1"/>
                <w:bCs w:val="1"/>
                <w:color w:val="auto"/>
                <w:w w:val="89"/>
              </w:rPr>
              <w:t>Signifcant unobservable</w:t>
            </w:r>
          </w:p>
        </w:tc>
      </w:tr>
      <w:tr>
        <w:trPr>
          <w:trHeight w:val="115"/>
        </w:trPr>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ind w:right="15"/>
              <w:spacing w:after="0" w:line="115" w:lineRule="exact"/>
              <w:rPr>
                <w:sz w:val="20"/>
                <w:szCs w:val="20"/>
                <w:color w:val="auto"/>
              </w:rPr>
            </w:pPr>
            <w:r>
              <w:rPr>
                <w:rFonts w:ascii="Arial" w:cs="Arial" w:eastAsia="Arial" w:hAnsi="Arial"/>
                <w:sz w:val="11"/>
                <w:szCs w:val="11"/>
                <w:b w:val="1"/>
                <w:bCs w:val="1"/>
                <w:color w:val="auto"/>
                <w:w w:val="81"/>
              </w:rPr>
              <w:t>assets</w:t>
            </w:r>
          </w:p>
        </w:tc>
        <w:tc>
          <w:tcPr>
            <w:tcW w:w="280" w:type="dxa"/>
            <w:vAlign w:val="bottom"/>
          </w:tcPr>
          <w:p>
            <w:pPr>
              <w:spacing w:after="0"/>
              <w:rPr>
                <w:sz w:val="9"/>
                <w:szCs w:val="9"/>
                <w:color w:val="auto"/>
              </w:rPr>
            </w:pPr>
          </w:p>
        </w:tc>
        <w:tc>
          <w:tcPr>
            <w:tcW w:w="1120" w:type="dxa"/>
            <w:vAlign w:val="bottom"/>
          </w:tcPr>
          <w:p>
            <w:pPr>
              <w:jc w:val="center"/>
              <w:ind w:right="115"/>
              <w:spacing w:after="0" w:line="115" w:lineRule="exact"/>
              <w:rPr>
                <w:sz w:val="20"/>
                <w:szCs w:val="20"/>
                <w:color w:val="auto"/>
              </w:rPr>
            </w:pPr>
            <w:r>
              <w:rPr>
                <w:rFonts w:ascii="Arial" w:cs="Arial" w:eastAsia="Arial" w:hAnsi="Arial"/>
                <w:sz w:val="11"/>
                <w:szCs w:val="11"/>
                <w:b w:val="1"/>
                <w:bCs w:val="1"/>
                <w:color w:val="auto"/>
                <w:w w:val="87"/>
              </w:rPr>
              <w:t>observable inputs</w:t>
            </w:r>
          </w:p>
        </w:tc>
        <w:tc>
          <w:tcPr>
            <w:tcW w:w="320" w:type="dxa"/>
            <w:vAlign w:val="bottom"/>
          </w:tcPr>
          <w:p>
            <w:pPr>
              <w:spacing w:after="0"/>
              <w:rPr>
                <w:sz w:val="9"/>
                <w:szCs w:val="9"/>
                <w:color w:val="auto"/>
              </w:rPr>
            </w:pPr>
          </w:p>
        </w:tc>
        <w:tc>
          <w:tcPr>
            <w:tcW w:w="980" w:type="dxa"/>
            <w:vAlign w:val="bottom"/>
          </w:tcPr>
          <w:p>
            <w:pPr>
              <w:jc w:val="center"/>
              <w:ind w:right="214"/>
              <w:spacing w:after="0" w:line="115" w:lineRule="exact"/>
              <w:rPr>
                <w:sz w:val="20"/>
                <w:szCs w:val="20"/>
                <w:color w:val="auto"/>
              </w:rPr>
            </w:pPr>
            <w:r>
              <w:rPr>
                <w:rFonts w:ascii="Arial" w:cs="Arial" w:eastAsia="Arial" w:hAnsi="Arial"/>
                <w:sz w:val="11"/>
                <w:szCs w:val="11"/>
                <w:b w:val="1"/>
                <w:bCs w:val="1"/>
                <w:color w:val="auto"/>
                <w:w w:val="90"/>
              </w:rPr>
              <w:t>inputs</w:t>
            </w:r>
          </w:p>
        </w:tc>
      </w:tr>
      <w:tr>
        <w:trPr>
          <w:trHeight w:val="147"/>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2"/>
                <w:szCs w:val="12"/>
                <w:color w:val="auto"/>
              </w:rPr>
            </w:pPr>
          </w:p>
        </w:tc>
        <w:tc>
          <w:tcPr>
            <w:tcW w:w="1000" w:type="dxa"/>
            <w:vAlign w:val="bottom"/>
          </w:tcPr>
          <w:p>
            <w:pPr>
              <w:jc w:val="right"/>
              <w:ind w:right="272"/>
              <w:spacing w:after="0"/>
              <w:rPr>
                <w:sz w:val="20"/>
                <w:szCs w:val="20"/>
                <w:color w:val="auto"/>
              </w:rPr>
            </w:pPr>
            <w:r>
              <w:rPr>
                <w:rFonts w:ascii="Arial" w:cs="Arial" w:eastAsia="Arial" w:hAnsi="Arial"/>
                <w:sz w:val="11"/>
                <w:szCs w:val="11"/>
                <w:b w:val="1"/>
                <w:bCs w:val="1"/>
                <w:color w:val="auto"/>
              </w:rPr>
              <w:t>Book value</w:t>
            </w:r>
          </w:p>
        </w:tc>
        <w:tc>
          <w:tcPr>
            <w:tcW w:w="1340" w:type="dxa"/>
            <w:vAlign w:val="bottom"/>
            <w:gridSpan w:val="2"/>
          </w:tcPr>
          <w:p>
            <w:pPr>
              <w:jc w:val="right"/>
              <w:ind w:right="109"/>
              <w:spacing w:after="0"/>
              <w:rPr>
                <w:sz w:val="20"/>
                <w:szCs w:val="20"/>
                <w:color w:val="auto"/>
              </w:rPr>
            </w:pPr>
            <w:r>
              <w:rPr>
                <w:rFonts w:ascii="Arial" w:cs="Arial" w:eastAsia="Arial" w:hAnsi="Arial"/>
                <w:sz w:val="11"/>
                <w:szCs w:val="11"/>
                <w:b w:val="1"/>
                <w:bCs w:val="1"/>
                <w:color w:val="auto"/>
                <w:w w:val="96"/>
              </w:rPr>
              <w:t>Approximate fair value</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9"/>
              </w:rPr>
              <w:t>(Level 1)</w:t>
            </w:r>
          </w:p>
        </w:tc>
        <w:tc>
          <w:tcPr>
            <w:tcW w:w="280" w:type="dxa"/>
            <w:vAlign w:val="bottom"/>
          </w:tcPr>
          <w:p>
            <w:pPr>
              <w:spacing w:after="0"/>
              <w:rPr>
                <w:sz w:val="12"/>
                <w:szCs w:val="12"/>
                <w:color w:val="auto"/>
              </w:rPr>
            </w:pPr>
          </w:p>
        </w:tc>
        <w:tc>
          <w:tcPr>
            <w:tcW w:w="112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(Level 2)</w:t>
            </w:r>
          </w:p>
        </w:tc>
        <w:tc>
          <w:tcPr>
            <w:tcW w:w="320" w:type="dxa"/>
            <w:vAlign w:val="bottom"/>
          </w:tcPr>
          <w:p>
            <w:pPr>
              <w:spacing w:after="0"/>
              <w:rPr>
                <w:sz w:val="12"/>
                <w:szCs w:val="12"/>
                <w:color w:val="auto"/>
              </w:rPr>
            </w:pPr>
          </w:p>
        </w:tc>
        <w:tc>
          <w:tcPr>
            <w:tcW w:w="980" w:type="dxa"/>
            <w:vAlign w:val="bottom"/>
          </w:tcPr>
          <w:p>
            <w:pPr>
              <w:jc w:val="center"/>
              <w:ind w:right="174"/>
              <w:spacing w:after="0"/>
              <w:rPr>
                <w:sz w:val="20"/>
                <w:szCs w:val="20"/>
                <w:color w:val="auto"/>
              </w:rPr>
            </w:pPr>
            <w:r>
              <w:rPr>
                <w:rFonts w:ascii="Arial" w:cs="Arial" w:eastAsia="Arial" w:hAnsi="Arial"/>
                <w:sz w:val="11"/>
                <w:szCs w:val="11"/>
                <w:b w:val="1"/>
                <w:bCs w:val="1"/>
                <w:color w:val="auto"/>
                <w:w w:val="85"/>
              </w:rPr>
              <w:t>(Level 3)</w:t>
            </w:r>
          </w:p>
        </w:tc>
      </w:tr>
      <w:tr>
        <w:trPr>
          <w:trHeight w:val="23"/>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Liabilites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r>
      <w:tr>
        <w:trPr>
          <w:trHeight w:val="134"/>
        </w:trPr>
        <w:tc>
          <w:tcPr>
            <w:tcW w:w="4840" w:type="dxa"/>
            <w:vAlign w:val="bottom"/>
          </w:tcPr>
          <w:p>
            <w:pPr>
              <w:ind w:left="20"/>
              <w:spacing w:after="0" w:line="134" w:lineRule="exact"/>
              <w:rPr>
                <w:sz w:val="20"/>
                <w:szCs w:val="20"/>
                <w:color w:val="auto"/>
              </w:rPr>
            </w:pPr>
            <w:r>
              <w:rPr>
                <w:rFonts w:ascii="Arial" w:cs="Arial" w:eastAsia="Arial" w:hAnsi="Arial"/>
                <w:sz w:val="14"/>
                <w:szCs w:val="14"/>
                <w:color w:val="auto"/>
                <w:w w:val="94"/>
              </w:rPr>
              <w:t>Current porton of long-term debt and fnance lease obligatons, excluding fair value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7"/>
        </w:trPr>
        <w:tc>
          <w:tcPr>
            <w:tcW w:w="4840" w:type="dxa"/>
            <w:vAlign w:val="bottom"/>
          </w:tcPr>
          <w:p>
            <w:pPr>
              <w:ind w:left="20"/>
              <w:spacing w:after="0"/>
              <w:rPr>
                <w:sz w:val="20"/>
                <w:szCs w:val="20"/>
                <w:color w:val="auto"/>
              </w:rPr>
            </w:pPr>
            <w:r>
              <w:rPr>
                <w:rFonts w:ascii="Arial" w:cs="Arial" w:eastAsia="Arial" w:hAnsi="Arial"/>
                <w:sz w:val="14"/>
                <w:szCs w:val="14"/>
                <w:color w:val="auto"/>
              </w:rPr>
              <w:t>hedges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5,113</w:t>
            </w:r>
          </w:p>
        </w:tc>
        <w:tc>
          <w:tcPr>
            <w:tcW w:w="44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5,041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4,763</w:t>
            </w:r>
          </w:p>
        </w:tc>
        <w:tc>
          <w:tcPr>
            <w:tcW w:w="280" w:type="dxa"/>
            <w:vAlign w:val="bottom"/>
          </w:tcPr>
          <w:p>
            <w:pPr>
              <w:spacing w:after="0"/>
              <w:rPr>
                <w:sz w:val="16"/>
                <w:szCs w:val="16"/>
                <w:color w:val="auto"/>
              </w:rPr>
            </w:pPr>
          </w:p>
        </w:tc>
        <w:tc>
          <w:tcPr>
            <w:tcW w:w="1120" w:type="dxa"/>
            <w:vAlign w:val="bottom"/>
          </w:tcPr>
          <w:p>
            <w:pPr>
              <w:jc w:val="right"/>
              <w:ind w:right="15"/>
              <w:spacing w:after="0"/>
              <w:rPr>
                <w:sz w:val="20"/>
                <w:szCs w:val="20"/>
                <w:color w:val="auto"/>
              </w:rPr>
            </w:pPr>
            <w:r>
              <w:rPr>
                <w:rFonts w:ascii="Arial" w:cs="Arial" w:eastAsia="Arial" w:hAnsi="Arial"/>
                <w:sz w:val="14"/>
                <w:szCs w:val="14"/>
                <w:color w:val="auto"/>
              </w:rPr>
              <w:t>278</w:t>
            </w:r>
          </w:p>
        </w:tc>
        <w:tc>
          <w:tcPr>
            <w:tcW w:w="3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r>
      <w:tr>
        <w:trPr>
          <w:trHeight w:val="188"/>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debt and fnance lease obligatons, excluding fair value hedges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56,035</w:t>
            </w: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49,633</w:t>
            </w: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49,124</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509</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r>
      <w:tr>
        <w:trPr>
          <w:trHeight w:val="17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liabilites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61,150</w:t>
            </w:r>
          </w:p>
        </w:tc>
        <w:tc>
          <w:tcPr>
            <w:tcW w:w="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54,676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789</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book values, approximate fair values and bases used to measure the approximate fair values of certain fnancial instruments as of December 31, 2022 are shown in the table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20" w:type="dxa"/>
            <w:vAlign w:val="bottom"/>
            <w:gridSpan w:val="3"/>
          </w:tcPr>
          <w:p>
            <w:pPr>
              <w:jc w:val="center"/>
              <w:ind w:right="114"/>
              <w:spacing w:after="0"/>
              <w:rPr>
                <w:sz w:val="20"/>
                <w:szCs w:val="20"/>
                <w:color w:val="auto"/>
              </w:rPr>
            </w:pPr>
            <w:r>
              <w:rPr>
                <w:rFonts w:ascii="Arial" w:cs="Arial" w:eastAsia="Arial" w:hAnsi="Arial"/>
                <w:sz w:val="11"/>
                <w:szCs w:val="11"/>
                <w:b w:val="1"/>
                <w:bCs w:val="1"/>
                <w:color w:val="auto"/>
                <w:w w:val="88"/>
              </w:rPr>
              <w:t>Basis of fair value measurement</w:t>
            </w:r>
          </w:p>
        </w:tc>
        <w:tc>
          <w:tcPr>
            <w:tcW w:w="980" w:type="dxa"/>
            <w:vAlign w:val="bottom"/>
          </w:tcPr>
          <w:p>
            <w:pPr>
              <w:spacing w:after="0"/>
              <w:rPr>
                <w:sz w:val="12"/>
                <w:szCs w:val="12"/>
                <w:color w:val="auto"/>
              </w:rPr>
            </w:pPr>
          </w:p>
        </w:tc>
      </w:tr>
      <w:tr>
        <w:trPr>
          <w:trHeight w:val="34"/>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86"/>
        </w:trPr>
        <w:tc>
          <w:tcPr>
            <w:tcW w:w="4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gridSpan w:val="2"/>
          </w:tcPr>
          <w:p>
            <w:pPr>
              <w:jc w:val="center"/>
              <w:spacing w:after="0" w:line="86" w:lineRule="exact"/>
              <w:rPr>
                <w:sz w:val="20"/>
                <w:szCs w:val="20"/>
                <w:color w:val="auto"/>
              </w:rPr>
            </w:pPr>
            <w:r>
              <w:rPr>
                <w:rFonts w:ascii="Arial" w:cs="Arial" w:eastAsia="Arial" w:hAnsi="Arial"/>
                <w:sz w:val="9"/>
                <w:szCs w:val="9"/>
                <w:b w:val="1"/>
                <w:bCs w:val="1"/>
                <w:color w:val="auto"/>
              </w:rPr>
              <w:t>Quoted prices in actve</w:t>
            </w: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17"/>
        </w:trPr>
        <w:tc>
          <w:tcPr>
            <w:tcW w:w="4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1"/>
              </w:rPr>
              <w:t>markets for identcal</w:t>
            </w:r>
          </w:p>
        </w:tc>
        <w:tc>
          <w:tcPr>
            <w:tcW w:w="280" w:type="dxa"/>
            <w:vAlign w:val="bottom"/>
          </w:tcPr>
          <w:p>
            <w:pPr>
              <w:spacing w:after="0"/>
              <w:rPr>
                <w:sz w:val="10"/>
                <w:szCs w:val="10"/>
                <w:color w:val="auto"/>
              </w:rPr>
            </w:pPr>
          </w:p>
        </w:tc>
        <w:tc>
          <w:tcPr>
            <w:tcW w:w="1120" w:type="dxa"/>
            <w:vAlign w:val="bottom"/>
          </w:tcPr>
          <w:p>
            <w:pPr>
              <w:jc w:val="center"/>
              <w:ind w:right="115"/>
              <w:spacing w:after="0" w:line="117" w:lineRule="exact"/>
              <w:rPr>
                <w:sz w:val="20"/>
                <w:szCs w:val="20"/>
                <w:color w:val="auto"/>
              </w:rPr>
            </w:pPr>
            <w:r>
              <w:rPr>
                <w:rFonts w:ascii="Arial" w:cs="Arial" w:eastAsia="Arial" w:hAnsi="Arial"/>
                <w:sz w:val="11"/>
                <w:szCs w:val="11"/>
                <w:b w:val="1"/>
                <w:bCs w:val="1"/>
                <w:color w:val="auto"/>
                <w:w w:val="93"/>
              </w:rPr>
              <w:t>Signifcant other</w:t>
            </w:r>
          </w:p>
        </w:tc>
        <w:tc>
          <w:tcPr>
            <w:tcW w:w="1300" w:type="dxa"/>
            <w:vAlign w:val="bottom"/>
            <w:gridSpan w:val="2"/>
          </w:tcPr>
          <w:p>
            <w:pPr>
              <w:jc w:val="center"/>
              <w:ind w:left="14"/>
              <w:spacing w:after="0" w:line="117" w:lineRule="exact"/>
              <w:rPr>
                <w:sz w:val="20"/>
                <w:szCs w:val="20"/>
                <w:color w:val="auto"/>
              </w:rPr>
            </w:pPr>
            <w:r>
              <w:rPr>
                <w:rFonts w:ascii="Arial" w:cs="Arial" w:eastAsia="Arial" w:hAnsi="Arial"/>
                <w:sz w:val="11"/>
                <w:szCs w:val="11"/>
                <w:b w:val="1"/>
                <w:bCs w:val="1"/>
                <w:color w:val="auto"/>
                <w:w w:val="89"/>
              </w:rPr>
              <w:t>Signifcant unobservable</w:t>
            </w:r>
          </w:p>
        </w:tc>
      </w:tr>
      <w:tr>
        <w:trPr>
          <w:trHeight w:val="108"/>
        </w:trPr>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ind w:right="15"/>
              <w:spacing w:after="0" w:line="108" w:lineRule="exact"/>
              <w:rPr>
                <w:sz w:val="20"/>
                <w:szCs w:val="20"/>
                <w:color w:val="auto"/>
              </w:rPr>
            </w:pPr>
            <w:r>
              <w:rPr>
                <w:rFonts w:ascii="Arial" w:cs="Arial" w:eastAsia="Arial" w:hAnsi="Arial"/>
                <w:sz w:val="11"/>
                <w:szCs w:val="11"/>
                <w:b w:val="1"/>
                <w:bCs w:val="1"/>
                <w:color w:val="auto"/>
                <w:w w:val="81"/>
              </w:rPr>
              <w:t>assets</w:t>
            </w:r>
          </w:p>
        </w:tc>
        <w:tc>
          <w:tcPr>
            <w:tcW w:w="280" w:type="dxa"/>
            <w:vAlign w:val="bottom"/>
          </w:tcPr>
          <w:p>
            <w:pPr>
              <w:spacing w:after="0"/>
              <w:rPr>
                <w:sz w:val="9"/>
                <w:szCs w:val="9"/>
                <w:color w:val="auto"/>
              </w:rPr>
            </w:pPr>
          </w:p>
        </w:tc>
        <w:tc>
          <w:tcPr>
            <w:tcW w:w="1120" w:type="dxa"/>
            <w:vAlign w:val="bottom"/>
          </w:tcPr>
          <w:p>
            <w:pPr>
              <w:jc w:val="center"/>
              <w:ind w:right="115"/>
              <w:spacing w:after="0" w:line="108" w:lineRule="exact"/>
              <w:rPr>
                <w:sz w:val="20"/>
                <w:szCs w:val="20"/>
                <w:color w:val="auto"/>
              </w:rPr>
            </w:pPr>
            <w:r>
              <w:rPr>
                <w:rFonts w:ascii="Arial" w:cs="Arial" w:eastAsia="Arial" w:hAnsi="Arial"/>
                <w:sz w:val="11"/>
                <w:szCs w:val="11"/>
                <w:b w:val="1"/>
                <w:bCs w:val="1"/>
                <w:color w:val="auto"/>
                <w:w w:val="87"/>
              </w:rPr>
              <w:t>observable inputs</w:t>
            </w:r>
          </w:p>
        </w:tc>
        <w:tc>
          <w:tcPr>
            <w:tcW w:w="320" w:type="dxa"/>
            <w:vAlign w:val="bottom"/>
          </w:tcPr>
          <w:p>
            <w:pPr>
              <w:spacing w:after="0"/>
              <w:rPr>
                <w:sz w:val="9"/>
                <w:szCs w:val="9"/>
                <w:color w:val="auto"/>
              </w:rPr>
            </w:pPr>
          </w:p>
        </w:tc>
        <w:tc>
          <w:tcPr>
            <w:tcW w:w="980" w:type="dxa"/>
            <w:vAlign w:val="bottom"/>
          </w:tcPr>
          <w:p>
            <w:pPr>
              <w:jc w:val="center"/>
              <w:ind w:right="214"/>
              <w:spacing w:after="0" w:line="108" w:lineRule="exact"/>
              <w:rPr>
                <w:sz w:val="20"/>
                <w:szCs w:val="20"/>
                <w:color w:val="auto"/>
              </w:rPr>
            </w:pPr>
            <w:r>
              <w:rPr>
                <w:rFonts w:ascii="Arial" w:cs="Arial" w:eastAsia="Arial" w:hAnsi="Arial"/>
                <w:sz w:val="11"/>
                <w:szCs w:val="11"/>
                <w:b w:val="1"/>
                <w:bCs w:val="1"/>
                <w:color w:val="auto"/>
                <w:w w:val="90"/>
              </w:rPr>
              <w:t>inputs</w:t>
            </w:r>
          </w:p>
        </w:tc>
      </w:tr>
      <w:tr>
        <w:trPr>
          <w:trHeight w:val="145"/>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2"/>
                <w:szCs w:val="12"/>
                <w:color w:val="auto"/>
              </w:rPr>
            </w:pPr>
          </w:p>
        </w:tc>
        <w:tc>
          <w:tcPr>
            <w:tcW w:w="1000" w:type="dxa"/>
            <w:vAlign w:val="bottom"/>
          </w:tcPr>
          <w:p>
            <w:pPr>
              <w:jc w:val="right"/>
              <w:ind w:right="272"/>
              <w:spacing w:after="0"/>
              <w:rPr>
                <w:sz w:val="20"/>
                <w:szCs w:val="20"/>
                <w:color w:val="auto"/>
              </w:rPr>
            </w:pPr>
            <w:r>
              <w:rPr>
                <w:rFonts w:ascii="Arial" w:cs="Arial" w:eastAsia="Arial" w:hAnsi="Arial"/>
                <w:sz w:val="11"/>
                <w:szCs w:val="11"/>
                <w:b w:val="1"/>
                <w:bCs w:val="1"/>
                <w:color w:val="auto"/>
              </w:rPr>
              <w:t>Book value</w:t>
            </w:r>
          </w:p>
        </w:tc>
        <w:tc>
          <w:tcPr>
            <w:tcW w:w="1340" w:type="dxa"/>
            <w:vAlign w:val="bottom"/>
            <w:gridSpan w:val="2"/>
          </w:tcPr>
          <w:p>
            <w:pPr>
              <w:jc w:val="right"/>
              <w:ind w:right="109"/>
              <w:spacing w:after="0"/>
              <w:rPr>
                <w:sz w:val="20"/>
                <w:szCs w:val="20"/>
                <w:color w:val="auto"/>
              </w:rPr>
            </w:pPr>
            <w:r>
              <w:rPr>
                <w:rFonts w:ascii="Arial" w:cs="Arial" w:eastAsia="Arial" w:hAnsi="Arial"/>
                <w:sz w:val="11"/>
                <w:szCs w:val="11"/>
                <w:b w:val="1"/>
                <w:bCs w:val="1"/>
                <w:color w:val="auto"/>
                <w:w w:val="96"/>
              </w:rPr>
              <w:t>Approximate fair value</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9"/>
              </w:rPr>
              <w:t>(Level 1)</w:t>
            </w:r>
          </w:p>
        </w:tc>
        <w:tc>
          <w:tcPr>
            <w:tcW w:w="280" w:type="dxa"/>
            <w:vAlign w:val="bottom"/>
          </w:tcPr>
          <w:p>
            <w:pPr>
              <w:spacing w:after="0"/>
              <w:rPr>
                <w:sz w:val="12"/>
                <w:szCs w:val="12"/>
                <w:color w:val="auto"/>
              </w:rPr>
            </w:pPr>
          </w:p>
        </w:tc>
        <w:tc>
          <w:tcPr>
            <w:tcW w:w="112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(Level 2)</w:t>
            </w:r>
          </w:p>
        </w:tc>
        <w:tc>
          <w:tcPr>
            <w:tcW w:w="320" w:type="dxa"/>
            <w:vAlign w:val="bottom"/>
          </w:tcPr>
          <w:p>
            <w:pPr>
              <w:spacing w:after="0"/>
              <w:rPr>
                <w:sz w:val="12"/>
                <w:szCs w:val="12"/>
                <w:color w:val="auto"/>
              </w:rPr>
            </w:pPr>
          </w:p>
        </w:tc>
        <w:tc>
          <w:tcPr>
            <w:tcW w:w="980" w:type="dxa"/>
            <w:vAlign w:val="bottom"/>
          </w:tcPr>
          <w:p>
            <w:pPr>
              <w:jc w:val="center"/>
              <w:ind w:right="174"/>
              <w:spacing w:after="0"/>
              <w:rPr>
                <w:sz w:val="20"/>
                <w:szCs w:val="20"/>
                <w:color w:val="auto"/>
              </w:rPr>
            </w:pPr>
            <w:r>
              <w:rPr>
                <w:rFonts w:ascii="Arial" w:cs="Arial" w:eastAsia="Arial" w:hAnsi="Arial"/>
                <w:sz w:val="11"/>
                <w:szCs w:val="11"/>
                <w:b w:val="1"/>
                <w:bCs w:val="1"/>
                <w:color w:val="auto"/>
                <w:w w:val="85"/>
              </w:rPr>
              <w:t>(Level 3)</w:t>
            </w:r>
          </w:p>
        </w:tc>
      </w:tr>
      <w:tr>
        <w:trPr>
          <w:trHeight w:val="34"/>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Liabilites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r>
      <w:tr>
        <w:trPr>
          <w:trHeight w:val="127"/>
        </w:trPr>
        <w:tc>
          <w:tcPr>
            <w:tcW w:w="4840" w:type="dxa"/>
            <w:vAlign w:val="bottom"/>
          </w:tcPr>
          <w:p>
            <w:pPr>
              <w:ind w:left="20"/>
              <w:spacing w:after="0" w:line="127" w:lineRule="exact"/>
              <w:rPr>
                <w:sz w:val="20"/>
                <w:szCs w:val="20"/>
                <w:color w:val="auto"/>
              </w:rPr>
            </w:pPr>
            <w:r>
              <w:rPr>
                <w:rFonts w:ascii="Arial" w:cs="Arial" w:eastAsia="Arial" w:hAnsi="Arial"/>
                <w:sz w:val="14"/>
                <w:szCs w:val="14"/>
                <w:color w:val="auto"/>
                <w:w w:val="94"/>
              </w:rPr>
              <w:t>Current porton of long-term debt and fnance lease obligatons, excluding fair value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93"/>
        </w:trPr>
        <w:tc>
          <w:tcPr>
            <w:tcW w:w="4840" w:type="dxa"/>
            <w:vAlign w:val="bottom"/>
          </w:tcPr>
          <w:p>
            <w:pPr>
              <w:ind w:left="20"/>
              <w:spacing w:after="0"/>
              <w:rPr>
                <w:sz w:val="20"/>
                <w:szCs w:val="20"/>
                <w:color w:val="auto"/>
              </w:rPr>
            </w:pPr>
            <w:r>
              <w:rPr>
                <w:rFonts w:ascii="Arial" w:cs="Arial" w:eastAsia="Arial" w:hAnsi="Arial"/>
                <w:sz w:val="14"/>
                <w:szCs w:val="14"/>
                <w:color w:val="auto"/>
              </w:rPr>
              <w:t>hedges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4,152</w:t>
            </w:r>
          </w:p>
        </w:tc>
        <w:tc>
          <w:tcPr>
            <w:tcW w:w="44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3,930</w:t>
            </w:r>
          </w:p>
        </w:tc>
        <w:tc>
          <w:tcPr>
            <w:tcW w:w="280" w:type="dxa"/>
            <w:vAlign w:val="bottom"/>
          </w:tcPr>
          <w:p>
            <w:pPr>
              <w:spacing w:after="0"/>
              <w:rPr>
                <w:sz w:val="16"/>
                <w:szCs w:val="16"/>
                <w:color w:val="auto"/>
              </w:rPr>
            </w:pPr>
          </w:p>
        </w:tc>
        <w:tc>
          <w:tcPr>
            <w:tcW w:w="1120" w:type="dxa"/>
            <w:vAlign w:val="bottom"/>
          </w:tcPr>
          <w:p>
            <w:pPr>
              <w:jc w:val="right"/>
              <w:ind w:right="15"/>
              <w:spacing w:after="0"/>
              <w:rPr>
                <w:sz w:val="20"/>
                <w:szCs w:val="20"/>
                <w:color w:val="auto"/>
              </w:rPr>
            </w:pPr>
            <w:r>
              <w:rPr>
                <w:rFonts w:ascii="Arial" w:cs="Arial" w:eastAsia="Arial" w:hAnsi="Arial"/>
                <w:sz w:val="14"/>
                <w:szCs w:val="14"/>
                <w:color w:val="auto"/>
              </w:rPr>
              <w:t>191</w:t>
            </w:r>
          </w:p>
        </w:tc>
        <w:tc>
          <w:tcPr>
            <w:tcW w:w="3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r>
      <w:tr>
        <w:trPr>
          <w:trHeight w:val="188"/>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debt and fnance lease obligatons, excluding fair value hedges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59,463</w:t>
            </w:r>
          </w:p>
        </w:tc>
        <w:tc>
          <w:tcPr>
            <w:tcW w:w="4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54,073</w:t>
            </w: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53,365</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708</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r>
      <w:tr>
        <w:trPr>
          <w:trHeight w:val="17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liabilites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63,616</w:t>
            </w:r>
          </w:p>
        </w:tc>
        <w:tc>
          <w:tcPr>
            <w:tcW w:w="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58,195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57,295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900</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AbbVie also holds investments in equity securites that do not have readily determinable fair values. The company records these investments at cost and remeasures them to fair value based on certain observable price changes or impairment events as they occur. The carrying amount of these investments was $131 million as of September 30, 2023 and $129 million as of December 31, 2022. No signifcant cumulatve upward or downward adjustments have been recorded for these investments as of September 30, 2023.</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16</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444867"/>
        </w:rPr>
        <w:t>Concentratons of Risk</w:t>
      </w:r>
    </w:p>
    <w:p>
      <w:pPr>
        <w:spacing w:after="0" w:line="11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Of total net accounts receivable, three U.S. wholesalers accounted for 81% as of September 30, 2023 and 82% as of December 31, 2022, and substantally all of AbbVie’s pharmaceutcal product net revenues in the United States were to these three wholesalers.</w:t>
      </w:r>
    </w:p>
    <w:p>
      <w:pPr>
        <w:spacing w:after="0" w:line="83"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color w:val="auto"/>
        </w:rPr>
        <w:t>Humira (adalimumab) is AbbVie’s single largest product and accounted for approximately 28% of AbbVie’s total net revenues for the nine months ended September 30, 2023 and 36% for the nine months ended September 30,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Debt and Credit Facilites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125" w:lineRule="exact"/>
        <w:rPr>
          <w:sz w:val="20"/>
          <w:szCs w:val="20"/>
          <w:color w:val="auto"/>
        </w:rPr>
      </w:pPr>
    </w:p>
    <w:p>
      <w:pPr>
        <w:ind w:right="400"/>
        <w:spacing w:after="0" w:line="278" w:lineRule="auto"/>
        <w:rPr>
          <w:sz w:val="20"/>
          <w:szCs w:val="20"/>
          <w:color w:val="auto"/>
        </w:rPr>
      </w:pPr>
      <w:r>
        <w:rPr>
          <w:rFonts w:ascii="Arial" w:cs="Arial" w:eastAsia="Arial" w:hAnsi="Arial"/>
          <w:sz w:val="14"/>
          <w:szCs w:val="14"/>
          <w:color w:val="auto"/>
        </w:rPr>
        <w:t>In January 2023, the company repaid a $1.0 billion foatng rate three-year term loan that was scheduled to mature in May 2023. In March 2023, the company repaid a $350 million aggregate principal amount of 2.80% senior notes at maturity.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In May 2023, the company repaid $1.0 billion aggregate principal amount of 2.85% senior notes at maturity.</w:t>
      </w:r>
    </w:p>
    <w:p>
      <w:pPr>
        <w:spacing w:after="0" w:line="115"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color w:val="auto"/>
        </w:rPr>
        <w:t>In January 2022, the company repaid $2.9 billion aggregate principal amount of 3.45% senior notes that were scheduled to mature in March 2022. This repayment was made by exercising, under the terms of the notes, 60-day early redempton at 100% of the principal amount.</w:t>
      </w:r>
    </w:p>
    <w:p>
      <w:pPr>
        <w:spacing w:after="0" w:line="83" w:lineRule="exact"/>
        <w:rPr>
          <w:sz w:val="20"/>
          <w:szCs w:val="20"/>
          <w:color w:val="auto"/>
        </w:rPr>
      </w:pPr>
    </w:p>
    <w:p>
      <w:pPr>
        <w:ind w:right="360"/>
        <w:spacing w:after="0" w:line="318" w:lineRule="auto"/>
        <w:rPr>
          <w:sz w:val="20"/>
          <w:szCs w:val="20"/>
          <w:color w:val="auto"/>
        </w:rPr>
      </w:pPr>
      <w:r>
        <w:rPr>
          <w:rFonts w:ascii="Arial" w:cs="Arial" w:eastAsia="Arial" w:hAnsi="Arial"/>
          <w:sz w:val="13"/>
          <w:szCs w:val="13"/>
          <w:color w:val="auto"/>
        </w:rPr>
        <w:t>In February 2022, the company refnanced its $2.0 billion foatng rate fve-year term loan. As part of the refnancing, the company repaid the existng $2.0 billion term loan due May 2025 and borrowed $2.0 billion under a new term loan at a lower foatng rate. All other signifcant terms of the loan, including the maturity date, remained unchanged afer the refnancing.</w:t>
      </w:r>
    </w:p>
    <w:p>
      <w:pPr>
        <w:spacing w:after="0" w:line="60"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In July 2022, the company repaid $1.7 billion aggregate principal amount of 3.25% senior notes that were scheduled to mature in October 2022. This repayment was made by exercising, under the terms of the notes, 90-day early redempton at 100% of the principal amount.</w:t>
      </w:r>
    </w:p>
    <w:p>
      <w:pPr>
        <w:spacing w:after="0" w:line="73"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color w:val="auto"/>
        </w:rPr>
        <w:t>In September 2022, the company repaid $1.0 billion aggregate principal amount of 3.2% senior notes that were scheduled to mature in November 2022. This payment was made by exercising, under the terms of the notes, 60-day early redempton at 100% of the principal amount.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Short-Term Borrowings</w:t>
      </w:r>
    </w:p>
    <w:p>
      <w:pPr>
        <w:spacing w:after="0" w:line="125"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In March 2023, AbbVie entered into an amended and restated fve-year revolving credit facility. The amendment increased the unsecured revolving credit facility commitments from $4.0 billion to $5.0 billion and extended the maturity date of the facility from August 2023 to March 2028. This amended facility enables the company to borrow funds on an unsecured basis at variable interest rates and contains various covenants. At September 30, 2023, the company was in compliance with all covenants, and commitment fees under the credit facility were insignifcant. No amounts were outstanding under the company's credit facilites as of September 30, 2023 and December 31, 2022.</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9 Post-Employment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net periodic beneft cost relatng to the company’s defned beneft and other post-employment plans: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Defned</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Other post-</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4"/>
          </w:tcPr>
          <w:p>
            <w:pPr>
              <w:jc w:val="right"/>
              <w:ind w:right="475"/>
              <w:spacing w:after="0"/>
              <w:rPr>
                <w:sz w:val="20"/>
                <w:szCs w:val="20"/>
                <w:color w:val="auto"/>
              </w:rPr>
            </w:pPr>
            <w:r>
              <w:rPr>
                <w:rFonts w:ascii="Arial" w:cs="Arial" w:eastAsia="Arial" w:hAnsi="Arial"/>
                <w:sz w:val="11"/>
                <w:szCs w:val="11"/>
                <w:b w:val="1"/>
                <w:bCs w:val="1"/>
                <w:color w:val="auto"/>
              </w:rPr>
              <w:t>beneft plans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tcPr>
          <w:p>
            <w:pPr>
              <w:jc w:val="right"/>
              <w:ind w:right="355"/>
              <w:spacing w:after="0"/>
              <w:rPr>
                <w:sz w:val="20"/>
                <w:szCs w:val="20"/>
                <w:color w:val="auto"/>
              </w:rPr>
            </w:pPr>
            <w:r>
              <w:rPr>
                <w:rFonts w:ascii="Arial" w:cs="Arial" w:eastAsia="Arial" w:hAnsi="Arial"/>
                <w:sz w:val="11"/>
                <w:szCs w:val="11"/>
                <w:b w:val="1"/>
                <w:bCs w:val="1"/>
                <w:color w:val="auto"/>
              </w:rPr>
              <w:t>employment plans</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4"/>
          </w:tcPr>
          <w:p>
            <w:pPr>
              <w:jc w:val="center"/>
              <w:ind w:right="280"/>
              <w:spacing w:after="0" w:line="88" w:lineRule="exact"/>
              <w:rPr>
                <w:sz w:val="20"/>
                <w:szCs w:val="20"/>
                <w:color w:val="auto"/>
              </w:rPr>
            </w:pPr>
            <w:r>
              <w:rPr>
                <w:rFonts w:ascii="Arial" w:cs="Arial" w:eastAsia="Arial" w:hAnsi="Arial"/>
                <w:sz w:val="10"/>
                <w:szCs w:val="10"/>
                <w:b w:val="1"/>
                <w:bCs w:val="1"/>
                <w:color w:val="auto"/>
                <w:w w:val="99"/>
              </w:rPr>
              <w:t>Three months ended</w:t>
            </w:r>
          </w:p>
        </w:tc>
        <w:tc>
          <w:tcPr>
            <w:tcW w:w="220" w:type="dxa"/>
            <w:vAlign w:val="bottom"/>
          </w:tcPr>
          <w:p>
            <w:pPr>
              <w:spacing w:after="0"/>
              <w:rPr>
                <w:sz w:val="7"/>
                <w:szCs w:val="7"/>
                <w:color w:val="auto"/>
              </w:rPr>
            </w:pPr>
          </w:p>
        </w:tc>
        <w:tc>
          <w:tcPr>
            <w:tcW w:w="1480" w:type="dxa"/>
            <w:vAlign w:val="bottom"/>
            <w:gridSpan w:val="3"/>
          </w:tcPr>
          <w:p>
            <w:pPr>
              <w:jc w:val="center"/>
              <w:ind w:right="171"/>
              <w:spacing w:after="0" w:line="88" w:lineRule="exact"/>
              <w:rPr>
                <w:sz w:val="20"/>
                <w:szCs w:val="20"/>
                <w:color w:val="auto"/>
              </w:rPr>
            </w:pPr>
            <w:r>
              <w:rPr>
                <w:rFonts w:ascii="Arial" w:cs="Arial" w:eastAsia="Arial" w:hAnsi="Arial"/>
                <w:sz w:val="10"/>
                <w:szCs w:val="10"/>
                <w:b w:val="1"/>
                <w:bCs w:val="1"/>
                <w:color w:val="auto"/>
                <w:w w:val="99"/>
              </w:rPr>
              <w:t>Nine months ended</w:t>
            </w: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tcPr>
          <w:p>
            <w:pPr>
              <w:jc w:val="center"/>
              <w:ind w:right="280"/>
              <w:spacing w:after="0" w:line="88" w:lineRule="exact"/>
              <w:rPr>
                <w:sz w:val="20"/>
                <w:szCs w:val="20"/>
                <w:color w:val="auto"/>
              </w:rPr>
            </w:pPr>
            <w:r>
              <w:rPr>
                <w:rFonts w:ascii="Arial" w:cs="Arial" w:eastAsia="Arial" w:hAnsi="Arial"/>
                <w:sz w:val="10"/>
                <w:szCs w:val="10"/>
                <w:b w:val="1"/>
                <w:bCs w:val="1"/>
                <w:color w:val="auto"/>
                <w:w w:val="97"/>
              </w:rPr>
              <w:t>Three months ended</w:t>
            </w:r>
          </w:p>
        </w:tc>
        <w:tc>
          <w:tcPr>
            <w:tcW w:w="280" w:type="dxa"/>
            <w:vAlign w:val="bottom"/>
          </w:tcPr>
          <w:p>
            <w:pPr>
              <w:spacing w:after="0"/>
              <w:rPr>
                <w:sz w:val="7"/>
                <w:szCs w:val="7"/>
                <w:color w:val="auto"/>
              </w:rPr>
            </w:pPr>
          </w:p>
        </w:tc>
        <w:tc>
          <w:tcPr>
            <w:tcW w:w="1440" w:type="dxa"/>
            <w:vAlign w:val="bottom"/>
            <w:gridSpan w:val="3"/>
          </w:tcPr>
          <w:p>
            <w:pPr>
              <w:jc w:val="right"/>
              <w:ind w:right="331"/>
              <w:spacing w:after="0" w:line="88" w:lineRule="exact"/>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0"/>
              </w:rPr>
              <w:t>September 30,</w:t>
            </w:r>
          </w:p>
        </w:tc>
        <w:tc>
          <w:tcPr>
            <w:tcW w:w="220" w:type="dxa"/>
            <w:vAlign w:val="bottom"/>
          </w:tcPr>
          <w:p>
            <w:pPr>
              <w:spacing w:after="0"/>
              <w:rPr>
                <w:sz w:val="12"/>
                <w:szCs w:val="12"/>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90"/>
              </w:rPr>
              <w:t>September 30,</w:t>
            </w:r>
          </w:p>
        </w:tc>
        <w:tc>
          <w:tcPr>
            <w:tcW w:w="180" w:type="dxa"/>
            <w:vAlign w:val="bottom"/>
          </w:tcPr>
          <w:p>
            <w:pPr>
              <w:spacing w:after="0"/>
              <w:rPr>
                <w:sz w:val="12"/>
                <w:szCs w:val="12"/>
                <w:color w:val="auto"/>
              </w:rPr>
            </w:pPr>
          </w:p>
        </w:tc>
        <w:tc>
          <w:tcPr>
            <w:tcW w:w="1520" w:type="dxa"/>
            <w:vAlign w:val="bottom"/>
            <w:gridSpan w:val="4"/>
          </w:tcPr>
          <w:p>
            <w:pPr>
              <w:jc w:val="center"/>
              <w:ind w:right="280"/>
              <w:spacing w:after="0"/>
              <w:rPr>
                <w:sz w:val="20"/>
                <w:szCs w:val="20"/>
                <w:color w:val="auto"/>
              </w:rPr>
            </w:pPr>
            <w:r>
              <w:rPr>
                <w:rFonts w:ascii="Arial" w:cs="Arial" w:eastAsia="Arial" w:hAnsi="Arial"/>
                <w:sz w:val="11"/>
                <w:szCs w:val="11"/>
                <w:b w:val="1"/>
                <w:bCs w:val="1"/>
                <w:color w:val="auto"/>
                <w:w w:val="90"/>
              </w:rPr>
              <w:t>September 30,</w:t>
            </w:r>
          </w:p>
        </w:tc>
        <w:tc>
          <w:tcPr>
            <w:tcW w:w="2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3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2023</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w w:val="89"/>
              </w:rPr>
              <w:t>2023</w:t>
            </w:r>
          </w:p>
        </w:tc>
        <w:tc>
          <w:tcPr>
            <w:tcW w:w="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w w:val="81"/>
              </w:rPr>
              <w:t>2022</w:t>
            </w: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203</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w:t>
            </w:r>
          </w:p>
        </w:tc>
        <w:tc>
          <w:tcPr>
            <w:tcW w:w="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9"/>
        </w:trPr>
        <w:tc>
          <w:tcPr>
            <w:tcW w:w="43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5"/>
                <w:szCs w:val="15"/>
                <w:color w:val="auto"/>
              </w:rPr>
            </w:pPr>
          </w:p>
        </w:tc>
        <w:tc>
          <w:tcPr>
            <w:tcW w:w="640" w:type="dxa"/>
            <w:vAlign w:val="bottom"/>
          </w:tcPr>
          <w:p>
            <w:pPr>
              <w:jc w:val="right"/>
              <w:ind w:right="35"/>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4"/>
                <w:szCs w:val="14"/>
                <w:color w:val="auto"/>
              </w:rPr>
              <w:t>324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(181)</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360" w:type="dxa"/>
            <w:vAlign w:val="bottom"/>
          </w:tcPr>
          <w:p>
            <w:pPr>
              <w:ind w:left="20"/>
              <w:spacing w:after="0"/>
              <w:rPr>
                <w:sz w:val="20"/>
                <w:szCs w:val="20"/>
                <w:color w:val="auto"/>
              </w:rPr>
            </w:pPr>
            <w:r>
              <w:rPr>
                <w:rFonts w:ascii="Arial" w:cs="Arial" w:eastAsia="Arial" w:hAnsi="Arial"/>
                <w:sz w:val="14"/>
                <w:szCs w:val="14"/>
                <w:color w:val="auto"/>
              </w:rPr>
              <w:t>Amortzaton of prior service cost (credit)</w:t>
            </w:r>
          </w:p>
        </w:tc>
        <w:tc>
          <w:tcPr>
            <w:tcW w:w="160" w:type="dxa"/>
            <w:vAlign w:val="bottom"/>
          </w:tcPr>
          <w:p>
            <w:pPr>
              <w:spacing w:after="0"/>
              <w:rPr>
                <w:sz w:val="15"/>
                <w:szCs w:val="15"/>
                <w:color w:val="auto"/>
              </w:rPr>
            </w:pPr>
          </w:p>
        </w:tc>
        <w:tc>
          <w:tcPr>
            <w:tcW w:w="6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5"/>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Amortzaton of actuarial loss</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periodic beneft cost (credit)</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37</w:t>
            </w:r>
          </w:p>
        </w:tc>
        <w:tc>
          <w:tcPr>
            <w:tcW w:w="3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net periodic beneft cost other than service cost are included in other expense (income), net in the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17</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444867"/>
        </w:rPr>
        <w:t>Note 10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Stock-Based Compensaton</w:t>
      </w:r>
    </w:p>
    <w:p>
      <w:pPr>
        <w:spacing w:after="0" w:line="127"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Stock-based compensaton expense is principally related to awards issued pursuant to the AbbVie 2013 Incentve Stock Program and the AbbVie Amended and Restated 2013 Incentve Stock Program and is summarized as follows:</w:t>
      </w:r>
    </w:p>
    <w:tbl>
      <w:tblPr>
        <w:tblLayout w:type="fixed"/>
        <w:tblInd w:w="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40" w:type="dxa"/>
            <w:vAlign w:val="bottom"/>
            <w:gridSpan w:val="2"/>
          </w:tcPr>
          <w:p>
            <w:pPr>
              <w:jc w:val="right"/>
              <w:ind w:right="434"/>
              <w:spacing w:after="0" w:line="115" w:lineRule="exact"/>
              <w:rPr>
                <w:sz w:val="20"/>
                <w:szCs w:val="20"/>
                <w:color w:val="auto"/>
              </w:rPr>
            </w:pPr>
            <w:r>
              <w:rPr>
                <w:rFonts w:ascii="Arial" w:cs="Arial" w:eastAsia="Arial" w:hAnsi="Arial"/>
                <w:sz w:val="11"/>
                <w:szCs w:val="11"/>
                <w:b w:val="1"/>
                <w:bCs w:val="1"/>
                <w:color w:val="auto"/>
                <w:w w:val="94"/>
              </w:rPr>
              <w:t>Three months ended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gridSpan w:val="2"/>
          </w:tcPr>
          <w:p>
            <w:pPr>
              <w:jc w:val="right"/>
              <w:ind w:right="9"/>
              <w:spacing w:after="0" w:line="115" w:lineRule="exact"/>
              <w:rPr>
                <w:sz w:val="20"/>
                <w:szCs w:val="20"/>
                <w:color w:val="auto"/>
              </w:rPr>
            </w:pPr>
            <w:r>
              <w:rPr>
                <w:rFonts w:ascii="Arial" w:cs="Arial" w:eastAsia="Arial" w:hAnsi="Arial"/>
                <w:sz w:val="11"/>
                <w:szCs w:val="11"/>
                <w:b w:val="1"/>
                <w:bCs w:val="1"/>
                <w:color w:val="auto"/>
                <w:w w:val="95"/>
              </w:rPr>
              <w:t>Nine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gridSpan w:val="2"/>
          </w:tcPr>
          <w:p>
            <w:pPr>
              <w:jc w:val="right"/>
              <w:ind w:right="574"/>
              <w:spacing w:after="0"/>
              <w:rPr>
                <w:sz w:val="20"/>
                <w:szCs w:val="20"/>
                <w:color w:val="auto"/>
              </w:rPr>
            </w:pPr>
            <w:r>
              <w:rPr>
                <w:rFonts w:ascii="Arial" w:cs="Arial" w:eastAsia="Arial" w:hAnsi="Arial"/>
                <w:sz w:val="11"/>
                <w:szCs w:val="11"/>
                <w:b w:val="1"/>
                <w:bCs w:val="1"/>
                <w:color w:val="auto"/>
              </w:rPr>
              <w:t>September 30,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5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56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86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38</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53</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227</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administratve</w:t>
            </w: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68</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357</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71"/>
        </w:trPr>
        <w:tc>
          <w:tcPr>
            <w:tcW w:w="5560" w:type="dxa"/>
            <w:vAlign w:val="bottom"/>
          </w:tcPr>
          <w:p>
            <w:pPr>
              <w:ind w:left="20"/>
              <w:spacing w:after="0"/>
              <w:rPr>
                <w:sz w:val="20"/>
                <w:szCs w:val="20"/>
                <w:color w:val="auto"/>
              </w:rPr>
            </w:pPr>
            <w:r>
              <w:rPr>
                <w:rFonts w:ascii="Arial" w:cs="Arial" w:eastAsia="Arial" w:hAnsi="Arial"/>
                <w:sz w:val="14"/>
                <w:szCs w:val="14"/>
                <w:color w:val="auto"/>
              </w:rPr>
              <w:t>Pre-tax compensaton expense</w:t>
            </w:r>
          </w:p>
        </w:tc>
        <w:tc>
          <w:tcPr>
            <w:tcW w:w="86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130</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622</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Tax beneft</w:t>
            </w: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(111)</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Afer-tax compensaton expense</w:t>
            </w:r>
          </w:p>
        </w:tc>
        <w:tc>
          <w:tcPr>
            <w:tcW w:w="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104</w:t>
            </w:r>
          </w:p>
        </w:tc>
        <w:tc>
          <w:tcPr>
            <w:tcW w:w="10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511</w:t>
            </w:r>
          </w:p>
        </w:tc>
        <w:tc>
          <w:tcPr>
            <w:tcW w:w="5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Optons</w:t>
      </w:r>
    </w:p>
    <w:p>
      <w:pPr>
        <w:spacing w:after="0" w:line="115"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During the nine months ended September 30, 2023, primarily in connecton with the company's annual grant, AbbVie granted 0.6 million stock optons with a weighted-average grant-date fair value of $29.89. As of September 30, 2023, $7 million of unrecognized compensaton cost related to stock optons is expected to be recognized as expense over approximately the next two years.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RSUs and Performance Shares</w:t>
      </w:r>
    </w:p>
    <w:p>
      <w:pPr>
        <w:spacing w:after="0" w:line="125"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During the nine months ended September 30, 2023, primarily in connecton with the company's annual grant, AbbVie granted 5.8 million RSUs and performance shares with a weighted-average grant-date fair value of $149.59. As of September 30, 2023, $692 million of unrecognized compensaton cost related to RSUs and performance shares is expected to be recognized as expense over approximately the next two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Cash Dividends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quarterly cash dividends declared during 2023 and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80" w:type="dxa"/>
            <w:vAlign w:val="bottom"/>
          </w:tcPr>
          <w:p>
            <w:pPr>
              <w:spacing w:after="0"/>
              <w:rPr>
                <w:sz w:val="12"/>
                <w:szCs w:val="12"/>
                <w:color w:val="auto"/>
              </w:rPr>
            </w:pPr>
          </w:p>
        </w:tc>
        <w:tc>
          <w:tcPr>
            <w:tcW w:w="1620" w:type="dxa"/>
            <w:vAlign w:val="bottom"/>
          </w:tcPr>
          <w:p>
            <w:pPr>
              <w:jc w:val="right"/>
              <w:ind w:right="714"/>
              <w:spacing w:after="0"/>
              <w:rPr>
                <w:sz w:val="20"/>
                <w:szCs w:val="20"/>
                <w:color w:val="auto"/>
              </w:rPr>
            </w:pPr>
            <w:r>
              <w:rPr>
                <w:rFonts w:ascii="Arial" w:cs="Arial" w:eastAsia="Arial" w:hAnsi="Arial"/>
                <w:sz w:val="11"/>
                <w:szCs w:val="11"/>
                <w:b w:val="1"/>
                <w:bCs w:val="1"/>
                <w:color w:val="auto"/>
              </w:rPr>
              <w:t>2023</w:t>
            </w: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jc w:val="right"/>
              <w:ind w:right="774"/>
              <w:spacing w:after="0"/>
              <w:rPr>
                <w:sz w:val="20"/>
                <w:szCs w:val="20"/>
                <w:color w:val="auto"/>
              </w:rPr>
            </w:pPr>
            <w:r>
              <w:rPr>
                <w:rFonts w:ascii="Arial" w:cs="Arial" w:eastAsia="Arial" w:hAnsi="Arial"/>
                <w:sz w:val="11"/>
                <w:szCs w:val="11"/>
                <w:b w:val="1"/>
                <w:bCs w:val="1"/>
                <w:color w:val="auto"/>
              </w:rPr>
              <w:t>2022</w:t>
            </w: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80" w:type="dxa"/>
            <w:vAlign w:val="bottom"/>
            <w:tcBorders>
              <w:bottom w:val="single" w:sz="8" w:color="auto"/>
            </w:tcBorders>
          </w:tcPr>
          <w:p>
            <w:pPr>
              <w:jc w:val="right"/>
              <w:ind w:right="792"/>
              <w:spacing w:after="0"/>
              <w:rPr>
                <w:sz w:val="20"/>
                <w:szCs w:val="20"/>
                <w:color w:val="auto"/>
              </w:rPr>
            </w:pPr>
            <w:r>
              <w:rPr>
                <w:rFonts w:ascii="Arial" w:cs="Arial" w:eastAsia="Arial" w:hAnsi="Arial"/>
                <w:sz w:val="11"/>
                <w:szCs w:val="11"/>
                <w:b w:val="1"/>
                <w:bCs w:val="1"/>
                <w:color w:val="auto"/>
              </w:rPr>
              <w:t>Date Declared</w:t>
            </w: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Payment Date</w:t>
            </w: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Dividend Per Share</w:t>
            </w:r>
          </w:p>
        </w:tc>
        <w:tc>
          <w:tcPr>
            <w:tcW w:w="100" w:type="dxa"/>
            <w:vAlign w:val="bottom"/>
            <w:tcBorders>
              <w:bottom w:val="single" w:sz="8" w:color="auto"/>
            </w:tcBorders>
            <w:vMerge w:val="continue"/>
          </w:tcPr>
          <w:p>
            <w:pPr>
              <w:spacing w:after="0"/>
              <w:rPr>
                <w:sz w:val="12"/>
                <w:szCs w:val="12"/>
                <w:color w:val="auto"/>
              </w:rPr>
            </w:pPr>
          </w:p>
        </w:tc>
        <w:tc>
          <w:tcPr>
            <w:tcW w:w="214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Date Declared</w:t>
            </w: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Payment Date</w:t>
            </w: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Dividend Per Share</w:t>
            </w:r>
          </w:p>
        </w:tc>
        <w:tc>
          <w:tcPr>
            <w:tcW w:w="0" w:type="dxa"/>
            <w:vAlign w:val="bottom"/>
          </w:tcPr>
          <w:p>
            <w:pPr>
              <w:spacing w:after="0"/>
              <w:rPr>
                <w:sz w:val="1"/>
                <w:szCs w:val="1"/>
                <w:color w:val="auto"/>
              </w:rPr>
            </w:pPr>
          </w:p>
        </w:tc>
      </w:tr>
      <w:tr>
        <w:trPr>
          <w:trHeight w:val="178"/>
        </w:trPr>
        <w:tc>
          <w:tcPr>
            <w:tcW w:w="2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2D2926"/>
              </w:rPr>
              <w:t>10/26/23</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2D2926"/>
              </w:rPr>
              <w:t>02/15/24</w:t>
            </w: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2D292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2D2926"/>
              </w:rPr>
              <w:t>1.55</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2D2926"/>
              </w:rPr>
              <w:t>10/28/22</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2D2926"/>
              </w:rPr>
              <w:t>02/15/23</w:t>
            </w:r>
          </w:p>
        </w:tc>
        <w:tc>
          <w:tcPr>
            <w:tcW w:w="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9"/>
        </w:trPr>
        <w:tc>
          <w:tcPr>
            <w:tcW w:w="2080" w:type="dxa"/>
            <w:vAlign w:val="bottom"/>
          </w:tcPr>
          <w:p>
            <w:pPr>
              <w:jc w:val="right"/>
              <w:ind w:right="272"/>
              <w:spacing w:after="0"/>
              <w:rPr>
                <w:sz w:val="20"/>
                <w:szCs w:val="20"/>
                <w:color w:val="auto"/>
              </w:rPr>
            </w:pPr>
            <w:r>
              <w:rPr>
                <w:rFonts w:ascii="Arial" w:cs="Arial" w:eastAsia="Arial" w:hAnsi="Arial"/>
                <w:sz w:val="14"/>
                <w:szCs w:val="14"/>
                <w:color w:val="2D2926"/>
              </w:rPr>
              <w:t>09/08/23</w:t>
            </w:r>
          </w:p>
        </w:tc>
        <w:tc>
          <w:tcPr>
            <w:tcW w:w="1620" w:type="dxa"/>
            <w:vAlign w:val="bottom"/>
          </w:tcPr>
          <w:p>
            <w:pPr>
              <w:jc w:val="right"/>
              <w:spacing w:after="0"/>
              <w:rPr>
                <w:sz w:val="20"/>
                <w:szCs w:val="20"/>
                <w:color w:val="auto"/>
              </w:rPr>
            </w:pPr>
            <w:r>
              <w:rPr>
                <w:rFonts w:ascii="Arial" w:cs="Arial" w:eastAsia="Arial" w:hAnsi="Arial"/>
                <w:sz w:val="14"/>
                <w:szCs w:val="14"/>
                <w:color w:val="2D2926"/>
              </w:rPr>
              <w:t>11/15/23</w:t>
            </w:r>
          </w:p>
        </w:tc>
        <w:tc>
          <w:tcPr>
            <w:tcW w:w="320" w:type="dxa"/>
            <w:vAlign w:val="bottom"/>
          </w:tcPr>
          <w:p>
            <w:pPr>
              <w:jc w:val="right"/>
              <w:ind w:right="109"/>
              <w:spacing w:after="0"/>
              <w:rPr>
                <w:sz w:val="20"/>
                <w:szCs w:val="20"/>
                <w:color w:val="auto"/>
              </w:rPr>
            </w:pPr>
            <w:r>
              <w:rPr>
                <w:rFonts w:ascii="Arial" w:cs="Arial" w:eastAsia="Arial" w:hAnsi="Arial"/>
                <w:sz w:val="14"/>
                <w:szCs w:val="14"/>
                <w:color w:val="2D2926"/>
              </w:rPr>
              <w:t>$</w:t>
            </w:r>
          </w:p>
        </w:tc>
        <w:tc>
          <w:tcPr>
            <w:tcW w:w="1560" w:type="dxa"/>
            <w:vAlign w:val="bottom"/>
          </w:tcPr>
          <w:p>
            <w:pPr>
              <w:jc w:val="right"/>
              <w:spacing w:after="0"/>
              <w:rPr>
                <w:sz w:val="20"/>
                <w:szCs w:val="20"/>
                <w:color w:val="auto"/>
              </w:rPr>
            </w:pPr>
            <w:r>
              <w:rPr>
                <w:rFonts w:ascii="Arial" w:cs="Arial" w:eastAsia="Arial" w:hAnsi="Arial"/>
                <w:sz w:val="14"/>
                <w:szCs w:val="14"/>
                <w:color w:val="2D2926"/>
              </w:rPr>
              <w:t>1.48</w:t>
            </w:r>
          </w:p>
        </w:tc>
        <w:tc>
          <w:tcPr>
            <w:tcW w:w="100" w:type="dxa"/>
            <w:vAlign w:val="bottom"/>
          </w:tcPr>
          <w:p>
            <w:pPr>
              <w:spacing w:after="0"/>
              <w:rPr>
                <w:sz w:val="15"/>
                <w:szCs w:val="15"/>
                <w:color w:val="auto"/>
              </w:rPr>
            </w:pPr>
          </w:p>
        </w:tc>
        <w:tc>
          <w:tcPr>
            <w:tcW w:w="2140" w:type="dxa"/>
            <w:vAlign w:val="bottom"/>
          </w:tcPr>
          <w:p>
            <w:pPr>
              <w:jc w:val="right"/>
              <w:ind w:right="272"/>
              <w:spacing w:after="0"/>
              <w:rPr>
                <w:sz w:val="20"/>
                <w:szCs w:val="20"/>
                <w:color w:val="auto"/>
              </w:rPr>
            </w:pPr>
            <w:r>
              <w:rPr>
                <w:rFonts w:ascii="Arial" w:cs="Arial" w:eastAsia="Arial" w:hAnsi="Arial"/>
                <w:sz w:val="14"/>
                <w:szCs w:val="14"/>
                <w:color w:val="2D2926"/>
              </w:rPr>
              <w:t>09/09/22</w:t>
            </w:r>
          </w:p>
        </w:tc>
        <w:tc>
          <w:tcPr>
            <w:tcW w:w="1620" w:type="dxa"/>
            <w:vAlign w:val="bottom"/>
          </w:tcPr>
          <w:p>
            <w:pPr>
              <w:jc w:val="right"/>
              <w:spacing w:after="0"/>
              <w:rPr>
                <w:sz w:val="20"/>
                <w:szCs w:val="20"/>
                <w:color w:val="auto"/>
              </w:rPr>
            </w:pPr>
            <w:r>
              <w:rPr>
                <w:rFonts w:ascii="Arial" w:cs="Arial" w:eastAsia="Arial" w:hAnsi="Arial"/>
                <w:sz w:val="14"/>
                <w:szCs w:val="14"/>
                <w:color w:val="2D2926"/>
              </w:rPr>
              <w:t>11/15/22</w:t>
            </w:r>
          </w:p>
        </w:tc>
        <w:tc>
          <w:tcPr>
            <w:tcW w:w="3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2D2926"/>
              </w:rPr>
              <w:t>06/22/23</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2D2926"/>
              </w:rPr>
              <w:t>08/15/23</w:t>
            </w: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2D2926"/>
              </w:rPr>
              <w:t>06/23/22</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2D2926"/>
              </w:rPr>
              <w:t>08/15/22</w:t>
            </w:r>
          </w:p>
        </w:tc>
        <w:tc>
          <w:tcPr>
            <w:tcW w:w="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79"/>
        </w:trPr>
        <w:tc>
          <w:tcPr>
            <w:tcW w:w="2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2D2926"/>
              </w:rPr>
              <w:t>02/16/23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D2926"/>
              </w:rPr>
              <w:t>05/15/23</w:t>
            </w:r>
          </w:p>
        </w:tc>
        <w:tc>
          <w:tcPr>
            <w:tcW w:w="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2D2926"/>
              </w:rPr>
              <w:t>02/17/22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D2926"/>
              </w:rPr>
              <w:t>05/16/22</w:t>
            </w:r>
          </w:p>
        </w:tc>
        <w:tc>
          <w:tcPr>
            <w:tcW w:w="3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Stock Repurchase Program</w:t>
      </w:r>
    </w:p>
    <w:p>
      <w:pPr>
        <w:spacing w:after="0" w:line="127" w:lineRule="exact"/>
        <w:rPr>
          <w:sz w:val="20"/>
          <w:szCs w:val="20"/>
          <w:color w:val="auto"/>
        </w:rPr>
      </w:pPr>
    </w:p>
    <w:p>
      <w:pPr>
        <w:ind w:right="120"/>
        <w:spacing w:after="0" w:line="318" w:lineRule="auto"/>
        <w:rPr>
          <w:sz w:val="20"/>
          <w:szCs w:val="20"/>
          <w:color w:val="auto"/>
        </w:rPr>
      </w:pPr>
      <w:r>
        <w:rPr>
          <w:rFonts w:ascii="Arial" w:cs="Arial" w:eastAsia="Arial" w:hAnsi="Arial"/>
          <w:sz w:val="13"/>
          <w:szCs w:val="13"/>
          <w:color w:val="auto"/>
        </w:rPr>
        <w:t>The company's stock repurchase authorizaton permits purchases of AbbVie shares from tme to tme in open-market or private transactons at management's discreton. The program has no tme limit and can be discontnued at any tme. Shares repurchased under this program are recorded at acquisiton cost, including related expenses, and are available for general corporate purposes.</w:t>
      </w:r>
    </w:p>
    <w:p>
      <w:pPr>
        <w:spacing w:after="0" w:line="60"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On February 16, 2023, AbbVie’s board of directors authorized a $5.0 billion increase to the existng stock repurchase authorizaton. AbbVie repurchased 10 million shares for $1.6 billion during the nine months ended September 30, 2023 and 8 million shares for $1.1 billion during the nine months ended September 30, 2022. AbbVie's remaining stock repurchase authorizaton was approximately $4.8 billion as of September 30, 2023.</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18</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444867"/>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each component of accumulated other comprehensive loss, net of tax, for the nine months ended September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56"/>
              <w:spacing w:after="0"/>
              <w:rPr>
                <w:sz w:val="20"/>
                <w:szCs w:val="20"/>
                <w:color w:val="auto"/>
              </w:rPr>
            </w:pPr>
            <w:r>
              <w:rPr>
                <w:rFonts w:ascii="Arial" w:cs="Arial" w:eastAsia="Arial" w:hAnsi="Arial"/>
                <w:sz w:val="11"/>
                <w:szCs w:val="11"/>
                <w:b w:val="1"/>
                <w:bCs w:val="1"/>
                <w:color w:val="auto"/>
                <w:w w:val="88"/>
              </w:rPr>
              <w:t>Pension</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17"/>
        </w:trPr>
        <w:tc>
          <w:tcPr>
            <w:tcW w:w="4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jc w:val="center"/>
              <w:ind w:right="95"/>
              <w:spacing w:after="0" w:line="117" w:lineRule="exact"/>
              <w:rPr>
                <w:sz w:val="20"/>
                <w:szCs w:val="20"/>
                <w:color w:val="auto"/>
              </w:rPr>
            </w:pPr>
            <w:r>
              <w:rPr>
                <w:rFonts w:ascii="Arial" w:cs="Arial" w:eastAsia="Arial" w:hAnsi="Arial"/>
                <w:sz w:val="11"/>
                <w:szCs w:val="11"/>
                <w:b w:val="1"/>
                <w:bCs w:val="1"/>
                <w:color w:val="auto"/>
                <w:w w:val="86"/>
              </w:rPr>
              <w:t>Foreign currency</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36"/>
              <w:spacing w:after="0" w:line="117" w:lineRule="exact"/>
              <w:rPr>
                <w:sz w:val="20"/>
                <w:szCs w:val="20"/>
                <w:color w:val="auto"/>
              </w:rPr>
            </w:pPr>
            <w:r>
              <w:rPr>
                <w:rFonts w:ascii="Arial" w:cs="Arial" w:eastAsia="Arial" w:hAnsi="Arial"/>
                <w:sz w:val="11"/>
                <w:szCs w:val="11"/>
                <w:b w:val="1"/>
                <w:bCs w:val="1"/>
                <w:color w:val="auto"/>
                <w:w w:val="88"/>
              </w:rPr>
              <w:t>and post-</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15"/>
        </w:trPr>
        <w:tc>
          <w:tcPr>
            <w:tcW w:w="4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jc w:val="center"/>
              <w:ind w:right="75"/>
              <w:spacing w:after="0" w:line="115" w:lineRule="exact"/>
              <w:rPr>
                <w:sz w:val="20"/>
                <w:szCs w:val="20"/>
                <w:color w:val="auto"/>
              </w:rPr>
            </w:pPr>
            <w:r>
              <w:rPr>
                <w:rFonts w:ascii="Arial" w:cs="Arial" w:eastAsia="Arial" w:hAnsi="Arial"/>
                <w:sz w:val="11"/>
                <w:szCs w:val="11"/>
                <w:b w:val="1"/>
                <w:bCs w:val="1"/>
                <w:color w:val="auto"/>
                <w:w w:val="97"/>
              </w:rPr>
              <w:t>translaton</w:t>
            </w:r>
          </w:p>
        </w:tc>
        <w:tc>
          <w:tcPr>
            <w:tcW w:w="140" w:type="dxa"/>
            <w:vAlign w:val="bottom"/>
          </w:tcPr>
          <w:p>
            <w:pPr>
              <w:spacing w:after="0"/>
              <w:rPr>
                <w:sz w:val="9"/>
                <w:szCs w:val="9"/>
                <w:color w:val="auto"/>
              </w:rPr>
            </w:pPr>
          </w:p>
        </w:tc>
        <w:tc>
          <w:tcPr>
            <w:tcW w:w="960" w:type="dxa"/>
            <w:vAlign w:val="bottom"/>
          </w:tcPr>
          <w:p>
            <w:pPr>
              <w:jc w:val="right"/>
              <w:ind w:right="113"/>
              <w:spacing w:after="0" w:line="115" w:lineRule="exact"/>
              <w:rPr>
                <w:sz w:val="20"/>
                <w:szCs w:val="20"/>
                <w:color w:val="auto"/>
              </w:rPr>
            </w:pPr>
            <w:r>
              <w:rPr>
                <w:rFonts w:ascii="Arial" w:cs="Arial" w:eastAsia="Arial" w:hAnsi="Arial"/>
                <w:sz w:val="11"/>
                <w:szCs w:val="11"/>
                <w:b w:val="1"/>
                <w:bCs w:val="1"/>
                <w:color w:val="auto"/>
                <w:w w:val="96"/>
              </w:rPr>
              <w:t>Net investment</w:t>
            </w:r>
          </w:p>
        </w:tc>
        <w:tc>
          <w:tcPr>
            <w:tcW w:w="200" w:type="dxa"/>
            <w:vAlign w:val="bottom"/>
          </w:tcPr>
          <w:p>
            <w:pPr>
              <w:spacing w:after="0"/>
              <w:rPr>
                <w:sz w:val="9"/>
                <w:szCs w:val="9"/>
                <w:color w:val="auto"/>
              </w:rPr>
            </w:pPr>
          </w:p>
        </w:tc>
        <w:tc>
          <w:tcPr>
            <w:tcW w:w="920" w:type="dxa"/>
            <w:vAlign w:val="bottom"/>
          </w:tcPr>
          <w:p>
            <w:pPr>
              <w:jc w:val="center"/>
              <w:ind w:right="136"/>
              <w:spacing w:after="0" w:line="115" w:lineRule="exact"/>
              <w:rPr>
                <w:sz w:val="20"/>
                <w:szCs w:val="20"/>
                <w:color w:val="auto"/>
              </w:rPr>
            </w:pPr>
            <w:r>
              <w:rPr>
                <w:rFonts w:ascii="Arial" w:cs="Arial" w:eastAsia="Arial" w:hAnsi="Arial"/>
                <w:sz w:val="11"/>
                <w:szCs w:val="11"/>
                <w:b w:val="1"/>
                <w:bCs w:val="1"/>
                <w:color w:val="auto"/>
                <w:w w:val="92"/>
              </w:rPr>
              <w:t>employment</w:t>
            </w:r>
          </w:p>
        </w:tc>
        <w:tc>
          <w:tcPr>
            <w:tcW w:w="1120" w:type="dxa"/>
            <w:vAlign w:val="bottom"/>
            <w:gridSpan w:val="2"/>
          </w:tcPr>
          <w:p>
            <w:pPr>
              <w:jc w:val="right"/>
              <w:ind w:right="72"/>
              <w:spacing w:after="0" w:line="115" w:lineRule="exact"/>
              <w:rPr>
                <w:sz w:val="20"/>
                <w:szCs w:val="20"/>
                <w:color w:val="auto"/>
              </w:rPr>
            </w:pPr>
            <w:r>
              <w:rPr>
                <w:rFonts w:ascii="Arial" w:cs="Arial" w:eastAsia="Arial" w:hAnsi="Arial"/>
                <w:sz w:val="11"/>
                <w:szCs w:val="11"/>
                <w:b w:val="1"/>
                <w:bCs w:val="1"/>
                <w:color w:val="auto"/>
              </w:rPr>
              <w:t>Cash fow hedging</w:t>
            </w: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47"/>
        </w:trPr>
        <w:tc>
          <w:tcPr>
            <w:tcW w:w="48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2"/>
                <w:szCs w:val="12"/>
                <w:color w:val="auto"/>
              </w:rPr>
            </w:pPr>
          </w:p>
        </w:tc>
        <w:tc>
          <w:tcPr>
            <w:tcW w:w="98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adjustments</w:t>
            </w:r>
          </w:p>
        </w:tc>
        <w:tc>
          <w:tcPr>
            <w:tcW w:w="140" w:type="dxa"/>
            <w:vAlign w:val="bottom"/>
          </w:tcPr>
          <w:p>
            <w:pPr>
              <w:spacing w:after="0"/>
              <w:rPr>
                <w:sz w:val="12"/>
                <w:szCs w:val="12"/>
                <w:color w:val="auto"/>
              </w:rPr>
            </w:pPr>
          </w:p>
        </w:tc>
        <w:tc>
          <w:tcPr>
            <w:tcW w:w="960" w:type="dxa"/>
            <w:vAlign w:val="bottom"/>
          </w:tcPr>
          <w:p>
            <w:pPr>
              <w:jc w:val="right"/>
              <w:ind w:right="73"/>
              <w:spacing w:after="0"/>
              <w:rPr>
                <w:sz w:val="20"/>
                <w:szCs w:val="20"/>
                <w:color w:val="auto"/>
              </w:rPr>
            </w:pPr>
            <w:r>
              <w:rPr>
                <w:rFonts w:ascii="Arial" w:cs="Arial" w:eastAsia="Arial" w:hAnsi="Arial"/>
                <w:sz w:val="11"/>
                <w:szCs w:val="11"/>
                <w:b w:val="1"/>
                <w:bCs w:val="1"/>
                <w:color w:val="auto"/>
                <w:w w:val="92"/>
              </w:rPr>
              <w:t>hedging actvites</w:t>
            </w:r>
          </w:p>
        </w:tc>
        <w:tc>
          <w:tcPr>
            <w:tcW w:w="200" w:type="dxa"/>
            <w:vAlign w:val="bottom"/>
          </w:tcPr>
          <w:p>
            <w:pPr>
              <w:spacing w:after="0"/>
              <w:rPr>
                <w:sz w:val="12"/>
                <w:szCs w:val="12"/>
                <w:color w:val="auto"/>
              </w:rPr>
            </w:pPr>
          </w:p>
        </w:tc>
        <w:tc>
          <w:tcPr>
            <w:tcW w:w="920" w:type="dxa"/>
            <w:vAlign w:val="bottom"/>
          </w:tcPr>
          <w:p>
            <w:pPr>
              <w:jc w:val="center"/>
              <w:ind w:right="116"/>
              <w:spacing w:after="0"/>
              <w:rPr>
                <w:sz w:val="20"/>
                <w:szCs w:val="20"/>
                <w:color w:val="auto"/>
              </w:rPr>
            </w:pPr>
            <w:r>
              <w:rPr>
                <w:rFonts w:ascii="Arial" w:cs="Arial" w:eastAsia="Arial" w:hAnsi="Arial"/>
                <w:sz w:val="11"/>
                <w:szCs w:val="11"/>
                <w:b w:val="1"/>
                <w:bCs w:val="1"/>
                <w:color w:val="auto"/>
                <w:w w:val="97"/>
              </w:rPr>
              <w:t>benefts</w:t>
            </w:r>
          </w:p>
        </w:tc>
        <w:tc>
          <w:tcPr>
            <w:tcW w:w="240" w:type="dxa"/>
            <w:vAlign w:val="bottom"/>
          </w:tcPr>
          <w:p>
            <w:pPr>
              <w:spacing w:after="0"/>
              <w:rPr>
                <w:sz w:val="12"/>
                <w:szCs w:val="12"/>
                <w:color w:val="auto"/>
              </w:rPr>
            </w:pPr>
          </w:p>
        </w:tc>
        <w:tc>
          <w:tcPr>
            <w:tcW w:w="880" w:type="dxa"/>
            <w:vAlign w:val="bottom"/>
          </w:tcPr>
          <w:p>
            <w:pPr>
              <w:jc w:val="right"/>
              <w:ind w:right="292"/>
              <w:spacing w:after="0"/>
              <w:rPr>
                <w:sz w:val="20"/>
                <w:szCs w:val="20"/>
                <w:color w:val="auto"/>
              </w:rPr>
            </w:pPr>
            <w:r>
              <w:rPr>
                <w:rFonts w:ascii="Arial" w:cs="Arial" w:eastAsia="Arial" w:hAnsi="Arial"/>
                <w:sz w:val="11"/>
                <w:szCs w:val="11"/>
                <w:b w:val="1"/>
                <w:bCs w:val="1"/>
                <w:color w:val="auto"/>
              </w:rPr>
              <w:t>actvites</w:t>
            </w:r>
          </w:p>
        </w:tc>
        <w:tc>
          <w:tcPr>
            <w:tcW w:w="280" w:type="dxa"/>
            <w:vAlign w:val="bottom"/>
          </w:tcPr>
          <w:p>
            <w:pPr>
              <w:spacing w:after="0"/>
              <w:rPr>
                <w:sz w:val="12"/>
                <w:szCs w:val="12"/>
                <w:color w:val="auto"/>
              </w:rPr>
            </w:pPr>
          </w:p>
        </w:tc>
        <w:tc>
          <w:tcPr>
            <w:tcW w:w="780" w:type="dxa"/>
            <w:vAlign w:val="bottom"/>
          </w:tcPr>
          <w:p>
            <w:pPr>
              <w:jc w:val="right"/>
              <w:ind w:right="332"/>
              <w:spacing w:after="0"/>
              <w:rPr>
                <w:sz w:val="20"/>
                <w:szCs w:val="20"/>
                <w:color w:val="auto"/>
              </w:rPr>
            </w:pPr>
            <w:r>
              <w:rPr>
                <w:rFonts w:ascii="Arial" w:cs="Arial" w:eastAsia="Arial" w:hAnsi="Arial"/>
                <w:sz w:val="11"/>
                <w:szCs w:val="11"/>
                <w:b w:val="1"/>
                <w:bCs w:val="1"/>
                <w:color w:val="auto"/>
              </w:rPr>
              <w:t>Total</w:t>
            </w:r>
          </w:p>
        </w:tc>
      </w:tr>
      <w:tr>
        <w:trPr>
          <w:trHeight w:val="23"/>
        </w:trPr>
        <w:tc>
          <w:tcPr>
            <w:tcW w:w="4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(1,513)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308</w:t>
            </w:r>
          </w:p>
        </w:tc>
        <w:tc>
          <w:tcPr>
            <w:tcW w:w="2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w:t>
            </w:r>
          </w:p>
        </w:tc>
      </w:tr>
      <w:tr>
        <w:trPr>
          <w:trHeight w:val="171"/>
        </w:trPr>
        <w:tc>
          <w:tcPr>
            <w:tcW w:w="482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reclassifcatons</w:t>
            </w:r>
          </w:p>
        </w:tc>
        <w:tc>
          <w:tcPr>
            <w:tcW w:w="108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color w:val="auto"/>
              </w:rPr>
              <w:t>(279)</w:t>
            </w:r>
          </w:p>
        </w:tc>
        <w:tc>
          <w:tcPr>
            <w:tcW w:w="14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4"/>
                <w:szCs w:val="14"/>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61</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gains reclassifed from accumulated other comprehensive loss</w:t>
            </w:r>
          </w:p>
        </w:tc>
        <w:tc>
          <w:tcPr>
            <w:tcW w:w="10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(63)</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71"/>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current-period other comprehensive income (loss)</w:t>
            </w:r>
          </w:p>
        </w:tc>
        <w:tc>
          <w:tcPr>
            <w:tcW w:w="10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(279)</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(1,792)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553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306</w:t>
            </w:r>
          </w:p>
        </w:tc>
        <w:tc>
          <w:tcPr>
            <w:tcW w:w="2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360"/>
        <w:spacing w:after="0" w:line="318" w:lineRule="auto"/>
        <w:rPr>
          <w:sz w:val="20"/>
          <w:szCs w:val="20"/>
          <w:color w:val="auto"/>
        </w:rPr>
      </w:pPr>
      <w:r>
        <w:rPr>
          <w:rFonts w:ascii="Arial" w:cs="Arial" w:eastAsia="Arial" w:hAnsi="Arial"/>
          <w:sz w:val="13"/>
          <w:szCs w:val="13"/>
          <w:color w:val="auto"/>
        </w:rPr>
        <w:t>Other comprehensive loss for the nine months ended September 30, 2023 included foreign currency translaton adjustments totaling a loss of $279 million principally due to the impact of the weakening of the Euro on the translaton of the company’s Euro-denominated assets and the ofsetng impact of net investment hedging actvites totaling a gain of $89 million.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each component of accumulated other comprehensive loss, net of tax, for the nine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56"/>
              <w:spacing w:after="0"/>
              <w:rPr>
                <w:sz w:val="20"/>
                <w:szCs w:val="20"/>
                <w:color w:val="auto"/>
              </w:rPr>
            </w:pPr>
            <w:r>
              <w:rPr>
                <w:rFonts w:ascii="Arial" w:cs="Arial" w:eastAsia="Arial" w:hAnsi="Arial"/>
                <w:sz w:val="11"/>
                <w:szCs w:val="11"/>
                <w:b w:val="1"/>
                <w:bCs w:val="1"/>
                <w:color w:val="auto"/>
                <w:w w:val="88"/>
              </w:rPr>
              <w:t>Pension</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17"/>
        </w:trPr>
        <w:tc>
          <w:tcPr>
            <w:tcW w:w="5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jc w:val="center"/>
              <w:ind w:right="95"/>
              <w:spacing w:after="0" w:line="117" w:lineRule="exact"/>
              <w:rPr>
                <w:sz w:val="20"/>
                <w:szCs w:val="20"/>
                <w:color w:val="auto"/>
              </w:rPr>
            </w:pPr>
            <w:r>
              <w:rPr>
                <w:rFonts w:ascii="Arial" w:cs="Arial" w:eastAsia="Arial" w:hAnsi="Arial"/>
                <w:sz w:val="11"/>
                <w:szCs w:val="11"/>
                <w:b w:val="1"/>
                <w:bCs w:val="1"/>
                <w:color w:val="auto"/>
                <w:w w:val="86"/>
              </w:rPr>
              <w:t>Foreign currency</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36"/>
              <w:spacing w:after="0" w:line="117" w:lineRule="exact"/>
              <w:rPr>
                <w:sz w:val="20"/>
                <w:szCs w:val="20"/>
                <w:color w:val="auto"/>
              </w:rPr>
            </w:pPr>
            <w:r>
              <w:rPr>
                <w:rFonts w:ascii="Arial" w:cs="Arial" w:eastAsia="Arial" w:hAnsi="Arial"/>
                <w:sz w:val="11"/>
                <w:szCs w:val="11"/>
                <w:b w:val="1"/>
                <w:bCs w:val="1"/>
                <w:color w:val="auto"/>
                <w:w w:val="88"/>
              </w:rPr>
              <w:t>and post-</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15"/>
        </w:trPr>
        <w:tc>
          <w:tcPr>
            <w:tcW w:w="5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jc w:val="center"/>
              <w:ind w:right="75"/>
              <w:spacing w:after="0" w:line="115" w:lineRule="exact"/>
              <w:rPr>
                <w:sz w:val="20"/>
                <w:szCs w:val="20"/>
                <w:color w:val="auto"/>
              </w:rPr>
            </w:pPr>
            <w:r>
              <w:rPr>
                <w:rFonts w:ascii="Arial" w:cs="Arial" w:eastAsia="Arial" w:hAnsi="Arial"/>
                <w:sz w:val="11"/>
                <w:szCs w:val="11"/>
                <w:b w:val="1"/>
                <w:bCs w:val="1"/>
                <w:color w:val="auto"/>
                <w:w w:val="97"/>
              </w:rPr>
              <w:t>translaton</w:t>
            </w:r>
          </w:p>
        </w:tc>
        <w:tc>
          <w:tcPr>
            <w:tcW w:w="140" w:type="dxa"/>
            <w:vAlign w:val="bottom"/>
          </w:tcPr>
          <w:p>
            <w:pPr>
              <w:spacing w:after="0"/>
              <w:rPr>
                <w:sz w:val="9"/>
                <w:szCs w:val="9"/>
                <w:color w:val="auto"/>
              </w:rPr>
            </w:pPr>
          </w:p>
        </w:tc>
        <w:tc>
          <w:tcPr>
            <w:tcW w:w="960" w:type="dxa"/>
            <w:vAlign w:val="bottom"/>
          </w:tcPr>
          <w:p>
            <w:pPr>
              <w:jc w:val="right"/>
              <w:ind w:right="113"/>
              <w:spacing w:after="0" w:line="115" w:lineRule="exact"/>
              <w:rPr>
                <w:sz w:val="20"/>
                <w:szCs w:val="20"/>
                <w:color w:val="auto"/>
              </w:rPr>
            </w:pPr>
            <w:r>
              <w:rPr>
                <w:rFonts w:ascii="Arial" w:cs="Arial" w:eastAsia="Arial" w:hAnsi="Arial"/>
                <w:sz w:val="11"/>
                <w:szCs w:val="11"/>
                <w:b w:val="1"/>
                <w:bCs w:val="1"/>
                <w:color w:val="auto"/>
                <w:w w:val="96"/>
              </w:rPr>
              <w:t>Net investment</w:t>
            </w:r>
          </w:p>
        </w:tc>
        <w:tc>
          <w:tcPr>
            <w:tcW w:w="200" w:type="dxa"/>
            <w:vAlign w:val="bottom"/>
          </w:tcPr>
          <w:p>
            <w:pPr>
              <w:spacing w:after="0"/>
              <w:rPr>
                <w:sz w:val="9"/>
                <w:szCs w:val="9"/>
                <w:color w:val="auto"/>
              </w:rPr>
            </w:pPr>
          </w:p>
        </w:tc>
        <w:tc>
          <w:tcPr>
            <w:tcW w:w="920" w:type="dxa"/>
            <w:vAlign w:val="bottom"/>
          </w:tcPr>
          <w:p>
            <w:pPr>
              <w:jc w:val="center"/>
              <w:ind w:right="136"/>
              <w:spacing w:after="0" w:line="115" w:lineRule="exact"/>
              <w:rPr>
                <w:sz w:val="20"/>
                <w:szCs w:val="20"/>
                <w:color w:val="auto"/>
              </w:rPr>
            </w:pPr>
            <w:r>
              <w:rPr>
                <w:rFonts w:ascii="Arial" w:cs="Arial" w:eastAsia="Arial" w:hAnsi="Arial"/>
                <w:sz w:val="11"/>
                <w:szCs w:val="11"/>
                <w:b w:val="1"/>
                <w:bCs w:val="1"/>
                <w:color w:val="auto"/>
                <w:w w:val="92"/>
              </w:rPr>
              <w:t>employment</w:t>
            </w:r>
          </w:p>
        </w:tc>
        <w:tc>
          <w:tcPr>
            <w:tcW w:w="1120" w:type="dxa"/>
            <w:vAlign w:val="bottom"/>
            <w:gridSpan w:val="2"/>
          </w:tcPr>
          <w:p>
            <w:pPr>
              <w:jc w:val="right"/>
              <w:ind w:right="72"/>
              <w:spacing w:after="0" w:line="115" w:lineRule="exact"/>
              <w:rPr>
                <w:sz w:val="20"/>
                <w:szCs w:val="20"/>
                <w:color w:val="auto"/>
              </w:rPr>
            </w:pPr>
            <w:r>
              <w:rPr>
                <w:rFonts w:ascii="Arial" w:cs="Arial" w:eastAsia="Arial" w:hAnsi="Arial"/>
                <w:sz w:val="11"/>
                <w:szCs w:val="11"/>
                <w:b w:val="1"/>
                <w:bCs w:val="1"/>
                <w:color w:val="auto"/>
              </w:rPr>
              <w:t>Cash fow hedging</w:t>
            </w: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47"/>
        </w:trPr>
        <w:tc>
          <w:tcPr>
            <w:tcW w:w="50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Pr>
          <w:p>
            <w:pPr>
              <w:spacing w:after="0"/>
              <w:rPr>
                <w:sz w:val="12"/>
                <w:szCs w:val="12"/>
                <w:color w:val="auto"/>
              </w:rPr>
            </w:pPr>
          </w:p>
        </w:tc>
        <w:tc>
          <w:tcPr>
            <w:tcW w:w="98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adjustments</w:t>
            </w:r>
          </w:p>
        </w:tc>
        <w:tc>
          <w:tcPr>
            <w:tcW w:w="140" w:type="dxa"/>
            <w:vAlign w:val="bottom"/>
          </w:tcPr>
          <w:p>
            <w:pPr>
              <w:spacing w:after="0"/>
              <w:rPr>
                <w:sz w:val="12"/>
                <w:szCs w:val="12"/>
                <w:color w:val="auto"/>
              </w:rPr>
            </w:pPr>
          </w:p>
        </w:tc>
        <w:tc>
          <w:tcPr>
            <w:tcW w:w="960" w:type="dxa"/>
            <w:vAlign w:val="bottom"/>
          </w:tcPr>
          <w:p>
            <w:pPr>
              <w:jc w:val="right"/>
              <w:ind w:right="73"/>
              <w:spacing w:after="0"/>
              <w:rPr>
                <w:sz w:val="20"/>
                <w:szCs w:val="20"/>
                <w:color w:val="auto"/>
              </w:rPr>
            </w:pPr>
            <w:r>
              <w:rPr>
                <w:rFonts w:ascii="Arial" w:cs="Arial" w:eastAsia="Arial" w:hAnsi="Arial"/>
                <w:sz w:val="11"/>
                <w:szCs w:val="11"/>
                <w:b w:val="1"/>
                <w:bCs w:val="1"/>
                <w:color w:val="auto"/>
                <w:w w:val="92"/>
              </w:rPr>
              <w:t>hedging actvites</w:t>
            </w:r>
          </w:p>
        </w:tc>
        <w:tc>
          <w:tcPr>
            <w:tcW w:w="200" w:type="dxa"/>
            <w:vAlign w:val="bottom"/>
          </w:tcPr>
          <w:p>
            <w:pPr>
              <w:spacing w:after="0"/>
              <w:rPr>
                <w:sz w:val="12"/>
                <w:szCs w:val="12"/>
                <w:color w:val="auto"/>
              </w:rPr>
            </w:pPr>
          </w:p>
        </w:tc>
        <w:tc>
          <w:tcPr>
            <w:tcW w:w="920" w:type="dxa"/>
            <w:vAlign w:val="bottom"/>
          </w:tcPr>
          <w:p>
            <w:pPr>
              <w:jc w:val="center"/>
              <w:ind w:right="116"/>
              <w:spacing w:after="0"/>
              <w:rPr>
                <w:sz w:val="20"/>
                <w:szCs w:val="20"/>
                <w:color w:val="auto"/>
              </w:rPr>
            </w:pPr>
            <w:r>
              <w:rPr>
                <w:rFonts w:ascii="Arial" w:cs="Arial" w:eastAsia="Arial" w:hAnsi="Arial"/>
                <w:sz w:val="11"/>
                <w:szCs w:val="11"/>
                <w:b w:val="1"/>
                <w:bCs w:val="1"/>
                <w:color w:val="auto"/>
                <w:w w:val="97"/>
              </w:rPr>
              <w:t>benefts</w:t>
            </w:r>
          </w:p>
        </w:tc>
        <w:tc>
          <w:tcPr>
            <w:tcW w:w="240" w:type="dxa"/>
            <w:vAlign w:val="bottom"/>
          </w:tcPr>
          <w:p>
            <w:pPr>
              <w:spacing w:after="0"/>
              <w:rPr>
                <w:sz w:val="12"/>
                <w:szCs w:val="12"/>
                <w:color w:val="auto"/>
              </w:rPr>
            </w:pPr>
          </w:p>
        </w:tc>
        <w:tc>
          <w:tcPr>
            <w:tcW w:w="880" w:type="dxa"/>
            <w:vAlign w:val="bottom"/>
          </w:tcPr>
          <w:p>
            <w:pPr>
              <w:jc w:val="right"/>
              <w:ind w:right="292"/>
              <w:spacing w:after="0"/>
              <w:rPr>
                <w:sz w:val="20"/>
                <w:szCs w:val="20"/>
                <w:color w:val="auto"/>
              </w:rPr>
            </w:pPr>
            <w:r>
              <w:rPr>
                <w:rFonts w:ascii="Arial" w:cs="Arial" w:eastAsia="Arial" w:hAnsi="Arial"/>
                <w:sz w:val="11"/>
                <w:szCs w:val="11"/>
                <w:b w:val="1"/>
                <w:bCs w:val="1"/>
                <w:color w:val="auto"/>
              </w:rPr>
              <w:t>actvites</w:t>
            </w:r>
          </w:p>
        </w:tc>
        <w:tc>
          <w:tcPr>
            <w:tcW w:w="280" w:type="dxa"/>
            <w:vAlign w:val="bottom"/>
          </w:tcPr>
          <w:p>
            <w:pPr>
              <w:spacing w:after="0"/>
              <w:rPr>
                <w:sz w:val="12"/>
                <w:szCs w:val="12"/>
                <w:color w:val="auto"/>
              </w:rPr>
            </w:pPr>
          </w:p>
        </w:tc>
        <w:tc>
          <w:tcPr>
            <w:tcW w:w="780" w:type="dxa"/>
            <w:vAlign w:val="bottom"/>
          </w:tcPr>
          <w:p>
            <w:pPr>
              <w:jc w:val="right"/>
              <w:ind w:right="332"/>
              <w:spacing w:after="0"/>
              <w:rPr>
                <w:sz w:val="20"/>
                <w:szCs w:val="20"/>
                <w:color w:val="auto"/>
              </w:rPr>
            </w:pPr>
            <w:r>
              <w:rPr>
                <w:rFonts w:ascii="Arial" w:cs="Arial" w:eastAsia="Arial" w:hAnsi="Arial"/>
                <w:sz w:val="11"/>
                <w:szCs w:val="11"/>
                <w:b w:val="1"/>
                <w:bCs w:val="1"/>
                <w:color w:val="auto"/>
              </w:rPr>
              <w:t>Total</w:t>
            </w:r>
          </w:p>
        </w:tc>
      </w:tr>
      <w:tr>
        <w:trPr>
          <w:trHeight w:val="23"/>
        </w:trPr>
        <w:tc>
          <w:tcPr>
            <w:tcW w:w="5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(2,546)</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308</w:t>
            </w:r>
          </w:p>
        </w:tc>
        <w:tc>
          <w:tcPr>
            <w:tcW w:w="2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w:t>
            </w:r>
          </w:p>
        </w:tc>
      </w:tr>
      <w:tr>
        <w:trPr>
          <w:trHeight w:val="171"/>
        </w:trPr>
        <w:tc>
          <w:tcPr>
            <w:tcW w:w="504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reclassifcatons</w:t>
            </w:r>
          </w:p>
        </w:tc>
        <w:tc>
          <w:tcPr>
            <w:tcW w:w="86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color w:val="auto"/>
              </w:rPr>
              <w:t>(2,043)</w:t>
            </w:r>
          </w:p>
        </w:tc>
        <w:tc>
          <w:tcPr>
            <w:tcW w:w="14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1,318</w:t>
            </w:r>
          </w:p>
        </w:tc>
        <w:tc>
          <w:tcPr>
            <w:tcW w:w="200" w:type="dxa"/>
            <w:vAlign w:val="bottom"/>
          </w:tcPr>
          <w:p>
            <w:pPr>
              <w:spacing w:after="0"/>
              <w:rPr>
                <w:sz w:val="14"/>
                <w:szCs w:val="14"/>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151</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18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losses (gains) reclassifed from accumulated other comprehensive loss</w:t>
            </w:r>
          </w:p>
        </w:tc>
        <w:tc>
          <w:tcPr>
            <w:tcW w:w="8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130</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(53)</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current-period other comprehensive income (loss)</w:t>
            </w: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(2,043)</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1,265</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136</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98</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r>
      <w:tr>
        <w:trPr>
          <w:trHeight w:val="196"/>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(2,613)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406</w:t>
            </w:r>
          </w:p>
        </w:tc>
        <w:tc>
          <w:tcPr>
            <w:tcW w:w="2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w:t>
            </w: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40"/>
        <w:spacing w:after="0" w:line="318" w:lineRule="auto"/>
        <w:rPr>
          <w:sz w:val="20"/>
          <w:szCs w:val="20"/>
          <w:color w:val="auto"/>
        </w:rPr>
      </w:pPr>
      <w:r>
        <w:rPr>
          <w:rFonts w:ascii="Arial" w:cs="Arial" w:eastAsia="Arial" w:hAnsi="Arial"/>
          <w:sz w:val="13"/>
          <w:szCs w:val="13"/>
          <w:color w:val="auto"/>
        </w:rPr>
        <w:t>Other comprehensive loss for the nine months ended September 30, 2022 included foreign currency translaton adjustments totaling a loss of $2.0 billion principally due to the impact of the weakening of the Euro on the translaton of the company’s Euro-denominated assets and the ofsetng impact of net investment hedging actvites totaling a gain of $1.3 billion.</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19</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21" w:name="page22"/>
    <w:bookmarkEnd w:id="21"/>
    <w:p>
      <w:pPr>
        <w:ind w:right="860"/>
        <w:spacing w:after="0" w:line="273" w:lineRule="auto"/>
        <w:rPr>
          <w:sz w:val="20"/>
          <w:szCs w:val="20"/>
          <w:color w:val="auto"/>
        </w:rPr>
      </w:pPr>
      <w:r>
        <w:rPr>
          <w:rFonts w:ascii="Arial" w:cs="Arial" w:eastAsia="Arial" w:hAnsi="Arial"/>
          <w:sz w:val="14"/>
          <w:szCs w:val="14"/>
          <w:color w:val="auto"/>
        </w:rPr>
        <w:t>The following table presents the impact on AbbVie’s condensed consolidated statements of earnings for signifcant amounts reclassifed out of each component of accumulated other comprehensive loss:</w:t>
      </w:r>
    </w:p>
    <w:tbl>
      <w:tblPr>
        <w:tblLayout w:type="fixed"/>
        <w:tblInd w:w="0" w:type="dxa"/>
        <w:tblCellMar>
          <w:top w:w="0" w:type="dxa"/>
          <w:left w:w="0" w:type="dxa"/>
          <w:bottom w:w="0" w:type="dxa"/>
          <w:right w:w="0" w:type="dxa"/>
        </w:tblCellMar>
      </w:tblPr>
      <w:tr>
        <w:trPr>
          <w:trHeight w:val="115"/>
        </w:trPr>
        <w:tc>
          <w:tcPr>
            <w:tcW w:w="6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Three months ended</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Nine months ended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89"/>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69"/>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(brackets denote gains)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64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w w:val="89"/>
              </w:rPr>
              <w:t>2022</w:t>
            </w:r>
          </w:p>
        </w:tc>
        <w:tc>
          <w:tcPr>
            <w:tcW w:w="0" w:type="dxa"/>
            <w:vAlign w:val="bottom"/>
          </w:tcPr>
          <w:p>
            <w:pPr>
              <w:spacing w:after="0"/>
              <w:rPr>
                <w:sz w:val="1"/>
                <w:szCs w:val="1"/>
                <w:color w:val="auto"/>
              </w:rPr>
            </w:pPr>
          </w:p>
        </w:tc>
      </w:tr>
      <w:tr>
        <w:trPr>
          <w:trHeight w:val="178"/>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Net investment hedging actvites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Gains on derivatve amount excluded from efectveness testng</w:t>
            </w:r>
            <w:r>
              <w:rPr>
                <w:rFonts w:ascii="Arial" w:cs="Arial" w:eastAsia="Arial" w:hAnsi="Arial"/>
                <w:sz w:val="18"/>
                <w:szCs w:val="18"/>
                <w:color w:val="auto"/>
                <w:vertAlign w:val="superscript"/>
              </w:rPr>
              <w:t>(a)</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5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5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Tax expense</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reclassifcatons, net of tax</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5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5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20" w:type="dxa"/>
            <w:vAlign w:val="bottom"/>
          </w:tcPr>
          <w:p>
            <w:pPr>
              <w:ind w:left="20"/>
              <w:spacing w:after="0" w:line="144" w:lineRule="exact"/>
              <w:rPr>
                <w:sz w:val="20"/>
                <w:szCs w:val="20"/>
                <w:color w:val="auto"/>
              </w:rPr>
            </w:pPr>
            <w:r>
              <w:rPr>
                <w:rFonts w:ascii="Arial" w:cs="Arial" w:eastAsia="Arial" w:hAnsi="Arial"/>
                <w:sz w:val="14"/>
                <w:szCs w:val="14"/>
                <w:b w:val="1"/>
                <w:bCs w:val="1"/>
                <w:color w:val="auto"/>
              </w:rPr>
              <w:t>Pension and post-employment benefts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Amortzaton of actuarial losses and other</w:t>
            </w:r>
            <w:r>
              <w:rPr>
                <w:rFonts w:ascii="Arial" w:cs="Arial" w:eastAsia="Arial" w:hAnsi="Arial"/>
                <w:sz w:val="18"/>
                <w:szCs w:val="18"/>
                <w:color w:val="auto"/>
                <w:vertAlign w:val="superscript"/>
              </w:rPr>
              <w:t>(b)</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5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Tax beneft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reclassifcatons, net of tax</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5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20" w:type="dxa"/>
            <w:vAlign w:val="bottom"/>
          </w:tcPr>
          <w:p>
            <w:pPr>
              <w:ind w:left="20"/>
              <w:spacing w:after="0" w:line="144" w:lineRule="exact"/>
              <w:rPr>
                <w:sz w:val="20"/>
                <w:szCs w:val="20"/>
                <w:color w:val="auto"/>
              </w:rPr>
            </w:pPr>
            <w:r>
              <w:rPr>
                <w:rFonts w:ascii="Arial" w:cs="Arial" w:eastAsia="Arial" w:hAnsi="Arial"/>
                <w:sz w:val="14"/>
                <w:szCs w:val="14"/>
                <w:b w:val="1"/>
                <w:bCs w:val="1"/>
                <w:color w:val="auto"/>
              </w:rPr>
              <w:t>Cash fow hedging actvites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Gains on foreign currency forward exchange contracts</w:t>
            </w:r>
            <w:r>
              <w:rPr>
                <w:rFonts w:ascii="Arial" w:cs="Arial" w:eastAsia="Arial" w:hAnsi="Arial"/>
                <w:sz w:val="18"/>
                <w:szCs w:val="18"/>
                <w:color w:val="auto"/>
                <w:vertAlign w:val="superscript"/>
              </w:rPr>
              <w:t>(c)</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5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5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1" w:lineRule="exact"/>
              <w:rPr>
                <w:sz w:val="20"/>
                <w:szCs w:val="20"/>
                <w:color w:val="auto"/>
              </w:rPr>
            </w:pPr>
            <w:r>
              <w:rPr>
                <w:rFonts w:ascii="Arial" w:cs="Arial" w:eastAsia="Arial" w:hAnsi="Arial"/>
                <w:sz w:val="14"/>
                <w:szCs w:val="14"/>
                <w:color w:val="auto"/>
              </w:rPr>
              <w:t>Gains on treasury rate lock agreements</w:t>
            </w:r>
            <w:r>
              <w:rPr>
                <w:rFonts w:ascii="Arial" w:cs="Arial" w:eastAsia="Arial" w:hAnsi="Arial"/>
                <w:sz w:val="18"/>
                <w:szCs w:val="18"/>
                <w:color w:val="auto"/>
                <w:vertAlign w:val="superscript"/>
              </w:rPr>
              <w:t>(a)</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w:t>
            </w: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Losses on cross-currency swap contracts</w:t>
            </w:r>
            <w:r>
              <w:rPr>
                <w:rFonts w:ascii="Arial" w:cs="Arial" w:eastAsia="Arial" w:hAnsi="Arial"/>
                <w:sz w:val="18"/>
                <w:szCs w:val="18"/>
                <w:color w:val="auto"/>
                <w:vertAlign w:val="superscript"/>
              </w:rPr>
              <w:t>(d)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5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1" w:lineRule="exact"/>
              <w:rPr>
                <w:sz w:val="20"/>
                <w:szCs w:val="20"/>
                <w:color w:val="auto"/>
              </w:rPr>
            </w:pPr>
            <w:r>
              <w:rPr>
                <w:rFonts w:ascii="Arial" w:cs="Arial" w:eastAsia="Arial" w:hAnsi="Arial"/>
                <w:sz w:val="14"/>
                <w:szCs w:val="14"/>
                <w:color w:val="auto"/>
              </w:rPr>
              <w:t>Losses on interest rate swap contracts</w:t>
            </w:r>
            <w:r>
              <w:rPr>
                <w:rFonts w:ascii="Arial" w:cs="Arial" w:eastAsia="Arial" w:hAnsi="Arial"/>
                <w:sz w:val="18"/>
                <w:szCs w:val="18"/>
                <w:color w:val="auto"/>
                <w:vertAlign w:val="superscript"/>
              </w:rPr>
              <w:t>(a)</w:t>
            </w:r>
          </w:p>
        </w:tc>
        <w:tc>
          <w:tcPr>
            <w:tcW w:w="26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Tax expense</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w:t>
            </w: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reclassifcatons, net of tax</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5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200" w:hanging="195"/>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are included in interest expense, net (see Note 8).</w:t>
      </w:r>
    </w:p>
    <w:p>
      <w:pPr>
        <w:spacing w:after="0" w:line="125" w:lineRule="exact"/>
        <w:rPr>
          <w:rFonts w:ascii="Arial" w:cs="Arial" w:eastAsia="Arial" w:hAnsi="Arial"/>
          <w:sz w:val="14"/>
          <w:szCs w:val="14"/>
          <w:color w:val="auto"/>
        </w:rPr>
      </w:pPr>
    </w:p>
    <w:p>
      <w:pPr>
        <w:ind w:left="200" w:hanging="195"/>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are included in the computaton of net periodic beneft cost (see Note 9).</w:t>
      </w:r>
    </w:p>
    <w:p>
      <w:pPr>
        <w:spacing w:after="0" w:line="114" w:lineRule="exact"/>
        <w:rPr>
          <w:rFonts w:ascii="Arial" w:cs="Arial" w:eastAsia="Arial" w:hAnsi="Arial"/>
          <w:sz w:val="14"/>
          <w:szCs w:val="14"/>
          <w:color w:val="auto"/>
        </w:rPr>
      </w:pPr>
    </w:p>
    <w:p>
      <w:pPr>
        <w:ind w:left="180" w:hanging="175"/>
        <w:spacing w:after="0"/>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are included in cost of products sold (see Note 8).</w:t>
      </w:r>
    </w:p>
    <w:p>
      <w:pPr>
        <w:spacing w:after="0" w:line="125" w:lineRule="exact"/>
        <w:rPr>
          <w:rFonts w:ascii="Arial" w:cs="Arial" w:eastAsia="Arial" w:hAnsi="Arial"/>
          <w:sz w:val="14"/>
          <w:szCs w:val="14"/>
          <w:color w:val="auto"/>
        </w:rPr>
      </w:pPr>
    </w:p>
    <w:p>
      <w:pPr>
        <w:ind w:left="200" w:hanging="195"/>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are included in net foreign exchange loss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Note 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efectve tax rate was 9% for the three months and 20% for the nine months ended September 30, 2023 compared to 10% for the three months and 11% for the nine months ended September 30, 2022. The efectve tax rate in each period difered from the U.S. statutory tax rate of 21% principally due to the impact of foreign operatons which refects the impact of lower income tax rates in locatons outside the United States and business development actvites. The efectve tax rate for the nine months ended September 30, 2023 and September 30, 2022 and the three months ended September 30, 2022 were also impacted by changes in fair value of contngent consideraton. The increase in the efectve tax rate for the nine months ended September 30, 2023 over the prior year was primarily due to changes in fair value of contngent consideraton.</w:t>
      </w:r>
    </w:p>
    <w:p>
      <w:pPr>
        <w:spacing w:after="0" w:line="86"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auto"/>
        </w:rPr>
        <w:t>Due to the potental for resoluton of federal, state and foreign examinatons and the expiraton of various statutes of limitatons, it is reasonably possible the company’s gross unrecognized tax benefts balance may change within the next 12 months by up to $620 million.</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20</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444867"/>
        </w:rPr>
        <w:t>Note 12 Legal Proceedings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2"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AbbVie is subject to contngencies, such as various claims, legal proceedings and investgatons regarding product liability, intellectual property, commercial, securites and other maters that arise in the normal course of business. The most signifcant maters are described below. Loss contngency provisions are recorded for probable losses at management’s best estmate of a loss, or when a best estmate cannot be made, a minimum loss contngency amount within a probable range is recorded. For litgaton maters discussed below for which a loss is probable or reasonably possible, the company is unable to estmate the possible loss or range of loss, if any, beyond the amounts accrued. Initaton of new legal proceedings or a change in the status of existng proceedings may result in a change in the estmated loss accrued by AbbVie. While it is not feasible to predict the outcome of all proceedings and exposures with certainty, management believes that their ultmate dispositon should not have a material adverse efect on AbbVie’s consolidated fnancial positon, results of operatons or cash fows.</w:t>
      </w:r>
    </w:p>
    <w:p>
      <w:pPr>
        <w:spacing w:after="0" w:line="85" w:lineRule="exact"/>
        <w:rPr>
          <w:sz w:val="20"/>
          <w:szCs w:val="20"/>
          <w:color w:val="auto"/>
        </w:rPr>
      </w:pPr>
    </w:p>
    <w:p>
      <w:pPr>
        <w:jc w:val="both"/>
        <w:ind w:right="320"/>
        <w:spacing w:after="0" w:line="265" w:lineRule="auto"/>
        <w:rPr>
          <w:sz w:val="20"/>
          <w:szCs w:val="20"/>
          <w:color w:val="auto"/>
        </w:rPr>
      </w:pPr>
      <w:r>
        <w:rPr>
          <w:rFonts w:ascii="Arial" w:cs="Arial" w:eastAsia="Arial" w:hAnsi="Arial"/>
          <w:sz w:val="14"/>
          <w:szCs w:val="14"/>
          <w:color w:val="auto"/>
        </w:rPr>
        <w:t>Subject to certain exceptons specifed in the separaton agreement by and between Abbot Laboratories (Abbot) and AbbVie, AbbVie assumed the liability for, and control of, all pending and threatened legal maters related to its business, including liabilites for any claims or legal proceedings related to products that had been part of its business, but were discontnued prior to the distributon, as well as assumed or retained liabilites, and will indemnify Abbot for any liability arising out of or resultng from such assumed legal maters.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Anttrust Litgaton</w:t>
      </w:r>
    </w:p>
    <w:p>
      <w:pPr>
        <w:spacing w:after="0" w:line="117"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 xml:space="preserve">Lawsuits are pending against AbbVie and others generally alleging that the 2005 patent litgaton setlement involving Niaspan entered into between Kos Pharmaceutcals, Inc. (a company acquired by Abbot in 2006 and presently a subsidiary of AbbVie) and a generic company violated federal and state anttrust laws and state unfair and deceptve trade practces and unjust enrichment laws. Plaintfs generally seek monetary damages and/or injunctve relief and atorneys' fees. The lawsuits pending in federal court consist of six individual plaintf lawsuits and a certfed class acton by Niaspan direct purchasers. The cases are pending in the United States District Court for the Eastern District of Pennsylvania for coordinated or consolidated pre-trial proceedings under the MDL Rules as </w:t>
      </w:r>
      <w:r>
        <w:rPr>
          <w:rFonts w:ascii="Arial" w:cs="Arial" w:eastAsia="Arial" w:hAnsi="Arial"/>
          <w:sz w:val="14"/>
          <w:szCs w:val="14"/>
          <w:i w:val="1"/>
          <w:iCs w:val="1"/>
          <w:color w:val="auto"/>
        </w:rPr>
        <w:t>In re: Niaspan Anttrust Litgaton</w:t>
      </w:r>
      <w:r>
        <w:rPr>
          <w:rFonts w:ascii="Arial" w:cs="Arial" w:eastAsia="Arial" w:hAnsi="Arial"/>
          <w:sz w:val="14"/>
          <w:szCs w:val="14"/>
          <w:color w:val="auto"/>
        </w:rPr>
        <w:t>, MDL No. 2460. In October 2016, the Orange County, California District Atorney’s Ofce fled a lawsuit on behalf of the State of California regarding the Niaspan patent litgaton setlement in Orange County Superior Court, assertng a claim under the unfair competton provision of the California Business and Professions Code seeking injunctve relief, resttuton, civil penaltes and atorneys’ fees.</w:t>
      </w:r>
    </w:p>
    <w:p>
      <w:pPr>
        <w:spacing w:after="0" w:line="87" w:lineRule="exact"/>
        <w:rPr>
          <w:sz w:val="20"/>
          <w:szCs w:val="20"/>
          <w:color w:val="auto"/>
        </w:rPr>
      </w:pPr>
    </w:p>
    <w:p>
      <w:pPr>
        <w:ind w:right="100"/>
        <w:spacing w:after="0" w:line="262" w:lineRule="auto"/>
        <w:rPr>
          <w:sz w:val="20"/>
          <w:szCs w:val="20"/>
          <w:color w:val="auto"/>
        </w:rPr>
      </w:pPr>
      <w:r>
        <w:rPr>
          <w:rFonts w:ascii="Arial" w:cs="Arial" w:eastAsia="Arial" w:hAnsi="Arial"/>
          <w:sz w:val="13"/>
          <w:szCs w:val="13"/>
          <w:color w:val="auto"/>
        </w:rPr>
        <w:t>In August 2019, direct purchasers of AndroGel fled a lawsuit, King Drug Co. of Florence, Inc., et al. v. AbbVie Inc., et al., against AbbVie and others in the United States District Court for the Eastern District of Pennsylvania, alleging that 2006 patent litgaton setlements and related agreements by Solvay Pharmaceutcals, Inc. (a company Abbot acquired in February 2010 and now known as AbbVie Products LLC) with three generic companies violated federal anttrust law, and also alleging that 2011 patent litgaton by Abbot with two generic companies regarding AndroGel was sham litgaton and the setlements of those litgatons violated federal anttrust law. Plaintfs generally seek monetary damages and/or injunctve relief and atorneys’ fees. In November 2022, the State of Oregon fled a lawsuit in the Multnomah County, Oregon Circuit Court making similar allegatons regarding the 2011 patent litgaton with one of the generic companies.</w:t>
      </w:r>
    </w:p>
    <w:p>
      <w:pPr>
        <w:spacing w:after="0" w:line="86"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 xml:space="preserve">Lawsuits were fled against Forest Laboratories, LLC and others generally alleging that 2012 and 2013 patent litgaton setlements involving Bystolic with six generic manufacturers violated federal and state anttrust laws and state unfair and deceptve trade practces and unjust enrichment laws. Plaintfs generally seek monetary damages and/or injunctve relief and atorneys’ fees. The lawsuits, purported class actons fled on behalf of direct and indirect purchasers of Bystolic, were consolidated as </w:t>
      </w:r>
      <w:r>
        <w:rPr>
          <w:rFonts w:ascii="Arial" w:cs="Arial" w:eastAsia="Arial" w:hAnsi="Arial"/>
          <w:sz w:val="14"/>
          <w:szCs w:val="14"/>
          <w:i w:val="1"/>
          <w:iCs w:val="1"/>
          <w:color w:val="auto"/>
        </w:rPr>
        <w:t>In re: Bystolic Anttrust Litgaton</w:t>
      </w:r>
      <w:r>
        <w:rPr>
          <w:rFonts w:ascii="Arial" w:cs="Arial" w:eastAsia="Arial" w:hAnsi="Arial"/>
          <w:sz w:val="14"/>
          <w:szCs w:val="14"/>
          <w:color w:val="auto"/>
        </w:rPr>
        <w:t xml:space="preserve"> in the United States District Court for the Southern District of New York. In February 2023, the court granted Forest Laboratories’ moton to dismiss the cases, dismissing them with prejudice. Plaintfs are appealing the court’s moton to dismiss ruling.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Government Proceedings</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Lawsuits are pending against Allergan and several other manufacturers generally alleging that they improperly promoted and sold prescripton opioid products. Approximately 610 lawsuits are pending against Allergan in federal and state courts. Most of the federal court lawsuits are consolidated for pre-trial purposes in the United States District Court for the Northern District of Ohio under the MDL rules as In re: Natonal Prescripton Opiate Litgaton, MDL No. 2804. Approximately 160 of the lawsuits are pending in various state courts. The plaintfs in these lawsuits, which include states, countes, cites, other municipal enttes, Natve American tribes, union trust funds and other third-party payors, private hospitals and personal injury claimants, generally seek compensatory and punitve damages. Of these approximately 610 lawsuits, approximately 195 of them are brought by states, countes, cites, and other municipal enttes. Three other lawsuits are brought by 3 Natve American Tribes. AbbVie recorded a charge of $2.1 billion to selling, general and administratve expense in the consolidated statement of earnings in the second quarter of 2022 related to its setlement of over 2,500 lawsuits by states, countes, cites, other municipal enttes, and Natve American</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21</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tribes. Approximately 160 of the remaining 198 such lawsuits are in the process of being dismissed with prejudice pursuant to that setlemen</w:t>
      </w:r>
      <w:r>
        <w:rPr>
          <w:rFonts w:ascii="Arial" w:cs="Arial" w:eastAsia="Arial" w:hAnsi="Arial"/>
          <w:sz w:val="16"/>
          <w:szCs w:val="16"/>
          <w:color w:val="auto"/>
        </w:rPr>
        <w:t>t</w:t>
      </w:r>
      <w:r>
        <w:rPr>
          <w:rFonts w:ascii="Arial" w:cs="Arial" w:eastAsia="Arial" w:hAnsi="Arial"/>
          <w:sz w:val="14"/>
          <w:szCs w:val="14"/>
          <w:color w:val="auto"/>
        </w:rPr>
        <w:t>.</w:t>
      </w:r>
    </w:p>
    <w:p>
      <w:pPr>
        <w:spacing w:after="0" w:line="111" w:lineRule="exact"/>
        <w:rPr>
          <w:sz w:val="20"/>
          <w:szCs w:val="20"/>
          <w:color w:val="auto"/>
        </w:rPr>
      </w:pPr>
    </w:p>
    <w:p>
      <w:pPr>
        <w:ind w:right="400"/>
        <w:spacing w:after="0" w:line="301" w:lineRule="auto"/>
        <w:rPr>
          <w:sz w:val="20"/>
          <w:szCs w:val="20"/>
          <w:color w:val="auto"/>
        </w:rPr>
      </w:pPr>
      <w:r>
        <w:rPr>
          <w:rFonts w:ascii="Arial" w:cs="Arial" w:eastAsia="Arial" w:hAnsi="Arial"/>
          <w:sz w:val="13"/>
          <w:szCs w:val="13"/>
          <w:color w:val="auto"/>
        </w:rPr>
        <w:t xml:space="preserve">In March 2023, AbbVie Inc. fled a petton in the United States Tax Court, </w:t>
      </w:r>
      <w:r>
        <w:rPr>
          <w:rFonts w:ascii="Arial" w:cs="Arial" w:eastAsia="Arial" w:hAnsi="Arial"/>
          <w:sz w:val="13"/>
          <w:szCs w:val="13"/>
          <w:i w:val="1"/>
          <w:iCs w:val="1"/>
          <w:color w:val="auto"/>
        </w:rPr>
        <w:t>AbbVie Inc. and Subsidiaries v. Commissioner of Internal Revenue</w:t>
      </w:r>
      <w:r>
        <w:rPr>
          <w:rFonts w:ascii="Arial" w:cs="Arial" w:eastAsia="Arial" w:hAnsi="Arial"/>
          <w:sz w:val="13"/>
          <w:szCs w:val="13"/>
          <w:color w:val="auto"/>
        </w:rPr>
        <w:t>. The petton disputes the Internal Revenue Service determinaton concerning a $572 million income tax beneft recorded in 2014 related to a payment made to a third party for the terminaton of a proposed business combinaton.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Shareholder and Securites Litgaton</w:t>
      </w:r>
    </w:p>
    <w:p>
      <w:pPr>
        <w:spacing w:after="0" w:line="106" w:lineRule="exact"/>
        <w:rPr>
          <w:sz w:val="20"/>
          <w:szCs w:val="20"/>
          <w:color w:val="auto"/>
        </w:rPr>
      </w:pPr>
    </w:p>
    <w:p>
      <w:pPr>
        <w:ind w:right="20"/>
        <w:spacing w:after="0"/>
        <w:rPr>
          <w:sz w:val="20"/>
          <w:szCs w:val="20"/>
          <w:color w:val="auto"/>
        </w:rPr>
      </w:pPr>
      <w:r>
        <w:rPr>
          <w:rFonts w:ascii="Arial" w:cs="Arial" w:eastAsia="Arial" w:hAnsi="Arial"/>
          <w:sz w:val="14"/>
          <w:szCs w:val="14"/>
          <w:color w:val="auto"/>
        </w:rPr>
        <w:t>In October 2018, a federal securites lawsuit, Holwill v. AbbVie Inc., et al., was fled in the United States District Court for the Northern District of Illinois against AbbVie, its chief executve ofcer and former chief fnancial ofcer, alleging that reasons stated for Humira sales growth in fnancial flings between 2013 and 2018 were misleading because they omited alleged misconduct in connecton with Humira patent and reimbursement support services and other services and items of value that allegedly induced Humira prescriptons. In September 2021, the court granted plaintfs' moton to certfy a class.</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Lawsuits were fled against Allergan and certain of its former ofcers alleging they made misrepresentatons and omissions regarding Allergan's textured breast implants. The lawsuits, which were fled by Allergan shareholders, have been consolidated in the United States District Court for the Southern District of New York as In re: Allergan plc Securites Litgaton. The plaintfs generally seek compensatory damages and atorneys’ fees. In September 2019, the court partally granted Allergan's moton to dismiss. In September 2021, the court granted plaintfs' moton to certfy a class. In December 2022, the court granted Allergan's moton for summary judgment on the remaining claims, dismissing them with prejudice. Plaintfs are appealing the court's moton to dismiss and summary judgment rulings.</w:t>
      </w:r>
    </w:p>
    <w:p>
      <w:pPr>
        <w:spacing w:after="0" w:line="86"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In May and July 2022, two shareholder derivatve lawsuits, Treppel Family Trust v. Gonzalez et al., and Katcher v. Gonzalez, et al., were fled in the United States District Court for the Northern District of Illinois, alleging that certain AbbVie directors and ofcers breached fduciary and other legal dutes in making or allowing alleged misstatements regarding the potental efect that safety informaton about another company’s product would have on the Food and Drug Administraton’s approval and labeling for AbbVie’s Rinvoq.</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Product Liability and General Litgaton</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April 2023, a putatve class acton lawsuit, Camargo v. AbbVie Inc., was fled in the United States District Court for the Northern District of Illinois on behalf of Humira patents who paid for Humira based on its list price or who, afer losing insurance coverage, discontnued Humira because they could not pay based on its list price, alleging that Humira’s list price is excessive in violaton of multple states’ unfair and deceptve trade practces statutes. The plaintf generally seeks monetary damages, injunctve relief, and atorneys’ fees.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2018, a qui tam lawsuit, U.S. ex rel. Silbersher v. Allergan Inc., et al., was fled in the United States District Court for the Northern District of California against several Allergan enttes and others, alleging that their conduct before the U.S. Patent Ofce resulted in false claims for payment being made to federal and state healthcare payors for Namenda XR and Namzaric. The plaintf-relator sought damages and atorneys' fees under the federal False Claims Act and state law analogues. The federal government and state governments declined to intervene in the lawsuit. In March 2023, the court granted Allergan’s moton to dismiss, dismissing plaintf-relator’s federal law claims with prejudice and state law claims without prejudice. The plaintf-relator is appealing the court’s moton to dismiss ruling.</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Intellectual Property Litgaton</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AbbVie Inc. is seeking to enforce patent rights relatng to venetoclax (a drug sold under the trademark Venclexta). Litgaton was fled in the United States District Court for the District of Delaware in July 2020 against Dr. Reddy’s Laboratories, Ltd. and Dr. Reddy’s Laboratories, Inc.; and Alembic Pharmaceutcals Ltd., Alembic Pharmaceutcals, Inc., and Alembic Global Holdings SA. AbbVie alleges defendants’ proposed generic venetoclax products infringe certain patents and seeks declaratory and injunctve relief. Genentech, Inc., which is in a global collaboraton with AbbVie concerning the development and marketng of Venclexta, is the co-plaintf in this suit.</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22</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444867"/>
        </w:rPr>
        <w:t>Note 13 Segment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2"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AbbVie operates as a single global business segment dedicated to the research and development, manufacturing, commercializaton and sale of innovatve medicines and therapies. This operatng structure enables the Chief Executve Ofcer, as chief operatng decision maker (CODM), to allocate resources and assess business performance on a global basis in order to achieve established long-term strategic goals. Consistent with this structure, a global research and development and supply chain organizaton is responsible for the discovery, manufacturing and supply of products. Commercial eforts that coordinate the marketng, sales and distributon of these products are organized by geographic region or therapeutc area. All of these actvites are supported by a global corporate administratve staf. The determinaton of a single business segment is consistent with the consolidated fnancial informaton regularly reviewed by the CODM for purposes of assessing performance, allocatng resources and planning and forecastng future periods.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AbbVie’s worldwide net revenues: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20" w:type="dxa"/>
            <w:vAlign w:val="bottom"/>
            <w:gridSpan w:val="2"/>
          </w:tcPr>
          <w:p>
            <w:pPr>
              <w:jc w:val="right"/>
              <w:ind w:right="337"/>
              <w:spacing w:after="0"/>
              <w:rPr>
                <w:sz w:val="20"/>
                <w:szCs w:val="20"/>
                <w:color w:val="auto"/>
              </w:rPr>
            </w:pPr>
            <w:r>
              <w:rPr>
                <w:rFonts w:ascii="Arial" w:cs="Arial" w:eastAsia="Arial" w:hAnsi="Arial"/>
                <w:sz w:val="11"/>
                <w:szCs w:val="11"/>
                <w:b w:val="1"/>
                <w:bCs w:val="1"/>
                <w:color w:val="auto"/>
                <w:w w:val="92"/>
              </w:rPr>
              <w:t>Three months 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2"/>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gridSpan w:val="2"/>
          </w:tcPr>
          <w:p>
            <w:pPr>
              <w:jc w:val="right"/>
              <w:ind w:right="477"/>
              <w:spacing w:after="0"/>
              <w:rPr>
                <w:sz w:val="20"/>
                <w:szCs w:val="20"/>
                <w:color w:val="auto"/>
              </w:rPr>
            </w:pPr>
            <w:r>
              <w:rPr>
                <w:rFonts w:ascii="Arial" w:cs="Arial" w:eastAsia="Arial" w:hAnsi="Arial"/>
                <w:sz w:val="11"/>
                <w:szCs w:val="11"/>
                <w:b w:val="1"/>
                <w:bCs w:val="1"/>
                <w:color w:val="auto"/>
              </w:rPr>
              <w:t>September 30,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right"/>
              <w:ind w:right="116"/>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 millions)</w:t>
            </w:r>
          </w:p>
        </w:tc>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860" w:type="dxa"/>
            <w:vAlign w:val="bottom"/>
            <w:tcBorders>
              <w:bottom w:val="single" w:sz="8" w:color="auto"/>
            </w:tcBorders>
            <w:vMerge w:val="continue"/>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4"/>
        </w:trPr>
        <w:tc>
          <w:tcPr>
            <w:tcW w:w="1860" w:type="dxa"/>
            <w:vAlign w:val="bottom"/>
          </w:tcPr>
          <w:p>
            <w:pPr>
              <w:ind w:left="20"/>
              <w:spacing w:after="0"/>
              <w:rPr>
                <w:sz w:val="20"/>
                <w:szCs w:val="20"/>
                <w:color w:val="auto"/>
              </w:rPr>
            </w:pPr>
            <w:r>
              <w:rPr>
                <w:rFonts w:ascii="Arial" w:cs="Arial" w:eastAsia="Arial" w:hAnsi="Arial"/>
                <w:sz w:val="13"/>
                <w:szCs w:val="13"/>
                <w:b w:val="1"/>
                <w:bCs w:val="1"/>
                <w:color w:val="auto"/>
              </w:rPr>
              <w:t>Immunology</w:t>
            </w: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Humira</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3,020</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9,420</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13,613</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527</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1,680</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2,045</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3,547</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5,559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11,100</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15,658</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Skyrizi</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1,875</w:t>
            </w: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4,648</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3,081</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251</w:t>
            </w:r>
          </w:p>
        </w:tc>
        <w:tc>
          <w:tcPr>
            <w:tcW w:w="9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721</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2,126</w:t>
            </w:r>
          </w:p>
        </w:tc>
        <w:tc>
          <w:tcPr>
            <w:tcW w:w="92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5,369</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3,589</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Rinvoq</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801</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1,895</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309</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819</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1,110</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2,714</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0" w:type="dxa"/>
            <w:vAlign w:val="bottom"/>
          </w:tcPr>
          <w:p>
            <w:pPr>
              <w:spacing w:after="0"/>
              <w:rPr>
                <w:sz w:val="1"/>
                <w:szCs w:val="1"/>
                <w:color w:val="auto"/>
              </w:rPr>
            </w:pPr>
          </w:p>
        </w:tc>
      </w:tr>
      <w:tr>
        <w:trPr>
          <w:trHeight w:val="157"/>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Oncology</w:t>
            </w:r>
          </w:p>
        </w:tc>
        <w:tc>
          <w:tcPr>
            <w:tcW w:w="40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Imbruvica</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678</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1,982</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2,585</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Collaboraton revenues</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230</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711</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908</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2,693</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3,453</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Venclexta</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281</w:t>
            </w: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811</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309</w:t>
            </w:r>
          </w:p>
        </w:tc>
        <w:tc>
          <w:tcPr>
            <w:tcW w:w="9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888</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590</w:t>
            </w:r>
          </w:p>
        </w:tc>
        <w:tc>
          <w:tcPr>
            <w:tcW w:w="92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1,699</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1,493</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Epkinly</w:t>
            </w: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Collaboraton revenues</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rPr>
                <w:sz w:val="20"/>
                <w:szCs w:val="20"/>
                <w:color w:val="auto"/>
              </w:rPr>
            </w:pPr>
            <w:r>
              <w:rPr>
                <w:rFonts w:ascii="Arial" w:cs="Arial" w:eastAsia="Arial" w:hAnsi="Arial"/>
                <w:sz w:val="13"/>
                <w:szCs w:val="13"/>
                <w:b w:val="1"/>
                <w:bCs w:val="1"/>
                <w:color w:val="auto"/>
              </w:rPr>
              <w:t>Aesthetcs</w:t>
            </w: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Botox Cosmetc</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388</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1,217</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232</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747</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620</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1,964</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Juvederm Collecton</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116</w:t>
            </w: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363</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205</w:t>
            </w:r>
          </w:p>
        </w:tc>
        <w:tc>
          <w:tcPr>
            <w:tcW w:w="9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681</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321</w:t>
            </w:r>
          </w:p>
        </w:tc>
        <w:tc>
          <w:tcPr>
            <w:tcW w:w="92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1,044</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Aesthetcs</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255</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785</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130</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298</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915</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57"/>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Neuroscience</w:t>
            </w:r>
          </w:p>
        </w:tc>
        <w:tc>
          <w:tcPr>
            <w:tcW w:w="40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Botox Therapeutc</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626</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1,827</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122</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388</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748</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2,215</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Vraylar</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750</w:t>
            </w: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1,967</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1,473</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751</w:t>
            </w:r>
          </w:p>
        </w:tc>
        <w:tc>
          <w:tcPr>
            <w:tcW w:w="92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1,970</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1,473</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Duodopa</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279</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118</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353</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Ubrelvy</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230</w:t>
            </w: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574</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233</w:t>
            </w:r>
          </w:p>
        </w:tc>
        <w:tc>
          <w:tcPr>
            <w:tcW w:w="92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581</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23</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gridSpan w:val="2"/>
          </w:tcPr>
          <w:p>
            <w:pPr>
              <w:jc w:val="right"/>
              <w:ind w:right="297"/>
              <w:spacing w:after="0"/>
              <w:rPr>
                <w:sz w:val="20"/>
                <w:szCs w:val="20"/>
                <w:color w:val="auto"/>
              </w:rPr>
            </w:pPr>
            <w:r>
              <w:rPr>
                <w:rFonts w:ascii="Arial" w:cs="Arial" w:eastAsia="Arial" w:hAnsi="Arial"/>
                <w:sz w:val="11"/>
                <w:szCs w:val="11"/>
                <w:b w:val="1"/>
                <w:bCs w:val="1"/>
                <w:color w:val="auto"/>
                <w:w w:val="92"/>
              </w:rPr>
              <w:t>Three months ended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2"/>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2"/>
          </w:tcPr>
          <w:p>
            <w:pPr>
              <w:jc w:val="right"/>
              <w:ind w:right="437"/>
              <w:spacing w:after="0"/>
              <w:rPr>
                <w:sz w:val="20"/>
                <w:szCs w:val="20"/>
                <w:color w:val="auto"/>
              </w:rPr>
            </w:pPr>
            <w:r>
              <w:rPr>
                <w:rFonts w:ascii="Arial" w:cs="Arial" w:eastAsia="Arial" w:hAnsi="Arial"/>
                <w:sz w:val="11"/>
                <w:szCs w:val="11"/>
                <w:b w:val="1"/>
                <w:bCs w:val="1"/>
                <w:color w:val="auto"/>
              </w:rPr>
              <w:t>September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right"/>
              <w:ind w:right="116"/>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 millions)</w:t>
            </w:r>
          </w:p>
        </w:tc>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860" w:type="dxa"/>
            <w:vAlign w:val="bottom"/>
            <w:tcBorders>
              <w:bottom w:val="single" w:sz="8" w:color="auto"/>
            </w:tcBorders>
            <w:vMerge w:val="continue"/>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8"/>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Qulipta</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292</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132</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294</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Other Neuroscience</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55</w:t>
            </w:r>
          </w:p>
        </w:tc>
        <w:tc>
          <w:tcPr>
            <w:tcW w:w="88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195</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61</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210</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Eye Care</w:t>
            </w:r>
          </w:p>
        </w:tc>
        <w:tc>
          <w:tcPr>
            <w:tcW w:w="40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tcPr>
          <w:p>
            <w:pPr>
              <w:ind w:left="20"/>
              <w:spacing w:after="0"/>
              <w:rPr>
                <w:sz w:val="20"/>
                <w:szCs w:val="20"/>
                <w:color w:val="auto"/>
              </w:rPr>
            </w:pPr>
            <w:r>
              <w:rPr>
                <w:rFonts w:ascii="Arial" w:cs="Arial" w:eastAsia="Arial" w:hAnsi="Arial"/>
                <w:sz w:val="13"/>
                <w:szCs w:val="13"/>
                <w:color w:val="auto"/>
              </w:rPr>
              <w:t>Ozurdex</w:t>
            </w:r>
          </w:p>
        </w:tc>
        <w:tc>
          <w:tcPr>
            <w:tcW w:w="4020" w:type="dxa"/>
            <w:vAlign w:val="bottom"/>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107</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86</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247</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0"/>
        </w:trPr>
        <w:tc>
          <w:tcPr>
            <w:tcW w:w="18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120</w:t>
            </w:r>
          </w:p>
        </w:tc>
        <w:tc>
          <w:tcPr>
            <w:tcW w:w="88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354</w:t>
            </w: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66"/>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Lumigan/Ganfort</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198</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91</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340</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Alphagan/Combigan</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30</w:t>
            </w:r>
          </w:p>
        </w:tc>
        <w:tc>
          <w:tcPr>
            <w:tcW w:w="88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90</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116</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206</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Restasis</w:t>
            </w:r>
          </w:p>
        </w:tc>
        <w:tc>
          <w:tcPr>
            <w:tcW w:w="402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104</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265</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117</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308</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Other Eye Care</w:t>
            </w:r>
          </w:p>
        </w:tc>
        <w:tc>
          <w:tcPr>
            <w:tcW w:w="402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114</w:t>
            </w:r>
          </w:p>
        </w:tc>
        <w:tc>
          <w:tcPr>
            <w:tcW w:w="88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334</w:t>
            </w:r>
          </w:p>
        </w:tc>
        <w:tc>
          <w:tcPr>
            <w:tcW w:w="56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93</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288</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207</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622</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Key Products</w:t>
            </w:r>
          </w:p>
        </w:tc>
        <w:tc>
          <w:tcPr>
            <w:tcW w:w="40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60" w:type="dxa"/>
            <w:vAlign w:val="bottom"/>
          </w:tcPr>
          <w:p>
            <w:pPr>
              <w:ind w:left="20"/>
              <w:spacing w:after="0"/>
              <w:rPr>
                <w:sz w:val="20"/>
                <w:szCs w:val="20"/>
                <w:color w:val="auto"/>
              </w:rPr>
            </w:pPr>
            <w:r>
              <w:rPr>
                <w:rFonts w:ascii="Arial" w:cs="Arial" w:eastAsia="Arial" w:hAnsi="Arial"/>
                <w:sz w:val="13"/>
                <w:szCs w:val="13"/>
                <w:color w:val="auto"/>
              </w:rPr>
              <w:t>Mavyret</w:t>
            </w:r>
          </w:p>
        </w:tc>
        <w:tc>
          <w:tcPr>
            <w:tcW w:w="4020" w:type="dxa"/>
            <w:vAlign w:val="bottom"/>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167</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531</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203</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590</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370</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1,121</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Creon</w:t>
            </w: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305</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892</w:t>
            </w: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160"/>
        </w:trPr>
        <w:tc>
          <w:tcPr>
            <w:tcW w:w="1860" w:type="dxa"/>
            <w:vAlign w:val="bottom"/>
          </w:tcPr>
          <w:p>
            <w:pPr>
              <w:ind w:left="20"/>
              <w:spacing w:after="0"/>
              <w:rPr>
                <w:sz w:val="20"/>
                <w:szCs w:val="20"/>
                <w:color w:val="auto"/>
              </w:rPr>
            </w:pPr>
            <w:r>
              <w:rPr>
                <w:rFonts w:ascii="Arial" w:cs="Arial" w:eastAsia="Arial" w:hAnsi="Arial"/>
                <w:sz w:val="13"/>
                <w:szCs w:val="13"/>
                <w:color w:val="auto"/>
              </w:rPr>
              <w:t>Linzess/Constella</w:t>
            </w:r>
          </w:p>
        </w:tc>
        <w:tc>
          <w:tcPr>
            <w:tcW w:w="4020" w:type="dxa"/>
            <w:vAlign w:val="bottom"/>
          </w:tcPr>
          <w:p>
            <w:pPr>
              <w:ind w:left="780"/>
              <w:spacing w:after="0"/>
              <w:rPr>
                <w:sz w:val="20"/>
                <w:szCs w:val="20"/>
                <w:color w:val="auto"/>
              </w:rPr>
            </w:pPr>
            <w:r>
              <w:rPr>
                <w:rFonts w:ascii="Arial" w:cs="Arial" w:eastAsia="Arial" w:hAnsi="Arial"/>
                <w:sz w:val="13"/>
                <w:szCs w:val="13"/>
                <w:color w:val="auto"/>
              </w:rPr>
              <w:t>United States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279</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799</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Internatonal</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26</w:t>
            </w: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288</w:t>
            </w:r>
          </w:p>
        </w:tc>
        <w:tc>
          <w:tcPr>
            <w:tcW w:w="88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825</w:t>
            </w:r>
          </w:p>
        </w:tc>
        <w:tc>
          <w:tcPr>
            <w:tcW w:w="5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766</w:t>
            </w:r>
          </w:p>
        </w:tc>
        <w:tc>
          <w:tcPr>
            <w:tcW w:w="0" w:type="dxa"/>
            <w:vAlign w:val="bottom"/>
          </w:tcPr>
          <w:p>
            <w:pPr>
              <w:spacing w:after="0"/>
              <w:rPr>
                <w:sz w:val="1"/>
                <w:szCs w:val="1"/>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 other</w:t>
            </w:r>
          </w:p>
        </w:tc>
        <w:tc>
          <w:tcPr>
            <w:tcW w:w="40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782</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2,214</w:t>
            </w: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160"/>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revenues</w:t>
            </w:r>
          </w:p>
        </w:tc>
        <w:tc>
          <w:tcPr>
            <w:tcW w:w="4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13,927</w:t>
            </w:r>
          </w:p>
        </w:tc>
        <w:tc>
          <w:tcPr>
            <w:tcW w:w="88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40,017</w:t>
            </w: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42,933</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24</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444867"/>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following is a discussion and analysis of the fnancial conditon of AbbVie Inc. (AbbVie or the company) as of September 30, 2023 and December 31, 2022 and the results of operatons for the three and nine months ended September 30, 2023 and 2022. This commentary should be read in conjuncton with the Condensed Consolidated Financial Statements and accompanying notes appearing in Item 1, “Financial Statements and Supplementary Data.”</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EXECUTIVE OVERVIEW</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Company Overview</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AbbVie is a global, diversifed research-based biopharmaceutcal company positoned for success with a comprehensive product portolio that has leadership positons across immunology, oncology, aesthetcs, neuroscience and eye care. AbbVie uses its expertse, dedicated people and unique approach to innovaton to develop and market advanced therapies that address some of the world’s most complex and serious diseases.</w:t>
      </w:r>
    </w:p>
    <w:p>
      <w:pPr>
        <w:spacing w:after="0" w:line="93"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In the United States, AbbVie distributes pharmaceutcal products principally through independent wholesale distributors, with some sales directly to retailers, pharmacies, patents or other customers. Outside the United States, AbbVie sells products primarily to wholesalers or through distributors, and depending on the market works through largely centralized natonal payers system to agree on reimbursement terms. Certain products are co-marketed or co-promoted with other companies. AbbVie operates as a single global business segment and has approximately 50,000 employees.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2023 Strategic Objectves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AbbVie's mission is to discover and develop innovatve medicines and products that solve serious health issues today and address the medical challenges of tomorrow while achieving top-ter fnancial performance through outstanding executon. AbbVie intends to execute its strategy and advance its mission in a number of ways, including: (i) maximizing the benefts of a diversifed revenue base with multple long-term growth drivers; (ii) leveraging AbbVie's commercial strength and internatonal infrastructure across therapeutc areas and ensuring strong commercial executon of new product launches; (iii) contnuing to invest in and expand its pipeline in support of opportunites in immunology, oncology, aesthetcs, neuroscience and eye care as well as contnued investment in key on-market products; (iv) generatng substantal operatng cash fows to support investment in innovatve research and development, and return cash to shareholders via a strong and growing dividend while also reducing debt. In additon, AbbVie antcipates several regulatory submissions and data readouts from key clinical trials in the next 12 months.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Financial Results</w:t>
      </w:r>
    </w:p>
    <w:p>
      <w:pPr>
        <w:spacing w:after="0" w:line="117" w:lineRule="exact"/>
        <w:rPr>
          <w:sz w:val="20"/>
          <w:szCs w:val="20"/>
          <w:color w:val="auto"/>
        </w:rPr>
      </w:pPr>
    </w:p>
    <w:p>
      <w:pPr>
        <w:ind w:right="500"/>
        <w:spacing w:after="0" w:line="301" w:lineRule="auto"/>
        <w:rPr>
          <w:sz w:val="20"/>
          <w:szCs w:val="20"/>
          <w:color w:val="auto"/>
        </w:rPr>
      </w:pPr>
      <w:r>
        <w:rPr>
          <w:rFonts w:ascii="Arial" w:cs="Arial" w:eastAsia="Arial" w:hAnsi="Arial"/>
          <w:sz w:val="13"/>
          <w:szCs w:val="13"/>
          <w:color w:val="auto"/>
        </w:rPr>
        <w:t>The company's fnancial performance for the nine months ended September 30, 2023 included delivering worldwide net revenues of $40.0 billion, operatng earnings of $9.6 billion, diluted earnings per share of $2.26 and cash fows from operatons of $18.1 billion. Worldwide net revenues decreased 7% on a reported basis and 6% on a constant currency basis.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Diluted earnings per share was $2.26 for the nine months ended September 30, 2023 and included the following afer-tax costs: (i) $5.1 billion related to the amortzaton of intangible assets; (ii)</w:t>
      </w:r>
    </w:p>
    <w:p>
      <w:pPr>
        <w:spacing w:after="0" w:line="29"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$3.3 billion for the change in fair value of contngent consideraton liabilites; and (iii) $2.3 billion related to intangible asset impairment. Additonally, fnancial results refected contnued funding to support all stages of AbbVie’s pipeline assets and contnued investment in AbbVie’s on-market brands.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Research and Development</w:t>
      </w:r>
    </w:p>
    <w:p>
      <w:pPr>
        <w:spacing w:after="0" w:line="127" w:lineRule="exact"/>
        <w:rPr>
          <w:sz w:val="20"/>
          <w:szCs w:val="20"/>
          <w:color w:val="auto"/>
        </w:rPr>
      </w:pPr>
    </w:p>
    <w:p>
      <w:pPr>
        <w:ind w:right="460"/>
        <w:spacing w:after="0" w:line="318" w:lineRule="auto"/>
        <w:rPr>
          <w:sz w:val="20"/>
          <w:szCs w:val="20"/>
          <w:color w:val="auto"/>
        </w:rPr>
      </w:pPr>
      <w:r>
        <w:rPr>
          <w:rFonts w:ascii="Arial" w:cs="Arial" w:eastAsia="Arial" w:hAnsi="Arial"/>
          <w:sz w:val="13"/>
          <w:szCs w:val="13"/>
          <w:color w:val="auto"/>
        </w:rPr>
        <w:t>Research and innovaton are the cornerstones of AbbVie’s business as a global biopharmaceutcal company. AbbVie’s long-term success depends to a great extent on its ability to contnue to discover and develop innovatve products and acquire or collaborate on compounds currently in development by other biotechnology or pharmaceutcal companies.</w:t>
      </w:r>
    </w:p>
    <w:p>
      <w:pPr>
        <w:spacing w:after="0" w:line="49"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AbbVie’s pipeline currently includes approximately 90 compounds, devices or indicatons in development individually or under collaboraton or license agreements and is focused on such important specialtes as immunology, oncology, aesthetcs, neuroscience and eye care. Of these programs, over 50 are in mid- and late-stage development.</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25</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27" w:name="page28"/>
    <w:bookmarkEnd w:id="27"/>
    <w:p>
      <w:pPr>
        <w:ind w:right="400"/>
        <w:spacing w:after="0" w:line="278" w:lineRule="auto"/>
        <w:rPr>
          <w:sz w:val="20"/>
          <w:szCs w:val="20"/>
          <w:color w:val="auto"/>
        </w:rPr>
      </w:pPr>
      <w:r>
        <w:rPr>
          <w:rFonts w:ascii="Arial" w:cs="Arial" w:eastAsia="Arial" w:hAnsi="Arial"/>
          <w:sz w:val="14"/>
          <w:szCs w:val="14"/>
          <w:color w:val="auto"/>
        </w:rPr>
        <w:t>The following sectons summarize transitons of signifcant programs from mid-stage development to late-stage development as well as developments in signifcant late-stage and registraton programs. AbbVie expects multple mid-stage programs to transiton into late-stage programs in the next 12 months.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44867"/>
        </w:rPr>
        <w:t>Signifcant Programs and Developments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Immunology</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Rinvoq</w:t>
      </w:r>
    </w:p>
    <w:p>
      <w:pPr>
        <w:spacing w:after="0" w:line="115" w:lineRule="exact"/>
        <w:rPr>
          <w:sz w:val="20"/>
          <w:szCs w:val="20"/>
          <w:color w:val="auto"/>
        </w:rPr>
      </w:pPr>
    </w:p>
    <w:p>
      <w:pPr>
        <w:ind w:left="760" w:right="120" w:hanging="246"/>
        <w:spacing w:after="0" w:line="261"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March 2023, the European Commission (EC) issued their fnal decision on the European Medicines Agency’s (EMA) review of the beneft-risk of medicines in the JAK inhibitor class for the treatment of infammatory diseases, including Rinvoq. Confrming the Commitee for Medicinal Products for Human Use (CHMP) opinion, the previously approved Rinvoq indicaton statements were not changed and the dosage and special warnings for all JAK inhibitors were updated to include additonal informaton about the risks associated with JAK inhibitors.</w:t>
      </w:r>
    </w:p>
    <w:p>
      <w:pPr>
        <w:spacing w:after="0" w:line="95" w:lineRule="exact"/>
        <w:rPr>
          <w:rFonts w:ascii="Arial" w:cs="Arial" w:eastAsia="Arial" w:hAnsi="Arial"/>
          <w:sz w:val="14"/>
          <w:szCs w:val="14"/>
          <w:color w:val="auto"/>
        </w:rPr>
      </w:pPr>
    </w:p>
    <w:p>
      <w:pPr>
        <w:ind w:left="760" w:right="200" w:hanging="246"/>
        <w:spacing w:after="0" w:line="278"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April 2023, AbbVie announced that the EC approved Rinvoq for the treatment of adults with moderately to severely actve Crohn’s disease who have had an inadequate response, lost response or were intolerant to either conventonal therapy or a biologic agent.</w:t>
      </w:r>
    </w:p>
    <w:p>
      <w:pPr>
        <w:spacing w:after="0" w:line="83" w:lineRule="exact"/>
        <w:rPr>
          <w:rFonts w:ascii="Arial" w:cs="Arial" w:eastAsia="Arial" w:hAnsi="Arial"/>
          <w:sz w:val="14"/>
          <w:szCs w:val="14"/>
          <w:color w:val="auto"/>
        </w:rPr>
      </w:pPr>
    </w:p>
    <w:p>
      <w:pPr>
        <w:ind w:left="760" w:right="20" w:hanging="246"/>
        <w:spacing w:after="0" w:line="278"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May 2023, AbbVie announced that the U.S. Food and Drug Administraton (FDA) approved Rinvoq for the treatment of adults with moderately to severely actve Crohn’s disease who have had an inadequate response or intolerance to one or more tumor necrosis factor (TNF) blockers.</w:t>
      </w:r>
    </w:p>
    <w:p>
      <w:pPr>
        <w:spacing w:after="0" w:line="62" w:lineRule="exact"/>
        <w:rPr>
          <w:rFonts w:ascii="Arial" w:cs="Arial" w:eastAsia="Arial" w:hAnsi="Arial"/>
          <w:sz w:val="14"/>
          <w:szCs w:val="14"/>
          <w:color w:val="auto"/>
        </w:rPr>
      </w:pPr>
    </w:p>
    <w:p>
      <w:pPr>
        <w:ind w:left="760" w:right="240" w:hanging="246"/>
        <w:spacing w:after="0" w:line="262"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July 2023, AbbVie initated its Phase 3 Step-Up HS study to evaluate efcacy and safety of Rinvoq in adults and adolescents with moderate to severe hidradenits suppuratva (HS) who have failed ant-TNF therapy and/or one approved non-ant-TNF inhibitor therapy for HS.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August 2023, AbbVie initated its Phase 3 Select-SLE study to evaluate Rinvoq in moderate to severe systemic Lupus Erythematosus.</w:t>
      </w:r>
    </w:p>
    <w:p>
      <w:pPr>
        <w:spacing w:after="0" w:line="189" w:lineRule="exact"/>
        <w:rPr>
          <w:rFonts w:ascii="Arial" w:cs="Arial" w:eastAsia="Arial" w:hAnsi="Arial"/>
          <w:sz w:val="14"/>
          <w:szCs w:val="14"/>
          <w:color w:val="auto"/>
        </w:rPr>
      </w:pPr>
    </w:p>
    <w:p>
      <w:pPr>
        <w:ind w:left="760" w:right="560" w:hanging="246"/>
        <w:spacing w:after="0" w:line="262"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October 2023, AbbVie announced that its Phase 2b study evaluatng Rinvoq in adults with non-segmental Vitligo met the primary endpoint. Based on these data, AbbVie is advancing the program to Phase 3.</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Skyrizi</w:t>
      </w:r>
    </w:p>
    <w:p>
      <w:pPr>
        <w:spacing w:after="0" w:line="115" w:lineRule="exact"/>
        <w:rPr>
          <w:sz w:val="20"/>
          <w:szCs w:val="20"/>
          <w:color w:val="auto"/>
        </w:rPr>
      </w:pPr>
    </w:p>
    <w:p>
      <w:pPr>
        <w:ind w:left="760" w:right="60" w:hanging="246"/>
        <w:spacing w:after="0" w:line="278"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March 2023, AbbVie announced positve top-line results from its Phase 3 inducton study, INSPIRE, for Skyrizi in patents with moderately to severely actve ulceratve colits met the primary and all secondary endpoints.</w:t>
      </w:r>
    </w:p>
    <w:p>
      <w:pPr>
        <w:spacing w:after="0" w:line="83" w:lineRule="exact"/>
        <w:rPr>
          <w:rFonts w:ascii="Arial" w:cs="Arial" w:eastAsia="Arial" w:hAnsi="Arial"/>
          <w:sz w:val="14"/>
          <w:szCs w:val="14"/>
          <w:color w:val="auto"/>
        </w:rPr>
      </w:pPr>
    </w:p>
    <w:p>
      <w:pPr>
        <w:ind w:left="760" w:right="240" w:hanging="246"/>
        <w:spacing w:after="0" w:line="278"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June 2023, AbbVie announced positve top-line results from its Phase 3 maintenance study, COMMAND, for Skyrizi in patents with moderately to severely actve ulceratve colits met the primary and key secondary endpoints.</w:t>
      </w:r>
    </w:p>
    <w:p>
      <w:pPr>
        <w:spacing w:after="0" w:line="72" w:lineRule="exact"/>
        <w:rPr>
          <w:rFonts w:ascii="Arial" w:cs="Arial" w:eastAsia="Arial" w:hAnsi="Arial"/>
          <w:sz w:val="14"/>
          <w:szCs w:val="14"/>
          <w:color w:val="auto"/>
        </w:rPr>
      </w:pPr>
    </w:p>
    <w:p>
      <w:pPr>
        <w:ind w:left="760" w:right="60" w:hanging="246"/>
        <w:spacing w:after="0" w:line="265"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July 2023, AbbVie announced results from the head-to-head Phase 4 IMMpulse study that evaluated the efcacy and safety of Skyrizi compared to Otezla among adult patents with moderate plaque psoriasis (PsO) eligible for systemic therapy. In the study, signifcantly more patents achieved co-primary endpoints with Skyrizi versus Otezla. Skyrizi was well-tolerated with no new safety signals identfed.</w:t>
      </w:r>
    </w:p>
    <w:p>
      <w:pPr>
        <w:spacing w:after="0" w:line="92" w:lineRule="exact"/>
        <w:rPr>
          <w:rFonts w:ascii="Arial" w:cs="Arial" w:eastAsia="Arial" w:hAnsi="Arial"/>
          <w:sz w:val="14"/>
          <w:szCs w:val="14"/>
          <w:color w:val="auto"/>
        </w:rPr>
      </w:pPr>
    </w:p>
    <w:p>
      <w:pPr>
        <w:ind w:left="760" w:hanging="246"/>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August 2023, AbbVie submited regulatory applicatons to FDA and EMA for Skyrizi for the treatment of adults with moderately to severely actve ulceratve colits.</w:t>
      </w:r>
    </w:p>
    <w:p>
      <w:pPr>
        <w:spacing w:after="0" w:line="125" w:lineRule="exact"/>
        <w:rPr>
          <w:rFonts w:ascii="Arial" w:cs="Arial" w:eastAsia="Arial" w:hAnsi="Arial"/>
          <w:sz w:val="14"/>
          <w:szCs w:val="14"/>
          <w:color w:val="auto"/>
        </w:rPr>
      </w:pPr>
    </w:p>
    <w:p>
      <w:pPr>
        <w:ind w:left="760" w:right="120" w:hanging="246"/>
        <w:spacing w:after="0" w:line="295" w:lineRule="auto"/>
        <w:tabs>
          <w:tab w:leader="none" w:pos="756"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September 2023, AbbVie announced results from the head-to-head Phase 3 SEQUENCE study that evaluated the efcacy and safety of Skyrizi compared to Stelara among adult patents with moderately to severely actve Crohn’s disease. In the study, Skyrizi met both primary endpoints at week 24 and achieved superiority of endoscopic remission at week 48 versus Stelara. In additon, all secondary endpoints achieved statstcal signifcance for superiority versus Stelara. Skyrizi was well-tolerated with no new safety signals identfed.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Oncology</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Epkinly</w:t>
      </w:r>
    </w:p>
    <w:p>
      <w:pPr>
        <w:spacing w:after="0" w:line="125" w:lineRule="exact"/>
        <w:rPr>
          <w:sz w:val="20"/>
          <w:szCs w:val="20"/>
          <w:color w:val="auto"/>
        </w:rPr>
      </w:pPr>
    </w:p>
    <w:p>
      <w:pPr>
        <w:ind w:left="760" w:right="100" w:hanging="246"/>
        <w:spacing w:after="0" w:line="278"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March 2023, AbbVie initated a Phase 3 clinical trial to evaluate epcoritamab in combinaton with R-CHOP compared to R-CHOP in patents with newly diagnosed difuse large B-cell lymphoma (DLBCL).</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26</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28" w:name="page29"/>
    <w:bookmarkEnd w:id="28"/>
    <w:p>
      <w:pPr>
        <w:ind w:left="760" w:hanging="246"/>
        <w:spacing w:after="0"/>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May 2023, AbbVie announced that the FDA approved Epkinly (epcoritamab) as the frst and only bispecifc antbody to treat adult patents with relapsed or refractory (R/R) DLBCL.</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September 2023, AbbVie announced that the EC approved Tepkinly (epcoritamab) for adults with R/R DLBCL afer two or more lines of systemic therapy.</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Imbruvica</w:t>
      </w:r>
    </w:p>
    <w:p>
      <w:pPr>
        <w:spacing w:after="0" w:line="125" w:lineRule="exact"/>
        <w:rPr>
          <w:sz w:val="20"/>
          <w:szCs w:val="20"/>
          <w:color w:val="auto"/>
        </w:rPr>
      </w:pPr>
    </w:p>
    <w:p>
      <w:pPr>
        <w:ind w:left="760" w:right="40" w:hanging="246"/>
        <w:spacing w:after="0" w:line="292" w:lineRule="auto"/>
        <w:tabs>
          <w:tab w:leader="none" w:pos="753" w:val="left"/>
        </w:tabs>
        <w:numPr>
          <w:ilvl w:val="0"/>
          <w:numId w:val="10"/>
        </w:numPr>
        <w:rPr>
          <w:rFonts w:ascii="Arial" w:cs="Arial" w:eastAsia="Arial" w:hAnsi="Arial"/>
          <w:sz w:val="14"/>
          <w:szCs w:val="14"/>
          <w:color w:val="auto"/>
        </w:rPr>
      </w:pPr>
      <w:r>
        <w:rPr>
          <w:rFonts w:ascii="Arial" w:cs="Arial" w:eastAsia="Arial" w:hAnsi="Arial"/>
          <w:sz w:val="13"/>
          <w:szCs w:val="13"/>
          <w:color w:val="auto"/>
        </w:rPr>
        <w:t>In May 2023, AbbVie voluntarily withdrew, in the U.S., accelerated Imbruvica approvals for patents with mantle cell lymphoma (MCL) who have received at least one prior therapy and with marginal zone lymphoma (MZL) who require systemic therapy and have received at least one prior ant-CD20-based therapy. This voluntary acton is due to requirements related to the accelerated approval status granted by the FDA for MCL and MZL. Other approved indicatons for Imbruvica in the U.S. are not afected.</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Navitoclax</w:t>
      </w:r>
    </w:p>
    <w:p>
      <w:pPr>
        <w:spacing w:after="0" w:line="125" w:lineRule="exact"/>
        <w:rPr>
          <w:sz w:val="20"/>
          <w:szCs w:val="20"/>
          <w:color w:val="auto"/>
        </w:rPr>
      </w:pPr>
    </w:p>
    <w:p>
      <w:pPr>
        <w:ind w:left="760" w:right="40" w:hanging="246"/>
        <w:spacing w:after="0" w:line="236" w:lineRule="auto"/>
        <w:tabs>
          <w:tab w:leader="none" w:pos="753" w:val="left"/>
        </w:tabs>
        <w:numPr>
          <w:ilvl w:val="0"/>
          <w:numId w:val="11"/>
        </w:numPr>
        <w:rPr>
          <w:rFonts w:ascii="Arial" w:cs="Arial" w:eastAsia="Arial" w:hAnsi="Arial"/>
          <w:sz w:val="16"/>
          <w:szCs w:val="16"/>
          <w:color w:val="auto"/>
        </w:rPr>
      </w:pPr>
      <w:r>
        <w:rPr>
          <w:rFonts w:ascii="Arial" w:cs="Arial" w:eastAsia="Arial" w:hAnsi="Arial"/>
          <w:sz w:val="14"/>
          <w:szCs w:val="14"/>
          <w:color w:val="auto"/>
        </w:rPr>
        <w:t>In July 2023, AbbVie announced top-line results from the Phase 3 TRANSFORM-1 clinical trial evaluatng the safety and efcacy of navitoclax, a BCL-XL/BCL-2 inhibitor, in combinaton with ruxolitnib in adult patents with primary or secondary myelofbrosis (MF). The combinaton of navitoclax and ruxolitnib met the study’s primary endpoint, demonstratng statstcally signifcant improvement in the number of patents who achieved Spleen Volume Reducton of at least 35 percent at week 24 compared to treatment with ruxolitnib and a placebo. The study did not meet the frst ranked secondary endpoint of improvement in patents’ Total Symptom Score from baseline to week 24. The company plans to wait for additonal follow up data on the primary, secondary and other endpoints, expected in the fourth quarter of this year, before engaging with regulatory agencies regarding potental next steps.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Venclexta</w:t>
      </w:r>
    </w:p>
    <w:p>
      <w:pPr>
        <w:spacing w:after="0" w:line="115" w:lineRule="exact"/>
        <w:rPr>
          <w:sz w:val="20"/>
          <w:szCs w:val="20"/>
          <w:color w:val="auto"/>
        </w:rPr>
      </w:pPr>
    </w:p>
    <w:p>
      <w:pPr>
        <w:ind w:left="760" w:right="80" w:hanging="246"/>
        <w:spacing w:after="0" w:line="239" w:lineRule="auto"/>
        <w:tabs>
          <w:tab w:leader="none" w:pos="753" w:val="left"/>
        </w:tabs>
        <w:numPr>
          <w:ilvl w:val="0"/>
          <w:numId w:val="12"/>
        </w:numPr>
        <w:rPr>
          <w:rFonts w:ascii="Arial" w:cs="Arial" w:eastAsia="Arial" w:hAnsi="Arial"/>
          <w:sz w:val="16"/>
          <w:szCs w:val="16"/>
          <w:color w:val="auto"/>
        </w:rPr>
      </w:pPr>
      <w:r>
        <w:rPr>
          <w:rFonts w:ascii="Arial" w:cs="Arial" w:eastAsia="Arial" w:hAnsi="Arial"/>
          <w:sz w:val="14"/>
          <w:szCs w:val="14"/>
          <w:color w:val="auto"/>
        </w:rPr>
        <w:t>In September 2023, AbbVie announced top-line results from the Phase 3 CANOVA study evaluatng the safety and efcacy of Venclexta plus dexamethasone (VenDex) for patents with t(11;14)-positve relapsed or refractory (R/R) multple myeloma who have received two or more prior treatments. The data did not demonstrate that the treatment combinaton signifcantly improved progression-free survival (PFS), the primary endpoint of the trial. Patents receiving VenDex showed improvement in median PFS with the combinaton of study comparator pomalidomide and dexamethasone (PomDex); however, the results did not reach statstcal signifcance. The company plans to discuss the data with health authorites in the near future to further understand the potental of Venclexta as a biomarker-driven therapy in multple myeloma.</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Aesthetcs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Juvederm Collecton</w:t>
      </w:r>
    </w:p>
    <w:p>
      <w:pPr>
        <w:spacing w:after="0" w:line="115" w:lineRule="exact"/>
        <w:rPr>
          <w:sz w:val="20"/>
          <w:szCs w:val="20"/>
          <w:color w:val="auto"/>
        </w:rPr>
      </w:pPr>
    </w:p>
    <w:p>
      <w:pPr>
        <w:ind w:left="380" w:right="1980" w:firstLine="134"/>
        <w:spacing w:after="0" w:line="427" w:lineRule="auto"/>
        <w:tabs>
          <w:tab w:leader="none" w:pos="758"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 May 2023, AbbVie announced that the FDA approved Skinvive by Juvederm to improve skin smoothness of the cheeks in adults over the age of 21. </w:t>
      </w:r>
      <w:r>
        <w:rPr>
          <w:rFonts w:ascii="Arial" w:cs="Arial" w:eastAsia="Arial" w:hAnsi="Arial"/>
          <w:sz w:val="14"/>
          <w:szCs w:val="14"/>
          <w:u w:val="single" w:color="auto"/>
          <w:color w:val="auto"/>
        </w:rPr>
        <w:t>Botox Cosmetc</w:t>
      </w:r>
    </w:p>
    <w:p>
      <w:pPr>
        <w:ind w:left="760" w:right="180" w:hanging="246"/>
        <w:spacing w:after="0" w:line="261"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September 2023, AbbVie announced positve top-line results from the second of three Phase 3 clinical studies evaluatng Botox Cosmetc for the treatment of moderate to severe platysma prominence associated with platysma muscle actvity. All primary and secondary endpoints were met in the second Phase 3 study and results were consistent with fndings from the frst Phase 3 study. A Phase 3 open-label extension study is ongoing, with results expected later this year. The company plans to include data from the full Phase 3 study program as part of an upcoming FDA regulatory submission expected near the end of the year.</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BoNT/E</w:t>
      </w:r>
    </w:p>
    <w:p>
      <w:pPr>
        <w:spacing w:after="0" w:line="111" w:lineRule="exact"/>
        <w:rPr>
          <w:sz w:val="20"/>
          <w:szCs w:val="20"/>
          <w:color w:val="auto"/>
        </w:rPr>
      </w:pPr>
    </w:p>
    <w:p>
      <w:pPr>
        <w:ind w:left="760" w:right="40" w:hanging="246"/>
        <w:spacing w:after="0" w:line="243" w:lineRule="auto"/>
        <w:tabs>
          <w:tab w:leader="none" w:pos="753" w:val="left"/>
        </w:tabs>
        <w:numPr>
          <w:ilvl w:val="0"/>
          <w:numId w:val="14"/>
        </w:numPr>
        <w:rPr>
          <w:rFonts w:ascii="Arial" w:cs="Arial" w:eastAsia="Arial" w:hAnsi="Arial"/>
          <w:sz w:val="16"/>
          <w:szCs w:val="16"/>
          <w:color w:val="auto"/>
        </w:rPr>
      </w:pPr>
      <w:r>
        <w:rPr>
          <w:rFonts w:ascii="Arial" w:cs="Arial" w:eastAsia="Arial" w:hAnsi="Arial"/>
          <w:sz w:val="14"/>
          <w:szCs w:val="14"/>
          <w:color w:val="auto"/>
        </w:rPr>
        <w:t xml:space="preserve">In October 2023, AbbVie announced positve top-line results from two pivotal Phase 3 clinical studies evaluatng trenibotulinumtoxinE </w:t>
      </w:r>
      <w:r>
        <w:rPr>
          <w:rFonts w:ascii="Arial" w:cs="Arial" w:eastAsia="Arial" w:hAnsi="Arial"/>
          <w:sz w:val="15"/>
          <w:szCs w:val="15"/>
          <w:color w:val="auto"/>
        </w:rPr>
        <w:t>(</w:t>
      </w:r>
      <w:r>
        <w:rPr>
          <w:rFonts w:ascii="Arial" w:cs="Arial" w:eastAsia="Arial" w:hAnsi="Arial"/>
          <w:sz w:val="14"/>
          <w:szCs w:val="14"/>
          <w:color w:val="auto"/>
        </w:rPr>
        <w:t>BoNT/E) for the treatment of moderate to severe glabellar lines. All primary and secondary endpoints were met for both Phase 3 studies and results support BoNT/E as a novel botulinum neurotoxin serotype E characterized by a rapid onset of acton as early as 8 hours afer administraton and short duraton of efect within 2-3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27</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color w:val="auto"/>
        </w:rPr>
        <w:t>Neuroscience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ABBV-951</w:t>
      </w:r>
    </w:p>
    <w:p>
      <w:pPr>
        <w:spacing w:after="0" w:line="125" w:lineRule="exact"/>
        <w:rPr>
          <w:sz w:val="20"/>
          <w:szCs w:val="20"/>
          <w:color w:val="auto"/>
        </w:rPr>
      </w:pPr>
    </w:p>
    <w:p>
      <w:pPr>
        <w:ind w:left="760" w:right="40" w:hanging="246"/>
        <w:spacing w:after="0" w:line="265"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March 2023, AbbVie announced that the FDA issued a Complete Response Leter (CRL) for the New Drug Applicaton (NDA) for ABBV-951 (foscarbidopa/foslevodopa) for the treatment of motor fuctuatons in adults with advanced Parkinson’s disease. In its leter, the FDA requested additonal informaton about the device (pump) as part of the NDA review. The CRL did not request that AbbVie conduct additonal efcacy and safety trials related to the drug.</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Qulipta</w:t>
      </w:r>
    </w:p>
    <w:p>
      <w:pPr>
        <w:spacing w:after="0" w:line="115" w:lineRule="exact"/>
        <w:rPr>
          <w:sz w:val="20"/>
          <w:szCs w:val="20"/>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April 2023, AbbVie announced that the FDA approved Qulipta for the preventve treatment of chronic migraine in adults.</w:t>
      </w:r>
    </w:p>
    <w:p>
      <w:pPr>
        <w:spacing w:after="0" w:line="125" w:lineRule="exact"/>
        <w:rPr>
          <w:rFonts w:ascii="Arial" w:cs="Arial" w:eastAsia="Arial" w:hAnsi="Arial"/>
          <w:sz w:val="14"/>
          <w:szCs w:val="14"/>
          <w:color w:val="auto"/>
        </w:rPr>
      </w:pPr>
    </w:p>
    <w:p>
      <w:pPr>
        <w:ind w:right="500" w:firstLine="514"/>
        <w:spacing w:after="0" w:line="452"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August 2023, AbbVie announced that the EC approved Aquipta (Qulipta) for the preventve treatment of migraine in adults who have four or more migraine days per month. For a more comprehensive discussion of AbbVie’s products and pipeline, see the company’s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28</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444867"/>
        </w:rPr>
        <w:t>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Net Revenues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3"/>
          <w:szCs w:val="13"/>
          <w:color w:val="auto"/>
        </w:rPr>
        <w:t>The comparisons presented at constant currency rates refect comparatve local currency net revenues at the prior year’s foreign exchange rates. This measure provides informaton on the change in net revenues assuming that foreign currency exchange rates had not changed between the prior and current periods. AbbVie believes that the non-GAAP measure of change in net revenues at constant currency rates, when used in conjuncton with the GAAP measure of change in net revenues at actual currency rates, may provide a more complete understanding of the company’s operatons and can facilitate analysis of the company’s results of operatons, partcularly in evaluatng performance from one period to another.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vMerge w:val="restart"/>
          </w:tcPr>
          <w:p>
            <w:pPr>
              <w:ind w:left="220"/>
              <w:spacing w:after="0"/>
              <w:rPr>
                <w:sz w:val="20"/>
                <w:szCs w:val="20"/>
                <w:color w:val="auto"/>
              </w:rPr>
            </w:pPr>
            <w:r>
              <w:rPr>
                <w:rFonts w:ascii="Arial" w:cs="Arial" w:eastAsia="Arial" w:hAnsi="Arial"/>
                <w:sz w:val="11"/>
                <w:szCs w:val="11"/>
                <w:b w:val="1"/>
                <w:bCs w:val="1"/>
                <w:color w:val="auto"/>
              </w:rPr>
              <w:t>Three months ended</w:t>
            </w:r>
          </w:p>
        </w:tc>
        <w:tc>
          <w:tcPr>
            <w:tcW w:w="2620" w:type="dxa"/>
            <w:vAlign w:val="bottom"/>
            <w:gridSpan w:val="3"/>
          </w:tcPr>
          <w:p>
            <w:pPr>
              <w:ind w:left="900"/>
              <w:spacing w:after="0"/>
              <w:rPr>
                <w:sz w:val="20"/>
                <w:szCs w:val="20"/>
                <w:color w:val="auto"/>
              </w:rPr>
            </w:pPr>
            <w:r>
              <w:rPr>
                <w:rFonts w:ascii="Arial" w:cs="Arial" w:eastAsia="Arial" w:hAnsi="Arial"/>
                <w:sz w:val="11"/>
                <w:szCs w:val="11"/>
                <w:b w:val="1"/>
                <w:bCs w:val="1"/>
                <w:color w:val="auto"/>
              </w:rPr>
              <w:t>Percent change</w:t>
            </w:r>
          </w:p>
        </w:tc>
        <w:tc>
          <w:tcPr>
            <w:tcW w:w="200" w:type="dxa"/>
            <w:vAlign w:val="bottom"/>
          </w:tcPr>
          <w:p>
            <w:pPr>
              <w:spacing w:after="0"/>
              <w:rPr>
                <w:sz w:val="12"/>
                <w:szCs w:val="12"/>
                <w:color w:val="auto"/>
              </w:rPr>
            </w:pPr>
          </w:p>
        </w:tc>
        <w:tc>
          <w:tcPr>
            <w:tcW w:w="1700" w:type="dxa"/>
            <w:vAlign w:val="bottom"/>
            <w:gridSpan w:val="4"/>
            <w:vMerge w:val="restart"/>
          </w:tcPr>
          <w:p>
            <w:pPr>
              <w:ind w:left="240"/>
              <w:spacing w:after="0"/>
              <w:rPr>
                <w:sz w:val="20"/>
                <w:szCs w:val="20"/>
                <w:color w:val="auto"/>
              </w:rPr>
            </w:pPr>
            <w:r>
              <w:rPr>
                <w:rFonts w:ascii="Arial" w:cs="Arial" w:eastAsia="Arial" w:hAnsi="Arial"/>
                <w:sz w:val="11"/>
                <w:szCs w:val="11"/>
                <w:b w:val="1"/>
                <w:bCs w:val="1"/>
                <w:color w:val="auto"/>
              </w:rPr>
              <w:t>Nine months ended</w:t>
            </w:r>
          </w:p>
        </w:tc>
        <w:tc>
          <w:tcPr>
            <w:tcW w:w="2540" w:type="dxa"/>
            <w:vAlign w:val="bottom"/>
            <w:gridSpan w:val="2"/>
          </w:tcPr>
          <w:p>
            <w:pPr>
              <w:ind w:left="920"/>
              <w:spacing w:after="0"/>
              <w:rPr>
                <w:sz w:val="20"/>
                <w:szCs w:val="20"/>
                <w:color w:val="auto"/>
              </w:rPr>
            </w:pPr>
            <w:r>
              <w:rPr>
                <w:rFonts w:ascii="Arial" w:cs="Arial" w:eastAsia="Arial" w:hAnsi="Arial"/>
                <w:sz w:val="11"/>
                <w:szCs w:val="11"/>
                <w:b w:val="1"/>
                <w:bCs w:val="1"/>
                <w:color w:val="auto"/>
              </w:rPr>
              <w:t>Percent change</w:t>
            </w:r>
          </w:p>
        </w:tc>
        <w:tc>
          <w:tcPr>
            <w:tcW w:w="0" w:type="dxa"/>
            <w:vAlign w:val="bottom"/>
          </w:tcPr>
          <w:p>
            <w:pPr>
              <w:spacing w:after="0"/>
              <w:rPr>
                <w:sz w:val="1"/>
                <w:szCs w:val="1"/>
                <w:color w:val="auto"/>
              </w:rPr>
            </w:pPr>
          </w:p>
        </w:tc>
      </w:tr>
      <w:tr>
        <w:trPr>
          <w:trHeight w:val="34"/>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4"/>
            <w:vMerge w:val="continue"/>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4"/>
            <w:vMerge w:val="continue"/>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line="125" w:lineRule="exact"/>
              <w:rPr>
                <w:sz w:val="20"/>
                <w:szCs w:val="20"/>
                <w:color w:val="auto"/>
              </w:rPr>
            </w:pPr>
            <w:r>
              <w:rPr>
                <w:rFonts w:ascii="Arial" w:cs="Arial" w:eastAsia="Arial" w:hAnsi="Arial"/>
                <w:sz w:val="11"/>
                <w:szCs w:val="11"/>
                <w:b w:val="1"/>
                <w:bCs w:val="1"/>
                <w:color w:val="auto"/>
              </w:rPr>
              <w:t>September 30,</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43"/>
              <w:spacing w:after="0"/>
              <w:rPr>
                <w:sz w:val="20"/>
                <w:szCs w:val="20"/>
                <w:color w:val="auto"/>
              </w:rPr>
            </w:pPr>
            <w:r>
              <w:rPr>
                <w:rFonts w:ascii="Arial" w:cs="Arial" w:eastAsia="Arial" w:hAnsi="Arial"/>
                <w:sz w:val="11"/>
                <w:szCs w:val="11"/>
                <w:b w:val="1"/>
                <w:bCs w:val="1"/>
                <w:color w:val="auto"/>
              </w:rPr>
              <w:t>At actual</w:t>
            </w: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At constant</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line="125" w:lineRule="exact"/>
              <w:rPr>
                <w:sz w:val="20"/>
                <w:szCs w:val="20"/>
                <w:color w:val="auto"/>
              </w:rPr>
            </w:pPr>
            <w:r>
              <w:rPr>
                <w:rFonts w:ascii="Arial" w:cs="Arial" w:eastAsia="Arial" w:hAnsi="Arial"/>
                <w:sz w:val="11"/>
                <w:szCs w:val="11"/>
                <w:b w:val="1"/>
                <w:bCs w:val="1"/>
                <w:color w:val="auto"/>
              </w:rPr>
              <w:t>September 30,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ind w:left="400"/>
              <w:spacing w:after="0"/>
              <w:rPr>
                <w:sz w:val="20"/>
                <w:szCs w:val="20"/>
                <w:color w:val="auto"/>
              </w:rPr>
            </w:pPr>
            <w:r>
              <w:rPr>
                <w:rFonts w:ascii="Arial" w:cs="Arial" w:eastAsia="Arial" w:hAnsi="Arial"/>
                <w:sz w:val="11"/>
                <w:szCs w:val="11"/>
                <w:b w:val="1"/>
                <w:bCs w:val="1"/>
                <w:color w:val="auto"/>
              </w:rPr>
              <w:t>At actual</w:t>
            </w:r>
          </w:p>
        </w:tc>
        <w:tc>
          <w:tcPr>
            <w:tcW w:w="1140" w:type="dxa"/>
            <w:vAlign w:val="bottom"/>
          </w:tcPr>
          <w:p>
            <w:pPr>
              <w:jc w:val="right"/>
              <w:ind w:right="303"/>
              <w:spacing w:after="0"/>
              <w:rPr>
                <w:sz w:val="20"/>
                <w:szCs w:val="20"/>
                <w:color w:val="auto"/>
              </w:rPr>
            </w:pPr>
            <w:r>
              <w:rPr>
                <w:rFonts w:ascii="Arial" w:cs="Arial" w:eastAsia="Arial" w:hAnsi="Arial"/>
                <w:sz w:val="11"/>
                <w:szCs w:val="11"/>
                <w:b w:val="1"/>
                <w:bCs w:val="1"/>
                <w:color w:val="auto"/>
              </w:rPr>
              <w:t>At constant</w:t>
            </w:r>
          </w:p>
        </w:tc>
        <w:tc>
          <w:tcPr>
            <w:tcW w:w="0" w:type="dxa"/>
            <w:vAlign w:val="bottom"/>
          </w:tcPr>
          <w:p>
            <w:pPr>
              <w:spacing w:after="0"/>
              <w:rPr>
                <w:sz w:val="1"/>
                <w:szCs w:val="1"/>
                <w:color w:val="auto"/>
              </w:rPr>
            </w:pPr>
          </w:p>
        </w:tc>
      </w:tr>
      <w:tr>
        <w:trPr>
          <w:trHeight w:val="143"/>
        </w:trPr>
        <w:tc>
          <w:tcPr>
            <w:tcW w:w="23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currency rates</w:t>
            </w: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6"/>
              </w:rPr>
              <w:t>currency rates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currency rates</w:t>
            </w:r>
          </w:p>
        </w:tc>
        <w:tc>
          <w:tcPr>
            <w:tcW w:w="11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currency rates</w:t>
            </w:r>
          </w:p>
        </w:tc>
        <w:tc>
          <w:tcPr>
            <w:tcW w:w="0" w:type="dxa"/>
            <w:vAlign w:val="bottom"/>
          </w:tcPr>
          <w:p>
            <w:pPr>
              <w:spacing w:after="0"/>
              <w:rPr>
                <w:sz w:val="1"/>
                <w:szCs w:val="1"/>
                <w:color w:val="auto"/>
              </w:rPr>
            </w:pPr>
          </w:p>
        </w:tc>
      </w:tr>
      <w:tr>
        <w:trPr>
          <w:trHeight w:val="157"/>
        </w:trPr>
        <w:tc>
          <w:tcPr>
            <w:tcW w:w="2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United States</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10,852</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11,763</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(7.7)%</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30,773</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33,521</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ind w:left="920"/>
              <w:spacing w:after="0"/>
              <w:rPr>
                <w:sz w:val="20"/>
                <w:szCs w:val="20"/>
                <w:color w:val="auto"/>
              </w:rPr>
            </w:pPr>
            <w:r>
              <w:rPr>
                <w:rFonts w:ascii="Arial" w:cs="Arial" w:eastAsia="Arial" w:hAnsi="Arial"/>
                <w:sz w:val="11"/>
                <w:szCs w:val="11"/>
                <w:color w:val="auto"/>
              </w:rPr>
              <w:t>(8.2)%</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50"/>
        </w:trPr>
        <w:tc>
          <w:tcPr>
            <w:tcW w:w="230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Internatonal</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3,075</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3,049</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0.8 %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1.4 %</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9,244</w:t>
            </w: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9,412</w:t>
            </w: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920"/>
              <w:spacing w:after="0"/>
              <w:rPr>
                <w:sz w:val="20"/>
                <w:szCs w:val="20"/>
                <w:color w:val="auto"/>
              </w:rPr>
            </w:pPr>
            <w:r>
              <w:rPr>
                <w:rFonts w:ascii="Arial" w:cs="Arial" w:eastAsia="Arial" w:hAnsi="Arial"/>
                <w:sz w:val="11"/>
                <w:szCs w:val="11"/>
                <w:color w:val="auto"/>
              </w:rPr>
              <w:t>(1.8)%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50"/>
        </w:trPr>
        <w:tc>
          <w:tcPr>
            <w:tcW w:w="2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1"/>
                <w:szCs w:val="11"/>
                <w:color w:val="auto"/>
              </w:rPr>
              <w:t>Net revenues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13,927</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14,812</w:t>
            </w:r>
          </w:p>
        </w:tc>
        <w:tc>
          <w:tcPr>
            <w:tcW w:w="1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(6.0)%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40,017</w:t>
            </w: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42,933</w:t>
            </w: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1"/>
                <w:szCs w:val="11"/>
                <w:color w:val="auto"/>
              </w:rPr>
              <w:t>(6.8)%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29</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The following table details AbbVie’s worldwide net 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restart"/>
          </w:tcPr>
          <w:p>
            <w:pPr>
              <w:jc w:val="right"/>
              <w:ind w:right="403"/>
              <w:spacing w:after="0"/>
              <w:rPr>
                <w:sz w:val="20"/>
                <w:szCs w:val="20"/>
                <w:color w:val="auto"/>
              </w:rPr>
            </w:pPr>
            <w:r>
              <w:rPr>
                <w:rFonts w:ascii="Arial" w:cs="Arial" w:eastAsia="Arial" w:hAnsi="Arial"/>
                <w:sz w:val="11"/>
                <w:szCs w:val="11"/>
                <w:b w:val="1"/>
                <w:bCs w:val="1"/>
                <w:color w:val="auto"/>
              </w:rPr>
              <w:t>Three months ended</w:t>
            </w:r>
          </w:p>
        </w:tc>
        <w:tc>
          <w:tcPr>
            <w:tcW w:w="2080" w:type="dxa"/>
            <w:vAlign w:val="bottom"/>
            <w:gridSpan w:val="3"/>
          </w:tcPr>
          <w:p>
            <w:pPr>
              <w:ind w:left="620"/>
              <w:spacing w:after="0"/>
              <w:rPr>
                <w:sz w:val="20"/>
                <w:szCs w:val="20"/>
                <w:color w:val="auto"/>
              </w:rPr>
            </w:pPr>
            <w:r>
              <w:rPr>
                <w:rFonts w:ascii="Arial" w:cs="Arial" w:eastAsia="Arial" w:hAnsi="Arial"/>
                <w:sz w:val="11"/>
                <w:szCs w:val="11"/>
                <w:b w:val="1"/>
                <w:bCs w:val="1"/>
                <w:color w:val="auto"/>
              </w:rPr>
              <w:t>Percent change</w:t>
            </w:r>
          </w:p>
        </w:tc>
        <w:tc>
          <w:tcPr>
            <w:tcW w:w="180" w:type="dxa"/>
            <w:vAlign w:val="bottom"/>
          </w:tcPr>
          <w:p>
            <w:pPr>
              <w:spacing w:after="0"/>
              <w:rPr>
                <w:sz w:val="12"/>
                <w:szCs w:val="12"/>
                <w:color w:val="auto"/>
              </w:rPr>
            </w:pPr>
          </w:p>
        </w:tc>
        <w:tc>
          <w:tcPr>
            <w:tcW w:w="1620" w:type="dxa"/>
            <w:vAlign w:val="bottom"/>
            <w:gridSpan w:val="3"/>
            <w:vMerge w:val="restart"/>
          </w:tcPr>
          <w:p>
            <w:pPr>
              <w:jc w:val="right"/>
              <w:ind w:right="423"/>
              <w:spacing w:after="0"/>
              <w:rPr>
                <w:sz w:val="20"/>
                <w:szCs w:val="20"/>
                <w:color w:val="auto"/>
              </w:rPr>
            </w:pPr>
            <w:r>
              <w:rPr>
                <w:rFonts w:ascii="Arial" w:cs="Arial" w:eastAsia="Arial" w:hAnsi="Arial"/>
                <w:sz w:val="11"/>
                <w:szCs w:val="11"/>
                <w:b w:val="1"/>
                <w:bCs w:val="1"/>
                <w:color w:val="auto"/>
              </w:rPr>
              <w:t>Nine months ended</w:t>
            </w:r>
          </w:p>
        </w:tc>
        <w:tc>
          <w:tcPr>
            <w:tcW w:w="1980" w:type="dxa"/>
            <w:vAlign w:val="bottom"/>
            <w:gridSpan w:val="2"/>
          </w:tcPr>
          <w:p>
            <w:pPr>
              <w:jc w:val="right"/>
              <w:ind w:right="583"/>
              <w:spacing w:after="0"/>
              <w:rPr>
                <w:sz w:val="20"/>
                <w:szCs w:val="20"/>
                <w:color w:val="auto"/>
              </w:rPr>
            </w:pPr>
            <w:r>
              <w:rPr>
                <w:rFonts w:ascii="Arial" w:cs="Arial" w:eastAsia="Arial" w:hAnsi="Arial"/>
                <w:sz w:val="11"/>
                <w:szCs w:val="11"/>
                <w:b w:val="1"/>
                <w:bCs w:val="1"/>
                <w:color w:val="auto"/>
              </w:rPr>
              <w:t>Percent change</w:t>
            </w:r>
          </w:p>
        </w:tc>
        <w:tc>
          <w:tcPr>
            <w:tcW w:w="0" w:type="dxa"/>
            <w:vAlign w:val="bottom"/>
          </w:tcPr>
          <w:p>
            <w:pPr>
              <w:spacing w:after="0"/>
              <w:rPr>
                <w:sz w:val="1"/>
                <w:szCs w:val="1"/>
                <w:color w:val="auto"/>
              </w:rPr>
            </w:pPr>
          </w:p>
        </w:tc>
      </w:tr>
      <w:tr>
        <w:trPr>
          <w:trHeight w:val="45"/>
        </w:trPr>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right"/>
              <w:ind w:right="543"/>
              <w:spacing w:after="0"/>
              <w:rPr>
                <w:sz w:val="20"/>
                <w:szCs w:val="20"/>
                <w:color w:val="auto"/>
              </w:rPr>
            </w:pPr>
            <w:r>
              <w:rPr>
                <w:rFonts w:ascii="Arial" w:cs="Arial" w:eastAsia="Arial" w:hAnsi="Arial"/>
                <w:sz w:val="11"/>
                <w:szCs w:val="11"/>
                <w:b w:val="1"/>
                <w:bCs w:val="1"/>
                <w:color w:val="auto"/>
              </w:rPr>
              <w:t>September 30,</w:t>
            </w:r>
          </w:p>
        </w:tc>
        <w:tc>
          <w:tcPr>
            <w:tcW w:w="1020" w:type="dxa"/>
            <w:vAlign w:val="bottom"/>
            <w:vMerge w:val="restart"/>
          </w:tcPr>
          <w:p>
            <w:pPr>
              <w:jc w:val="right"/>
              <w:ind w:right="323"/>
              <w:spacing w:after="0"/>
              <w:rPr>
                <w:sz w:val="20"/>
                <w:szCs w:val="20"/>
                <w:color w:val="auto"/>
              </w:rPr>
            </w:pPr>
            <w:r>
              <w:rPr>
                <w:rFonts w:ascii="Arial" w:cs="Arial" w:eastAsia="Arial" w:hAnsi="Arial"/>
                <w:sz w:val="11"/>
                <w:szCs w:val="11"/>
                <w:b w:val="1"/>
                <w:bCs w:val="1"/>
                <w:color w:val="auto"/>
              </w:rPr>
              <w:t>At actual</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5"/>
              </w:rPr>
              <w:t>At constant</w:t>
            </w:r>
          </w:p>
        </w:tc>
        <w:tc>
          <w:tcPr>
            <w:tcW w:w="180" w:type="dxa"/>
            <w:vAlign w:val="bottom"/>
          </w:tcPr>
          <w:p>
            <w:pPr>
              <w:spacing w:after="0"/>
              <w:rPr>
                <w:sz w:val="12"/>
                <w:szCs w:val="12"/>
                <w:color w:val="auto"/>
              </w:rPr>
            </w:pPr>
          </w:p>
        </w:tc>
        <w:tc>
          <w:tcPr>
            <w:tcW w:w="1620" w:type="dxa"/>
            <w:vAlign w:val="bottom"/>
            <w:gridSpan w:val="3"/>
          </w:tcPr>
          <w:p>
            <w:pPr>
              <w:jc w:val="right"/>
              <w:ind w:right="543"/>
              <w:spacing w:after="0"/>
              <w:rPr>
                <w:sz w:val="20"/>
                <w:szCs w:val="20"/>
                <w:color w:val="auto"/>
              </w:rPr>
            </w:pPr>
            <w:r>
              <w:rPr>
                <w:rFonts w:ascii="Arial" w:cs="Arial" w:eastAsia="Arial" w:hAnsi="Arial"/>
                <w:sz w:val="11"/>
                <w:szCs w:val="11"/>
                <w:b w:val="1"/>
                <w:bCs w:val="1"/>
                <w:color w:val="auto"/>
              </w:rPr>
              <w:t>September 30,</w:t>
            </w:r>
          </w:p>
        </w:tc>
        <w:tc>
          <w:tcPr>
            <w:tcW w:w="1040" w:type="dxa"/>
            <w:vAlign w:val="bottom"/>
            <w:vMerge w:val="restart"/>
          </w:tcPr>
          <w:p>
            <w:pPr>
              <w:jc w:val="right"/>
              <w:ind w:right="323"/>
              <w:spacing w:after="0"/>
              <w:rPr>
                <w:sz w:val="20"/>
                <w:szCs w:val="20"/>
                <w:color w:val="auto"/>
              </w:rPr>
            </w:pPr>
            <w:r>
              <w:rPr>
                <w:rFonts w:ascii="Arial" w:cs="Arial" w:eastAsia="Arial" w:hAnsi="Arial"/>
                <w:sz w:val="11"/>
                <w:szCs w:val="11"/>
                <w:b w:val="1"/>
                <w:bCs w:val="1"/>
                <w:color w:val="auto"/>
              </w:rPr>
              <w:t>At actual</w:t>
            </w:r>
          </w:p>
        </w:tc>
        <w:tc>
          <w:tcPr>
            <w:tcW w:w="94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At constant</w:t>
            </w: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60"/>
              <w:spacing w:after="0"/>
              <w:rPr>
                <w:sz w:val="20"/>
                <w:szCs w:val="20"/>
                <w:color w:val="auto"/>
              </w:rPr>
            </w:pPr>
            <w:r>
              <w:rPr>
                <w:rFonts w:ascii="Arial" w:cs="Arial" w:eastAsia="Arial" w:hAnsi="Arial"/>
                <w:sz w:val="11"/>
                <w:szCs w:val="11"/>
                <w:b w:val="1"/>
                <w:bCs w:val="1"/>
                <w:color w:val="auto"/>
              </w:rPr>
              <w:t>(dollars in millions)</w:t>
            </w: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63"/>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720" w:type="dxa"/>
            <w:vAlign w:val="bottom"/>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1020" w:type="dxa"/>
            <w:vAlign w:val="bottom"/>
          </w:tcPr>
          <w:p>
            <w:pPr>
              <w:jc w:val="right"/>
              <w:ind w:right="183"/>
              <w:spacing w:after="0"/>
              <w:rPr>
                <w:sz w:val="20"/>
                <w:szCs w:val="20"/>
                <w:color w:val="auto"/>
              </w:rPr>
            </w:pPr>
            <w:r>
              <w:rPr>
                <w:rFonts w:ascii="Arial" w:cs="Arial" w:eastAsia="Arial" w:hAnsi="Arial"/>
                <w:sz w:val="11"/>
                <w:szCs w:val="11"/>
                <w:b w:val="1"/>
                <w:bCs w:val="1"/>
                <w:color w:val="auto"/>
              </w:rPr>
              <w:t>currency rates</w:t>
            </w: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currency rates</w:t>
            </w:r>
          </w:p>
        </w:tc>
        <w:tc>
          <w:tcPr>
            <w:tcW w:w="180" w:type="dxa"/>
            <w:vAlign w:val="bottom"/>
          </w:tcPr>
          <w:p>
            <w:pPr>
              <w:spacing w:after="0"/>
              <w:rPr>
                <w:sz w:val="13"/>
                <w:szCs w:val="13"/>
                <w:color w:val="auto"/>
              </w:rPr>
            </w:pPr>
          </w:p>
        </w:tc>
        <w:tc>
          <w:tcPr>
            <w:tcW w:w="660" w:type="dxa"/>
            <w:vAlign w:val="bottom"/>
          </w:tcPr>
          <w:p>
            <w:pPr>
              <w:jc w:val="right"/>
              <w:ind w:right="263"/>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720" w:type="dxa"/>
            <w:vAlign w:val="bottom"/>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1040" w:type="dxa"/>
            <w:vAlign w:val="bottom"/>
          </w:tcPr>
          <w:p>
            <w:pPr>
              <w:jc w:val="right"/>
              <w:ind w:right="203"/>
              <w:spacing w:after="0"/>
              <w:rPr>
                <w:sz w:val="20"/>
                <w:szCs w:val="20"/>
                <w:color w:val="auto"/>
              </w:rPr>
            </w:pPr>
            <w:r>
              <w:rPr>
                <w:rFonts w:ascii="Arial" w:cs="Arial" w:eastAsia="Arial" w:hAnsi="Arial"/>
                <w:sz w:val="11"/>
                <w:szCs w:val="11"/>
                <w:b w:val="1"/>
                <w:bCs w:val="1"/>
                <w:color w:val="auto"/>
              </w:rPr>
              <w:t>currency rates</w:t>
            </w:r>
          </w:p>
        </w:tc>
        <w:tc>
          <w:tcPr>
            <w:tcW w:w="940" w:type="dxa"/>
            <w:vAlign w:val="bottom"/>
          </w:tcPr>
          <w:p>
            <w:pPr>
              <w:jc w:val="right"/>
              <w:ind w:right="103"/>
              <w:spacing w:after="0"/>
              <w:rPr>
                <w:sz w:val="20"/>
                <w:szCs w:val="20"/>
                <w:color w:val="auto"/>
              </w:rPr>
            </w:pPr>
            <w:r>
              <w:rPr>
                <w:rFonts w:ascii="Arial" w:cs="Arial" w:eastAsia="Arial" w:hAnsi="Arial"/>
                <w:sz w:val="11"/>
                <w:szCs w:val="11"/>
                <w:b w:val="1"/>
                <w:bCs w:val="1"/>
                <w:color w:val="auto"/>
              </w:rPr>
              <w:t>currency rates</w:t>
            </w:r>
          </w:p>
        </w:tc>
        <w:tc>
          <w:tcPr>
            <w:tcW w:w="0" w:type="dxa"/>
            <w:vAlign w:val="bottom"/>
          </w:tcPr>
          <w:p>
            <w:pPr>
              <w:spacing w:after="0"/>
              <w:rPr>
                <w:sz w:val="1"/>
                <w:szCs w:val="1"/>
                <w:color w:val="auto"/>
              </w:rPr>
            </w:pPr>
          </w:p>
        </w:tc>
      </w:tr>
      <w:tr>
        <w:trPr>
          <w:trHeight w:val="25"/>
        </w:trPr>
        <w:tc>
          <w:tcPr>
            <w:tcW w:w="1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360" w:type="dxa"/>
            <w:vAlign w:val="bottom"/>
          </w:tcPr>
          <w:p>
            <w:pPr>
              <w:ind w:left="20"/>
              <w:spacing w:after="0"/>
              <w:rPr>
                <w:sz w:val="20"/>
                <w:szCs w:val="20"/>
                <w:color w:val="auto"/>
              </w:rPr>
            </w:pPr>
            <w:r>
              <w:rPr>
                <w:rFonts w:ascii="Arial" w:cs="Arial" w:eastAsia="Arial" w:hAnsi="Arial"/>
                <w:sz w:val="11"/>
                <w:szCs w:val="11"/>
                <w:b w:val="1"/>
                <w:bCs w:val="1"/>
                <w:color w:val="auto"/>
              </w:rPr>
              <w:t>Immunology</w:t>
            </w: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Humira</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3,020</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4,956</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(39.1)%</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9,420</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13,613</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(30.8)%</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527</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603</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(12.6)%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1,680</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2,045</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3,547</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5,559</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(36.2)%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11,100</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15,658</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(29.1)%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41"/>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Skyrizi</w:t>
            </w:r>
          </w:p>
        </w:tc>
        <w:tc>
          <w:tcPr>
            <w:tcW w:w="2280" w:type="dxa"/>
            <w:vAlign w:val="bottom"/>
            <w:tcBorders>
              <w:top w:val="single" w:sz="8" w:color="auto"/>
            </w:tcBorders>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1,875</w:t>
            </w: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1,221</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53.5 %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53.5 %</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4,648</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3,081</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50.9 %</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50.9 %</w:t>
            </w:r>
          </w:p>
        </w:tc>
        <w:tc>
          <w:tcPr>
            <w:tcW w:w="0" w:type="dxa"/>
            <w:vAlign w:val="bottom"/>
          </w:tcPr>
          <w:p>
            <w:pPr>
              <w:spacing w:after="0"/>
              <w:rPr>
                <w:sz w:val="1"/>
                <w:szCs w:val="1"/>
                <w:color w:val="auto"/>
              </w:rPr>
            </w:pPr>
          </w:p>
        </w:tc>
      </w:tr>
      <w:tr>
        <w:trPr>
          <w:trHeight w:val="159"/>
        </w:trPr>
        <w:tc>
          <w:tcPr>
            <w:tcW w:w="136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251</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176</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42.5 %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721</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508</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41.8 %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45.5 %</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2280" w:type="dxa"/>
            <w:vAlign w:val="bottom"/>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2,126</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1,397</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52.1 %</w:t>
            </w:r>
          </w:p>
        </w:tc>
        <w:tc>
          <w:tcPr>
            <w:tcW w:w="960" w:type="dxa"/>
            <w:vAlign w:val="bottom"/>
          </w:tcPr>
          <w:p>
            <w:pPr>
              <w:jc w:val="right"/>
              <w:spacing w:after="0"/>
              <w:rPr>
                <w:sz w:val="20"/>
                <w:szCs w:val="20"/>
                <w:color w:val="auto"/>
              </w:rPr>
            </w:pPr>
            <w:r>
              <w:rPr>
                <w:rFonts w:ascii="Arial" w:cs="Arial" w:eastAsia="Arial" w:hAnsi="Arial"/>
                <w:sz w:val="11"/>
                <w:szCs w:val="11"/>
                <w:color w:val="auto"/>
              </w:rPr>
              <w:t>51.9 %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5,369</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3,589</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49.6 %</w:t>
            </w:r>
          </w:p>
        </w:tc>
        <w:tc>
          <w:tcPr>
            <w:tcW w:w="940" w:type="dxa"/>
            <w:vAlign w:val="bottom"/>
          </w:tcPr>
          <w:p>
            <w:pPr>
              <w:jc w:val="right"/>
              <w:spacing w:after="0"/>
              <w:rPr>
                <w:sz w:val="20"/>
                <w:szCs w:val="20"/>
                <w:color w:val="auto"/>
              </w:rPr>
            </w:pPr>
            <w:r>
              <w:rPr>
                <w:rFonts w:ascii="Arial" w:cs="Arial" w:eastAsia="Arial" w:hAnsi="Arial"/>
                <w:sz w:val="11"/>
                <w:szCs w:val="11"/>
                <w:color w:val="auto"/>
              </w:rPr>
              <w:t>50.1 %</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Rinvoq</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801</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505</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59.0 %</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1,895</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1,228</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54.4 %</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54.4 %</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309</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190</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61.8 %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61.2 %</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819</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524</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56.1 %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61.0 %</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1,110</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695</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59.8 %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59.6 %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2,714</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1,752</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54.9 %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56.4 %</w:t>
            </w:r>
          </w:p>
        </w:tc>
        <w:tc>
          <w:tcPr>
            <w:tcW w:w="0" w:type="dxa"/>
            <w:vAlign w:val="bottom"/>
          </w:tcPr>
          <w:p>
            <w:pPr>
              <w:spacing w:after="0"/>
              <w:rPr>
                <w:sz w:val="1"/>
                <w:szCs w:val="1"/>
                <w:color w:val="auto"/>
              </w:rPr>
            </w:pPr>
          </w:p>
        </w:tc>
      </w:tr>
      <w:tr>
        <w:trPr>
          <w:trHeight w:val="143"/>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Oncology</w:t>
            </w:r>
          </w:p>
        </w:tc>
        <w:tc>
          <w:tcPr>
            <w:tcW w:w="2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Imbruvica</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678</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849</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(20.2)%</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1,982</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2,585</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(23.4)%</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Collaboraton revenues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230</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286</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(19.6)%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711</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868</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(18.0)%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908</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1,135</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2,693</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3,453</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(22.0)%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41"/>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Venclexta</w:t>
            </w:r>
          </w:p>
        </w:tc>
        <w:tc>
          <w:tcPr>
            <w:tcW w:w="2280" w:type="dxa"/>
            <w:vAlign w:val="bottom"/>
            <w:tcBorders>
              <w:top w:val="single" w:sz="8" w:color="auto"/>
            </w:tcBorders>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281</w:t>
            </w: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259</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8.1 %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8.1 %</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811</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740</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9.4 %</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9.4 %</w:t>
            </w:r>
          </w:p>
        </w:tc>
        <w:tc>
          <w:tcPr>
            <w:tcW w:w="0" w:type="dxa"/>
            <w:vAlign w:val="bottom"/>
          </w:tcPr>
          <w:p>
            <w:pPr>
              <w:spacing w:after="0"/>
              <w:rPr>
                <w:sz w:val="1"/>
                <w:szCs w:val="1"/>
                <w:color w:val="auto"/>
              </w:rPr>
            </w:pPr>
          </w:p>
        </w:tc>
      </w:tr>
      <w:tr>
        <w:trPr>
          <w:trHeight w:val="159"/>
        </w:trPr>
        <w:tc>
          <w:tcPr>
            <w:tcW w:w="136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309</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256</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21.1 %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888</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753</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21.4 %</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2280" w:type="dxa"/>
            <w:vAlign w:val="bottom"/>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590</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515</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14.6 %</w:t>
            </w:r>
          </w:p>
        </w:tc>
        <w:tc>
          <w:tcPr>
            <w:tcW w:w="960" w:type="dxa"/>
            <w:vAlign w:val="bottom"/>
          </w:tcPr>
          <w:p>
            <w:pPr>
              <w:jc w:val="right"/>
              <w:spacing w:after="0"/>
              <w:rPr>
                <w:sz w:val="20"/>
                <w:szCs w:val="20"/>
                <w:color w:val="auto"/>
              </w:rPr>
            </w:pPr>
            <w:r>
              <w:rPr>
                <w:rFonts w:ascii="Arial" w:cs="Arial" w:eastAsia="Arial" w:hAnsi="Arial"/>
                <w:sz w:val="11"/>
                <w:szCs w:val="11"/>
                <w:color w:val="auto"/>
              </w:rPr>
              <w:t>14.0 %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1,699</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1,493</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13.8 %</w:t>
            </w:r>
          </w:p>
        </w:tc>
        <w:tc>
          <w:tcPr>
            <w:tcW w:w="940" w:type="dxa"/>
            <w:vAlign w:val="bottom"/>
          </w:tcPr>
          <w:p>
            <w:pPr>
              <w:jc w:val="right"/>
              <w:spacing w:after="0"/>
              <w:rPr>
                <w:sz w:val="20"/>
                <w:szCs w:val="20"/>
                <w:color w:val="auto"/>
              </w:rPr>
            </w:pPr>
            <w:r>
              <w:rPr>
                <w:rFonts w:ascii="Arial" w:cs="Arial" w:eastAsia="Arial" w:hAnsi="Arial"/>
                <w:sz w:val="11"/>
                <w:szCs w:val="11"/>
                <w:color w:val="auto"/>
              </w:rPr>
              <w:t>15.5 %</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Epkinly</w:t>
            </w: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Collaboraton revenues</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14</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n/m</w:t>
            </w:r>
          </w:p>
        </w:tc>
        <w:tc>
          <w:tcPr>
            <w:tcW w:w="106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1"/>
                <w:szCs w:val="11"/>
                <w:color w:val="auto"/>
              </w:rPr>
              <w:t>n/m</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14</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2"/>
        </w:trPr>
        <w:tc>
          <w:tcPr>
            <w:tcW w:w="1360" w:type="dxa"/>
            <w:vAlign w:val="bottom"/>
          </w:tcPr>
          <w:p>
            <w:pPr>
              <w:ind w:left="20"/>
              <w:spacing w:after="0"/>
              <w:rPr>
                <w:sz w:val="20"/>
                <w:szCs w:val="20"/>
                <w:color w:val="auto"/>
              </w:rPr>
            </w:pPr>
            <w:r>
              <w:rPr>
                <w:rFonts w:ascii="Arial" w:cs="Arial" w:eastAsia="Arial" w:hAnsi="Arial"/>
                <w:sz w:val="11"/>
                <w:szCs w:val="11"/>
                <w:b w:val="1"/>
                <w:bCs w:val="1"/>
                <w:color w:val="auto"/>
              </w:rPr>
              <w:t>Aesthetcs</w:t>
            </w: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Botox Cosmetc</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388</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370</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5.0 %</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1,217</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1,232</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232</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267</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747</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741</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0.7 %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6.0 %</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620</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637</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1,964</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1,973</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(0.4)%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41"/>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Juvederm Collecton</w:t>
            </w:r>
          </w:p>
        </w:tc>
        <w:tc>
          <w:tcPr>
            <w:tcW w:w="2280" w:type="dxa"/>
            <w:vAlign w:val="bottom"/>
            <w:tcBorders>
              <w:top w:val="single" w:sz="8" w:color="auto"/>
            </w:tcBorders>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116</w:t>
            </w: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125</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(6.4)%</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363</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420</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(13.3)%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59"/>
        </w:trPr>
        <w:tc>
          <w:tcPr>
            <w:tcW w:w="136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205</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227</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681</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686</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(0.8)%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2280" w:type="dxa"/>
            <w:vAlign w:val="bottom"/>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321</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352</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(8.6)%</w:t>
            </w:r>
          </w:p>
        </w:tc>
        <w:tc>
          <w:tcPr>
            <w:tcW w:w="960" w:type="dxa"/>
            <w:vAlign w:val="bottom"/>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1,044</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1,106</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(5.6)%</w:t>
            </w:r>
          </w:p>
        </w:tc>
        <w:tc>
          <w:tcPr>
            <w:tcW w:w="940" w:type="dxa"/>
            <w:vAlign w:val="bottom"/>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Aesthetcs</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255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265</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(4.0)%</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785</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837</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(6.3)%</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43</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47</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130</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130</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0.5 %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5.4 %</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298</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312</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915</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967</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(5.4)%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43"/>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Neuroscience</w:t>
            </w:r>
          </w:p>
        </w:tc>
        <w:tc>
          <w:tcPr>
            <w:tcW w:w="2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Botox Therapeutc</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626</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584</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7.2 %</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1,827</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1,641</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11.3 %</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11.3 %</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122</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115</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6.5 %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8.6 %</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388</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350</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10.9 %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16.6 %</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748</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699</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7.1 %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2,215</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1,991</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11.3 %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12.3 %</w:t>
            </w:r>
          </w:p>
        </w:tc>
        <w:tc>
          <w:tcPr>
            <w:tcW w:w="0" w:type="dxa"/>
            <w:vAlign w:val="bottom"/>
          </w:tcPr>
          <w:p>
            <w:pPr>
              <w:spacing w:after="0"/>
              <w:rPr>
                <w:sz w:val="1"/>
                <w:szCs w:val="1"/>
                <w:color w:val="auto"/>
              </w:rPr>
            </w:pPr>
          </w:p>
        </w:tc>
      </w:tr>
      <w:tr>
        <w:trPr>
          <w:trHeight w:val="141"/>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Vraylar</w:t>
            </w:r>
          </w:p>
        </w:tc>
        <w:tc>
          <w:tcPr>
            <w:tcW w:w="2280" w:type="dxa"/>
            <w:vAlign w:val="bottom"/>
            <w:tcBorders>
              <w:top w:val="single" w:sz="8" w:color="auto"/>
            </w:tcBorders>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750</w:t>
            </w: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554</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35.2 %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35.2 %</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1,967</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1,473</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33.6 %</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33.6 %</w:t>
            </w:r>
          </w:p>
        </w:tc>
        <w:tc>
          <w:tcPr>
            <w:tcW w:w="0" w:type="dxa"/>
            <w:vAlign w:val="bottom"/>
          </w:tcPr>
          <w:p>
            <w:pPr>
              <w:spacing w:after="0"/>
              <w:rPr>
                <w:sz w:val="1"/>
                <w:szCs w:val="1"/>
                <w:color w:val="auto"/>
              </w:rPr>
            </w:pPr>
          </w:p>
        </w:tc>
      </w:tr>
      <w:tr>
        <w:trPr>
          <w:trHeight w:val="159"/>
        </w:trPr>
        <w:tc>
          <w:tcPr>
            <w:tcW w:w="136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&gt;100.0 %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&gt;100.0 %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2280" w:type="dxa"/>
            <w:vAlign w:val="bottom"/>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751</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554</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35.4 %</w:t>
            </w:r>
          </w:p>
        </w:tc>
        <w:tc>
          <w:tcPr>
            <w:tcW w:w="960" w:type="dxa"/>
            <w:vAlign w:val="bottom"/>
          </w:tcPr>
          <w:p>
            <w:pPr>
              <w:jc w:val="right"/>
              <w:spacing w:after="0"/>
              <w:rPr>
                <w:sz w:val="20"/>
                <w:szCs w:val="20"/>
                <w:color w:val="auto"/>
              </w:rPr>
            </w:pPr>
            <w:r>
              <w:rPr>
                <w:rFonts w:ascii="Arial" w:cs="Arial" w:eastAsia="Arial" w:hAnsi="Arial"/>
                <w:sz w:val="11"/>
                <w:szCs w:val="11"/>
                <w:color w:val="auto"/>
              </w:rPr>
              <w:t>35.4 %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1,970</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1,473</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33.7 %</w:t>
            </w:r>
          </w:p>
        </w:tc>
        <w:tc>
          <w:tcPr>
            <w:tcW w:w="940" w:type="dxa"/>
            <w:vAlign w:val="bottom"/>
          </w:tcPr>
          <w:p>
            <w:pPr>
              <w:jc w:val="right"/>
              <w:spacing w:after="0"/>
              <w:rPr>
                <w:sz w:val="20"/>
                <w:szCs w:val="20"/>
                <w:color w:val="auto"/>
              </w:rPr>
            </w:pPr>
            <w:r>
              <w:rPr>
                <w:rFonts w:ascii="Arial" w:cs="Arial" w:eastAsia="Arial" w:hAnsi="Arial"/>
                <w:sz w:val="11"/>
                <w:szCs w:val="11"/>
                <w:color w:val="auto"/>
              </w:rPr>
              <w:t>33.7 %</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Duodopa</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10.6 %</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74</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72</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2.8 %</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93</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88</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6.6 %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2.3 %</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279</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279</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118</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110</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7.4 %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353</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351</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0.6 %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1"/>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Ubrelvy</w:t>
            </w:r>
          </w:p>
        </w:tc>
        <w:tc>
          <w:tcPr>
            <w:tcW w:w="2280" w:type="dxa"/>
            <w:vAlign w:val="bottom"/>
            <w:tcBorders>
              <w:top w:val="single" w:sz="8" w:color="auto"/>
            </w:tcBorders>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230</w:t>
            </w: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160</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43.7 %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43.7 %</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574</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483</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18.8 %</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18.8 %</w:t>
            </w:r>
          </w:p>
        </w:tc>
        <w:tc>
          <w:tcPr>
            <w:tcW w:w="0" w:type="dxa"/>
            <w:vAlign w:val="bottom"/>
          </w:tcPr>
          <w:p>
            <w:pPr>
              <w:spacing w:after="0"/>
              <w:rPr>
                <w:sz w:val="1"/>
                <w:szCs w:val="1"/>
                <w:color w:val="auto"/>
              </w:rPr>
            </w:pPr>
          </w:p>
        </w:tc>
      </w:tr>
      <w:tr>
        <w:trPr>
          <w:trHeight w:val="159"/>
        </w:trPr>
        <w:tc>
          <w:tcPr>
            <w:tcW w:w="1360" w:type="dxa"/>
            <w:vAlign w:val="bottom"/>
            <w:tcBorders>
              <w:bottom w:val="single" w:sz="8" w:color="auto"/>
            </w:tcBorders>
            <w:shd w:val="clear" w:color="auto" w:fill="CCEEFF"/>
          </w:tcPr>
          <w:p>
            <w:pPr>
              <w:spacing w:after="0"/>
              <w:rPr>
                <w:sz w:val="13"/>
                <w:szCs w:val="13"/>
                <w:color w:val="auto"/>
              </w:rPr>
            </w:pPr>
          </w:p>
        </w:tc>
        <w:tc>
          <w:tcPr>
            <w:tcW w:w="2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&gt;100.0 %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&gt;100.0 %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2280" w:type="dxa"/>
            <w:vAlign w:val="bottom"/>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233</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160</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45.6 %</w:t>
            </w:r>
          </w:p>
        </w:tc>
        <w:tc>
          <w:tcPr>
            <w:tcW w:w="960" w:type="dxa"/>
            <w:vAlign w:val="bottom"/>
          </w:tcPr>
          <w:p>
            <w:pPr>
              <w:jc w:val="right"/>
              <w:spacing w:after="0"/>
              <w:rPr>
                <w:sz w:val="20"/>
                <w:szCs w:val="20"/>
                <w:color w:val="auto"/>
              </w:rPr>
            </w:pPr>
            <w:r>
              <w:rPr>
                <w:rFonts w:ascii="Arial" w:cs="Arial" w:eastAsia="Arial" w:hAnsi="Arial"/>
                <w:sz w:val="11"/>
                <w:szCs w:val="11"/>
                <w:color w:val="auto"/>
              </w:rPr>
              <w:t>45.6 %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581</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483</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20.3 %</w:t>
            </w:r>
          </w:p>
        </w:tc>
        <w:tc>
          <w:tcPr>
            <w:tcW w:w="940" w:type="dxa"/>
            <w:vAlign w:val="bottom"/>
          </w:tcPr>
          <w:p>
            <w:pPr>
              <w:jc w:val="right"/>
              <w:spacing w:after="0"/>
              <w:rPr>
                <w:sz w:val="20"/>
                <w:szCs w:val="20"/>
                <w:color w:val="auto"/>
              </w:rPr>
            </w:pPr>
            <w:r>
              <w:rPr>
                <w:rFonts w:ascii="Arial" w:cs="Arial" w:eastAsia="Arial" w:hAnsi="Arial"/>
                <w:sz w:val="11"/>
                <w:szCs w:val="11"/>
                <w:color w:val="auto"/>
              </w:rPr>
              <w:t>20.3 %</w:t>
            </w:r>
          </w:p>
        </w:tc>
        <w:tc>
          <w:tcPr>
            <w:tcW w:w="0" w:type="dxa"/>
            <w:vAlign w:val="bottom"/>
          </w:tcPr>
          <w:p>
            <w:pPr>
              <w:spacing w:after="0"/>
              <w:rPr>
                <w:sz w:val="1"/>
                <w:szCs w:val="1"/>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Qulipta</w:t>
            </w:r>
          </w:p>
        </w:tc>
        <w:tc>
          <w:tcPr>
            <w:tcW w:w="22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131</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&gt;100.0 %</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292</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106</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&gt;100.0 %</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n/m</w:t>
            </w:r>
          </w:p>
        </w:tc>
        <w:tc>
          <w:tcPr>
            <w:tcW w:w="106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color w:val="auto"/>
              </w:rPr>
              <w:t>n/m</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0"/>
        </w:trPr>
        <w:tc>
          <w:tcPr>
            <w:tcW w:w="1360" w:type="dxa"/>
            <w:vAlign w:val="bottom"/>
            <w:tcBorders>
              <w:bottom w:val="single" w:sz="8" w:color="CCEEFF"/>
            </w:tcBorders>
            <w:shd w:val="clear" w:color="auto" w:fill="CCEEFF"/>
          </w:tcPr>
          <w:p>
            <w:pPr>
              <w:spacing w:after="0"/>
              <w:rPr>
                <w:sz w:val="13"/>
                <w:szCs w:val="13"/>
                <w:color w:val="auto"/>
              </w:rPr>
            </w:pPr>
          </w:p>
        </w:tc>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132</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62</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&gt;100.0 %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294</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106</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&gt;100.0 %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&gt;100.0 %</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30</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5"/>
        </w:trPr>
        <w:tc>
          <w:tcPr>
            <w:tcW w:w="1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restart"/>
          </w:tcPr>
          <w:p>
            <w:pPr>
              <w:jc w:val="right"/>
              <w:ind w:right="383"/>
              <w:spacing w:after="0"/>
              <w:rPr>
                <w:sz w:val="20"/>
                <w:szCs w:val="20"/>
                <w:color w:val="auto"/>
              </w:rPr>
            </w:pPr>
            <w:r>
              <w:rPr>
                <w:rFonts w:ascii="Arial" w:cs="Arial" w:eastAsia="Arial" w:hAnsi="Arial"/>
                <w:sz w:val="11"/>
                <w:szCs w:val="11"/>
                <w:b w:val="1"/>
                <w:bCs w:val="1"/>
                <w:color w:val="auto"/>
              </w:rPr>
              <w:t>Three months ended</w:t>
            </w:r>
          </w:p>
        </w:tc>
        <w:tc>
          <w:tcPr>
            <w:tcW w:w="2080" w:type="dxa"/>
            <w:vAlign w:val="bottom"/>
            <w:gridSpan w:val="3"/>
          </w:tcPr>
          <w:p>
            <w:pPr>
              <w:ind w:left="640"/>
              <w:spacing w:after="0"/>
              <w:rPr>
                <w:sz w:val="20"/>
                <w:szCs w:val="20"/>
                <w:color w:val="auto"/>
              </w:rPr>
            </w:pPr>
            <w:r>
              <w:rPr>
                <w:rFonts w:ascii="Arial" w:cs="Arial" w:eastAsia="Arial" w:hAnsi="Arial"/>
                <w:sz w:val="11"/>
                <w:szCs w:val="11"/>
                <w:b w:val="1"/>
                <w:bCs w:val="1"/>
                <w:color w:val="auto"/>
              </w:rPr>
              <w:t>Percent change</w:t>
            </w:r>
          </w:p>
        </w:tc>
        <w:tc>
          <w:tcPr>
            <w:tcW w:w="180" w:type="dxa"/>
            <w:vAlign w:val="bottom"/>
          </w:tcPr>
          <w:p>
            <w:pPr>
              <w:spacing w:after="0"/>
              <w:rPr>
                <w:sz w:val="12"/>
                <w:szCs w:val="12"/>
                <w:color w:val="auto"/>
              </w:rPr>
            </w:pPr>
          </w:p>
        </w:tc>
        <w:tc>
          <w:tcPr>
            <w:tcW w:w="1620" w:type="dxa"/>
            <w:vAlign w:val="bottom"/>
            <w:gridSpan w:val="3"/>
            <w:vMerge w:val="restart"/>
          </w:tcPr>
          <w:p>
            <w:pPr>
              <w:jc w:val="right"/>
              <w:ind w:right="423"/>
              <w:spacing w:after="0"/>
              <w:rPr>
                <w:sz w:val="20"/>
                <w:szCs w:val="20"/>
                <w:color w:val="auto"/>
              </w:rPr>
            </w:pPr>
            <w:r>
              <w:rPr>
                <w:rFonts w:ascii="Arial" w:cs="Arial" w:eastAsia="Arial" w:hAnsi="Arial"/>
                <w:sz w:val="11"/>
                <w:szCs w:val="11"/>
                <w:b w:val="1"/>
                <w:bCs w:val="1"/>
                <w:color w:val="auto"/>
              </w:rPr>
              <w:t>Nine months ended</w:t>
            </w:r>
          </w:p>
        </w:tc>
        <w:tc>
          <w:tcPr>
            <w:tcW w:w="1980" w:type="dxa"/>
            <w:vAlign w:val="bottom"/>
            <w:gridSpan w:val="2"/>
          </w:tcPr>
          <w:p>
            <w:pPr>
              <w:jc w:val="right"/>
              <w:ind w:right="583"/>
              <w:spacing w:after="0"/>
              <w:rPr>
                <w:sz w:val="20"/>
                <w:szCs w:val="20"/>
                <w:color w:val="auto"/>
              </w:rPr>
            </w:pPr>
            <w:r>
              <w:rPr>
                <w:rFonts w:ascii="Arial" w:cs="Arial" w:eastAsia="Arial" w:hAnsi="Arial"/>
                <w:sz w:val="11"/>
                <w:szCs w:val="11"/>
                <w:b w:val="1"/>
                <w:bCs w:val="1"/>
                <w:color w:val="auto"/>
              </w:rPr>
              <w:t>Percent change</w:t>
            </w:r>
          </w:p>
        </w:tc>
        <w:tc>
          <w:tcPr>
            <w:tcW w:w="0" w:type="dxa"/>
            <w:vAlign w:val="bottom"/>
          </w:tcPr>
          <w:p>
            <w:pPr>
              <w:spacing w:after="0"/>
              <w:rPr>
                <w:sz w:val="1"/>
                <w:szCs w:val="1"/>
                <w:color w:val="auto"/>
              </w:rPr>
            </w:pPr>
          </w:p>
        </w:tc>
      </w:tr>
      <w:tr>
        <w:trPr>
          <w:trHeight w:val="45"/>
        </w:trPr>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right"/>
              <w:ind w:right="543"/>
              <w:spacing w:after="0"/>
              <w:rPr>
                <w:sz w:val="20"/>
                <w:szCs w:val="20"/>
                <w:color w:val="auto"/>
              </w:rPr>
            </w:pPr>
            <w:r>
              <w:rPr>
                <w:rFonts w:ascii="Arial" w:cs="Arial" w:eastAsia="Arial" w:hAnsi="Arial"/>
                <w:sz w:val="11"/>
                <w:szCs w:val="11"/>
                <w:b w:val="1"/>
                <w:bCs w:val="1"/>
                <w:color w:val="auto"/>
              </w:rPr>
              <w:t>September 30,</w:t>
            </w:r>
          </w:p>
        </w:tc>
        <w:tc>
          <w:tcPr>
            <w:tcW w:w="102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At actual</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5"/>
              </w:rPr>
              <w:t>At constant</w:t>
            </w:r>
          </w:p>
        </w:tc>
        <w:tc>
          <w:tcPr>
            <w:tcW w:w="180" w:type="dxa"/>
            <w:vAlign w:val="bottom"/>
          </w:tcPr>
          <w:p>
            <w:pPr>
              <w:spacing w:after="0"/>
              <w:rPr>
                <w:sz w:val="12"/>
                <w:szCs w:val="12"/>
                <w:color w:val="auto"/>
              </w:rPr>
            </w:pPr>
          </w:p>
        </w:tc>
        <w:tc>
          <w:tcPr>
            <w:tcW w:w="1620" w:type="dxa"/>
            <w:vAlign w:val="bottom"/>
            <w:gridSpan w:val="3"/>
          </w:tcPr>
          <w:p>
            <w:pPr>
              <w:jc w:val="right"/>
              <w:ind w:right="543"/>
              <w:spacing w:after="0"/>
              <w:rPr>
                <w:sz w:val="20"/>
                <w:szCs w:val="20"/>
                <w:color w:val="auto"/>
              </w:rPr>
            </w:pPr>
            <w:r>
              <w:rPr>
                <w:rFonts w:ascii="Arial" w:cs="Arial" w:eastAsia="Arial" w:hAnsi="Arial"/>
                <w:sz w:val="11"/>
                <w:szCs w:val="11"/>
                <w:b w:val="1"/>
                <w:bCs w:val="1"/>
                <w:color w:val="auto"/>
              </w:rPr>
              <w:t>September 30,</w:t>
            </w:r>
          </w:p>
        </w:tc>
        <w:tc>
          <w:tcPr>
            <w:tcW w:w="1040" w:type="dxa"/>
            <w:vAlign w:val="bottom"/>
            <w:vMerge w:val="restart"/>
          </w:tcPr>
          <w:p>
            <w:pPr>
              <w:jc w:val="right"/>
              <w:ind w:right="323"/>
              <w:spacing w:after="0"/>
              <w:rPr>
                <w:sz w:val="20"/>
                <w:szCs w:val="20"/>
                <w:color w:val="auto"/>
              </w:rPr>
            </w:pPr>
            <w:r>
              <w:rPr>
                <w:rFonts w:ascii="Arial" w:cs="Arial" w:eastAsia="Arial" w:hAnsi="Arial"/>
                <w:sz w:val="11"/>
                <w:szCs w:val="11"/>
                <w:b w:val="1"/>
                <w:bCs w:val="1"/>
                <w:color w:val="auto"/>
              </w:rPr>
              <w:t>At actual</w:t>
            </w:r>
          </w:p>
        </w:tc>
        <w:tc>
          <w:tcPr>
            <w:tcW w:w="94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At constant</w:t>
            </w:r>
          </w:p>
        </w:tc>
        <w:tc>
          <w:tcPr>
            <w:tcW w:w="0" w:type="dxa"/>
            <w:vAlign w:val="bottom"/>
          </w:tcPr>
          <w:p>
            <w:pPr>
              <w:spacing w:after="0"/>
              <w:rPr>
                <w:sz w:val="1"/>
                <w:szCs w:val="1"/>
                <w:color w:val="auto"/>
              </w:rPr>
            </w:pPr>
          </w:p>
        </w:tc>
      </w:tr>
      <w:tr>
        <w:trPr>
          <w:trHeight w:val="25"/>
        </w:trPr>
        <w:tc>
          <w:tcPr>
            <w:tcW w:w="1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380" w:type="dxa"/>
            <w:vAlign w:val="bottom"/>
          </w:tcPr>
          <w:p>
            <w:pPr>
              <w:ind w:left="60"/>
              <w:spacing w:after="0"/>
              <w:rPr>
                <w:sz w:val="20"/>
                <w:szCs w:val="20"/>
                <w:color w:val="auto"/>
              </w:rPr>
            </w:pPr>
            <w:r>
              <w:rPr>
                <w:rFonts w:ascii="Arial" w:cs="Arial" w:eastAsia="Arial" w:hAnsi="Arial"/>
                <w:sz w:val="11"/>
                <w:szCs w:val="11"/>
                <w:b w:val="1"/>
                <w:bCs w:val="1"/>
                <w:color w:val="auto"/>
              </w:rPr>
              <w:t>(dollars in millions)</w:t>
            </w: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63"/>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700" w:type="dxa"/>
            <w:vAlign w:val="bottom"/>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1020" w:type="dxa"/>
            <w:vAlign w:val="bottom"/>
          </w:tcPr>
          <w:p>
            <w:pPr>
              <w:jc w:val="right"/>
              <w:ind w:right="183"/>
              <w:spacing w:after="0"/>
              <w:rPr>
                <w:sz w:val="20"/>
                <w:szCs w:val="20"/>
                <w:color w:val="auto"/>
              </w:rPr>
            </w:pPr>
            <w:r>
              <w:rPr>
                <w:rFonts w:ascii="Arial" w:cs="Arial" w:eastAsia="Arial" w:hAnsi="Arial"/>
                <w:sz w:val="11"/>
                <w:szCs w:val="11"/>
                <w:b w:val="1"/>
                <w:bCs w:val="1"/>
                <w:color w:val="auto"/>
              </w:rPr>
              <w:t>currency rates</w:t>
            </w: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currency rates</w:t>
            </w:r>
          </w:p>
        </w:tc>
        <w:tc>
          <w:tcPr>
            <w:tcW w:w="180" w:type="dxa"/>
            <w:vAlign w:val="bottom"/>
          </w:tcPr>
          <w:p>
            <w:pPr>
              <w:spacing w:after="0"/>
              <w:rPr>
                <w:sz w:val="13"/>
                <w:szCs w:val="13"/>
                <w:color w:val="auto"/>
              </w:rPr>
            </w:pPr>
          </w:p>
        </w:tc>
        <w:tc>
          <w:tcPr>
            <w:tcW w:w="660" w:type="dxa"/>
            <w:vAlign w:val="bottom"/>
          </w:tcPr>
          <w:p>
            <w:pPr>
              <w:jc w:val="right"/>
              <w:ind w:right="263"/>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3"/>
                <w:szCs w:val="13"/>
                <w:color w:val="auto"/>
              </w:rPr>
            </w:pPr>
          </w:p>
        </w:tc>
        <w:tc>
          <w:tcPr>
            <w:tcW w:w="720" w:type="dxa"/>
            <w:vAlign w:val="bottom"/>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1040" w:type="dxa"/>
            <w:vAlign w:val="bottom"/>
          </w:tcPr>
          <w:p>
            <w:pPr>
              <w:jc w:val="right"/>
              <w:ind w:right="203"/>
              <w:spacing w:after="0"/>
              <w:rPr>
                <w:sz w:val="20"/>
                <w:szCs w:val="20"/>
                <w:color w:val="auto"/>
              </w:rPr>
            </w:pPr>
            <w:r>
              <w:rPr>
                <w:rFonts w:ascii="Arial" w:cs="Arial" w:eastAsia="Arial" w:hAnsi="Arial"/>
                <w:sz w:val="11"/>
                <w:szCs w:val="11"/>
                <w:b w:val="1"/>
                <w:bCs w:val="1"/>
                <w:color w:val="auto"/>
              </w:rPr>
              <w:t>currency rates</w:t>
            </w:r>
          </w:p>
        </w:tc>
        <w:tc>
          <w:tcPr>
            <w:tcW w:w="940" w:type="dxa"/>
            <w:vAlign w:val="bottom"/>
          </w:tcPr>
          <w:p>
            <w:pPr>
              <w:jc w:val="right"/>
              <w:ind w:right="103"/>
              <w:spacing w:after="0"/>
              <w:rPr>
                <w:sz w:val="20"/>
                <w:szCs w:val="20"/>
                <w:color w:val="auto"/>
              </w:rPr>
            </w:pPr>
            <w:r>
              <w:rPr>
                <w:rFonts w:ascii="Arial" w:cs="Arial" w:eastAsia="Arial" w:hAnsi="Arial"/>
                <w:sz w:val="11"/>
                <w:szCs w:val="11"/>
                <w:b w:val="1"/>
                <w:bCs w:val="1"/>
                <w:color w:val="auto"/>
              </w:rPr>
              <w:t>currency rates</w:t>
            </w:r>
          </w:p>
        </w:tc>
        <w:tc>
          <w:tcPr>
            <w:tcW w:w="0" w:type="dxa"/>
            <w:vAlign w:val="bottom"/>
          </w:tcPr>
          <w:p>
            <w:pPr>
              <w:spacing w:after="0"/>
              <w:rPr>
                <w:sz w:val="1"/>
                <w:szCs w:val="1"/>
                <w:color w:val="auto"/>
              </w:rPr>
            </w:pPr>
          </w:p>
        </w:tc>
      </w:tr>
      <w:tr>
        <w:trPr>
          <w:trHeight w:val="25"/>
        </w:trPr>
        <w:tc>
          <w:tcPr>
            <w:tcW w:w="13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380" w:type="dxa"/>
            <w:vAlign w:val="bottom"/>
          </w:tcPr>
          <w:p>
            <w:pPr>
              <w:ind w:left="20"/>
              <w:spacing w:after="0"/>
              <w:rPr>
                <w:sz w:val="20"/>
                <w:szCs w:val="20"/>
                <w:color w:val="auto"/>
              </w:rPr>
            </w:pPr>
            <w:r>
              <w:rPr>
                <w:rFonts w:ascii="Arial" w:cs="Arial" w:eastAsia="Arial" w:hAnsi="Arial"/>
                <w:sz w:val="11"/>
                <w:szCs w:val="11"/>
                <w:color w:val="auto"/>
              </w:rPr>
              <w:t>Other Neuroscience</w:t>
            </w:r>
          </w:p>
        </w:tc>
        <w:tc>
          <w:tcPr>
            <w:tcW w:w="2260" w:type="dxa"/>
            <w:vAlign w:val="bottom"/>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55</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82</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(31.9)%</w:t>
            </w:r>
          </w:p>
        </w:tc>
        <w:tc>
          <w:tcPr>
            <w:tcW w:w="960" w:type="dxa"/>
            <w:vAlign w:val="bottom"/>
          </w:tcPr>
          <w:p>
            <w:pPr>
              <w:jc w:val="right"/>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195</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400</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(51.3)%</w:t>
            </w:r>
          </w:p>
        </w:tc>
        <w:tc>
          <w:tcPr>
            <w:tcW w:w="940" w:type="dxa"/>
            <w:vAlign w:val="bottom"/>
          </w:tcPr>
          <w:p>
            <w:pPr>
              <w:jc w:val="right"/>
              <w:spacing w:after="0"/>
              <w:rPr>
                <w:sz w:val="20"/>
                <w:szCs w:val="20"/>
                <w:color w:val="auto"/>
              </w:rPr>
            </w:pPr>
            <w:r>
              <w:rPr>
                <w:rFonts w:ascii="Arial" w:cs="Arial" w:eastAsia="Arial" w:hAnsi="Arial"/>
                <w:sz w:val="11"/>
                <w:szCs w:val="11"/>
                <w:color w:val="auto"/>
              </w:rPr>
              <w:t>(51.3)%</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6.2 %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15</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6.4 %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60" w:type="dxa"/>
            <w:vAlign w:val="bottom"/>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61</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87</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(29.9)%</w:t>
            </w:r>
          </w:p>
        </w:tc>
        <w:tc>
          <w:tcPr>
            <w:tcW w:w="960" w:type="dxa"/>
            <w:vAlign w:val="bottom"/>
          </w:tcPr>
          <w:p>
            <w:pPr>
              <w:jc w:val="right"/>
              <w:spacing w:after="0"/>
              <w:rPr>
                <w:sz w:val="20"/>
                <w:szCs w:val="20"/>
                <w:color w:val="auto"/>
              </w:rPr>
            </w:pPr>
            <w:r>
              <w:rPr>
                <w:rFonts w:ascii="Arial" w:cs="Arial" w:eastAsia="Arial" w:hAnsi="Arial"/>
                <w:sz w:val="11"/>
                <w:szCs w:val="11"/>
                <w:color w:val="auto"/>
              </w:rPr>
              <w:t>(29.7)%</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210</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414</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(49.3)%</w:t>
            </w:r>
          </w:p>
        </w:tc>
        <w:tc>
          <w:tcPr>
            <w:tcW w:w="940" w:type="dxa"/>
            <w:vAlign w:val="bottom"/>
          </w:tcPr>
          <w:p>
            <w:pPr>
              <w:jc w:val="right"/>
              <w:spacing w:after="0"/>
              <w:rPr>
                <w:sz w:val="20"/>
                <w:szCs w:val="20"/>
                <w:color w:val="auto"/>
              </w:rPr>
            </w:pPr>
            <w:r>
              <w:rPr>
                <w:rFonts w:ascii="Arial" w:cs="Arial" w:eastAsia="Arial" w:hAnsi="Arial"/>
                <w:sz w:val="11"/>
                <w:szCs w:val="11"/>
                <w:color w:val="auto"/>
              </w:rPr>
              <w:t>(49.1)%</w:t>
            </w:r>
          </w:p>
        </w:tc>
        <w:tc>
          <w:tcPr>
            <w:tcW w:w="0" w:type="dxa"/>
            <w:vAlign w:val="bottom"/>
          </w:tcPr>
          <w:p>
            <w:pPr>
              <w:spacing w:after="0"/>
              <w:rPr>
                <w:sz w:val="1"/>
                <w:szCs w:val="1"/>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Eye Care</w:t>
            </w:r>
          </w:p>
        </w:tc>
        <w:tc>
          <w:tcPr>
            <w:tcW w:w="2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80" w:type="dxa"/>
            <w:vAlign w:val="bottom"/>
          </w:tcPr>
          <w:p>
            <w:pPr>
              <w:ind w:left="20"/>
              <w:spacing w:after="0"/>
              <w:rPr>
                <w:sz w:val="20"/>
                <w:szCs w:val="20"/>
                <w:color w:val="auto"/>
              </w:rPr>
            </w:pPr>
            <w:r>
              <w:rPr>
                <w:rFonts w:ascii="Arial" w:cs="Arial" w:eastAsia="Arial" w:hAnsi="Arial"/>
                <w:sz w:val="11"/>
                <w:szCs w:val="11"/>
                <w:color w:val="auto"/>
              </w:rPr>
              <w:t>Ozurdex</w:t>
            </w:r>
          </w:p>
        </w:tc>
        <w:tc>
          <w:tcPr>
            <w:tcW w:w="2260" w:type="dxa"/>
            <w:vAlign w:val="bottom"/>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34</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35</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(4.5)%</w:t>
            </w:r>
          </w:p>
        </w:tc>
        <w:tc>
          <w:tcPr>
            <w:tcW w:w="96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107</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104</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2.6 %</w:t>
            </w:r>
          </w:p>
        </w:tc>
        <w:tc>
          <w:tcPr>
            <w:tcW w:w="940" w:type="dxa"/>
            <w:vAlign w:val="bottom"/>
          </w:tcPr>
          <w:p>
            <w:pPr>
              <w:jc w:val="right"/>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86</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71</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22.3 %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247</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219</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16.1 %</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60" w:type="dxa"/>
            <w:vAlign w:val="bottom"/>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120</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106</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13.2 %</w:t>
            </w:r>
          </w:p>
        </w:tc>
        <w:tc>
          <w:tcPr>
            <w:tcW w:w="960" w:type="dxa"/>
            <w:vAlign w:val="bottom"/>
          </w:tcPr>
          <w:p>
            <w:pPr>
              <w:jc w:val="right"/>
              <w:spacing w:after="0"/>
              <w:rPr>
                <w:sz w:val="20"/>
                <w:szCs w:val="20"/>
                <w:color w:val="auto"/>
              </w:rPr>
            </w:pPr>
            <w:r>
              <w:rPr>
                <w:rFonts w:ascii="Arial" w:cs="Arial" w:eastAsia="Arial" w:hAnsi="Arial"/>
                <w:sz w:val="11"/>
                <w:szCs w:val="11"/>
                <w:color w:val="auto"/>
              </w:rPr>
              <w:t>12.8 %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354</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323</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9.7 %</w:t>
            </w:r>
          </w:p>
        </w:tc>
        <w:tc>
          <w:tcPr>
            <w:tcW w:w="940" w:type="dxa"/>
            <w:vAlign w:val="bottom"/>
          </w:tcPr>
          <w:p>
            <w:pPr>
              <w:jc w:val="right"/>
              <w:spacing w:after="0"/>
              <w:rPr>
                <w:sz w:val="20"/>
                <w:szCs w:val="20"/>
                <w:color w:val="auto"/>
              </w:rPr>
            </w:pPr>
            <w:r>
              <w:rPr>
                <w:rFonts w:ascii="Arial" w:cs="Arial" w:eastAsia="Arial" w:hAnsi="Arial"/>
                <w:sz w:val="11"/>
                <w:szCs w:val="11"/>
                <w:color w:val="auto"/>
              </w:rPr>
              <w:t>11.7 %</w:t>
            </w:r>
          </w:p>
        </w:tc>
        <w:tc>
          <w:tcPr>
            <w:tcW w:w="0" w:type="dxa"/>
            <w:vAlign w:val="bottom"/>
          </w:tcPr>
          <w:p>
            <w:pPr>
              <w:spacing w:after="0"/>
              <w:rPr>
                <w:sz w:val="1"/>
                <w:szCs w:val="1"/>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Lumigan/Ganfort</w:t>
            </w:r>
          </w:p>
        </w:tc>
        <w:tc>
          <w:tcPr>
            <w:tcW w:w="22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28</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59</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(53.0)%</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142</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186</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(23.6)%</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150"/>
        </w:trPr>
        <w:tc>
          <w:tcPr>
            <w:tcW w:w="13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63</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62</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2.7 %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1.4 %</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198</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205</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85"/>
        </w:trPr>
        <w:tc>
          <w:tcPr>
            <w:tcW w:w="138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91</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121</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(24.8)%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340</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391</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(12.9)%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41"/>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Alphagan/Combigan</w:t>
            </w:r>
          </w:p>
        </w:tc>
        <w:tc>
          <w:tcPr>
            <w:tcW w:w="2260" w:type="dxa"/>
            <w:vAlign w:val="bottom"/>
            <w:tcBorders>
              <w:top w:val="single" w:sz="8" w:color="auto"/>
            </w:tcBorders>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30</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37</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(16.0)%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90</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161</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(43.5)%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(43.5)%</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40</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10.1 %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116</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111</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4.2 %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10.6 %</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60" w:type="dxa"/>
            <w:vAlign w:val="bottom"/>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70</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73</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(3.1)%</w:t>
            </w:r>
          </w:p>
        </w:tc>
        <w:tc>
          <w:tcPr>
            <w:tcW w:w="960" w:type="dxa"/>
            <w:vAlign w:val="bottom"/>
          </w:tcPr>
          <w:p>
            <w:pPr>
              <w:jc w:val="right"/>
              <w:spacing w:after="0"/>
              <w:rPr>
                <w:sz w:val="20"/>
                <w:szCs w:val="20"/>
                <w:color w:val="auto"/>
              </w:rPr>
            </w:pPr>
            <w:r>
              <w:rPr>
                <w:rFonts w:ascii="Arial" w:cs="Arial" w:eastAsia="Arial" w:hAnsi="Arial"/>
                <w:sz w:val="11"/>
                <w:szCs w:val="11"/>
                <w:color w:val="auto"/>
              </w:rPr>
              <w:t>0.4 %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206</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272</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(24.0)%</w:t>
            </w:r>
          </w:p>
        </w:tc>
        <w:tc>
          <w:tcPr>
            <w:tcW w:w="940" w:type="dxa"/>
            <w:vAlign w:val="bottom"/>
          </w:tcPr>
          <w:p>
            <w:pPr>
              <w:jc w:val="right"/>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Restasis</w:t>
            </w:r>
          </w:p>
        </w:tc>
        <w:tc>
          <w:tcPr>
            <w:tcW w:w="22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104</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132</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(20.7)%</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265</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518</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(48.8)%</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0" w:type="dxa"/>
            <w:vAlign w:val="bottom"/>
          </w:tcPr>
          <w:p>
            <w:pPr>
              <w:spacing w:after="0"/>
              <w:rPr>
                <w:sz w:val="1"/>
                <w:szCs w:val="1"/>
                <w:color w:val="auto"/>
              </w:rPr>
            </w:pPr>
          </w:p>
        </w:tc>
      </w:tr>
      <w:tr>
        <w:trPr>
          <w:trHeight w:val="150"/>
        </w:trPr>
        <w:tc>
          <w:tcPr>
            <w:tcW w:w="13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35.0 %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42.1 %</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43</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38</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14.2 %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20.1 %</w:t>
            </w:r>
          </w:p>
        </w:tc>
        <w:tc>
          <w:tcPr>
            <w:tcW w:w="0" w:type="dxa"/>
            <w:vAlign w:val="bottom"/>
          </w:tcPr>
          <w:p>
            <w:pPr>
              <w:spacing w:after="0"/>
              <w:rPr>
                <w:sz w:val="1"/>
                <w:szCs w:val="1"/>
                <w:color w:val="auto"/>
              </w:rPr>
            </w:pPr>
          </w:p>
        </w:tc>
      </w:tr>
      <w:tr>
        <w:trPr>
          <w:trHeight w:val="185"/>
        </w:trPr>
        <w:tc>
          <w:tcPr>
            <w:tcW w:w="138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117</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142</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(17.0)%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308</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556</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(44.5)%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41"/>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Other Eye Care</w:t>
            </w:r>
          </w:p>
        </w:tc>
        <w:tc>
          <w:tcPr>
            <w:tcW w:w="2260" w:type="dxa"/>
            <w:vAlign w:val="bottom"/>
            <w:tcBorders>
              <w:top w:val="single" w:sz="8" w:color="auto"/>
            </w:tcBorders>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114</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99</w:t>
            </w: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16.3 %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16.3 %</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rPr>
              <w:t>334</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296</w:t>
            </w: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color w:val="auto"/>
              </w:rPr>
              <w:t>13.0 %</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13.0 %</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93</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82</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11.9 %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288</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273</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8.6 %</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60" w:type="dxa"/>
            <w:vAlign w:val="bottom"/>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207</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181</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14.2 %</w:t>
            </w:r>
          </w:p>
        </w:tc>
        <w:tc>
          <w:tcPr>
            <w:tcW w:w="960" w:type="dxa"/>
            <w:vAlign w:val="bottom"/>
          </w:tcPr>
          <w:p>
            <w:pPr>
              <w:jc w:val="right"/>
              <w:spacing w:after="0"/>
              <w:rPr>
                <w:sz w:val="20"/>
                <w:szCs w:val="20"/>
                <w:color w:val="auto"/>
              </w:rPr>
            </w:pPr>
            <w:r>
              <w:rPr>
                <w:rFonts w:ascii="Arial" w:cs="Arial" w:eastAsia="Arial" w:hAnsi="Arial"/>
                <w:sz w:val="11"/>
                <w:szCs w:val="11"/>
                <w:color w:val="auto"/>
              </w:rPr>
              <w:t>14.2 %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622</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569</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9.2 %</w:t>
            </w:r>
          </w:p>
        </w:tc>
        <w:tc>
          <w:tcPr>
            <w:tcW w:w="940" w:type="dxa"/>
            <w:vAlign w:val="bottom"/>
          </w:tcPr>
          <w:p>
            <w:pPr>
              <w:jc w:val="right"/>
              <w:spacing w:after="0"/>
              <w:rPr>
                <w:sz w:val="20"/>
                <w:szCs w:val="20"/>
                <w:color w:val="auto"/>
              </w:rPr>
            </w:pPr>
            <w:r>
              <w:rPr>
                <w:rFonts w:ascii="Arial" w:cs="Arial" w:eastAsia="Arial" w:hAnsi="Arial"/>
                <w:sz w:val="11"/>
                <w:szCs w:val="11"/>
                <w:color w:val="auto"/>
              </w:rPr>
              <w:t>10.9 %</w:t>
            </w:r>
          </w:p>
        </w:tc>
        <w:tc>
          <w:tcPr>
            <w:tcW w:w="0" w:type="dxa"/>
            <w:vAlign w:val="bottom"/>
          </w:tcPr>
          <w:p>
            <w:pPr>
              <w:spacing w:after="0"/>
              <w:rPr>
                <w:sz w:val="1"/>
                <w:szCs w:val="1"/>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Key Products</w:t>
            </w:r>
          </w:p>
        </w:tc>
        <w:tc>
          <w:tcPr>
            <w:tcW w:w="2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80" w:type="dxa"/>
            <w:vAlign w:val="bottom"/>
          </w:tcPr>
          <w:p>
            <w:pPr>
              <w:ind w:left="20"/>
              <w:spacing w:after="0"/>
              <w:rPr>
                <w:sz w:val="20"/>
                <w:szCs w:val="20"/>
                <w:color w:val="auto"/>
              </w:rPr>
            </w:pPr>
            <w:r>
              <w:rPr>
                <w:rFonts w:ascii="Arial" w:cs="Arial" w:eastAsia="Arial" w:hAnsi="Arial"/>
                <w:sz w:val="11"/>
                <w:szCs w:val="11"/>
                <w:color w:val="auto"/>
              </w:rPr>
              <w:t>Mavyret</w:t>
            </w:r>
          </w:p>
        </w:tc>
        <w:tc>
          <w:tcPr>
            <w:tcW w:w="2260" w:type="dxa"/>
            <w:vAlign w:val="bottom"/>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167</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190</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(12.3)%</w:t>
            </w:r>
          </w:p>
        </w:tc>
        <w:tc>
          <w:tcPr>
            <w:tcW w:w="96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531</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562</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(5.6)%</w:t>
            </w:r>
          </w:p>
        </w:tc>
        <w:tc>
          <w:tcPr>
            <w:tcW w:w="940" w:type="dxa"/>
            <w:vAlign w:val="bottom"/>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203</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193</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5.2 %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5.8 %</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590</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599</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60" w:type="dxa"/>
            <w:vAlign w:val="bottom"/>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370</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383</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(3.5)%</w:t>
            </w:r>
          </w:p>
        </w:tc>
        <w:tc>
          <w:tcPr>
            <w:tcW w:w="96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1,121</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1,161</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(3.5)%</w:t>
            </w:r>
          </w:p>
        </w:tc>
        <w:tc>
          <w:tcPr>
            <w:tcW w:w="940" w:type="dxa"/>
            <w:vAlign w:val="bottom"/>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Creon</w:t>
            </w: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305</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336</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892</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941</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50"/>
        </w:trPr>
        <w:tc>
          <w:tcPr>
            <w:tcW w:w="1380" w:type="dxa"/>
            <w:vAlign w:val="bottom"/>
          </w:tcPr>
          <w:p>
            <w:pPr>
              <w:ind w:left="20"/>
              <w:spacing w:after="0"/>
              <w:rPr>
                <w:sz w:val="20"/>
                <w:szCs w:val="20"/>
                <w:color w:val="auto"/>
              </w:rPr>
            </w:pPr>
            <w:r>
              <w:rPr>
                <w:rFonts w:ascii="Arial" w:cs="Arial" w:eastAsia="Arial" w:hAnsi="Arial"/>
                <w:sz w:val="11"/>
                <w:szCs w:val="11"/>
                <w:color w:val="auto"/>
              </w:rPr>
              <w:t>Linzess/Constella</w:t>
            </w:r>
          </w:p>
        </w:tc>
        <w:tc>
          <w:tcPr>
            <w:tcW w:w="2260" w:type="dxa"/>
            <w:vAlign w:val="bottom"/>
          </w:tcPr>
          <w:p>
            <w:pPr>
              <w:ind w:left="420"/>
              <w:spacing w:after="0"/>
              <w:rPr>
                <w:sz w:val="20"/>
                <w:szCs w:val="20"/>
                <w:color w:val="auto"/>
              </w:rPr>
            </w:pPr>
            <w:r>
              <w:rPr>
                <w:rFonts w:ascii="Arial" w:cs="Arial" w:eastAsia="Arial" w:hAnsi="Arial"/>
                <w:sz w:val="11"/>
                <w:szCs w:val="11"/>
                <w:color w:val="auto"/>
              </w:rPr>
              <w:t>United States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279</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262</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6.8 %</w:t>
            </w:r>
          </w:p>
        </w:tc>
        <w:tc>
          <w:tcPr>
            <w:tcW w:w="960" w:type="dxa"/>
            <w:vAlign w:val="bottom"/>
          </w:tcPr>
          <w:p>
            <w:pPr>
              <w:jc w:val="right"/>
              <w:spacing w:after="0"/>
              <w:rPr>
                <w:sz w:val="20"/>
                <w:szCs w:val="20"/>
                <w:color w:val="auto"/>
              </w:rPr>
            </w:pPr>
            <w:r>
              <w:rPr>
                <w:rFonts w:ascii="Arial" w:cs="Arial" w:eastAsia="Arial" w:hAnsi="Arial"/>
                <w:sz w:val="11"/>
                <w:szCs w:val="11"/>
                <w:color w:val="auto"/>
              </w:rPr>
              <w:t>6.8 %</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799</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742</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7.7 %</w:t>
            </w:r>
          </w:p>
        </w:tc>
        <w:tc>
          <w:tcPr>
            <w:tcW w:w="940" w:type="dxa"/>
            <w:vAlign w:val="bottom"/>
          </w:tcPr>
          <w:p>
            <w:pPr>
              <w:jc w:val="right"/>
              <w:spacing w:after="0"/>
              <w:rPr>
                <w:sz w:val="20"/>
                <w:szCs w:val="20"/>
                <w:color w:val="auto"/>
              </w:rPr>
            </w:pPr>
            <w:r>
              <w:rPr>
                <w:rFonts w:ascii="Arial" w:cs="Arial" w:eastAsia="Arial" w:hAnsi="Arial"/>
                <w:sz w:val="11"/>
                <w:szCs w:val="11"/>
                <w:color w:val="auto"/>
              </w:rPr>
              <w:t>7.7 %</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Internatonal</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9</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26</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7.0 %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9.3 %</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260" w:type="dxa"/>
            <w:vAlign w:val="bottom"/>
          </w:tcPr>
          <w:p>
            <w:pPr>
              <w:ind w:left="42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288</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271</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6.2 %</w:t>
            </w:r>
          </w:p>
        </w:tc>
        <w:tc>
          <w:tcPr>
            <w:tcW w:w="960" w:type="dxa"/>
            <w:vAlign w:val="bottom"/>
          </w:tcPr>
          <w:p>
            <w:pPr>
              <w:jc w:val="right"/>
              <w:spacing w:after="0"/>
              <w:rPr>
                <w:sz w:val="20"/>
                <w:szCs w:val="20"/>
                <w:color w:val="auto"/>
              </w:rPr>
            </w:pPr>
            <w:r>
              <w:rPr>
                <w:rFonts w:ascii="Arial" w:cs="Arial" w:eastAsia="Arial" w:hAnsi="Arial"/>
                <w:sz w:val="11"/>
                <w:szCs w:val="11"/>
                <w:color w:val="auto"/>
              </w:rPr>
              <w:t>6.1 %</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1"/>
                <w:szCs w:val="11"/>
                <w:color w:val="auto"/>
              </w:rPr>
              <w:t>825</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766</w:t>
            </w:r>
          </w:p>
        </w:tc>
        <w:tc>
          <w:tcPr>
            <w:tcW w:w="1040" w:type="dxa"/>
            <w:vAlign w:val="bottom"/>
          </w:tcPr>
          <w:p>
            <w:pPr>
              <w:jc w:val="right"/>
              <w:ind w:right="83"/>
              <w:spacing w:after="0"/>
              <w:rPr>
                <w:sz w:val="20"/>
                <w:szCs w:val="20"/>
                <w:color w:val="auto"/>
              </w:rPr>
            </w:pPr>
            <w:r>
              <w:rPr>
                <w:rFonts w:ascii="Arial" w:cs="Arial" w:eastAsia="Arial" w:hAnsi="Arial"/>
                <w:sz w:val="11"/>
                <w:szCs w:val="11"/>
                <w:color w:val="auto"/>
              </w:rPr>
              <w:t>7.7 %</w:t>
            </w:r>
          </w:p>
        </w:tc>
        <w:tc>
          <w:tcPr>
            <w:tcW w:w="940" w:type="dxa"/>
            <w:vAlign w:val="bottom"/>
          </w:tcPr>
          <w:p>
            <w:pPr>
              <w:jc w:val="right"/>
              <w:spacing w:after="0"/>
              <w:rPr>
                <w:sz w:val="20"/>
                <w:szCs w:val="20"/>
                <w:color w:val="auto"/>
              </w:rPr>
            </w:pPr>
            <w:r>
              <w:rPr>
                <w:rFonts w:ascii="Arial" w:cs="Arial" w:eastAsia="Arial" w:hAnsi="Arial"/>
                <w:sz w:val="11"/>
                <w:szCs w:val="11"/>
                <w:color w:val="auto"/>
              </w:rPr>
              <w:t>7.8 %</w:t>
            </w:r>
          </w:p>
        </w:tc>
        <w:tc>
          <w:tcPr>
            <w:tcW w:w="0" w:type="dxa"/>
            <w:vAlign w:val="bottom"/>
          </w:tcPr>
          <w:p>
            <w:pPr>
              <w:spacing w:after="0"/>
              <w:rPr>
                <w:sz w:val="1"/>
                <w:szCs w:val="1"/>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All other</w:t>
            </w:r>
          </w:p>
        </w:tc>
        <w:tc>
          <w:tcPr>
            <w:tcW w:w="22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782</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925</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2,214</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3,145</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150"/>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net revenues</w:t>
            </w:r>
          </w:p>
        </w:tc>
        <w:tc>
          <w:tcPr>
            <w:tcW w:w="2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13,927</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14,812</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40,017</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42,933</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n/m – Not meaningful</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discussion and analysis of AbbVie’s net revenues by product is presented on a constant currency basis.</w:t>
      </w:r>
    </w:p>
    <w:p>
      <w:pPr>
        <w:spacing w:after="0" w:line="125"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Global Humira sales decreased 36% for the three months and 29% for the nine months ended September 30, 2023. In the United States, Humira sales decreased 39% for the three months and 31% for the nine months ended September 30, 2023 primarily driven by direct biosimilar competton following the loss of exclusivity on January 31, 2023. Internatonally, Humira revenues decreased 12% for the three months and 15% for the nine months ended September 30, 2023 primarily driven by the contnued impact of direct biosimilar competton. AbbVie contnues to pursue strategies to maintain broad formulary access of Humira and manage the impact of biosimilar erosion.</w:t>
      </w:r>
    </w:p>
    <w:p>
      <w:pPr>
        <w:spacing w:after="0" w:line="95"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Net revenues for Skyrizi increased 52% for the three months and 50% for the nine months ended September 30, 2023 primarily driven by contnued strong volume and market share uptake as well as market growth across all indicatons, partally ofset by unfavorable pricing.</w:t>
      </w:r>
    </w:p>
    <w:p>
      <w:pPr>
        <w:spacing w:after="0" w:line="73"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Net revenues for Rinvoq increased 60% for the three months and 56% for the nine months ended September 30, 2023 primarily driven by contnued strong volume and market share uptake as well as market growth across all indicatons, partally ofset by unfavorable pricing.</w:t>
      </w:r>
    </w:p>
    <w:p>
      <w:pPr>
        <w:spacing w:after="0" w:line="83"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Net revenues for Imbruvica represent product revenues in the United States and collaboraton revenues outside of the United States related to AbbVie’s 50% share of Imbruvica proft. AbbVie's global Imbruvica revenues decreased 20% for the three months and 22% for the nine months ended September 30, 2023 primarily driven by decreased demand and lower market share in the United States as well as decreased collaboraton revenues.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31</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33" w:right="319" w:bottom="1440" w:gutter="0" w:footer="0" w:header="0"/>
        </w:sectPr>
      </w:pPr>
    </w:p>
    <w:bookmarkStart w:id="33" w:name="page34"/>
    <w:bookmarkEnd w:id="33"/>
    <w:p>
      <w:pPr>
        <w:jc w:val="both"/>
        <w:ind w:right="60"/>
        <w:spacing w:after="0" w:line="278" w:lineRule="auto"/>
        <w:rPr>
          <w:sz w:val="20"/>
          <w:szCs w:val="20"/>
          <w:color w:val="auto"/>
        </w:rPr>
      </w:pPr>
      <w:r>
        <w:rPr>
          <w:rFonts w:ascii="Arial" w:cs="Arial" w:eastAsia="Arial" w:hAnsi="Arial"/>
          <w:sz w:val="13"/>
          <w:szCs w:val="13"/>
          <w:color w:val="auto"/>
        </w:rPr>
        <w:t>Net revenues for Venclexta increased 14% for the three months and 15% for the nine months ended September 30, 2023. In the United States, net revenues increased 8% for the three months and 9% for the nine months ended September 30, 2023 primarily driven by market growth across all indicatons and favorable pricing. Internatonally, net revenues increased 20% for the three months and 21% for the nine months ended September 30, 2023 primarily driven by market growth across all indicatons as well as contnued market share uptake.</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Net revenues for Botox Cosmetc decreased 2% for the three months and increased 2% for the nine months ended September 30, 2023. In the United States, Botox Cosmetc net revenues increased 5% for the three months ended September 30, 2023 primarily driven by increased consumer demand due to a recovery in the toxin market. Internatonally, Botox Cosmetc net revenues decreased 11% for the three months ended September 30, 2023 primarily driven by decreased consumer demand due to economic weakening and the tming of shipments in the prior year. Internatonal net revenues increased 6% for the nine months ended September 30, 2023 primarily driven by recovery from COVID-19 in China, partally ofset by economic weakening during the third quarter and the tming of shipments in the prior year.</w:t>
      </w:r>
    </w:p>
    <w:p>
      <w:pPr>
        <w:spacing w:after="0" w:line="97"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Net revenues for Juvederm Collecton decreased 8% for the three months ended September 30, 2023 and 2% for the nine months ended September 30, 2023. In the United States, Juvederm Collecton net revenues decreased 6% for the three months and 13% for the nine months ended September 30, 2023 primarily driven by decreased consumer demand due to economic pressures, partally ofset by new product launches. Internatonally, Juvederm Collecton net revenues decreased 9% for the three months ended September 30, 2023 primarily driven by decreased consumer demand due to economic weakening and the tming of shipments in the prior year. Internatonal net revenues increased 5% for the nine months ended September 30, 2023 primarily driven by recovery from COVID-19 in China, partally ofset by economic weakening in the third quarter and the tming of shipments in the prior year.</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Net revenues for Botox Therapeutc increased 7% for the three months and 12% for the nine months ended September 30, 2023 primarily driven by market growth as well as market share uptake.</w:t>
      </w:r>
    </w:p>
    <w:p>
      <w:pPr>
        <w:spacing w:after="0" w:line="12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Net revenues for Vraylar increased 35% for the three months and 34% for the nine months ended September 30, 2023 primarily driven by contnued volume and market share uptake as well as market growth. Net revenues for the nine months ended September 30, 2023 were also favorably impacted by the regulatory approval of Vraylar as an adjunctve therapy to antdepressants for the treatment of major depressive disorder in adults.</w:t>
      </w:r>
    </w:p>
    <w:p>
      <w:pPr>
        <w:spacing w:after="0" w:line="93" w:lineRule="exact"/>
        <w:rPr>
          <w:sz w:val="20"/>
          <w:szCs w:val="20"/>
          <w:color w:val="auto"/>
        </w:rPr>
      </w:pPr>
    </w:p>
    <w:p>
      <w:pPr>
        <w:ind w:right="240"/>
        <w:spacing w:after="0" w:line="278" w:lineRule="auto"/>
        <w:rPr>
          <w:sz w:val="20"/>
          <w:szCs w:val="20"/>
          <w:color w:val="auto"/>
        </w:rPr>
      </w:pPr>
      <w:r>
        <w:rPr>
          <w:rFonts w:ascii="Arial" w:cs="Arial" w:eastAsia="Arial" w:hAnsi="Arial"/>
          <w:sz w:val="14"/>
          <w:szCs w:val="14"/>
          <w:color w:val="auto"/>
        </w:rPr>
        <w:t>Net revenues for Ubrelvy increased 46% for the three months and 20% for the nine months ended September 30, 2023 primarily driven by contnued volume and market share uptake as well as market growth.</w:t>
      </w:r>
    </w:p>
    <w:p>
      <w:pPr>
        <w:spacing w:after="0" w:line="8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Net revenues for Qulipta increased greater than 100% for the three and nine months ended September 30, 2023 primarily driven by contnued strong volume and market share uptake as well as market growth. Net revenues for the three months ended September 30, 2023 were also favorably impacted by the recent regulatory approval of Qulipta for the preventatve treatment of chronic migraine in adults.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Gross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gridSpan w:val="2"/>
          </w:tcPr>
          <w:p>
            <w:pPr>
              <w:jc w:val="center"/>
              <w:ind w:right="116"/>
              <w:spacing w:after="0"/>
              <w:rPr>
                <w:sz w:val="20"/>
                <w:szCs w:val="20"/>
                <w:color w:val="auto"/>
              </w:rPr>
            </w:pPr>
            <w:r>
              <w:rPr>
                <w:rFonts w:ascii="Arial" w:cs="Arial" w:eastAsia="Arial" w:hAnsi="Arial"/>
                <w:sz w:val="11"/>
                <w:szCs w:val="11"/>
                <w:b w:val="1"/>
                <w:bCs w:val="1"/>
                <w:color w:val="auto"/>
                <w:w w:val="90"/>
              </w:rPr>
              <w:t>Three months ended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258"/>
              <w:spacing w:after="0"/>
              <w:rPr>
                <w:sz w:val="20"/>
                <w:szCs w:val="20"/>
                <w:color w:val="auto"/>
              </w:rPr>
            </w:pPr>
            <w:r>
              <w:rPr>
                <w:rFonts w:ascii="Arial" w:cs="Arial" w:eastAsia="Arial" w:hAnsi="Arial"/>
                <w:sz w:val="11"/>
                <w:szCs w:val="11"/>
                <w:b w:val="1"/>
                <w:bCs w:val="1"/>
                <w:color w:val="auto"/>
                <w:w w:val="90"/>
              </w:rPr>
              <w:t>Nine months ended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296"/>
              <w:spacing w:after="0"/>
              <w:rPr>
                <w:sz w:val="20"/>
                <w:szCs w:val="20"/>
                <w:color w:val="auto"/>
              </w:rPr>
            </w:pPr>
            <w:r>
              <w:rPr>
                <w:rFonts w:ascii="Arial" w:cs="Arial" w:eastAsia="Arial" w:hAnsi="Arial"/>
                <w:sz w:val="11"/>
                <w:szCs w:val="11"/>
                <w:b w:val="1"/>
                <w:bCs w:val="1"/>
                <w:color w:val="auto"/>
                <w:w w:val="90"/>
              </w:rPr>
              <w:t>September 30,</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258"/>
              <w:spacing w:after="0"/>
              <w:rPr>
                <w:sz w:val="20"/>
                <w:szCs w:val="20"/>
                <w:color w:val="auto"/>
              </w:rPr>
            </w:pPr>
            <w:r>
              <w:rPr>
                <w:rFonts w:ascii="Arial" w:cs="Arial" w:eastAsia="Arial" w:hAnsi="Arial"/>
                <w:sz w:val="11"/>
                <w:szCs w:val="11"/>
                <w:b w:val="1"/>
                <w:bCs w:val="1"/>
                <w:color w:val="auto"/>
                <w:w w:val="90"/>
              </w:rPr>
              <w:t>September 30,</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2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96"/>
              <w:spacing w:after="0"/>
              <w:rPr>
                <w:sz w:val="20"/>
                <w:szCs w:val="20"/>
                <w:color w:val="auto"/>
              </w:rPr>
            </w:pPr>
            <w:r>
              <w:rPr>
                <w:rFonts w:ascii="Arial" w:cs="Arial" w:eastAsia="Arial" w:hAnsi="Arial"/>
                <w:sz w:val="11"/>
                <w:szCs w:val="11"/>
                <w:b w:val="1"/>
                <w:bCs w:val="1"/>
                <w:color w:val="auto"/>
                <w:w w:val="97"/>
              </w:rPr>
              <w:t>2022</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1"/>
                <w:szCs w:val="11"/>
                <w:b w:val="1"/>
                <w:bCs w:val="1"/>
                <w:color w:val="auto"/>
                <w:w w:val="97"/>
              </w:rPr>
              <w:t>2022</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7,442</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9,790</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(24)%  $</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25,306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29,689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 of net revenues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66 %</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color w:val="auto"/>
              </w:rPr>
              <w:t>69 %</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Gross margin as a percentage of net revenues decreased for the three and nine months ended September 30, 2023 compared to the prior year. Gross margin percentage for the three and nine months ended September 30, 2023 was unfavorably impacted by an intangible asset impairment charge of $2.1 billion related to Imbruvica, higher amortzaton of intangibles and changes in product mix, partally ofset by the favorable impact of tax law changes in Puerto Rico.</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Selling, General and Administratve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60" w:type="dxa"/>
            <w:vAlign w:val="bottom"/>
            <w:gridSpan w:val="2"/>
          </w:tcPr>
          <w:p>
            <w:pPr>
              <w:jc w:val="center"/>
              <w:ind w:right="814"/>
              <w:spacing w:after="0"/>
              <w:rPr>
                <w:sz w:val="20"/>
                <w:szCs w:val="20"/>
                <w:color w:val="auto"/>
              </w:rPr>
            </w:pPr>
            <w:r>
              <w:rPr>
                <w:rFonts w:ascii="Arial" w:cs="Arial" w:eastAsia="Arial" w:hAnsi="Arial"/>
                <w:sz w:val="11"/>
                <w:szCs w:val="11"/>
                <w:b w:val="1"/>
                <w:bCs w:val="1"/>
                <w:color w:val="auto"/>
                <w:w w:val="90"/>
              </w:rPr>
              <w:t>Three months ended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218"/>
              <w:spacing w:after="0"/>
              <w:rPr>
                <w:sz w:val="20"/>
                <w:szCs w:val="20"/>
                <w:color w:val="auto"/>
              </w:rPr>
            </w:pPr>
            <w:r>
              <w:rPr>
                <w:rFonts w:ascii="Arial" w:cs="Arial" w:eastAsia="Arial" w:hAnsi="Arial"/>
                <w:sz w:val="11"/>
                <w:szCs w:val="11"/>
                <w:b w:val="1"/>
                <w:bCs w:val="1"/>
                <w:color w:val="auto"/>
                <w:w w:val="90"/>
              </w:rPr>
              <w:t>Nine months ended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gridSpan w:val="2"/>
          </w:tcPr>
          <w:p>
            <w:pPr>
              <w:jc w:val="center"/>
              <w:ind w:right="814"/>
              <w:spacing w:after="0"/>
              <w:rPr>
                <w:sz w:val="20"/>
                <w:szCs w:val="20"/>
                <w:color w:val="auto"/>
              </w:rPr>
            </w:pPr>
            <w:r>
              <w:rPr>
                <w:rFonts w:ascii="Arial" w:cs="Arial" w:eastAsia="Arial" w:hAnsi="Arial"/>
                <w:sz w:val="11"/>
                <w:szCs w:val="11"/>
                <w:b w:val="1"/>
                <w:bCs w:val="1"/>
                <w:color w:val="auto"/>
                <w:w w:val="93"/>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218"/>
              <w:spacing w:after="0"/>
              <w:rPr>
                <w:sz w:val="20"/>
                <w:szCs w:val="20"/>
                <w:color w:val="auto"/>
              </w:rPr>
            </w:pPr>
            <w:r>
              <w:rPr>
                <w:rFonts w:ascii="Arial" w:cs="Arial" w:eastAsia="Arial" w:hAnsi="Arial"/>
                <w:sz w:val="11"/>
                <w:szCs w:val="11"/>
                <w:b w:val="1"/>
                <w:bCs w:val="1"/>
                <w:color w:val="auto"/>
                <w:w w:val="90"/>
              </w:rPr>
              <w:t>September 30,</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2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2023</w:t>
            </w:r>
          </w:p>
        </w:tc>
        <w:tc>
          <w:tcPr>
            <w:tcW w:w="720" w:type="dxa"/>
            <w:vAlign w:val="bottom"/>
            <w:tcBorders>
              <w:bottom w:val="single" w:sz="8" w:color="auto"/>
            </w:tcBorders>
          </w:tcPr>
          <w:p>
            <w:pPr>
              <w:jc w:val="center"/>
              <w:ind w:left="400"/>
              <w:spacing w:after="0"/>
              <w:rPr>
                <w:sz w:val="20"/>
                <w:szCs w:val="20"/>
                <w:color w:val="auto"/>
              </w:rPr>
            </w:pPr>
            <w:r>
              <w:rPr>
                <w:rFonts w:ascii="Arial" w:cs="Arial" w:eastAsia="Arial" w:hAnsi="Arial"/>
                <w:sz w:val="11"/>
                <w:szCs w:val="11"/>
                <w:b w:val="1"/>
                <w:bCs w:val="1"/>
                <w:color w:val="auto"/>
                <w:w w:val="89"/>
              </w:rPr>
              <w:t>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1"/>
                <w:szCs w:val="11"/>
                <w:b w:val="1"/>
                <w:bCs w:val="1"/>
                <w:color w:val="auto"/>
                <w:w w:val="97"/>
              </w:rPr>
              <w:t>2022</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8"/>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administratve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3,372</w:t>
            </w: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54"/>
              <w:spacing w:after="0"/>
              <w:rPr>
                <w:sz w:val="20"/>
                <w:szCs w:val="20"/>
                <w:color w:val="auto"/>
              </w:rPr>
            </w:pPr>
            <w:r>
              <w:rPr>
                <w:rFonts w:ascii="Arial" w:cs="Arial" w:eastAsia="Arial" w:hAnsi="Arial"/>
                <w:sz w:val="14"/>
                <w:szCs w:val="14"/>
                <w:color w:val="auto"/>
                <w:w w:val="85"/>
              </w:rPr>
              <w:t>3,304</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2 %  $</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9,679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11,843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 of net revenues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7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22 %</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color w:val="auto"/>
              </w:rPr>
              <w:t>28 %</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600"/>
        <w:spacing w:after="0" w:line="278" w:lineRule="auto"/>
        <w:rPr>
          <w:sz w:val="20"/>
          <w:szCs w:val="20"/>
          <w:color w:val="auto"/>
        </w:rPr>
      </w:pPr>
      <w:r>
        <w:rPr>
          <w:rFonts w:ascii="Arial" w:cs="Arial" w:eastAsia="Arial" w:hAnsi="Arial"/>
          <w:sz w:val="14"/>
          <w:szCs w:val="14"/>
          <w:color w:val="auto"/>
        </w:rPr>
        <w:t>SG&amp;A expenses as a percentage of net revenues increased for the three months and decreased for the nine months ended September 30, 2023 compared to the prior year. SG&amp;A expense percentage for the three months ended September 30, 2023 was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32</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4" w:name="page35"/>
    <w:bookmarkEnd w:id="34"/>
    <w:p>
      <w:pPr>
        <w:jc w:val="both"/>
        <w:ind w:right="60"/>
        <w:spacing w:after="0" w:line="265" w:lineRule="auto"/>
        <w:rPr>
          <w:sz w:val="20"/>
          <w:szCs w:val="20"/>
          <w:color w:val="auto"/>
        </w:rPr>
      </w:pPr>
      <w:r>
        <w:rPr>
          <w:rFonts w:ascii="Arial" w:cs="Arial" w:eastAsia="Arial" w:hAnsi="Arial"/>
          <w:sz w:val="14"/>
          <w:szCs w:val="14"/>
          <w:color w:val="auto"/>
        </w:rPr>
        <w:t>unfavorably impacted by increased brand investments and lower net revenues primarily driven by the Humira loss of exclusivity in the United States. SG&amp;A expense percentage for the nine months ended September 30, 2023 was favorably impacted by lower litgaton reserve charges, partally ofset by lower net revenues primarily driven by the Humira loss of exclusivity in the United States. Litgaton reserve charges were $2.5 billion for the nine months ended September 30,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Research and Development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gridSpan w:val="2"/>
          </w:tcPr>
          <w:p>
            <w:pPr>
              <w:jc w:val="center"/>
              <w:ind w:right="96"/>
              <w:spacing w:after="0"/>
              <w:rPr>
                <w:sz w:val="20"/>
                <w:szCs w:val="20"/>
                <w:color w:val="auto"/>
              </w:rPr>
            </w:pPr>
            <w:r>
              <w:rPr>
                <w:rFonts w:ascii="Arial" w:cs="Arial" w:eastAsia="Arial" w:hAnsi="Arial"/>
                <w:sz w:val="11"/>
                <w:szCs w:val="11"/>
                <w:b w:val="1"/>
                <w:bCs w:val="1"/>
                <w:color w:val="auto"/>
                <w:w w:val="88"/>
              </w:rPr>
              <w:t>Three months ended</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238"/>
              <w:spacing w:after="0"/>
              <w:rPr>
                <w:sz w:val="20"/>
                <w:szCs w:val="20"/>
                <w:color w:val="auto"/>
              </w:rPr>
            </w:pPr>
            <w:r>
              <w:rPr>
                <w:rFonts w:ascii="Arial" w:cs="Arial" w:eastAsia="Arial" w:hAnsi="Arial"/>
                <w:sz w:val="11"/>
                <w:szCs w:val="11"/>
                <w:b w:val="1"/>
                <w:bCs w:val="1"/>
                <w:color w:val="auto"/>
                <w:w w:val="90"/>
              </w:rPr>
              <w:t>Nine months ended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296"/>
              <w:spacing w:after="0"/>
              <w:rPr>
                <w:sz w:val="20"/>
                <w:szCs w:val="20"/>
                <w:color w:val="auto"/>
              </w:rPr>
            </w:pPr>
            <w:r>
              <w:rPr>
                <w:rFonts w:ascii="Arial" w:cs="Arial" w:eastAsia="Arial" w:hAnsi="Arial"/>
                <w:sz w:val="11"/>
                <w:szCs w:val="11"/>
                <w:b w:val="1"/>
                <w:bCs w:val="1"/>
                <w:color w:val="auto"/>
                <w:w w:val="90"/>
              </w:rPr>
              <w:t>September 30,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238"/>
              <w:spacing w:after="0"/>
              <w:rPr>
                <w:sz w:val="20"/>
                <w:szCs w:val="20"/>
                <w:color w:val="auto"/>
              </w:rPr>
            </w:pPr>
            <w:r>
              <w:rPr>
                <w:rFonts w:ascii="Arial" w:cs="Arial" w:eastAsia="Arial" w:hAnsi="Arial"/>
                <w:sz w:val="11"/>
                <w:szCs w:val="11"/>
                <w:b w:val="1"/>
                <w:bCs w:val="1"/>
                <w:color w:val="auto"/>
                <w:w w:val="90"/>
              </w:rPr>
              <w:t>September 30,</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2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96"/>
              <w:spacing w:after="0"/>
              <w:rPr>
                <w:sz w:val="20"/>
                <w:szCs w:val="20"/>
                <w:color w:val="auto"/>
              </w:rPr>
            </w:pPr>
            <w:r>
              <w:rPr>
                <w:rFonts w:ascii="Arial" w:cs="Arial" w:eastAsia="Arial" w:hAnsi="Arial"/>
                <w:sz w:val="11"/>
                <w:szCs w:val="11"/>
                <w:b w:val="1"/>
                <w:bCs w:val="1"/>
                <w:color w:val="auto"/>
                <w:w w:val="97"/>
              </w:rPr>
              <w:t>2022</w:t>
            </w: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w w:val="93"/>
              </w:rPr>
              <w:t>% change</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2023</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38"/>
              <w:spacing w:after="0"/>
              <w:rPr>
                <w:sz w:val="20"/>
                <w:szCs w:val="20"/>
                <w:color w:val="auto"/>
              </w:rPr>
            </w:pPr>
            <w:r>
              <w:rPr>
                <w:rFonts w:ascii="Arial" w:cs="Arial" w:eastAsia="Arial" w:hAnsi="Arial"/>
                <w:sz w:val="11"/>
                <w:szCs w:val="11"/>
                <w:b w:val="1"/>
                <w:bCs w:val="1"/>
                <w:color w:val="auto"/>
                <w:w w:val="97"/>
              </w:rPr>
              <w:t>2022</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8"/>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1,723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96"/>
              <w:spacing w:after="0"/>
              <w:rPr>
                <w:sz w:val="20"/>
                <w:szCs w:val="20"/>
                <w:color w:val="auto"/>
              </w:rPr>
            </w:pPr>
            <w:r>
              <w:rPr>
                <w:rFonts w:ascii="Arial" w:cs="Arial" w:eastAsia="Arial" w:hAnsi="Arial"/>
                <w:sz w:val="14"/>
                <w:szCs w:val="14"/>
                <w:color w:val="auto"/>
              </w:rPr>
              <w:t>1,614</w:t>
            </w:r>
          </w:p>
        </w:tc>
        <w:tc>
          <w:tcPr>
            <w:tcW w:w="7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7 %  $</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5,748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4,720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7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 of net revenues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11 %</w:t>
            </w: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color w:val="auto"/>
              </w:rPr>
              <w:t>11 %</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Research and development (R&amp;D) expenses as a percentage of net revenues increased for the three and nine months ended September 30, 2023 compared to the prior year. R&amp;D expense percentage for the three and nine months ended September 30, 2023 was unfavorably impacted by increased funding to support all stages of the company’s pipeline assets and lower net revenues primarily driven by the Humira loss of exclusivity in the United States. R&amp;D expense percentage for the nine months ended September 30, 2023 was also unfavorably impacted by an intangible asset impairment charge of $630 million.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Acquired IPR&amp;D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880" w:type="dxa"/>
            <w:vAlign w:val="bottom"/>
            <w:gridSpan w:val="3"/>
          </w:tcPr>
          <w:p>
            <w:pPr>
              <w:jc w:val="right"/>
              <w:ind w:right="234"/>
              <w:spacing w:after="0"/>
              <w:rPr>
                <w:sz w:val="20"/>
                <w:szCs w:val="20"/>
                <w:color w:val="auto"/>
              </w:rPr>
            </w:pPr>
            <w:r>
              <w:rPr>
                <w:rFonts w:ascii="Arial" w:cs="Arial" w:eastAsia="Arial" w:hAnsi="Arial"/>
                <w:sz w:val="11"/>
                <w:szCs w:val="11"/>
                <w:b w:val="1"/>
                <w:bCs w:val="1"/>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gridSpan w:val="3"/>
          </w:tcPr>
          <w:p>
            <w:pPr>
              <w:jc w:val="right"/>
              <w:ind w:right="573"/>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45"/>
        </w:trPr>
        <w:tc>
          <w:tcPr>
            <w:tcW w:w="6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2"/>
          </w:tcPr>
          <w:p>
            <w:pPr>
              <w:jc w:val="right"/>
              <w:ind w:right="374"/>
              <w:spacing w:after="0"/>
              <w:rPr>
                <w:sz w:val="20"/>
                <w:szCs w:val="20"/>
                <w:color w:val="auto"/>
              </w:rPr>
            </w:pPr>
            <w:r>
              <w:rPr>
                <w:rFonts w:ascii="Arial" w:cs="Arial" w:eastAsia="Arial" w:hAnsi="Arial"/>
                <w:sz w:val="11"/>
                <w:szCs w:val="11"/>
                <w:b w:val="1"/>
                <w:bCs w:val="1"/>
                <w:color w:val="auto"/>
                <w:w w:val="95"/>
              </w:rPr>
              <w:t>September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68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Upfront charges</w:t>
            </w: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44</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396</w:t>
            </w:r>
          </w:p>
        </w:tc>
        <w:tc>
          <w:tcPr>
            <w:tcW w:w="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7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Development milestones</w:t>
            </w: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22</w:t>
            </w: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100</w:t>
            </w: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Acquired IPR&amp;D and milestones</w:t>
            </w: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66</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496</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auto"/>
        </w:rPr>
        <w:t>Acquired IPR&amp;D and milestones expense for the nine months ended September 30, 2022 included a charge related to the upfront payment of $130 million to acquire Syndesi Therapeutcs SA. See Note 4 to the Condensed Consolidated Financial Statements for additonal informaton.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Other Operatng Expense (Income)</w:t>
      </w:r>
    </w:p>
    <w:p>
      <w:pPr>
        <w:spacing w:after="0" w:line="127"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Other operatng expense (income), net included a gain of $169 million for the nine months ended September 30, 2023 and a charge of $229 million for the three and nine months ended September 30, 2022 related to a development liability associated with an asset divested as part of the Allergan acquisiton. Other operatng expense, net for the nine months ended September 30, 2022 also included $172 million of income related to the sale of worldwide commercial rights of a mature brand Pylera, which is used for the treatment of peptc ulcers with an infecton by the bacterium Helicobactor pylori. See Note 4 to the Condensed Consolidated Financial Statements for additonal informaton.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Other Non-Operatng Expenses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2"/>
          </w:tcPr>
          <w:p>
            <w:pPr>
              <w:jc w:val="right"/>
              <w:spacing w:after="0"/>
              <w:rPr>
                <w:sz w:val="20"/>
                <w:szCs w:val="20"/>
                <w:color w:val="auto"/>
              </w:rPr>
            </w:pPr>
            <w:r>
              <w:rPr>
                <w:rFonts w:ascii="Arial" w:cs="Arial" w:eastAsia="Arial" w:hAnsi="Arial"/>
                <w:sz w:val="11"/>
                <w:szCs w:val="11"/>
                <w:b w:val="1"/>
                <w:bCs w:val="1"/>
                <w:color w:val="auto"/>
              </w:rPr>
              <w:t>Nine months ended</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right"/>
              <w:ind w:right="109"/>
              <w:spacing w:after="0"/>
              <w:rPr>
                <w:sz w:val="20"/>
                <w:szCs w:val="20"/>
                <w:color w:val="auto"/>
              </w:rPr>
            </w:pPr>
            <w:r>
              <w:rPr>
                <w:rFonts w:ascii="Arial" w:cs="Arial" w:eastAsia="Arial" w:hAnsi="Arial"/>
                <w:sz w:val="11"/>
                <w:szCs w:val="11"/>
                <w:b w:val="1"/>
                <w:bCs w:val="1"/>
                <w:color w:val="auto"/>
              </w:rPr>
              <w:t>September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109"/>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8"/>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555</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1,660</w:t>
            </w:r>
          </w:p>
        </w:tc>
        <w:tc>
          <w:tcPr>
            <w:tcW w:w="5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398</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1,306</w:t>
            </w:r>
          </w:p>
        </w:tc>
        <w:tc>
          <w:tcPr>
            <w:tcW w:w="5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foreign exchange loss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25</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97</w:t>
            </w:r>
          </w:p>
        </w:tc>
        <w:tc>
          <w:tcPr>
            <w:tcW w:w="5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3,121</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Interest expense remained fat for the three and nine months ended September 30, 2023 compared to the prior year primarily driven by the impact of higher interest rates, ofset by lower average debt balances as a result of deleveraging.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increased for the three and nine months ended September 30, 2023 compared to the prior year primarily due to the impact of higher interest rates.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33</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35" w:name="page36"/>
    <w:bookmarkEnd w:id="35"/>
    <w:p>
      <w:pPr>
        <w:spacing w:after="0" w:line="279" w:lineRule="auto"/>
        <w:rPr>
          <w:sz w:val="20"/>
          <w:szCs w:val="20"/>
          <w:color w:val="auto"/>
        </w:rPr>
      </w:pPr>
      <w:r>
        <w:rPr>
          <w:rFonts w:ascii="Arial" w:cs="Arial" w:eastAsia="Arial" w:hAnsi="Arial"/>
          <w:sz w:val="13"/>
          <w:szCs w:val="13"/>
          <w:color w:val="auto"/>
        </w:rPr>
        <w:t>Other expense (income), net included charges related to changes in fair value of contngent consideraton liabilites of $8 million for the three months and $3.4 billion for the nine months ended September 30, 2023. Other expense (income), net included a beneft related to changes in fair value of contngent consideraton liabilites of $214 million for the three months and a charge of $647 million for the nine months ended September 30, 2022. The fair value of contngent consideraton liabilites is impacted by the passage of tme and multple other inputs, including the probability of success of achieving regulatory/commercial milestones, discount rates, the estmated amount of future sales of the acquired products and other market-based factors. For the three months ended September 30, 2023, the change in fair value refected the passage of tme ofset by higher discount rates. For the nine months ended September 30, 2023, the change in fair value refected higher Skyrizi sales driven by stronger market share uptake and the passage of tme, partally ofset by higher discount rates. For the three months ended September 30, 2022, the change in fair value refected higher discount rates partally ofset by the passage of tme. For the nine months ended September 30, 2022, the change in fair value refected higher estmated Skyrizi sales driven by stronger market share uptake and the passage of tme, partally ofset by higher discount rates.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Income Tax Expense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efectve tax rate was 9% for the three months and 20% for the nine months ended September 30, 2023 compared to 10% for the three months and 11% for the nine months ended September 30, 2022. The efectve tax rate in each period difered from the U.S. statutory tax rate of 21% principally due to the impact of foreign operatons which refects the impact of lower income tax rates in locatons outside the United States and business development actvites. The efectve tax rate for the nine months ended September 30, 2023 and September 30, 2022 and the three months ended September 30, 2022 were also impacted by changes in fair value of contngent consideraton. The increase in the efectve tax rate for the nine months ended September 30, 2023 over the prior year was primarily due to changes in fair value of contngent consideraton.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FINANCIAL POSITION, LIQUIDITY AND CAPITAL RESOURCES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center"/>
              <w:ind w:left="476"/>
              <w:spacing w:after="0"/>
              <w:rPr>
                <w:sz w:val="20"/>
                <w:szCs w:val="20"/>
                <w:color w:val="auto"/>
              </w:rPr>
            </w:pPr>
            <w:r>
              <w:rPr>
                <w:rFonts w:ascii="Arial" w:cs="Arial" w:eastAsia="Arial" w:hAnsi="Arial"/>
                <w:sz w:val="11"/>
                <w:szCs w:val="11"/>
                <w:b w:val="1"/>
                <w:bCs w:val="1"/>
                <w:color w:val="auto"/>
                <w:w w:val="90"/>
              </w:rPr>
              <w:t>Nine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left="476"/>
              <w:spacing w:after="0"/>
              <w:rPr>
                <w:sz w:val="20"/>
                <w:szCs w:val="20"/>
                <w:color w:val="auto"/>
              </w:rPr>
            </w:pPr>
            <w:r>
              <w:rPr>
                <w:rFonts w:ascii="Arial" w:cs="Arial" w:eastAsia="Arial" w:hAnsi="Arial"/>
                <w:sz w:val="11"/>
                <w:szCs w:val="11"/>
                <w:b w:val="1"/>
                <w:bCs w:val="1"/>
                <w:color w:val="auto"/>
                <w:w w:val="90"/>
              </w:rPr>
              <w:t>September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4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7"/>
        </w:trPr>
        <w:tc>
          <w:tcPr>
            <w:tcW w:w="8480" w:type="dxa"/>
            <w:vAlign w:val="bottom"/>
          </w:tcPr>
          <w:p>
            <w:pPr>
              <w:ind w:left="20"/>
              <w:spacing w:after="0"/>
              <w:rPr>
                <w:sz w:val="20"/>
                <w:szCs w:val="20"/>
                <w:color w:val="auto"/>
              </w:rPr>
            </w:pPr>
            <w:r>
              <w:rPr>
                <w:rFonts w:ascii="Arial" w:cs="Arial" w:eastAsia="Arial" w:hAnsi="Arial"/>
                <w:sz w:val="14"/>
                <w:szCs w:val="14"/>
                <w:color w:val="auto"/>
              </w:rPr>
              <w:t>Cash fows provided by (used in):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Operatng actvites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18,086</w:t>
            </w:r>
          </w:p>
        </w:tc>
        <w:tc>
          <w:tcPr>
            <w:tcW w:w="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17,515</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Investng actvites</w:t>
            </w:r>
          </w:p>
        </w:tc>
        <w:tc>
          <w:tcPr>
            <w:tcW w:w="3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4"/>
                <w:szCs w:val="14"/>
                <w:color w:val="auto"/>
              </w:rPr>
              <w:t>(1,209)</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Financing actvites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(12,773)</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(15,169)</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auto"/>
        </w:rPr>
        <w:t>Operatng cash fows for the nine months ended September 30, 2023 increased compared to the prior year due to the tming of working capital partally ofset by decreased results of operatons primarily driven by lower net revenues as well as higher payments for income taxes.</w:t>
      </w:r>
    </w:p>
    <w:p>
      <w:pPr>
        <w:spacing w:after="0" w:line="83"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Investng cash fows for the nine months ended September 30, 2023 included payments made for acquisitons and investments of $670 million and capital expenditures of $572 million. Investng cash fows for the nine months ended September 30, 2022 included payments made for acquisitons and investments of $494 million, capital expenditures of $482 million and net sales and maturites of investment securites totaling $32 million.</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Financing cash fows for the nine months ended September 30, 2023 included repayments of $1.0 billion foatng rate term loan, $1.0 billion aggregate principal amount of 2.85% senior notes and $350 million aggregate principal amount of the company’s 2.80% senior notes. Financing cash fows for the nine months ended September 30, 2022 included repayment of $2.9 billion aggregate principal amount of the company’s 3.45% senior notes, $1.7 billion aggregate principal amount of the company’s 3.25% senior notes and $1.0 billion aggregate principal amount of the company’s</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3.2% senior notes. Additonally, fnancing cash fows included repayment of $2.0 billion foatng rate term loan due May 2025 and issuance of a new $2.0 billion foatng rate term loan as part of the term loan refnancing in February 2022.</w:t>
      </w:r>
    </w:p>
    <w:p>
      <w:pPr>
        <w:spacing w:after="0" w:line="91"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color w:val="auto"/>
        </w:rPr>
        <w:t>Financing cash fows also included cash dividend payments of $7.9 billion for the nine months ended September 30, 2023 and $7.5 billion for the nine months ended September 30, 2022. The increase in cash dividend payments was primarily driven by the increase in the quarterly dividend rate.</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34</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36" w:name="page37"/>
    <w:bookmarkEnd w:id="36"/>
    <w:p>
      <w:pPr>
        <w:ind w:right="140"/>
        <w:spacing w:after="0" w:line="258" w:lineRule="auto"/>
        <w:rPr>
          <w:sz w:val="20"/>
          <w:szCs w:val="20"/>
          <w:color w:val="auto"/>
        </w:rPr>
      </w:pPr>
      <w:r>
        <w:rPr>
          <w:rFonts w:ascii="Arial" w:cs="Arial" w:eastAsia="Arial" w:hAnsi="Arial"/>
          <w:sz w:val="14"/>
          <w:szCs w:val="14"/>
          <w:color w:val="auto"/>
        </w:rPr>
        <w:t>On September 8, 2023, the board of directors declared a quarterly cash dividend of $1.48 per share for stockholders of record at the close of business on October 13, 2023, payable on November 15, 2023. On October 26, 2023, the board of directors declared an increase in the company’s quarterly dividend from $1.48 per share to $1.55 per share beginning with the dividend payable on February 15, 2024 to stockholders of record as of January 16, 2024. This refects an increase of approximately 4.7% over the previous quarterly rate. The tming, declaraton, amount of and payment of any dividends by AbbVie in the future is within the discreton of its board of directors and will depend upon many factors, including AbbVie’s fnancial conditon, earnings, capital requirements of its operatng subsidiaries, covenants associated with certain of AbbVie’s debt service obligatons, legal requirements, regulatory constraints, industry practce, ability to access capital markets and other factors deemed relevant by its board of directors.</w:t>
      </w:r>
    </w:p>
    <w:p>
      <w:pPr>
        <w:spacing w:after="0" w:line="86" w:lineRule="exact"/>
        <w:rPr>
          <w:sz w:val="20"/>
          <w:szCs w:val="20"/>
          <w:color w:val="auto"/>
        </w:rPr>
      </w:pPr>
    </w:p>
    <w:p>
      <w:pPr>
        <w:jc w:val="both"/>
        <w:ind w:right="120"/>
        <w:spacing w:after="0" w:line="295" w:lineRule="auto"/>
        <w:rPr>
          <w:sz w:val="20"/>
          <w:szCs w:val="20"/>
          <w:color w:val="auto"/>
        </w:rPr>
      </w:pPr>
      <w:r>
        <w:rPr>
          <w:rFonts w:ascii="Arial" w:cs="Arial" w:eastAsia="Arial" w:hAnsi="Arial"/>
          <w:sz w:val="13"/>
          <w:szCs w:val="13"/>
          <w:color w:val="auto"/>
        </w:rPr>
        <w:t>The company's stock repurchase authorizaton permits purchases of AbbVie shares from tme to tme in open-market or private transactons at management's discreton. The program has no tme limit and can be discontnued at any tme. On February 16, 2023, AbbVie’s board of directors authorized a $5.0 billion increase to the existng stock repurchase authorizaton. AbbVie repurchased 10 million shares for $1.6 billion during the nine months ended September 30, 2023 and 8 million shares for $1.1 billion during the nine months ended September 30, 2022.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Credit Risk</w:t>
      </w:r>
    </w:p>
    <w:p>
      <w:pPr>
        <w:spacing w:after="0" w:line="12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AbbVie monitors economic conditons, the creditworthiness of customers and government regulatons and funding, both domestcally and abroad. AbbVie regularly communicates with its customers regarding the status of receivable balances, including their payment plans and obtains positve confrmaton of the validity of the receivables. AbbVie establishes an allowance for credit losses equal to the estmate of future losses over the contractual life of outstanding accounts receivable. AbbVie may also utlize factoring arrangements to mitgate credit risk, although the receivables included in such arrangements have historically not been a signifcant amount of total outstanding receivables.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Credit Facility, Access to Capital and Credit Ratngs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Facility</w:t>
      </w:r>
    </w:p>
    <w:p>
      <w:pPr>
        <w:spacing w:after="0" w:line="125"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In March 2023, AbbVie entered into an amended and restated fve-year revolving credit facility. The amendment increased the unsecured revolving credit facility commitments from $4.0 billion to $5.0 billion and extended the maturity date of the facility from August 2023 to March 2028. This credit facility enables the company to borrow funds on an unsecured basis at variable interest rates and contains various covenants. At September 30, 2023, the company was in compliance with all covenants, and commitment fees under the credit facility were insignifcant. No amounts were outstanding under the company's credit facility as of September 30, 2023 and December 31,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Access to Capital</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company intends to fund short-term and long-term fnancial obligatons as they mature through cash on hand, future cash fows from operatons or has the ability to issue additonal debt. The company’s ability to generate cash fows from operatons, issue debt or enter into fnancing arrangements on acceptable terms could be adversely afected if there is a material decline in the demand for the company’s products or in the solvency of its customers or suppliers, deterioraton in the company’s key fnancial ratos or credit ratngs or other material unfavorable changes in business conditons. At the current tme, the company believes it has sufcient fnancial fexibility to issue debt, enter into other fnancing arrangements and atract long-term capital on acceptable terms to support the company’s growth objectves.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Ratngs</w:t>
      </w:r>
    </w:p>
    <w:p>
      <w:pPr>
        <w:spacing w:after="0" w:line="115"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In August 2023, Moody’s Investors Service upgraded AbbVie’s senior unsecured long-term credit ratng to A3 with a stable outlook from Baa1 with a positve outlook and afrmed AbbVie’s Prime-2 short-term credit ratng. Unfavorable changes to the ratngs may have an adverse impact on future fnancing arrangements; however, they would not afect the company’s ability to draw on its credit facility and would not result in an acceleraton of scheduled maturites of any of the company’s outstanding debt.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CRITICAL ACCOUNTING POLICIES</w:t>
      </w:r>
    </w:p>
    <w:p>
      <w:pPr>
        <w:spacing w:after="0" w:line="127" w:lineRule="exact"/>
        <w:rPr>
          <w:sz w:val="20"/>
          <w:szCs w:val="20"/>
          <w:color w:val="auto"/>
        </w:rPr>
      </w:pPr>
    </w:p>
    <w:p>
      <w:pPr>
        <w:ind w:right="600"/>
        <w:spacing w:after="0" w:line="318" w:lineRule="auto"/>
        <w:rPr>
          <w:sz w:val="20"/>
          <w:szCs w:val="20"/>
          <w:color w:val="auto"/>
        </w:rPr>
      </w:pPr>
      <w:r>
        <w:rPr>
          <w:rFonts w:ascii="Arial" w:cs="Arial" w:eastAsia="Arial" w:hAnsi="Arial"/>
          <w:sz w:val="13"/>
          <w:szCs w:val="13"/>
          <w:color w:val="auto"/>
        </w:rPr>
        <w:t>A summary of the company’s signifcant accountng policies is included in Note 2, “Summary of Signifcant Accountng Policies” in AbbVie's Annual Report on Form 10-K for the year ended December 31, 2022. There have been no signifcant changes in the company’s applicaton of its critcal accountng policies during the nine months ended September 30, 2023.</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35</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444867"/>
        </w:rPr>
        <w:t>FORWARD-LOOKING STATEMENTS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Some statements in this quarterly report on Form 10-Q are, or may be considered, forward-looking statements for purposes of the Private Securites Litgaton Reform Act of 1995. The words “believe,” “expect,” “antcipate,” “project,” and similar expressions and use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in AbbVie’s Annual Report on Form 10-K for the year ended December 31, 2022, which has been fled with the Securites and Exchange Commission. AbbVie notes these factors for investors as permited by the Private Securites Litgaton Reform Act of 1995. AbbVie undertakes no obligaton, and specifcally declines, to release publicly any revisions to forward-looking statements as a result of subsequent events or developments, except as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9"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For a discussion of the company's market risk, see Item 7A, "Quanttatve and Qualitatve Disclosures About Market Risk" in AbbVie's Annual Report on Form 10-K for the year ended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DISCLOSURE CONTROLS AND PROCEDURES</w:t>
      </w:r>
    </w:p>
    <w:p>
      <w:pPr>
        <w:spacing w:after="0" w:line="125"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b w:val="1"/>
          <w:bCs w:val="1"/>
          <w:color w:val="auto"/>
        </w:rPr>
        <w:t xml:space="preserve">Evaluaton of disclosure controls and procedures. </w:t>
      </w:r>
      <w:r>
        <w:rPr>
          <w:rFonts w:ascii="Arial" w:cs="Arial" w:eastAsia="Arial" w:hAnsi="Arial"/>
          <w:sz w:val="14"/>
          <w:szCs w:val="14"/>
          <w:color w:val="auto"/>
        </w:rPr>
        <w:t>The Chief Executve Ofcer, Richard A. Gonzalez, and the Chief Financial Ofcer, Scot T. Reents, evaluated the efectveness of AbbVie's disclosure</w:t>
      </w:r>
      <w:r>
        <w:rPr>
          <w:rFonts w:ascii="Arial" w:cs="Arial" w:eastAsia="Arial" w:hAnsi="Arial"/>
          <w:sz w:val="14"/>
          <w:szCs w:val="14"/>
          <w:b w:val="1"/>
          <w:bCs w:val="1"/>
          <w:color w:val="auto"/>
        </w:rPr>
        <w:t xml:space="preserve"> </w:t>
      </w:r>
      <w:r>
        <w:rPr>
          <w:rFonts w:ascii="Arial" w:cs="Arial" w:eastAsia="Arial" w:hAnsi="Arial"/>
          <w:sz w:val="14"/>
          <w:szCs w:val="14"/>
          <w:color w:val="auto"/>
        </w:rPr>
        <w:t>controls and procedures as of the end of the period covered by this report, and concluded that AbbVie's disclosure controls and procedures were efectve to ensure that informaton AbbVie is required to disclose in the reports that it fles or submits with the Securites and Exchange Commission under the Securites Exchange Act of 1934 is recorded, processed, summarized and reported, within the tme periods specifed in the Commission's rules and forms, and to ensure that informaton required to be disclosed by AbbVie in the reports that it fles or submits under the Securites Exchange Act of 1934 is accumulated and communicated to AbbVie's management, including its principal executve ofcer and principal fnancial ofcer, as appropriate to allow tmely decisions regarding required disclosure.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INTERNAL CONTROL OVER FINANCIAL REPORTING</w:t>
      </w:r>
    </w:p>
    <w:p>
      <w:pPr>
        <w:spacing w:after="0" w:line="115" w:lineRule="exact"/>
        <w:rPr>
          <w:sz w:val="20"/>
          <w:szCs w:val="20"/>
          <w:color w:val="auto"/>
        </w:rPr>
      </w:pPr>
    </w:p>
    <w:p>
      <w:pPr>
        <w:ind w:right="160"/>
        <w:spacing w:after="0" w:line="321" w:lineRule="auto"/>
        <w:rPr>
          <w:sz w:val="20"/>
          <w:szCs w:val="20"/>
          <w:color w:val="auto"/>
        </w:rPr>
      </w:pPr>
      <w:r>
        <w:rPr>
          <w:rFonts w:ascii="Arial" w:cs="Arial" w:eastAsia="Arial" w:hAnsi="Arial"/>
          <w:sz w:val="13"/>
          <w:szCs w:val="13"/>
          <w:b w:val="1"/>
          <w:bCs w:val="1"/>
          <w:color w:val="auto"/>
        </w:rPr>
        <w:t xml:space="preserve">Changes in internal control over fnancial reportng. </w:t>
      </w:r>
      <w:r>
        <w:rPr>
          <w:rFonts w:ascii="Arial" w:cs="Arial" w:eastAsia="Arial" w:hAnsi="Arial"/>
          <w:sz w:val="13"/>
          <w:szCs w:val="13"/>
          <w:color w:val="auto"/>
        </w:rPr>
        <w:t>There were no changes in AbbVie's internal control over fnancial reportng (as defned in Rule 13a-15(f) under the Securites Exchange Act of</w:t>
      </w:r>
      <w:r>
        <w:rPr>
          <w:rFonts w:ascii="Arial" w:cs="Arial" w:eastAsia="Arial" w:hAnsi="Arial"/>
          <w:sz w:val="13"/>
          <w:szCs w:val="13"/>
          <w:b w:val="1"/>
          <w:bCs w:val="1"/>
          <w:color w:val="auto"/>
        </w:rPr>
        <w:t xml:space="preserve"> </w:t>
      </w:r>
      <w:r>
        <w:rPr>
          <w:rFonts w:ascii="Arial" w:cs="Arial" w:eastAsia="Arial" w:hAnsi="Arial"/>
          <w:sz w:val="13"/>
          <w:szCs w:val="13"/>
          <w:color w:val="auto"/>
        </w:rPr>
        <w:t>1934) that have materially afected, or are reasonably likely to materially afect, AbbVie's internal control over fnancial reportng during the quarter ended September 30, 2023.</w:t>
      </w:r>
    </w:p>
    <w:p>
      <w:pPr>
        <w:spacing w:after="0" w:line="56"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b w:val="1"/>
          <w:bCs w:val="1"/>
          <w:color w:val="auto"/>
        </w:rPr>
        <w:t xml:space="preserve">Inherent Limitatons on Efectveness of Controls. </w:t>
      </w:r>
      <w:r>
        <w:rPr>
          <w:rFonts w:ascii="Arial" w:cs="Arial" w:eastAsia="Arial" w:hAnsi="Arial"/>
          <w:sz w:val="14"/>
          <w:szCs w:val="14"/>
          <w:color w:val="auto"/>
        </w:rPr>
        <w:t>AbbVie’s management, including its Chief Executve Ofcer and its Chief Financial Ofcer, do not expect that AbbVie’s disclosure controls or</w:t>
      </w:r>
      <w:r>
        <w:rPr>
          <w:rFonts w:ascii="Arial" w:cs="Arial" w:eastAsia="Arial" w:hAnsi="Arial"/>
          <w:sz w:val="14"/>
          <w:szCs w:val="14"/>
          <w:b w:val="1"/>
          <w:bCs w:val="1"/>
          <w:color w:val="auto"/>
        </w:rPr>
        <w:t xml:space="preserve"> </w:t>
      </w:r>
      <w:r>
        <w:rPr>
          <w:rFonts w:ascii="Arial" w:cs="Arial" w:eastAsia="Arial" w:hAnsi="Arial"/>
          <w:sz w:val="14"/>
          <w:szCs w:val="14"/>
          <w:color w:val="auto"/>
        </w:rPr>
        <w:t>internal control over fnancial reportng will prevent or detect all errors and all fraud. A control system, no mater how well designed and operated, can provide only reasonable, not absolute, assurance that the control system’s objectves will be met. The design of a control system must refect the fact that there are resource constraints, and the benefts of controls must be considered relatve to their costs. Further, because of the inherent limitatons in all control systems, no evaluaton of controls can provide absolute assurance that misstatements due to error or fraud will not occur or that all control issues and instances of fraud, if any, have been detected. These inherent limitatons include the realites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design of any system of controls is based in part on certain assumptons about the likelihood of future events, and there can be no assurance that any design will succeed in achieving its stated goals under all potental future conditons. Projectons of any evaluaton of controls efectveness to future periods are subject to risks. Over tme, controls may become inadequate because of changes in conditons or deterioraton in the degree of compliance with policies or procedures.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36</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444867"/>
        </w:rPr>
        <w:t>PART II. OTHER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Informaton pertaining to legal proceedings is provided in Note 12 to the Condensed Consolidated Financial Statements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5" w:lineRule="exact"/>
        <w:rPr>
          <w:sz w:val="20"/>
          <w:szCs w:val="20"/>
          <w:color w:val="auto"/>
        </w:rPr>
      </w:pPr>
    </w:p>
    <w:p>
      <w:pPr>
        <w:ind w:left="600" w:hanging="18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Issuer Purchases of Equity Securites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80" w:type="dxa"/>
            <w:vAlign w:val="bottom"/>
          </w:tcPr>
          <w:p>
            <w:pPr>
              <w:jc w:val="center"/>
              <w:ind w:right="299"/>
              <w:spacing w:after="0"/>
              <w:rPr>
                <w:sz w:val="20"/>
                <w:szCs w:val="20"/>
                <w:color w:val="auto"/>
              </w:rPr>
            </w:pPr>
            <w:r>
              <w:rPr>
                <w:rFonts w:ascii="Arial" w:cs="Arial" w:eastAsia="Arial" w:hAnsi="Arial"/>
                <w:sz w:val="11"/>
                <w:szCs w:val="11"/>
                <w:b w:val="1"/>
                <w:bCs w:val="1"/>
                <w:color w:val="auto"/>
                <w:w w:val="91"/>
              </w:rPr>
              <w:t>(d) Maximum</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80" w:type="dxa"/>
            <w:vAlign w:val="bottom"/>
          </w:tcPr>
          <w:p>
            <w:pPr>
              <w:jc w:val="center"/>
              <w:ind w:right="299"/>
              <w:spacing w:after="0" w:line="117" w:lineRule="exact"/>
              <w:rPr>
                <w:sz w:val="20"/>
                <w:szCs w:val="20"/>
                <w:color w:val="auto"/>
              </w:rPr>
            </w:pPr>
            <w:r>
              <w:rPr>
                <w:rFonts w:ascii="Arial" w:cs="Arial" w:eastAsia="Arial" w:hAnsi="Arial"/>
                <w:sz w:val="11"/>
                <w:szCs w:val="11"/>
                <w:b w:val="1"/>
                <w:bCs w:val="1"/>
                <w:color w:val="auto"/>
                <w:w w:val="91"/>
              </w:rPr>
              <w:t>Number (or</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20" w:type="dxa"/>
            <w:vAlign w:val="bottom"/>
            <w:vMerge w:val="restart"/>
          </w:tcPr>
          <w:p>
            <w:pPr>
              <w:jc w:val="center"/>
              <w:ind w:left="143"/>
              <w:spacing w:after="0"/>
              <w:rPr>
                <w:sz w:val="20"/>
                <w:szCs w:val="20"/>
                <w:color w:val="auto"/>
              </w:rPr>
            </w:pPr>
            <w:r>
              <w:rPr>
                <w:rFonts w:ascii="Arial" w:cs="Arial" w:eastAsia="Arial" w:hAnsi="Arial"/>
                <w:sz w:val="11"/>
                <w:szCs w:val="11"/>
                <w:b w:val="1"/>
                <w:bCs w:val="1"/>
                <w:color w:val="auto"/>
                <w:w w:val="89"/>
              </w:rPr>
              <w:t>(c) Total Number</w:t>
            </w:r>
          </w:p>
        </w:tc>
        <w:tc>
          <w:tcPr>
            <w:tcW w:w="600" w:type="dxa"/>
            <w:vAlign w:val="bottom"/>
          </w:tcPr>
          <w:p>
            <w:pPr>
              <w:spacing w:after="0"/>
              <w:rPr>
                <w:sz w:val="9"/>
                <w:szCs w:val="9"/>
                <w:color w:val="auto"/>
              </w:rPr>
            </w:pPr>
          </w:p>
        </w:tc>
        <w:tc>
          <w:tcPr>
            <w:tcW w:w="1980" w:type="dxa"/>
            <w:vAlign w:val="bottom"/>
          </w:tcPr>
          <w:p>
            <w:pPr>
              <w:jc w:val="center"/>
              <w:ind w:right="299"/>
              <w:spacing w:after="0" w:line="115" w:lineRule="exact"/>
              <w:rPr>
                <w:sz w:val="20"/>
                <w:szCs w:val="20"/>
                <w:color w:val="auto"/>
              </w:rPr>
            </w:pPr>
            <w:r>
              <w:rPr>
                <w:rFonts w:ascii="Arial" w:cs="Arial" w:eastAsia="Arial" w:hAnsi="Arial"/>
                <w:sz w:val="11"/>
                <w:szCs w:val="11"/>
                <w:b w:val="1"/>
                <w:bCs w:val="1"/>
                <w:color w:val="auto"/>
                <w:w w:val="92"/>
              </w:rPr>
              <w:t>Approximate</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980" w:type="dxa"/>
            <w:vAlign w:val="bottom"/>
          </w:tcPr>
          <w:p>
            <w:pPr>
              <w:jc w:val="center"/>
              <w:ind w:right="299"/>
              <w:spacing w:after="0" w:line="108" w:lineRule="exact"/>
              <w:rPr>
                <w:sz w:val="20"/>
                <w:szCs w:val="20"/>
                <w:color w:val="auto"/>
              </w:rPr>
            </w:pPr>
            <w:r>
              <w:rPr>
                <w:rFonts w:ascii="Arial" w:cs="Arial" w:eastAsia="Arial" w:hAnsi="Arial"/>
                <w:sz w:val="11"/>
                <w:szCs w:val="11"/>
                <w:b w:val="1"/>
                <w:bCs w:val="1"/>
                <w:color w:val="auto"/>
                <w:w w:val="91"/>
              </w:rPr>
              <w:t>Dollar Value) of</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9"/>
                <w:szCs w:val="9"/>
                <w:color w:val="auto"/>
              </w:rPr>
            </w:pPr>
          </w:p>
        </w:tc>
        <w:tc>
          <w:tcPr>
            <w:tcW w:w="2340" w:type="dxa"/>
            <w:vAlign w:val="bottom"/>
          </w:tcPr>
          <w:p>
            <w:pPr>
              <w:jc w:val="center"/>
              <w:ind w:left="217"/>
              <w:spacing w:after="0" w:line="115" w:lineRule="exact"/>
              <w:rPr>
                <w:sz w:val="20"/>
                <w:szCs w:val="20"/>
                <w:color w:val="auto"/>
              </w:rPr>
            </w:pPr>
            <w:r>
              <w:rPr>
                <w:rFonts w:ascii="Arial" w:cs="Arial" w:eastAsia="Arial" w:hAnsi="Arial"/>
                <w:sz w:val="11"/>
                <w:szCs w:val="11"/>
                <w:b w:val="1"/>
                <w:bCs w:val="1"/>
                <w:color w:val="auto"/>
                <w:w w:val="88"/>
              </w:rPr>
              <w:t>(a) Total</w:t>
            </w:r>
          </w:p>
        </w:tc>
        <w:tc>
          <w:tcPr>
            <w:tcW w:w="1700" w:type="dxa"/>
            <w:vAlign w:val="bottom"/>
          </w:tcPr>
          <w:p>
            <w:pPr>
              <w:spacing w:after="0"/>
              <w:rPr>
                <w:sz w:val="9"/>
                <w:szCs w:val="9"/>
                <w:color w:val="auto"/>
              </w:rPr>
            </w:pPr>
          </w:p>
        </w:tc>
        <w:tc>
          <w:tcPr>
            <w:tcW w:w="1220" w:type="dxa"/>
            <w:vAlign w:val="bottom"/>
          </w:tcPr>
          <w:p>
            <w:pPr>
              <w:jc w:val="center"/>
              <w:ind w:left="143"/>
              <w:spacing w:after="0" w:line="115" w:lineRule="exact"/>
              <w:rPr>
                <w:sz w:val="20"/>
                <w:szCs w:val="20"/>
                <w:color w:val="auto"/>
              </w:rPr>
            </w:pPr>
            <w:r>
              <w:rPr>
                <w:rFonts w:ascii="Arial" w:cs="Arial" w:eastAsia="Arial" w:hAnsi="Arial"/>
                <w:sz w:val="11"/>
                <w:szCs w:val="11"/>
                <w:b w:val="1"/>
                <w:bCs w:val="1"/>
                <w:color w:val="auto"/>
                <w:w w:val="85"/>
              </w:rPr>
              <w:t>of Shares (or</w:t>
            </w:r>
          </w:p>
        </w:tc>
        <w:tc>
          <w:tcPr>
            <w:tcW w:w="600" w:type="dxa"/>
            <w:vAlign w:val="bottom"/>
          </w:tcPr>
          <w:p>
            <w:pPr>
              <w:spacing w:after="0"/>
              <w:rPr>
                <w:sz w:val="9"/>
                <w:szCs w:val="9"/>
                <w:color w:val="auto"/>
              </w:rPr>
            </w:pPr>
          </w:p>
        </w:tc>
        <w:tc>
          <w:tcPr>
            <w:tcW w:w="1980" w:type="dxa"/>
            <w:vAlign w:val="bottom"/>
          </w:tcPr>
          <w:p>
            <w:pPr>
              <w:jc w:val="center"/>
              <w:ind w:right="299"/>
              <w:spacing w:after="0" w:line="115" w:lineRule="exact"/>
              <w:rPr>
                <w:sz w:val="20"/>
                <w:szCs w:val="20"/>
                <w:color w:val="auto"/>
              </w:rPr>
            </w:pPr>
            <w:r>
              <w:rPr>
                <w:rFonts w:ascii="Arial" w:cs="Arial" w:eastAsia="Arial" w:hAnsi="Arial"/>
                <w:sz w:val="11"/>
                <w:szCs w:val="11"/>
                <w:b w:val="1"/>
                <w:bCs w:val="1"/>
                <w:color w:val="auto"/>
                <w:w w:val="87"/>
              </w:rPr>
              <w:t>Shares (or Units)</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2340" w:type="dxa"/>
            <w:vAlign w:val="bottom"/>
          </w:tcPr>
          <w:p>
            <w:pPr>
              <w:jc w:val="center"/>
              <w:ind w:left="217"/>
              <w:spacing w:after="0" w:line="117" w:lineRule="exact"/>
              <w:rPr>
                <w:sz w:val="20"/>
                <w:szCs w:val="20"/>
                <w:color w:val="auto"/>
              </w:rPr>
            </w:pPr>
            <w:r>
              <w:rPr>
                <w:rFonts w:ascii="Arial" w:cs="Arial" w:eastAsia="Arial" w:hAnsi="Arial"/>
                <w:sz w:val="11"/>
                <w:szCs w:val="11"/>
                <w:b w:val="1"/>
                <w:bCs w:val="1"/>
                <w:color w:val="auto"/>
                <w:w w:val="90"/>
              </w:rPr>
              <w:t>Number of</w:t>
            </w:r>
          </w:p>
        </w:tc>
        <w:tc>
          <w:tcPr>
            <w:tcW w:w="1700" w:type="dxa"/>
            <w:vAlign w:val="bottom"/>
          </w:tcPr>
          <w:p>
            <w:pPr>
              <w:jc w:val="center"/>
              <w:ind w:right="436"/>
              <w:spacing w:after="0" w:line="117" w:lineRule="exact"/>
              <w:rPr>
                <w:sz w:val="20"/>
                <w:szCs w:val="20"/>
                <w:color w:val="auto"/>
              </w:rPr>
            </w:pPr>
            <w:r>
              <w:rPr>
                <w:rFonts w:ascii="Arial" w:cs="Arial" w:eastAsia="Arial" w:hAnsi="Arial"/>
                <w:sz w:val="11"/>
                <w:szCs w:val="11"/>
                <w:b w:val="1"/>
                <w:bCs w:val="1"/>
                <w:color w:val="auto"/>
                <w:w w:val="85"/>
              </w:rPr>
              <w:t>(b) Average</w:t>
            </w:r>
          </w:p>
        </w:tc>
        <w:tc>
          <w:tcPr>
            <w:tcW w:w="1220" w:type="dxa"/>
            <w:vAlign w:val="bottom"/>
          </w:tcPr>
          <w:p>
            <w:pPr>
              <w:jc w:val="center"/>
              <w:ind w:left="163"/>
              <w:spacing w:after="0" w:line="117" w:lineRule="exact"/>
              <w:rPr>
                <w:sz w:val="20"/>
                <w:szCs w:val="20"/>
                <w:color w:val="auto"/>
              </w:rPr>
            </w:pPr>
            <w:r>
              <w:rPr>
                <w:rFonts w:ascii="Arial" w:cs="Arial" w:eastAsia="Arial" w:hAnsi="Arial"/>
                <w:sz w:val="11"/>
                <w:szCs w:val="11"/>
                <w:b w:val="1"/>
                <w:bCs w:val="1"/>
                <w:color w:val="auto"/>
                <w:w w:val="88"/>
              </w:rPr>
              <w:t>Units) Purchased</w:t>
            </w:r>
          </w:p>
        </w:tc>
        <w:tc>
          <w:tcPr>
            <w:tcW w:w="600" w:type="dxa"/>
            <w:vAlign w:val="bottom"/>
          </w:tcPr>
          <w:p>
            <w:pPr>
              <w:spacing w:after="0"/>
              <w:rPr>
                <w:sz w:val="10"/>
                <w:szCs w:val="10"/>
                <w:color w:val="auto"/>
              </w:rPr>
            </w:pPr>
          </w:p>
        </w:tc>
        <w:tc>
          <w:tcPr>
            <w:tcW w:w="1980" w:type="dxa"/>
            <w:vAlign w:val="bottom"/>
          </w:tcPr>
          <w:p>
            <w:pPr>
              <w:jc w:val="center"/>
              <w:ind w:right="299"/>
              <w:spacing w:after="0" w:line="117" w:lineRule="exact"/>
              <w:rPr>
                <w:sz w:val="20"/>
                <w:szCs w:val="20"/>
                <w:color w:val="auto"/>
              </w:rPr>
            </w:pPr>
            <w:r>
              <w:rPr>
                <w:rFonts w:ascii="Arial" w:cs="Arial" w:eastAsia="Arial" w:hAnsi="Arial"/>
                <w:sz w:val="11"/>
                <w:szCs w:val="11"/>
                <w:b w:val="1"/>
                <w:bCs w:val="1"/>
                <w:color w:val="auto"/>
                <w:w w:val="90"/>
              </w:rPr>
              <w:t>that May Yet Be</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2340" w:type="dxa"/>
            <w:vAlign w:val="bottom"/>
          </w:tcPr>
          <w:p>
            <w:pPr>
              <w:jc w:val="center"/>
              <w:ind w:left="237"/>
              <w:spacing w:after="0" w:line="117" w:lineRule="exact"/>
              <w:rPr>
                <w:sz w:val="20"/>
                <w:szCs w:val="20"/>
                <w:color w:val="auto"/>
              </w:rPr>
            </w:pPr>
            <w:r>
              <w:rPr>
                <w:rFonts w:ascii="Arial" w:cs="Arial" w:eastAsia="Arial" w:hAnsi="Arial"/>
                <w:sz w:val="11"/>
                <w:szCs w:val="11"/>
                <w:b w:val="1"/>
                <w:bCs w:val="1"/>
                <w:color w:val="auto"/>
                <w:w w:val="87"/>
              </w:rPr>
              <w:t>Shares</w:t>
            </w:r>
          </w:p>
        </w:tc>
        <w:tc>
          <w:tcPr>
            <w:tcW w:w="1700" w:type="dxa"/>
            <w:vAlign w:val="bottom"/>
          </w:tcPr>
          <w:p>
            <w:pPr>
              <w:jc w:val="center"/>
              <w:ind w:right="456"/>
              <w:spacing w:after="0" w:line="117" w:lineRule="exact"/>
              <w:rPr>
                <w:sz w:val="20"/>
                <w:szCs w:val="20"/>
                <w:color w:val="auto"/>
              </w:rPr>
            </w:pPr>
            <w:r>
              <w:rPr>
                <w:rFonts w:ascii="Arial" w:cs="Arial" w:eastAsia="Arial" w:hAnsi="Arial"/>
                <w:sz w:val="11"/>
                <w:szCs w:val="11"/>
                <w:b w:val="1"/>
                <w:bCs w:val="1"/>
                <w:color w:val="auto"/>
                <w:w w:val="86"/>
              </w:rPr>
              <w:t>Price Paid</w:t>
            </w:r>
          </w:p>
        </w:tc>
        <w:tc>
          <w:tcPr>
            <w:tcW w:w="1220" w:type="dxa"/>
            <w:vAlign w:val="bottom"/>
          </w:tcPr>
          <w:p>
            <w:pPr>
              <w:jc w:val="center"/>
              <w:ind w:left="163"/>
              <w:spacing w:after="0" w:line="117" w:lineRule="exact"/>
              <w:rPr>
                <w:sz w:val="20"/>
                <w:szCs w:val="20"/>
                <w:color w:val="auto"/>
              </w:rPr>
            </w:pPr>
            <w:r>
              <w:rPr>
                <w:rFonts w:ascii="Arial" w:cs="Arial" w:eastAsia="Arial" w:hAnsi="Arial"/>
                <w:sz w:val="11"/>
                <w:szCs w:val="11"/>
                <w:b w:val="1"/>
                <w:bCs w:val="1"/>
                <w:color w:val="auto"/>
                <w:w w:val="88"/>
              </w:rPr>
              <w:t>as Part of Publicly</w:t>
            </w:r>
          </w:p>
        </w:tc>
        <w:tc>
          <w:tcPr>
            <w:tcW w:w="600" w:type="dxa"/>
            <w:vAlign w:val="bottom"/>
          </w:tcPr>
          <w:p>
            <w:pPr>
              <w:spacing w:after="0"/>
              <w:rPr>
                <w:sz w:val="10"/>
                <w:szCs w:val="10"/>
                <w:color w:val="auto"/>
              </w:rPr>
            </w:pPr>
          </w:p>
        </w:tc>
        <w:tc>
          <w:tcPr>
            <w:tcW w:w="1980" w:type="dxa"/>
            <w:vAlign w:val="bottom"/>
          </w:tcPr>
          <w:p>
            <w:pPr>
              <w:jc w:val="center"/>
              <w:ind w:right="299"/>
              <w:spacing w:after="0" w:line="117" w:lineRule="exact"/>
              <w:rPr>
                <w:sz w:val="20"/>
                <w:szCs w:val="20"/>
                <w:color w:val="auto"/>
              </w:rPr>
            </w:pPr>
            <w:r>
              <w:rPr>
                <w:rFonts w:ascii="Arial" w:cs="Arial" w:eastAsia="Arial" w:hAnsi="Arial"/>
                <w:sz w:val="11"/>
                <w:szCs w:val="11"/>
                <w:b w:val="1"/>
                <w:bCs w:val="1"/>
                <w:color w:val="auto"/>
                <w:w w:val="89"/>
              </w:rPr>
              <w:t>Purchased Under</w:t>
            </w: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2340" w:type="dxa"/>
            <w:vAlign w:val="bottom"/>
          </w:tcPr>
          <w:p>
            <w:pPr>
              <w:jc w:val="center"/>
              <w:ind w:left="237"/>
              <w:spacing w:after="0" w:line="106" w:lineRule="exact"/>
              <w:rPr>
                <w:sz w:val="20"/>
                <w:szCs w:val="20"/>
                <w:color w:val="auto"/>
              </w:rPr>
            </w:pPr>
            <w:r>
              <w:rPr>
                <w:rFonts w:ascii="Arial" w:cs="Arial" w:eastAsia="Arial" w:hAnsi="Arial"/>
                <w:sz w:val="11"/>
                <w:szCs w:val="11"/>
                <w:b w:val="1"/>
                <w:bCs w:val="1"/>
                <w:color w:val="auto"/>
                <w:w w:val="89"/>
              </w:rPr>
              <w:t>(or Units)</w:t>
            </w:r>
          </w:p>
        </w:tc>
        <w:tc>
          <w:tcPr>
            <w:tcW w:w="1700" w:type="dxa"/>
            <w:vAlign w:val="bottom"/>
          </w:tcPr>
          <w:p>
            <w:pPr>
              <w:jc w:val="center"/>
              <w:ind w:right="436"/>
              <w:spacing w:after="0" w:line="106" w:lineRule="exact"/>
              <w:rPr>
                <w:sz w:val="20"/>
                <w:szCs w:val="20"/>
                <w:color w:val="auto"/>
              </w:rPr>
            </w:pPr>
            <w:r>
              <w:rPr>
                <w:rFonts w:ascii="Arial" w:cs="Arial" w:eastAsia="Arial" w:hAnsi="Arial"/>
                <w:sz w:val="11"/>
                <w:szCs w:val="11"/>
                <w:b w:val="1"/>
                <w:bCs w:val="1"/>
                <w:color w:val="auto"/>
                <w:w w:val="86"/>
              </w:rPr>
              <w:t>per Share</w:t>
            </w:r>
          </w:p>
        </w:tc>
        <w:tc>
          <w:tcPr>
            <w:tcW w:w="1220" w:type="dxa"/>
            <w:vAlign w:val="bottom"/>
          </w:tcPr>
          <w:p>
            <w:pPr>
              <w:jc w:val="center"/>
              <w:ind w:left="143"/>
              <w:spacing w:after="0" w:line="106" w:lineRule="exact"/>
              <w:rPr>
                <w:sz w:val="20"/>
                <w:szCs w:val="20"/>
                <w:color w:val="auto"/>
              </w:rPr>
            </w:pPr>
            <w:r>
              <w:rPr>
                <w:rFonts w:ascii="Arial" w:cs="Arial" w:eastAsia="Arial" w:hAnsi="Arial"/>
                <w:sz w:val="11"/>
                <w:szCs w:val="11"/>
                <w:b w:val="1"/>
                <w:bCs w:val="1"/>
                <w:color w:val="auto"/>
                <w:w w:val="88"/>
              </w:rPr>
              <w:t>Announced Plans</w:t>
            </w:r>
          </w:p>
        </w:tc>
        <w:tc>
          <w:tcPr>
            <w:tcW w:w="600" w:type="dxa"/>
            <w:vAlign w:val="bottom"/>
          </w:tcPr>
          <w:p>
            <w:pPr>
              <w:spacing w:after="0"/>
              <w:rPr>
                <w:sz w:val="9"/>
                <w:szCs w:val="9"/>
                <w:color w:val="auto"/>
              </w:rPr>
            </w:pPr>
          </w:p>
        </w:tc>
        <w:tc>
          <w:tcPr>
            <w:tcW w:w="1980" w:type="dxa"/>
            <w:vAlign w:val="bottom"/>
          </w:tcPr>
          <w:p>
            <w:pPr>
              <w:jc w:val="center"/>
              <w:ind w:right="319"/>
              <w:spacing w:after="0" w:line="106" w:lineRule="exact"/>
              <w:rPr>
                <w:sz w:val="20"/>
                <w:szCs w:val="20"/>
                <w:color w:val="auto"/>
              </w:rPr>
            </w:pPr>
            <w:r>
              <w:rPr>
                <w:rFonts w:ascii="Arial" w:cs="Arial" w:eastAsia="Arial" w:hAnsi="Arial"/>
                <w:sz w:val="11"/>
                <w:szCs w:val="11"/>
                <w:b w:val="1"/>
                <w:bCs w:val="1"/>
                <w:color w:val="auto"/>
                <w:w w:val="88"/>
              </w:rPr>
              <w:t>the Plans or</w:t>
            </w:r>
          </w:p>
        </w:tc>
        <w:tc>
          <w:tcPr>
            <w:tcW w:w="0" w:type="dxa"/>
            <w:vAlign w:val="bottom"/>
          </w:tcPr>
          <w:p>
            <w:pPr>
              <w:spacing w:after="0"/>
              <w:rPr>
                <w:sz w:val="1"/>
                <w:szCs w:val="1"/>
                <w:color w:val="auto"/>
              </w:rPr>
            </w:pPr>
          </w:p>
        </w:tc>
      </w:tr>
      <w:tr>
        <w:trPr>
          <w:trHeight w:val="147"/>
        </w:trPr>
        <w:tc>
          <w:tcPr>
            <w:tcW w:w="3440" w:type="dxa"/>
            <w:vAlign w:val="bottom"/>
          </w:tcPr>
          <w:p>
            <w:pPr>
              <w:ind w:left="1960"/>
              <w:spacing w:after="0"/>
              <w:rPr>
                <w:sz w:val="20"/>
                <w:szCs w:val="20"/>
                <w:color w:val="auto"/>
              </w:rPr>
            </w:pPr>
            <w:r>
              <w:rPr>
                <w:rFonts w:ascii="Arial" w:cs="Arial" w:eastAsia="Arial" w:hAnsi="Arial"/>
                <w:sz w:val="11"/>
                <w:szCs w:val="11"/>
                <w:b w:val="1"/>
                <w:bCs w:val="1"/>
                <w:color w:val="auto"/>
              </w:rPr>
              <w:t>Period</w:t>
            </w:r>
          </w:p>
        </w:tc>
        <w:tc>
          <w:tcPr>
            <w:tcW w:w="2340" w:type="dxa"/>
            <w:vAlign w:val="bottom"/>
          </w:tcPr>
          <w:p>
            <w:pPr>
              <w:jc w:val="center"/>
              <w:ind w:left="257"/>
              <w:spacing w:after="0"/>
              <w:rPr>
                <w:sz w:val="20"/>
                <w:szCs w:val="20"/>
                <w:color w:val="auto"/>
              </w:rPr>
            </w:pPr>
            <w:r>
              <w:rPr>
                <w:rFonts w:ascii="Arial" w:cs="Arial" w:eastAsia="Arial" w:hAnsi="Arial"/>
                <w:sz w:val="11"/>
                <w:szCs w:val="11"/>
                <w:b w:val="1"/>
                <w:bCs w:val="1"/>
                <w:color w:val="auto"/>
                <w:w w:val="88"/>
              </w:rPr>
              <w:t>Purchased</w:t>
            </w:r>
          </w:p>
        </w:tc>
        <w:tc>
          <w:tcPr>
            <w:tcW w:w="1700" w:type="dxa"/>
            <w:vAlign w:val="bottom"/>
          </w:tcPr>
          <w:p>
            <w:pPr>
              <w:jc w:val="center"/>
              <w:ind w:right="396"/>
              <w:spacing w:after="0"/>
              <w:rPr>
                <w:sz w:val="20"/>
                <w:szCs w:val="20"/>
                <w:color w:val="auto"/>
              </w:rPr>
            </w:pPr>
            <w:r>
              <w:rPr>
                <w:rFonts w:ascii="Arial" w:cs="Arial" w:eastAsia="Arial" w:hAnsi="Arial"/>
                <w:sz w:val="11"/>
                <w:szCs w:val="11"/>
                <w:b w:val="1"/>
                <w:bCs w:val="1"/>
                <w:color w:val="auto"/>
                <w:w w:val="93"/>
              </w:rPr>
              <w:t>(or Unit)</w:t>
            </w:r>
          </w:p>
        </w:tc>
        <w:tc>
          <w:tcPr>
            <w:tcW w:w="1220" w:type="dxa"/>
            <w:vAlign w:val="bottom"/>
          </w:tcPr>
          <w:p>
            <w:pPr>
              <w:jc w:val="center"/>
              <w:ind w:left="183"/>
              <w:spacing w:after="0"/>
              <w:rPr>
                <w:sz w:val="20"/>
                <w:szCs w:val="20"/>
                <w:color w:val="auto"/>
              </w:rPr>
            </w:pPr>
            <w:r>
              <w:rPr>
                <w:rFonts w:ascii="Arial" w:cs="Arial" w:eastAsia="Arial" w:hAnsi="Arial"/>
                <w:sz w:val="11"/>
                <w:szCs w:val="11"/>
                <w:b w:val="1"/>
                <w:bCs w:val="1"/>
                <w:color w:val="auto"/>
                <w:w w:val="88"/>
              </w:rPr>
              <w:t>or Programs</w:t>
            </w:r>
          </w:p>
        </w:tc>
        <w:tc>
          <w:tcPr>
            <w:tcW w:w="600" w:type="dxa"/>
            <w:vAlign w:val="bottom"/>
          </w:tcPr>
          <w:p>
            <w:pPr>
              <w:spacing w:after="0"/>
              <w:rPr>
                <w:sz w:val="12"/>
                <w:szCs w:val="12"/>
                <w:color w:val="auto"/>
              </w:rPr>
            </w:pPr>
          </w:p>
        </w:tc>
        <w:tc>
          <w:tcPr>
            <w:tcW w:w="1980" w:type="dxa"/>
            <w:vAlign w:val="bottom"/>
          </w:tcPr>
          <w:p>
            <w:pPr>
              <w:jc w:val="center"/>
              <w:ind w:right="279"/>
              <w:spacing w:after="0"/>
              <w:rPr>
                <w:sz w:val="20"/>
                <w:szCs w:val="20"/>
                <w:color w:val="auto"/>
              </w:rPr>
            </w:pPr>
            <w:r>
              <w:rPr>
                <w:rFonts w:ascii="Arial" w:cs="Arial" w:eastAsia="Arial" w:hAnsi="Arial"/>
                <w:sz w:val="11"/>
                <w:szCs w:val="11"/>
                <w:b w:val="1"/>
                <w:bCs w:val="1"/>
                <w:color w:val="auto"/>
                <w:w w:val="85"/>
              </w:rPr>
              <w:t>Programs</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July 1, 2023 - July 31, 2023</w:t>
            </w:r>
          </w:p>
        </w:tc>
        <w:tc>
          <w:tcPr>
            <w:tcW w:w="2340" w:type="dxa"/>
            <w:vAlign w:val="bottom"/>
            <w:shd w:val="clear" w:color="auto" w:fill="CCEEFF"/>
          </w:tcPr>
          <w:p>
            <w:pPr>
              <w:jc w:val="right"/>
              <w:ind w:right="277"/>
              <w:spacing w:after="0" w:line="171" w:lineRule="exact"/>
              <w:rPr>
                <w:sz w:val="20"/>
                <w:szCs w:val="20"/>
                <w:color w:val="auto"/>
              </w:rPr>
            </w:pPr>
            <w:r>
              <w:rPr>
                <w:rFonts w:ascii="Arial" w:cs="Arial" w:eastAsia="Arial" w:hAnsi="Arial"/>
                <w:sz w:val="14"/>
                <w:szCs w:val="14"/>
                <w:color w:val="auto"/>
              </w:rPr>
              <w:t xml:space="preserve">1,132 </w:t>
            </w:r>
            <w:r>
              <w:rPr>
                <w:rFonts w:ascii="Arial" w:cs="Arial" w:eastAsia="Arial" w:hAnsi="Arial"/>
                <w:sz w:val="18"/>
                <w:szCs w:val="18"/>
                <w:color w:val="auto"/>
                <w:vertAlign w:val="superscript"/>
              </w:rPr>
              <w:t>(1)</w:t>
            </w:r>
          </w:p>
        </w:tc>
        <w:tc>
          <w:tcPr>
            <w:tcW w:w="1700" w:type="dxa"/>
            <w:vAlign w:val="bottom"/>
            <w:shd w:val="clear" w:color="auto" w:fill="CCEEFF"/>
          </w:tcPr>
          <w:p>
            <w:pPr>
              <w:jc w:val="right"/>
              <w:ind w:right="216"/>
              <w:spacing w:after="0" w:line="171" w:lineRule="exact"/>
              <w:rPr>
                <w:sz w:val="20"/>
                <w:szCs w:val="20"/>
                <w:color w:val="auto"/>
              </w:rPr>
            </w:pPr>
            <w:r>
              <w:rPr>
                <w:rFonts w:ascii="Arial" w:cs="Arial" w:eastAsia="Arial" w:hAnsi="Arial"/>
                <w:sz w:val="14"/>
                <w:szCs w:val="14"/>
                <w:color w:val="auto"/>
              </w:rPr>
              <w:t xml:space="preserve">$136.90 </w:t>
            </w:r>
            <w:r>
              <w:rPr>
                <w:rFonts w:ascii="Arial" w:cs="Arial" w:eastAsia="Arial" w:hAnsi="Arial"/>
                <w:sz w:val="18"/>
                <w:szCs w:val="18"/>
                <w:color w:val="auto"/>
                <w:vertAlign w:val="superscript"/>
              </w:rPr>
              <w:t>(1)</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$4,808,991,028</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August 1, 2023 - August 31, 2023</w:t>
            </w:r>
          </w:p>
        </w:tc>
        <w:tc>
          <w:tcPr>
            <w:tcW w:w="2340" w:type="dxa"/>
            <w:vAlign w:val="bottom"/>
          </w:tcPr>
          <w:p>
            <w:pPr>
              <w:jc w:val="right"/>
              <w:ind w:right="277"/>
              <w:spacing w:after="0" w:line="181" w:lineRule="exact"/>
              <w:rPr>
                <w:sz w:val="20"/>
                <w:szCs w:val="20"/>
                <w:color w:val="auto"/>
              </w:rPr>
            </w:pPr>
            <w:r>
              <w:rPr>
                <w:rFonts w:ascii="Arial" w:cs="Arial" w:eastAsia="Arial" w:hAnsi="Arial"/>
                <w:sz w:val="14"/>
                <w:szCs w:val="14"/>
                <w:color w:val="auto"/>
              </w:rPr>
              <w:t xml:space="preserve">984 </w:t>
            </w:r>
            <w:r>
              <w:rPr>
                <w:rFonts w:ascii="Arial" w:cs="Arial" w:eastAsia="Arial" w:hAnsi="Arial"/>
                <w:sz w:val="18"/>
                <w:szCs w:val="18"/>
                <w:color w:val="auto"/>
                <w:vertAlign w:val="superscript"/>
              </w:rPr>
              <w:t>(1)</w:t>
            </w:r>
          </w:p>
        </w:tc>
        <w:tc>
          <w:tcPr>
            <w:tcW w:w="1700" w:type="dxa"/>
            <w:vAlign w:val="bottom"/>
          </w:tcPr>
          <w:p>
            <w:pPr>
              <w:jc w:val="right"/>
              <w:ind w:right="216"/>
              <w:spacing w:after="0" w:line="181" w:lineRule="exact"/>
              <w:rPr>
                <w:sz w:val="20"/>
                <w:szCs w:val="20"/>
                <w:color w:val="auto"/>
              </w:rPr>
            </w:pPr>
            <w:r>
              <w:rPr>
                <w:rFonts w:ascii="Arial" w:cs="Arial" w:eastAsia="Arial" w:hAnsi="Arial"/>
                <w:sz w:val="14"/>
                <w:szCs w:val="14"/>
                <w:color w:val="auto"/>
              </w:rPr>
              <w:t xml:space="preserve">$149.66 </w:t>
            </w:r>
            <w:r>
              <w:rPr>
                <w:rFonts w:ascii="Arial" w:cs="Arial" w:eastAsia="Arial" w:hAnsi="Arial"/>
                <w:sz w:val="18"/>
                <w:szCs w:val="18"/>
                <w:color w:val="auto"/>
                <w:vertAlign w:val="superscript"/>
              </w:rPr>
              <w:t>(1)</w:t>
            </w:r>
          </w:p>
        </w:tc>
        <w:tc>
          <w:tcPr>
            <w:tcW w:w="122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rPr>
              <w:t>—</w:t>
            </w:r>
          </w:p>
        </w:tc>
        <w:tc>
          <w:tcPr>
            <w:tcW w:w="1980" w:type="dxa"/>
            <w:vAlign w:val="bottom"/>
          </w:tcPr>
          <w:p>
            <w:pPr>
              <w:ind w:left="700"/>
              <w:spacing w:after="0"/>
              <w:rPr>
                <w:sz w:val="20"/>
                <w:szCs w:val="20"/>
                <w:color w:val="auto"/>
              </w:rPr>
            </w:pPr>
            <w:r>
              <w:rPr>
                <w:rFonts w:ascii="Arial" w:cs="Arial" w:eastAsia="Arial" w:hAnsi="Arial"/>
                <w:sz w:val="14"/>
                <w:szCs w:val="14"/>
                <w:color w:val="auto"/>
              </w:rPr>
              <w:t>$4,808,991,028</w:t>
            </w:r>
          </w:p>
        </w:tc>
        <w:tc>
          <w:tcPr>
            <w:tcW w:w="0" w:type="dxa"/>
            <w:vAlign w:val="bottom"/>
          </w:tcPr>
          <w:p>
            <w:pPr>
              <w:spacing w:after="0"/>
              <w:rPr>
                <w:sz w:val="1"/>
                <w:szCs w:val="1"/>
                <w:color w:val="auto"/>
              </w:rPr>
            </w:pPr>
          </w:p>
        </w:tc>
      </w:tr>
      <w:tr>
        <w:trPr>
          <w:trHeight w:val="180"/>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September 1, 2023 - September 30, 2023</w:t>
            </w:r>
          </w:p>
        </w:tc>
        <w:tc>
          <w:tcPr>
            <w:tcW w:w="2340" w:type="dxa"/>
            <w:vAlign w:val="bottom"/>
            <w:tcBorders>
              <w:bottom w:val="single" w:sz="8" w:color="auto"/>
            </w:tcBorders>
            <w:shd w:val="clear" w:color="auto" w:fill="CCEEFF"/>
          </w:tcPr>
          <w:p>
            <w:pPr>
              <w:jc w:val="right"/>
              <w:ind w:right="277"/>
              <w:spacing w:after="0" w:line="181" w:lineRule="exact"/>
              <w:rPr>
                <w:sz w:val="20"/>
                <w:szCs w:val="20"/>
                <w:color w:val="auto"/>
              </w:rPr>
            </w:pPr>
            <w:r>
              <w:rPr>
                <w:rFonts w:ascii="Arial" w:cs="Arial" w:eastAsia="Arial" w:hAnsi="Arial"/>
                <w:sz w:val="14"/>
                <w:szCs w:val="14"/>
                <w:color w:val="auto"/>
              </w:rPr>
              <w:t xml:space="preserve">1,059 </w:t>
            </w:r>
            <w:r>
              <w:rPr>
                <w:rFonts w:ascii="Arial" w:cs="Arial" w:eastAsia="Arial" w:hAnsi="Arial"/>
                <w:sz w:val="18"/>
                <w:szCs w:val="18"/>
                <w:color w:val="auto"/>
                <w:vertAlign w:val="superscript"/>
              </w:rPr>
              <w:t>(1)</w:t>
            </w:r>
          </w:p>
        </w:tc>
        <w:tc>
          <w:tcPr>
            <w:tcW w:w="1700" w:type="dxa"/>
            <w:vAlign w:val="bottom"/>
            <w:tcBorders>
              <w:bottom w:val="single" w:sz="8" w:color="auto"/>
            </w:tcBorders>
            <w:shd w:val="clear" w:color="auto" w:fill="CCEEFF"/>
          </w:tcPr>
          <w:p>
            <w:pPr>
              <w:jc w:val="right"/>
              <w:ind w:right="216"/>
              <w:spacing w:after="0" w:line="181" w:lineRule="exact"/>
              <w:rPr>
                <w:sz w:val="20"/>
                <w:szCs w:val="20"/>
                <w:color w:val="auto"/>
              </w:rPr>
            </w:pPr>
            <w:r>
              <w:rPr>
                <w:rFonts w:ascii="Arial" w:cs="Arial" w:eastAsia="Arial" w:hAnsi="Arial"/>
                <w:sz w:val="14"/>
                <w:szCs w:val="14"/>
                <w:color w:val="auto"/>
              </w:rPr>
              <w:t xml:space="preserve">$144.25 </w:t>
            </w:r>
            <w:r>
              <w:rPr>
                <w:rFonts w:ascii="Arial" w:cs="Arial" w:eastAsia="Arial" w:hAnsi="Arial"/>
                <w:sz w:val="18"/>
                <w:szCs w:val="18"/>
                <w:color w:val="auto"/>
                <w:vertAlign w:val="superscript"/>
              </w:rPr>
              <w:t>(1)</w:t>
            </w:r>
          </w:p>
        </w:tc>
        <w:tc>
          <w:tcPr>
            <w:tcW w:w="1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$4,808,991,028</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340" w:type="dxa"/>
            <w:vAlign w:val="bottom"/>
            <w:tcBorders>
              <w:bottom w:val="single" w:sz="8" w:color="auto"/>
            </w:tcBorders>
          </w:tcPr>
          <w:p>
            <w:pPr>
              <w:jc w:val="right"/>
              <w:ind w:right="277"/>
              <w:spacing w:after="0" w:line="171" w:lineRule="exact"/>
              <w:rPr>
                <w:sz w:val="20"/>
                <w:szCs w:val="20"/>
                <w:color w:val="auto"/>
              </w:rPr>
            </w:pPr>
            <w:r>
              <w:rPr>
                <w:rFonts w:ascii="Arial" w:cs="Arial" w:eastAsia="Arial" w:hAnsi="Arial"/>
                <w:sz w:val="14"/>
                <w:szCs w:val="14"/>
                <w:color w:val="auto"/>
              </w:rPr>
              <w:t xml:space="preserve">3,175 </w:t>
            </w:r>
            <w:r>
              <w:rPr>
                <w:rFonts w:ascii="Arial" w:cs="Arial" w:eastAsia="Arial" w:hAnsi="Arial"/>
                <w:sz w:val="18"/>
                <w:szCs w:val="18"/>
                <w:color w:val="auto"/>
                <w:vertAlign w:val="superscript"/>
              </w:rPr>
              <w:t>(1)</w:t>
            </w:r>
          </w:p>
        </w:tc>
        <w:tc>
          <w:tcPr>
            <w:tcW w:w="1700" w:type="dxa"/>
            <w:vAlign w:val="bottom"/>
            <w:tcBorders>
              <w:bottom w:val="single" w:sz="8" w:color="auto"/>
            </w:tcBorders>
          </w:tcPr>
          <w:p>
            <w:pPr>
              <w:jc w:val="right"/>
              <w:ind w:right="216"/>
              <w:spacing w:after="0" w:line="171" w:lineRule="exact"/>
              <w:rPr>
                <w:sz w:val="20"/>
                <w:szCs w:val="20"/>
                <w:color w:val="auto"/>
              </w:rPr>
            </w:pPr>
            <w:r>
              <w:rPr>
                <w:rFonts w:ascii="Arial" w:cs="Arial" w:eastAsia="Arial" w:hAnsi="Arial"/>
                <w:sz w:val="14"/>
                <w:szCs w:val="14"/>
                <w:color w:val="auto"/>
              </w:rPr>
              <w:t xml:space="preserve">$143.31 </w:t>
            </w:r>
            <w:r>
              <w:rPr>
                <w:rFonts w:ascii="Arial" w:cs="Arial" w:eastAsia="Arial" w:hAnsi="Arial"/>
                <w:sz w:val="18"/>
                <w:szCs w:val="18"/>
                <w:color w:val="auto"/>
                <w:vertAlign w:val="superscript"/>
              </w:rPr>
              <w:t>(1)</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ind w:left="700"/>
              <w:spacing w:after="0" w:line="171" w:lineRule="exact"/>
              <w:rPr>
                <w:sz w:val="20"/>
                <w:szCs w:val="20"/>
                <w:color w:val="auto"/>
              </w:rPr>
            </w:pPr>
            <w:r>
              <w:rPr>
                <w:rFonts w:ascii="Arial" w:cs="Arial" w:eastAsia="Arial" w:hAnsi="Arial"/>
                <w:sz w:val="14"/>
                <w:szCs w:val="14"/>
                <w:color w:val="auto"/>
              </w:rPr>
              <w:t xml:space="preserve">$4,808,991,028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320" w:right="60" w:hanging="315"/>
        <w:spacing w:after="0" w:line="278" w:lineRule="auto"/>
        <w:tabs>
          <w:tab w:leader="none" w:pos="311"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additon to AbbVie shares repurchased on the open market under a publicly announced program, if any, these shares also included the shares purchased on the open market for the beneft of partcipants in the AbbVie Employee Stock Purchase Plan – 1,132 in July; 984 in August; and 1,059 in September.</w:t>
      </w:r>
    </w:p>
    <w:p>
      <w:pPr>
        <w:spacing w:after="0" w:line="72"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February 16, 2023, AbbVie’s board of directors authorized a $5.0 billion increase to the existng stock repurchase authorizaton.</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These shares do not include the shares surrendered to AbbVie to satsfy minimum tax withholding obligatons in connecton with the vestng or exercise of stock-based awards.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ITEM 5.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2" w:lineRule="exact"/>
        <w:rPr>
          <w:sz w:val="20"/>
          <w:szCs w:val="20"/>
          <w:color w:val="auto"/>
        </w:rPr>
      </w:pPr>
    </w:p>
    <w:p>
      <w:pPr>
        <w:ind w:left="600" w:hanging="181"/>
        <w:spacing w:after="0"/>
        <w:tabs>
          <w:tab w:leader="none" w:pos="60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Director and Ofcer Trading Arrangements</w:t>
      </w:r>
    </w:p>
    <w:p>
      <w:pPr>
        <w:spacing w:after="0" w:line="125"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color w:val="auto"/>
        </w:rPr>
        <w:t>During the three months ended September 30, 2023, no director or ofcer of the company adopted, modifed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37</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-255270</wp:posOffset>
            </wp:positionV>
            <wp:extent cx="404495" cy="742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444867"/>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Exhibits 32.1 and 32.2 are furnished herewith and should not be deemed to be “fled” under the Securites Exchange Act of 1934.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Exhibit No.</w:t>
            </w:r>
          </w:p>
        </w:tc>
        <w:tc>
          <w:tcPr>
            <w:tcW w:w="8540" w:type="dxa"/>
            <w:vAlign w:val="bottom"/>
          </w:tcPr>
          <w:p>
            <w:pPr>
              <w:ind w:left="3720"/>
              <w:spacing w:after="0"/>
              <w:rPr>
                <w:sz w:val="20"/>
                <w:szCs w:val="20"/>
                <w:color w:val="auto"/>
              </w:rPr>
            </w:pPr>
            <w:r>
              <w:rPr>
                <w:rFonts w:ascii="Arial" w:cs="Arial" w:eastAsia="Arial" w:hAnsi="Arial"/>
                <w:sz w:val="14"/>
                <w:szCs w:val="14"/>
                <w:b w:val="1"/>
                <w:bCs w:val="1"/>
                <w:color w:val="auto"/>
              </w:rPr>
              <w:t>Exhibit Descripton</w:t>
            </w:r>
          </w:p>
        </w:tc>
      </w:tr>
      <w:tr>
        <w:trPr>
          <w:trHeight w:val="193"/>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10.1</w:t>
            </w:r>
          </w:p>
        </w:tc>
        <w:tc>
          <w:tcPr>
            <w:tcW w:w="140" w:type="dxa"/>
            <w:vAlign w:val="bottom"/>
          </w:tcPr>
          <w:p>
            <w:pPr>
              <w:spacing w:after="0"/>
              <w:rPr>
                <w:sz w:val="16"/>
                <w:szCs w:val="16"/>
                <w:color w:val="auto"/>
              </w:rPr>
            </w:pPr>
          </w:p>
        </w:tc>
        <w:tc>
          <w:tcPr>
            <w:tcW w:w="8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Amendment to the AbbVie 2013 Performance Incentve Plan.*</w:t>
            </w:r>
          </w:p>
        </w:tc>
      </w:tr>
      <w:tr>
        <w:trPr>
          <w:trHeight w:val="180"/>
        </w:trPr>
        <w:tc>
          <w:tcPr>
            <w:tcW w:w="1220" w:type="dxa"/>
            <w:vAlign w:val="bottom"/>
          </w:tcPr>
          <w:p>
            <w:pPr>
              <w:jc w:val="center"/>
              <w:spacing w:after="0"/>
              <w:rPr>
                <w:sz w:val="20"/>
                <w:szCs w:val="20"/>
                <w:color w:val="auto"/>
              </w:rPr>
            </w:pPr>
            <w:r>
              <w:rPr>
                <w:rFonts w:ascii="Arial" w:cs="Arial" w:eastAsia="Arial" w:hAnsi="Arial"/>
                <w:sz w:val="14"/>
                <w:szCs w:val="14"/>
                <w:color w:val="auto"/>
                <w:w w:val="95"/>
              </w:rPr>
              <w:t>31.1</w:t>
            </w:r>
          </w:p>
        </w:tc>
        <w:tc>
          <w:tcPr>
            <w:tcW w:w="14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Arial" w:cs="Arial" w:eastAsia="Arial" w:hAnsi="Arial"/>
                <w:sz w:val="14"/>
                <w:szCs w:val="14"/>
                <w:color w:val="auto"/>
              </w:rPr>
              <w:t>Certfcaton of Chief Executve Ofcer Required by Rule 13a-14(a) (17 CFR 240.13a-14(a)).</w:t>
            </w:r>
          </w:p>
        </w:tc>
      </w:tr>
      <w:tr>
        <w:trPr>
          <w:trHeight w:val="223"/>
        </w:trPr>
        <w:tc>
          <w:tcPr>
            <w:tcW w:w="122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4"/>
                <w:szCs w:val="14"/>
                <w:color w:val="auto"/>
              </w:rPr>
              <w:t>Certfcaton of Chief Financial Ofcer Required by Rule 13a-14(a) (17 CFR 240.13a-14(a)).</w:t>
            </w:r>
          </w:p>
        </w:tc>
      </w:tr>
      <w:tr>
        <w:trPr>
          <w:trHeight w:val="223"/>
        </w:trPr>
        <w:tc>
          <w:tcPr>
            <w:tcW w:w="1220" w:type="dxa"/>
            <w:vAlign w:val="bottom"/>
          </w:tcPr>
          <w:p>
            <w:pPr>
              <w:jc w:val="center"/>
              <w:spacing w:after="0"/>
              <w:rPr>
                <w:sz w:val="20"/>
                <w:szCs w:val="20"/>
                <w:color w:val="auto"/>
              </w:rPr>
            </w:pPr>
            <w:r>
              <w:rPr>
                <w:rFonts w:ascii="Arial" w:cs="Arial" w:eastAsia="Arial" w:hAnsi="Arial"/>
                <w:sz w:val="14"/>
                <w:szCs w:val="14"/>
                <w:color w:val="auto"/>
                <w:w w:val="95"/>
              </w:rPr>
              <w:t>32.1</w:t>
            </w: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4"/>
                <w:szCs w:val="14"/>
                <w:color w:val="auto"/>
                <w:w w:val="96"/>
              </w:rPr>
              <w:t>Certfcaton of Chief Executve Ofcer Pursuant to 18 U.S.C. Secton 1350, as adopted pursuant to Secton 906 of the Sarbanes-Oxley Act of 2002.</w:t>
            </w:r>
          </w:p>
        </w:tc>
      </w:tr>
      <w:tr>
        <w:trPr>
          <w:trHeight w:val="223"/>
        </w:trPr>
        <w:tc>
          <w:tcPr>
            <w:tcW w:w="1220" w:type="dxa"/>
            <w:vAlign w:val="bottom"/>
          </w:tcPr>
          <w:p>
            <w:pPr>
              <w:jc w:val="center"/>
              <w:spacing w:after="0"/>
              <w:rPr>
                <w:sz w:val="20"/>
                <w:szCs w:val="20"/>
                <w:color w:val="auto"/>
              </w:rPr>
            </w:pPr>
            <w:r>
              <w:rPr>
                <w:rFonts w:ascii="Arial" w:cs="Arial" w:eastAsia="Arial" w:hAnsi="Arial"/>
                <w:sz w:val="14"/>
                <w:szCs w:val="14"/>
                <w:color w:val="auto"/>
                <w:w w:val="95"/>
              </w:rPr>
              <w:t>32.2</w:t>
            </w:r>
          </w:p>
        </w:tc>
        <w:tc>
          <w:tcPr>
            <w:tcW w:w="1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4"/>
                <w:szCs w:val="14"/>
                <w:color w:val="auto"/>
                <w:w w:val="96"/>
              </w:rPr>
              <w:t>Certfcaton of Chief Financial Ofcer Pursuant to 18 U.S.C. Secton 1350, as adopted pursuant to Secton 906 of the Sarbanes-Oxley Act of 2002.</w:t>
            </w:r>
          </w:p>
        </w:tc>
      </w:tr>
    </w:tbl>
    <w:p>
      <w:pPr>
        <w:spacing w:after="0" w:line="45" w:lineRule="exact"/>
        <w:rPr>
          <w:sz w:val="20"/>
          <w:szCs w:val="20"/>
          <w:color w:val="auto"/>
        </w:rPr>
      </w:pPr>
    </w:p>
    <w:p>
      <w:pPr>
        <w:ind w:left="1360" w:right="1520" w:hanging="858"/>
        <w:spacing w:after="0" w:line="263" w:lineRule="auto"/>
        <w:tabs>
          <w:tab w:leader="none" w:pos="13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following fnancial statements and notes from the AbbVie Inc. Quarterly Report on Form 10-Q for the quarter ended September 30, 2023, fled on November 6, 2023, formated in iXBRL (Inline eXtensible Business Reportng Language): (i) Condensed Consolidated Statements of Earnings; (ii) Condensed Consolidated Statements of Comprehensive Income; (iii) Condensed Consolidated Balance Sheets; (iv) Condensed Consolidated Statements of Equity; (v) Condensed Consolidated Statements of Cash Flows; and (vi) the Notes to Condensed Consolidated Financial Statements.</w:t>
      </w:r>
    </w:p>
    <w:p>
      <w:pPr>
        <w:spacing w:after="0" w:line="42" w:lineRule="exact"/>
        <w:rPr>
          <w:sz w:val="20"/>
          <w:szCs w:val="20"/>
          <w:color w:val="auto"/>
        </w:rPr>
      </w:pPr>
    </w:p>
    <w:p>
      <w:pPr>
        <w:ind w:left="1360" w:right="1720" w:hanging="858"/>
        <w:spacing w:after="0" w:line="235" w:lineRule="auto"/>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Cover Page Interactve Data File (the cover page from the AbbVie Inc. Quarterly Report on Form 10-Q formated as Inline XBRL and contained in Exhibit 101).</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Denotes management contract or compensatory plan or arrangement required to be fled as an exhibit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80" w:type="dxa"/>
            <w:vAlign w:val="bottom"/>
          </w:tcPr>
          <w:p>
            <w:pPr>
              <w:ind w:left="8900"/>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i w:val="1"/>
                <w:iCs w:val="1"/>
                <w:color w:val="auto"/>
              </w:rPr>
              <w:t>38</w:t>
            </w:r>
          </w:p>
        </w:tc>
      </w:tr>
      <w:tr>
        <w:trPr>
          <w:trHeight w:val="182"/>
        </w:trPr>
        <w:tc>
          <w:tcPr>
            <w:tcW w:w="104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-248920</wp:posOffset>
            </wp:positionV>
            <wp:extent cx="404495" cy="74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444867"/>
        </w:rPr>
        <w:t>SIGNATURE</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526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ABBVIE INC.</w:t>
            </w:r>
          </w:p>
        </w:tc>
      </w:tr>
      <w:tr>
        <w:trPr>
          <w:trHeight w:val="59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Scot T. Reents</w:t>
            </w:r>
          </w:p>
        </w:tc>
      </w:tr>
      <w:tr>
        <w:trPr>
          <w:trHeight w:val="165"/>
        </w:trPr>
        <w:tc>
          <w:tcPr>
            <w:tcW w:w="760" w:type="dxa"/>
            <w:vAlign w:val="bottom"/>
          </w:tcPr>
          <w:p>
            <w:pPr>
              <w:spacing w:after="0"/>
              <w:rPr>
                <w:sz w:val="14"/>
                <w:szCs w:val="14"/>
                <w:color w:val="auto"/>
              </w:rPr>
            </w:pPr>
          </w:p>
        </w:tc>
        <w:tc>
          <w:tcPr>
            <w:tcW w:w="5260" w:type="dxa"/>
            <w:vAlign w:val="bottom"/>
          </w:tcPr>
          <w:p>
            <w:pPr>
              <w:ind w:left="40"/>
              <w:spacing w:after="0"/>
              <w:rPr>
                <w:sz w:val="20"/>
                <w:szCs w:val="20"/>
                <w:color w:val="auto"/>
              </w:rPr>
            </w:pPr>
            <w:r>
              <w:rPr>
                <w:rFonts w:ascii="Arial" w:cs="Arial" w:eastAsia="Arial" w:hAnsi="Arial"/>
                <w:sz w:val="14"/>
                <w:szCs w:val="14"/>
                <w:color w:val="auto"/>
              </w:rPr>
              <w:t>Scot T. Reents</w:t>
            </w:r>
          </w:p>
        </w:tc>
      </w:tr>
      <w:tr>
        <w:trPr>
          <w:trHeight w:val="178"/>
        </w:trPr>
        <w:tc>
          <w:tcPr>
            <w:tcW w:w="760" w:type="dxa"/>
            <w:vAlign w:val="bottom"/>
          </w:tcPr>
          <w:p>
            <w:pPr>
              <w:spacing w:after="0"/>
              <w:rPr>
                <w:sz w:val="15"/>
                <w:szCs w:val="15"/>
                <w:color w:val="auto"/>
              </w:rPr>
            </w:pPr>
          </w:p>
        </w:tc>
        <w:tc>
          <w:tcPr>
            <w:tcW w:w="5260" w:type="dxa"/>
            <w:vAlign w:val="bottom"/>
          </w:tcPr>
          <w:p>
            <w:pPr>
              <w:ind w:left="40"/>
              <w:spacing w:after="0"/>
              <w:rPr>
                <w:sz w:val="20"/>
                <w:szCs w:val="20"/>
                <w:color w:val="auto"/>
              </w:rPr>
            </w:pPr>
            <w:r>
              <w:rPr>
                <w:rFonts w:ascii="Arial" w:cs="Arial" w:eastAsia="Arial" w:hAnsi="Arial"/>
                <w:sz w:val="14"/>
                <w:szCs w:val="14"/>
                <w:color w:val="auto"/>
              </w:rPr>
              <w:t>Executve Vice President,</w:t>
            </w:r>
          </w:p>
        </w:tc>
      </w:tr>
      <w:tr>
        <w:trPr>
          <w:trHeight w:val="180"/>
        </w:trPr>
        <w:tc>
          <w:tcPr>
            <w:tcW w:w="760" w:type="dxa"/>
            <w:vAlign w:val="bottom"/>
          </w:tcPr>
          <w:p>
            <w:pPr>
              <w:spacing w:after="0"/>
              <w:rPr>
                <w:sz w:val="15"/>
                <w:szCs w:val="15"/>
                <w:color w:val="auto"/>
              </w:rPr>
            </w:pPr>
          </w:p>
        </w:tc>
        <w:tc>
          <w:tcPr>
            <w:tcW w:w="5260" w:type="dxa"/>
            <w:vAlign w:val="bottom"/>
          </w:tcPr>
          <w:p>
            <w:pPr>
              <w:ind w:left="40"/>
              <w:spacing w:after="0"/>
              <w:rPr>
                <w:sz w:val="20"/>
                <w:szCs w:val="20"/>
                <w:color w:val="auto"/>
              </w:rPr>
            </w:pPr>
            <w:r>
              <w:rPr>
                <w:rFonts w:ascii="Arial" w:cs="Arial" w:eastAsia="Arial" w:hAnsi="Arial"/>
                <w:sz w:val="14"/>
                <w:szCs w:val="14"/>
                <w:color w:val="auto"/>
              </w:rPr>
              <w:t>Chief Financial Ofcer (Principal Financial Ofcer)</w:t>
            </w: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890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6"/>
                <w:szCs w:val="16"/>
                <w:i w:val="1"/>
                <w:iCs w:val="1"/>
                <w:color w:val="auto"/>
              </w:rPr>
              <w:t xml:space="preserve">2023 Form 10-Q </w:t>
            </w: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6396990</wp:posOffset>
            </wp:positionH>
            <wp:positionV relativeFrom="paragraph">
              <wp:posOffset>-127000</wp:posOffset>
            </wp:positionV>
            <wp:extent cx="404495" cy="742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4495" cy="74295"/>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Certfcaton of Chief Executve Ofcer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Required by Rule 13a-14(a) (17 CFR 240.13a-14(a))</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Richard A. Gonzalez, certfy that:</w:t>
      </w:r>
    </w:p>
    <w:p>
      <w:pPr>
        <w:spacing w:after="0" w:line="200" w:lineRule="exact"/>
        <w:rPr>
          <w:sz w:val="20"/>
          <w:szCs w:val="20"/>
          <w:color w:val="auto"/>
        </w:rPr>
      </w:pPr>
    </w:p>
    <w:p>
      <w:pPr>
        <w:ind w:left="240" w:hanging="235"/>
        <w:spacing w:after="0"/>
        <w:tabs>
          <w:tab w:leader="none" w:pos="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AbbVie Inc.;</w:t>
      </w:r>
    </w:p>
    <w:p>
      <w:pPr>
        <w:spacing w:after="0" w:line="199" w:lineRule="exact"/>
        <w:rPr>
          <w:rFonts w:ascii="Arial" w:cs="Arial" w:eastAsia="Arial" w:hAnsi="Arial"/>
          <w:sz w:val="14"/>
          <w:szCs w:val="14"/>
          <w:color w:val="auto"/>
        </w:rPr>
      </w:pPr>
    </w:p>
    <w:p>
      <w:pPr>
        <w:ind w:left="520" w:right="740" w:hanging="515"/>
        <w:spacing w:after="0" w:line="278" w:lineRule="auto"/>
        <w:tabs>
          <w:tab w:leader="none" w:pos="246"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4"/>
          <w:szCs w:val="14"/>
          <w:color w:val="auto"/>
        </w:rPr>
      </w:pPr>
    </w:p>
    <w:p>
      <w:pPr>
        <w:ind w:left="520" w:right="80" w:hanging="515"/>
        <w:spacing w:after="0" w:line="278" w:lineRule="auto"/>
        <w:tabs>
          <w:tab w:leader="none" w:pos="246"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157" w:lineRule="exact"/>
        <w:rPr>
          <w:rFonts w:ascii="Arial" w:cs="Arial" w:eastAsia="Arial" w:hAnsi="Arial"/>
          <w:sz w:val="14"/>
          <w:szCs w:val="14"/>
          <w:color w:val="auto"/>
        </w:rPr>
      </w:pPr>
    </w:p>
    <w:p>
      <w:pPr>
        <w:ind w:left="520" w:right="440" w:hanging="515"/>
        <w:spacing w:after="0" w:line="278" w:lineRule="auto"/>
        <w:tabs>
          <w:tab w:leader="none" w:pos="24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157" w:lineRule="exact"/>
        <w:rPr>
          <w:rFonts w:ascii="Arial" w:cs="Arial" w:eastAsia="Arial" w:hAnsi="Arial"/>
          <w:sz w:val="14"/>
          <w:szCs w:val="14"/>
          <w:color w:val="auto"/>
        </w:rPr>
      </w:pPr>
    </w:p>
    <w:p>
      <w:pPr>
        <w:ind w:left="760" w:right="260" w:hanging="246"/>
        <w:spacing w:after="0" w:line="318" w:lineRule="auto"/>
        <w:tabs>
          <w:tab w:leader="none" w:pos="744" w:val="left"/>
        </w:tabs>
        <w:numPr>
          <w:ilvl w:val="1"/>
          <w:numId w:val="2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134" w:lineRule="exact"/>
        <w:rPr>
          <w:rFonts w:ascii="Arial" w:cs="Arial" w:eastAsia="Arial" w:hAnsi="Arial"/>
          <w:sz w:val="13"/>
          <w:szCs w:val="13"/>
          <w:color w:val="auto"/>
        </w:rPr>
      </w:pPr>
    </w:p>
    <w:p>
      <w:pPr>
        <w:ind w:left="760" w:right="100" w:hanging="246"/>
        <w:spacing w:after="0" w:line="318" w:lineRule="auto"/>
        <w:tabs>
          <w:tab w:leader="none" w:pos="750" w:val="left"/>
        </w:tabs>
        <w:numPr>
          <w:ilvl w:val="1"/>
          <w:numId w:val="22"/>
        </w:numPr>
        <w:rPr>
          <w:rFonts w:ascii="Arial" w:cs="Arial" w:eastAsia="Arial" w:hAnsi="Arial"/>
          <w:sz w:val="13"/>
          <w:szCs w:val="13"/>
          <w:color w:val="auto"/>
        </w:rPr>
      </w:pPr>
      <w:r>
        <w:rPr>
          <w:rFonts w:ascii="Arial" w:cs="Arial" w:eastAsia="Arial" w:hAnsi="Arial"/>
          <w:sz w:val="13"/>
          <w:szCs w:val="13"/>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34" w:lineRule="exact"/>
        <w:rPr>
          <w:rFonts w:ascii="Arial" w:cs="Arial" w:eastAsia="Arial" w:hAnsi="Arial"/>
          <w:sz w:val="13"/>
          <w:szCs w:val="13"/>
          <w:color w:val="auto"/>
        </w:rPr>
      </w:pPr>
    </w:p>
    <w:p>
      <w:pPr>
        <w:ind w:left="760" w:right="600" w:hanging="246"/>
        <w:spacing w:after="0" w:line="278" w:lineRule="auto"/>
        <w:tabs>
          <w:tab w:leader="none" w:pos="736" w:val="left"/>
        </w:tabs>
        <w:numPr>
          <w:ilvl w:val="1"/>
          <w:numId w:val="22"/>
        </w:numPr>
        <w:rPr>
          <w:rFonts w:ascii="Arial" w:cs="Arial" w:eastAsia="Arial" w:hAnsi="Arial"/>
          <w:sz w:val="14"/>
          <w:szCs w:val="14"/>
          <w:color w:val="auto"/>
        </w:rPr>
      </w:pPr>
      <w:r>
        <w:rPr>
          <w:rFonts w:ascii="Arial" w:cs="Arial" w:eastAsia="Arial" w:hAnsi="Arial"/>
          <w:sz w:val="14"/>
          <w:szCs w:val="14"/>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157" w:lineRule="exact"/>
        <w:rPr>
          <w:rFonts w:ascii="Arial" w:cs="Arial" w:eastAsia="Arial" w:hAnsi="Arial"/>
          <w:sz w:val="14"/>
          <w:szCs w:val="14"/>
          <w:color w:val="auto"/>
        </w:rPr>
      </w:pPr>
    </w:p>
    <w:p>
      <w:pPr>
        <w:ind w:left="760" w:right="420" w:hanging="246"/>
        <w:spacing w:after="0" w:line="278" w:lineRule="auto"/>
        <w:tabs>
          <w:tab w:leader="none" w:pos="75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157" w:lineRule="exact"/>
        <w:rPr>
          <w:rFonts w:ascii="Arial" w:cs="Arial" w:eastAsia="Arial" w:hAnsi="Arial"/>
          <w:sz w:val="14"/>
          <w:szCs w:val="14"/>
          <w:color w:val="auto"/>
        </w:rPr>
      </w:pPr>
    </w:p>
    <w:p>
      <w:pPr>
        <w:ind w:left="520" w:right="80" w:hanging="515"/>
        <w:spacing w:after="0" w:line="278" w:lineRule="auto"/>
        <w:tabs>
          <w:tab w:leader="none" w:pos="24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AbbVie’s other certfying ofcer and I have disclosed, based on our most recent evaluaton of internal control over fnancial reportng, to AbbVie’s auditors and the audit commitee of AbbVie’s board of directors:</w:t>
      </w:r>
    </w:p>
    <w:p>
      <w:pPr>
        <w:spacing w:after="0" w:line="157" w:lineRule="exact"/>
        <w:rPr>
          <w:rFonts w:ascii="Arial" w:cs="Arial" w:eastAsia="Arial" w:hAnsi="Arial"/>
          <w:sz w:val="14"/>
          <w:szCs w:val="14"/>
          <w:color w:val="auto"/>
        </w:rPr>
      </w:pPr>
    </w:p>
    <w:p>
      <w:pPr>
        <w:ind w:left="760" w:right="60" w:hanging="246"/>
        <w:spacing w:after="0" w:line="278" w:lineRule="auto"/>
        <w:tabs>
          <w:tab w:leader="none" w:pos="744" w:val="left"/>
        </w:tabs>
        <w:numPr>
          <w:ilvl w:val="1"/>
          <w:numId w:val="22"/>
        </w:numPr>
        <w:rPr>
          <w:rFonts w:ascii="Arial" w:cs="Arial" w:eastAsia="Arial" w:hAnsi="Arial"/>
          <w:sz w:val="14"/>
          <w:szCs w:val="14"/>
          <w:color w:val="auto"/>
        </w:rPr>
      </w:pPr>
      <w:r>
        <w:rPr>
          <w:rFonts w:ascii="Arial" w:cs="Arial" w:eastAsia="Arial" w:hAnsi="Arial"/>
          <w:sz w:val="14"/>
          <w:szCs w:val="14"/>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signifcant role in AbbVie’s internal control over fnancial reportng.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4880" w:type="dxa"/>
            <w:vAlign w:val="bottom"/>
          </w:tcPr>
          <w:p>
            <w:pPr>
              <w:ind w:left="140"/>
              <w:spacing w:after="0"/>
              <w:rPr>
                <w:sz w:val="20"/>
                <w:szCs w:val="20"/>
                <w:color w:val="auto"/>
              </w:rPr>
            </w:pPr>
            <w:r>
              <w:rPr>
                <w:rFonts w:ascii="Arial" w:cs="Arial" w:eastAsia="Arial" w:hAnsi="Arial"/>
                <w:sz w:val="14"/>
                <w:szCs w:val="14"/>
                <w:color w:val="auto"/>
              </w:rPr>
              <w:t>November 6, 2023</w:t>
            </w: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Richard A. Gonzalez</w:t>
            </w:r>
          </w:p>
        </w:tc>
      </w:tr>
      <w:tr>
        <w:trPr>
          <w:trHeight w:val="165"/>
        </w:trPr>
        <w:tc>
          <w:tcPr>
            <w:tcW w:w="4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Richard A. Gonzalez, Chairman of the Board</w:t>
            </w:r>
          </w:p>
        </w:tc>
      </w:tr>
      <w:tr>
        <w:trPr>
          <w:trHeight w:val="178"/>
        </w:trPr>
        <w:tc>
          <w:tcPr>
            <w:tcW w:w="4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and Chief Executve Ofcer</w:t>
            </w:r>
          </w:p>
        </w:tc>
      </w:tr>
    </w:tbl>
    <w:p>
      <w:pPr>
        <w:sectPr>
          <w:pgSz w:w="11900" w:h="16838" w:orient="portrait"/>
          <w:cols w:equalWidth="0" w:num="1">
            <w:col w:w="11280"/>
          </w:cols>
          <w:pgMar w:left="300" w:top="717"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Certfcaton of Chief Financial Ofcer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Required by Rule 13a-14(a) (17 CFR 240.13a-14(a))</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Scot T. Reents, certfy that:</w:t>
      </w:r>
    </w:p>
    <w:p>
      <w:pPr>
        <w:spacing w:after="0" w:line="200" w:lineRule="exact"/>
        <w:rPr>
          <w:sz w:val="20"/>
          <w:szCs w:val="20"/>
          <w:color w:val="auto"/>
        </w:rPr>
      </w:pPr>
    </w:p>
    <w:p>
      <w:pPr>
        <w:ind w:left="240" w:hanging="235"/>
        <w:spacing w:after="0"/>
        <w:tabs>
          <w:tab w:leader="none" w:pos="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AbbVie Inc.;</w:t>
      </w:r>
    </w:p>
    <w:p>
      <w:pPr>
        <w:spacing w:after="0" w:line="199" w:lineRule="exact"/>
        <w:rPr>
          <w:rFonts w:ascii="Arial" w:cs="Arial" w:eastAsia="Arial" w:hAnsi="Arial"/>
          <w:sz w:val="14"/>
          <w:szCs w:val="14"/>
          <w:color w:val="auto"/>
        </w:rPr>
      </w:pPr>
    </w:p>
    <w:p>
      <w:pPr>
        <w:ind w:left="520" w:right="740" w:hanging="515"/>
        <w:spacing w:after="0" w:line="278" w:lineRule="auto"/>
        <w:tabs>
          <w:tab w:leader="none" w:pos="246"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4"/>
          <w:szCs w:val="14"/>
          <w:color w:val="auto"/>
        </w:rPr>
      </w:pPr>
    </w:p>
    <w:p>
      <w:pPr>
        <w:ind w:left="520" w:right="80" w:hanging="515"/>
        <w:spacing w:after="0" w:line="278" w:lineRule="auto"/>
        <w:tabs>
          <w:tab w:leader="none" w:pos="246"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157" w:lineRule="exact"/>
        <w:rPr>
          <w:rFonts w:ascii="Arial" w:cs="Arial" w:eastAsia="Arial" w:hAnsi="Arial"/>
          <w:sz w:val="14"/>
          <w:szCs w:val="14"/>
          <w:color w:val="auto"/>
        </w:rPr>
      </w:pPr>
    </w:p>
    <w:p>
      <w:pPr>
        <w:ind w:left="520" w:right="440" w:hanging="515"/>
        <w:spacing w:after="0" w:line="278" w:lineRule="auto"/>
        <w:tabs>
          <w:tab w:leader="none" w:pos="24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157" w:lineRule="exact"/>
        <w:rPr>
          <w:rFonts w:ascii="Arial" w:cs="Arial" w:eastAsia="Arial" w:hAnsi="Arial"/>
          <w:sz w:val="14"/>
          <w:szCs w:val="14"/>
          <w:color w:val="auto"/>
        </w:rPr>
      </w:pPr>
    </w:p>
    <w:p>
      <w:pPr>
        <w:ind w:left="760" w:right="260" w:hanging="246"/>
        <w:spacing w:after="0" w:line="318" w:lineRule="auto"/>
        <w:tabs>
          <w:tab w:leader="none" w:pos="744" w:val="left"/>
        </w:tabs>
        <w:numPr>
          <w:ilvl w:val="1"/>
          <w:numId w:val="2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134" w:lineRule="exact"/>
        <w:rPr>
          <w:rFonts w:ascii="Arial" w:cs="Arial" w:eastAsia="Arial" w:hAnsi="Arial"/>
          <w:sz w:val="13"/>
          <w:szCs w:val="13"/>
          <w:color w:val="auto"/>
        </w:rPr>
      </w:pPr>
    </w:p>
    <w:p>
      <w:pPr>
        <w:ind w:left="760" w:right="100" w:hanging="246"/>
        <w:spacing w:after="0" w:line="318" w:lineRule="auto"/>
        <w:tabs>
          <w:tab w:leader="none" w:pos="750" w:val="left"/>
        </w:tabs>
        <w:numPr>
          <w:ilvl w:val="1"/>
          <w:numId w:val="23"/>
        </w:numPr>
        <w:rPr>
          <w:rFonts w:ascii="Arial" w:cs="Arial" w:eastAsia="Arial" w:hAnsi="Arial"/>
          <w:sz w:val="13"/>
          <w:szCs w:val="13"/>
          <w:color w:val="auto"/>
        </w:rPr>
      </w:pPr>
      <w:r>
        <w:rPr>
          <w:rFonts w:ascii="Arial" w:cs="Arial" w:eastAsia="Arial" w:hAnsi="Arial"/>
          <w:sz w:val="13"/>
          <w:szCs w:val="13"/>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34" w:lineRule="exact"/>
        <w:rPr>
          <w:rFonts w:ascii="Arial" w:cs="Arial" w:eastAsia="Arial" w:hAnsi="Arial"/>
          <w:sz w:val="13"/>
          <w:szCs w:val="13"/>
          <w:color w:val="auto"/>
        </w:rPr>
      </w:pPr>
    </w:p>
    <w:p>
      <w:pPr>
        <w:ind w:left="760" w:right="600" w:hanging="246"/>
        <w:spacing w:after="0" w:line="278" w:lineRule="auto"/>
        <w:tabs>
          <w:tab w:leader="none" w:pos="736"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157" w:lineRule="exact"/>
        <w:rPr>
          <w:rFonts w:ascii="Arial" w:cs="Arial" w:eastAsia="Arial" w:hAnsi="Arial"/>
          <w:sz w:val="14"/>
          <w:szCs w:val="14"/>
          <w:color w:val="auto"/>
        </w:rPr>
      </w:pPr>
    </w:p>
    <w:p>
      <w:pPr>
        <w:ind w:left="760" w:right="420" w:hanging="246"/>
        <w:spacing w:after="0" w:line="278" w:lineRule="auto"/>
        <w:tabs>
          <w:tab w:leader="none" w:pos="750" w:val="left"/>
        </w:tabs>
        <w:numPr>
          <w:ilvl w:val="1"/>
          <w:numId w:val="23"/>
        </w:numPr>
        <w:rPr>
          <w:rFonts w:ascii="Arial" w:cs="Arial" w:eastAsia="Arial" w:hAnsi="Arial"/>
          <w:sz w:val="14"/>
          <w:szCs w:val="14"/>
          <w:color w:val="auto"/>
        </w:rPr>
      </w:pPr>
      <w:r>
        <w:rPr>
          <w:rFonts w:ascii="Arial" w:cs="Arial" w:eastAsia="Arial" w:hAnsi="Arial"/>
          <w:sz w:val="14"/>
          <w:szCs w:val="14"/>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157" w:lineRule="exact"/>
        <w:rPr>
          <w:rFonts w:ascii="Arial" w:cs="Arial" w:eastAsia="Arial" w:hAnsi="Arial"/>
          <w:sz w:val="14"/>
          <w:szCs w:val="14"/>
          <w:color w:val="auto"/>
        </w:rPr>
      </w:pPr>
    </w:p>
    <w:p>
      <w:pPr>
        <w:ind w:left="520" w:right="80" w:hanging="515"/>
        <w:spacing w:after="0" w:line="278" w:lineRule="auto"/>
        <w:tabs>
          <w:tab w:leader="none" w:pos="24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AbbVie’s other certfying ofcer and I have disclosed, based on our most recent evaluaton of internal control over fnancial reportng, to AbbVie’s auditors and the audit commitee of AbbVie’s board of directors:</w:t>
      </w:r>
    </w:p>
    <w:p>
      <w:pPr>
        <w:spacing w:after="0" w:line="157" w:lineRule="exact"/>
        <w:rPr>
          <w:rFonts w:ascii="Arial" w:cs="Arial" w:eastAsia="Arial" w:hAnsi="Arial"/>
          <w:sz w:val="14"/>
          <w:szCs w:val="14"/>
          <w:color w:val="auto"/>
        </w:rPr>
      </w:pPr>
    </w:p>
    <w:p>
      <w:pPr>
        <w:ind w:left="760" w:right="60" w:hanging="246"/>
        <w:spacing w:after="0" w:line="278" w:lineRule="auto"/>
        <w:tabs>
          <w:tab w:leader="none" w:pos="744"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signifcant role in AbbVie’s internal control over fnancial reportng.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4880" w:type="dxa"/>
            <w:vAlign w:val="bottom"/>
          </w:tcPr>
          <w:p>
            <w:pPr>
              <w:ind w:left="140"/>
              <w:spacing w:after="0"/>
              <w:rPr>
                <w:sz w:val="20"/>
                <w:szCs w:val="20"/>
                <w:color w:val="auto"/>
              </w:rPr>
            </w:pPr>
            <w:r>
              <w:rPr>
                <w:rFonts w:ascii="Arial" w:cs="Arial" w:eastAsia="Arial" w:hAnsi="Arial"/>
                <w:sz w:val="14"/>
                <w:szCs w:val="14"/>
                <w:color w:val="auto"/>
              </w:rPr>
              <w:t>November 6, 2023</w:t>
            </w: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 T. Reents</w:t>
            </w:r>
          </w:p>
        </w:tc>
      </w:tr>
      <w:tr>
        <w:trPr>
          <w:trHeight w:val="165"/>
        </w:trPr>
        <w:tc>
          <w:tcPr>
            <w:tcW w:w="4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Scot T. Reents, Executve Vice President,</w:t>
            </w:r>
          </w:p>
        </w:tc>
      </w:tr>
      <w:tr>
        <w:trPr>
          <w:trHeight w:val="178"/>
        </w:trPr>
        <w:tc>
          <w:tcPr>
            <w:tcW w:w="4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Chief Financial Ofcer</w:t>
            </w:r>
          </w:p>
        </w:tc>
      </w:tr>
    </w:tbl>
    <w:p>
      <w:pPr>
        <w:sectPr>
          <w:pgSz w:w="11900" w:h="16838" w:orient="portrait"/>
          <w:cols w:equalWidth="0" w:num="1">
            <w:col w:w="11280"/>
          </w:cols>
          <w:pgMar w:left="300" w:top="717"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Certfcaton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Secton 906 of the Sarbanes-Oxley Act of 2002</w:t>
      </w:r>
    </w:p>
    <w:p>
      <w:pPr>
        <w:spacing w:after="0" w:line="18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connecton with the Quarterly Report of AbbVie Inc. (the “Company”) on Form 10-Q for the period ended September 30, 2023 as fled with the Securites and Exchange Commission (the “Report”), I, Richard A. Gonzalez, Chairman of the Board and Chief Executve Ofcer of the Company, certfy, pursuant to 18 U.S.C. § 1350, as adopted pursuant to § 906 of the Sarbanes-Oxley Act of 2002, that:</w:t>
      </w:r>
    </w:p>
    <w:p>
      <w:pPr>
        <w:spacing w:after="0" w:line="167" w:lineRule="exact"/>
        <w:rPr>
          <w:sz w:val="20"/>
          <w:szCs w:val="20"/>
          <w:color w:val="auto"/>
        </w:rPr>
      </w:pPr>
    </w:p>
    <w:p>
      <w:pPr>
        <w:ind w:left="540" w:hanging="280"/>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secton 13(a) or 15(d) of the Securites Exchange Act of 1934; and</w:t>
      </w:r>
    </w:p>
    <w:p>
      <w:pPr>
        <w:spacing w:after="0" w:line="199" w:lineRule="exact"/>
        <w:rPr>
          <w:rFonts w:ascii="Arial" w:cs="Arial" w:eastAsia="Arial" w:hAnsi="Arial"/>
          <w:sz w:val="14"/>
          <w:szCs w:val="14"/>
          <w:color w:val="auto"/>
        </w:rPr>
      </w:pPr>
    </w:p>
    <w:p>
      <w:pPr>
        <w:ind w:left="540" w:hanging="280"/>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informaton contained in the Report fairly presents, in all material respects, the fnancial conditon and results of operatons of the Company.</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A. Gonzalez</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76618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66185"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Chairman of the Board and Chief Executve Ofcer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6, 2023</w:t>
      </w:r>
    </w:p>
    <w:p>
      <w:pPr>
        <w:spacing w:after="0" w:line="200" w:lineRule="exact"/>
        <w:rPr>
          <w:sz w:val="20"/>
          <w:szCs w:val="20"/>
          <w:color w:val="auto"/>
        </w:rPr>
      </w:pPr>
    </w:p>
    <w:p>
      <w:pPr>
        <w:spacing w:after="0" w:line="254"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 signed original of this writen statement required by Secton 906 has been provided to AbbVie Inc. and will be retained by AbbVie Inc. and furnished to the Securites and Exchange Commission or its staf upon request.</w:t>
      </w:r>
    </w:p>
    <w:p>
      <w:pPr>
        <w:sectPr>
          <w:pgSz w:w="11900" w:h="16838" w:orient="portrait"/>
          <w:cols w:equalWidth="0" w:num="1">
            <w:col w:w="11280"/>
          </w:cols>
          <w:pgMar w:left="300" w:top="717"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Certfcaton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Secton 906 of the Sarbanes-Oxley Act of 2002</w:t>
      </w:r>
    </w:p>
    <w:p>
      <w:pPr>
        <w:spacing w:after="0" w:line="18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 connecton with the Quarterly Report of AbbVie Inc. (the “Company”) on Form 10-Q for the period ended September 30, 2023 as fled with the Securites and Exchange Commission (the “Report”), I, Scot T. Reents, Executve Vice President, Chief Financial Ofcer of the Company, certfy, pursuant to 18 U.S.C. § 1350, as adopted pursuant to § 906 of the Sarbanes-Oxley Act of 2002, that:</w:t>
      </w:r>
    </w:p>
    <w:p>
      <w:pPr>
        <w:spacing w:after="0" w:line="167" w:lineRule="exact"/>
        <w:rPr>
          <w:sz w:val="20"/>
          <w:szCs w:val="20"/>
          <w:color w:val="auto"/>
        </w:rPr>
      </w:pPr>
    </w:p>
    <w:p>
      <w:pPr>
        <w:ind w:left="540" w:hanging="280"/>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secton 13(a) or 15(d) of the Securites Exchange Act of 1934; and</w:t>
      </w:r>
    </w:p>
    <w:p>
      <w:pPr>
        <w:spacing w:after="0" w:line="199" w:lineRule="exact"/>
        <w:rPr>
          <w:rFonts w:ascii="Arial" w:cs="Arial" w:eastAsia="Arial" w:hAnsi="Arial"/>
          <w:sz w:val="14"/>
          <w:szCs w:val="14"/>
          <w:color w:val="auto"/>
        </w:rPr>
      </w:pPr>
    </w:p>
    <w:p>
      <w:pPr>
        <w:ind w:left="540" w:hanging="280"/>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informaton contained in the Report fairly presents, in all material respects, the fnancial conditon and results of operatons of the Company.</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Scot T. Reents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7661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66185"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Executve Vice President, Chief Financial Ofcer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6, 2023</w:t>
      </w:r>
    </w:p>
    <w:p>
      <w:pPr>
        <w:spacing w:after="0" w:line="200" w:lineRule="exact"/>
        <w:rPr>
          <w:sz w:val="20"/>
          <w:szCs w:val="20"/>
          <w:color w:val="auto"/>
        </w:rPr>
      </w:pPr>
    </w:p>
    <w:p>
      <w:pPr>
        <w:spacing w:after="0" w:line="254"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 signed original of this writen statement required by Secton 906 has been provided to AbbVie Inc. and will be retained by AbbVie Inc. and furnished to the Securites and Exchange Commission or its staf upon request.</w:t>
      </w:r>
    </w:p>
    <w:sectPr>
      <w:pgSz w:w="11900" w:h="16838" w:orient="portrait"/>
      <w:cols w:equalWidth="0" w:num="1">
        <w:col w:w="11280"/>
      </w:cols>
      <w:pgMar w:left="300" w:top="7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Letter"/>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2023-11-06T12:08:46Z</dcterms:created>
  <dcterms:modified xsi:type="dcterms:W3CDTF">2023-11-06T12:08:46Z</dcterms:modified>
</cp:coreProperties>
</file>