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452-3_424b5.htm"/>
        <w:bookmarkStart w:id="1" w:name="kstm26214523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333-284980</w:t>
      </w:r>
      <w:r>
        <w:rPr>
          <w:rFonts w:ascii="Times New Roman;Times;serif" w:hAnsi="Times New Roman;Times;serif"/>
          <w:b/>
          <w:i w:val="false"/>
          <w:caps w:val="false"/>
          <w:smallCaps w:val="false"/>
          <w:color w:val="000000"/>
          <w:sz w:val="20"/>
        </w:rPr>
        <w:t>​</w:t>
      </w:r>
    </w:p>
    <w:p>
      <w:pPr>
        <w:pStyle w:val="TextBody"/>
        <w:bidi w:val="0"/>
        <w:spacing w:lineRule="atLeast" w:line="240" w:before="9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February 14,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$10,000,000,000</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AbbVie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$500,000,000 SENIOR FLOATING RATE NOTES DUE 2028</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 xml:space="preserve">$1,000,000,000 4.500% SENIOR NOTES DUE 2028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$1,250,000,000 4.650% SENIOR NOTES DUE 2030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$1,500,000,000 4.875% SENIOR NOTES DUE 2031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$1,250,000,000 5.050% SENIOR NOTES DUE 2033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$1,500,000,000 5.300% SENIOR NOTES DUE 2036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$1,000,000,000 5.450% SENIOR NOTES DUE 2038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$1,500,000,000 6.000% SENIOR NOTES DUE 2056</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$500,000,000 6.100% SENIOR NOTES DUE 2066</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Interest on the Floating Rate Notes is payable on February 18, May 18, August 18 and November 18 of each year,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commencing November 18,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on the 2028 Notes is payable on February 18 and August 18 of each year, commencing February 18, 2027.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Interest on each series of Fixed Rate Notes (other than the 2028 Notes) is payable on March 15 and September 15 of each year,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commencing March 15, 2027.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94"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Inc., a Delaware corporation (the “Issuer”), is offering $500,000,000 aggregate principal amount of its senior floating rate notes due 2028 (the “Floating Rate Notes”), $1,000,000,000 aggregate principal amount of its 4.500% senior notes due 2028 (the “2028 Notes”), $1,250,000,000 aggregate principal amount of its 4.650% senior notes due 2030 (the “2030 Notes”), $1,500,000,000 aggregate principal amount of its 4.875% senior notes due 2031 (the “2031 Notes”), $1,250,000,000 aggregate principal amount of its 5.050% senior notes due 2033 (the “2033 Notes”), $1,500,000,000 aggregate principal amount of its 5.300% senior notes due 2036 (the “2036 Notes”), $1,000,000,000 aggregate principal amount of its 5.450% senior notes due 2038 (the “2038 Notes”), $1,500,000,000 aggregate principal amount of its 6.000% senior notes due 2056 (the “2056 Notes”), and $500,000,000 aggregate principal amount of its 6.100% senior notes due 2066 (the “2066 Notes” and, together with the 2028 Notes, the 2030 Notes, the 2031 Notes, the 2033 Notes, the 2036 Notes, the 2038 Notes, and the 2056 Notes, the “Fixed Rate Notes,” and the Fixed Rate Notes together with the Floating Rate Notes, the “Notes”). Each of the Floating Rate Notes, the 2028 Notes, the 2030 Notes, the 2031 Notes, the 2033 Notes, the 2036 Notes, the 2038 Notes, the 2056 Notes and the 2066 Notes is referred to as a “series” of Notes. </w:t>
      </w:r>
    </w:p>
    <w:p>
      <w:pPr>
        <w:pStyle w:val="TextBody"/>
        <w:bidi w:val="0"/>
        <w:spacing w:lineRule="atLeast" w:line="240" w:before="94"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unsecured, unsubordinated obligations of the Issuer and will rank equally in right of payment with all of the Issuer’s existing and future unsecured, unsubordinated indebtedness, liabilities, and other obligations. The Notes will be issued in minimum denominations of $2,000 and in integral multiples of $1,000 in excess thereof. The Notes will not be listed on any securities exchange. Currently there is no public market for any series of the Notes. </w:t>
      </w:r>
    </w:p>
    <w:p>
      <w:pPr>
        <w:pStyle w:val="TextBody"/>
        <w:bidi w:val="0"/>
        <w:spacing w:lineRule="atLeast" w:line="240" w:before="94"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Issuer expects the net proceeds to it from this offering will be approximately $9.93 billion (after deducting underwriting discounts and estimated offering expenses). The Issuer intends to use the net proceeds from the sale of the Notes (i) to fund a portion of its cash payment obligations in connection with its acquisition of Apogee Therapeutics, Inc., a Delaware corporation (“Apogee” and such acquisition, the “Specified Acquisition”) and to pay fees, expenses, and other amounts in connection therewith and (ii) for other general corporate purposes, which may include the repayment or repurchase of outstanding debt. See “</w:t>
      </w:r>
      <w:r>
        <w:rPr>
          <w:rFonts w:ascii="Times New Roman;Times;serif" w:hAnsi="Times New Roman;Times;serif"/>
          <w:b w:val="false"/>
          <w:i/>
          <w:caps w:val="false"/>
          <w:smallCaps w:val="false"/>
          <w:color w:val="000000"/>
          <w:spacing w:val="4"/>
          <w:sz w:val="20"/>
        </w:rPr>
        <w:t>Use of Proceeds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94"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offering is not conditioned upon the consummation of the Specified Acquisition by the Issuer or any of its subsidiaries; however, if the Issuer publicly announces that the Acquisition Agreement (as defined herein) has been terminated prior to the consummation of the Specified Acquisition, or otherwise notifies the Trustee (as defined herein) in writing that it will not pursue the consummation of the Specified Acquisition, the Issuer will be required to redeem the Floating Rate Notes, the 2028 Notes, the 2030 Notes, the 2031 Notes, the 2033 Notes, the 2036 Notes, and the 2038 Notes (the “Mandatorily Redeemable Notes”) then outstanding at a redemption price equal to 101% of the principal amount of the Mandatorily Redeemable Notes to be redeemed plus accrued and unpaid interest thereon to, but excluding, the redemption date. The 2056 Notes and the 2066 Notes (the “Long-Term Notes”) will not be subject to any Special Mandatory Redemption (as defined herein). There is no escrow account for, or security interest in, the proceeds of this offering for the benefit of holders of the Notes. See “</w:t>
      </w:r>
      <w:r>
        <w:rPr>
          <w:rFonts w:ascii="Times New Roman;Times;serif" w:hAnsi="Times New Roman;Times;serif"/>
          <w:b w:val="false"/>
          <w:i/>
          <w:caps w:val="false"/>
          <w:smallCaps w:val="false"/>
          <w:color w:val="000000"/>
          <w:spacing w:val="4"/>
          <w:sz w:val="20"/>
        </w:rPr>
        <w:t>Description of Notes—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pacing w:val="4"/>
          <w:sz w:val="20"/>
        </w:rPr>
        <w:t>Special Mandatory 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94"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Issuer may redeem some or all of each series of Fixed Rate Notes at any time at redemption prices described in this prospectus supplement under the caption “</w:t>
      </w:r>
      <w:r>
        <w:rPr>
          <w:rFonts w:ascii="Times New Roman;Times;serif" w:hAnsi="Times New Roman;Times;serif"/>
          <w:b w:val="false"/>
          <w:i/>
          <w:caps w:val="false"/>
          <w:smallCaps w:val="false"/>
          <w:color w:val="000000"/>
          <w:spacing w:val="4"/>
          <w:sz w:val="20"/>
        </w:rPr>
        <w:t>Description of Notes—Optional Redemption</w:t>
      </w:r>
      <w:r>
        <w:rPr>
          <w:rFonts w:ascii="Times New Roman;Times;serif" w:hAnsi="Times New Roman;Times;serif"/>
          <w:b w:val="false"/>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540" w:right="0" w:firstLine="400"/>
        <w:jc w:val="left"/>
        <w:rPr/>
      </w:pPr>
      <w:r>
        <w:rPr>
          <w:rFonts w:ascii="Times New Roman;Times;serif" w:hAnsi="Times New Roman;Times;serif"/>
          <w:b/>
          <w:i w:val="false"/>
          <w:caps w:val="false"/>
          <w:smallCaps w:val="false"/>
          <w:color w:val="000000"/>
          <w:spacing w:val="-4"/>
          <w:sz w:val="20"/>
        </w:rPr>
        <w:t>Investing in the Notes involves risks. Please read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included or incorporated by reference herein, as described beginning on page </w:t>
      </w:r>
      <w:hyperlink w:anchor="sRIFA">
        <w:r>
          <w:rPr>
            <w:rStyle w:val="InternetLink"/>
          </w:rPr>
          <w:t>S-7</w:t>
        </w:r>
      </w:hyperlink>
      <w:r>
        <w:rPr>
          <w:rFonts w:ascii="Times New Roman;Times;serif" w:hAnsi="Times New Roman;Times;serif"/>
          <w:b/>
          <w:i w:val="false"/>
          <w:caps w:val="false"/>
          <w:smallCaps w:val="false"/>
          <w:color w:val="000000"/>
          <w:spacing w:val="-4"/>
          <w:sz w:val="20"/>
        </w:rPr>
        <w:t xml:space="preserve"> of this prospectus supplement.</w:t>
      </w:r>
      <w:r>
        <w:rPr>
          <w:rFonts w:ascii="Times New Roman;Times;serif" w:hAnsi="Times New Roman;Times;serif"/>
          <w:b/>
          <w:i w:val="false"/>
          <w:caps w:val="false"/>
          <w:smallCaps w:val="false"/>
          <w:color w:val="000000"/>
          <w:spacing w:val="4"/>
          <w:sz w:val="20"/>
        </w:rPr>
        <w:t xml:space="preserve"> </w:t>
      </w:r>
    </w:p>
    <w:tbl>
      <w:tblPr>
        <w:tblW w:w="8834" w:type="dxa"/>
        <w:jc w:val="left"/>
        <w:tblInd w:w="540" w:type="dxa"/>
        <w:tblLayout w:type="fixed"/>
        <w:tblCellMar>
          <w:top w:w="0" w:type="dxa"/>
          <w:left w:w="0" w:type="dxa"/>
          <w:bottom w:w="28" w:type="dxa"/>
          <w:right w:w="0" w:type="dxa"/>
        </w:tblCellMar>
      </w:tblPr>
      <w:tblGrid>
        <w:gridCol w:w="2416"/>
        <w:gridCol w:w="109"/>
        <w:gridCol w:w="109"/>
        <w:gridCol w:w="109"/>
        <w:gridCol w:w="226"/>
        <w:gridCol w:w="1546"/>
        <w:gridCol w:w="109"/>
        <w:gridCol w:w="109"/>
        <w:gridCol w:w="109"/>
        <w:gridCol w:w="109"/>
        <w:gridCol w:w="226"/>
        <w:gridCol w:w="1246"/>
        <w:gridCol w:w="109"/>
        <w:gridCol w:w="109"/>
        <w:gridCol w:w="109"/>
        <w:gridCol w:w="109"/>
        <w:gridCol w:w="226"/>
        <w:gridCol w:w="1486"/>
        <w:gridCol w:w="109"/>
        <w:gridCol w:w="154"/>
      </w:tblGrid>
      <w:tr>
        <w:trPr/>
        <w:tc>
          <w:tcPr>
            <w:tcW w:w="24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0" w:type="dxa"/>
            <w:gridSpan w:val="4"/>
            <w:tcBorders>
              <w:bottom w:val="single" w:sz="2" w:space="0" w:color="000000"/>
            </w:tcBorders>
            <w:vAlign w:val="center"/>
          </w:tcPr>
          <w:p>
            <w:pPr>
              <w:pStyle w:val="TableContents"/>
              <w:bidi w:val="0"/>
              <w:spacing w:lineRule="atLeast" w:line="142" w:before="0" w:after="0"/>
              <w:jc w:val="center"/>
              <w:rPr/>
            </w:pPr>
            <w:r>
              <w:rPr>
                <w:spacing w:val="-3"/>
              </w:rPr>
              <w:t>Public offering</w:t>
            </w:r>
            <w:r>
              <w:rPr/>
              <w:t xml:space="preserve"> </w:t>
              <w:br/>
            </w:r>
            <w:r>
              <w:rPr>
                <w:spacing w:val="-3"/>
              </w:rPr>
              <w:t>price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0" w:type="dxa"/>
            <w:gridSpan w:val="4"/>
            <w:tcBorders>
              <w:bottom w:val="single" w:sz="2" w:space="0" w:color="000000"/>
            </w:tcBorders>
            <w:vAlign w:val="center"/>
          </w:tcPr>
          <w:p>
            <w:pPr>
              <w:pStyle w:val="TableContents"/>
              <w:bidi w:val="0"/>
              <w:spacing w:before="0" w:after="0"/>
              <w:jc w:val="center"/>
              <w:rPr/>
            </w:pPr>
            <w:r>
              <w:rPr>
                <w:spacing w:val="-3"/>
              </w:rPr>
              <w:t>Underwriting</w:t>
            </w:r>
            <w:r>
              <w:rPr/>
              <w:t xml:space="preserve"> </w:t>
              <w:br/>
            </w:r>
            <w:r>
              <w:rPr>
                <w:spacing w:val="-3"/>
              </w:rPr>
              <w:t xml:space="preserve">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Proceeds, before</w:t>
            </w:r>
            <w:r>
              <w:rPr/>
              <w:t xml:space="preserve"> </w:t>
              <w:br/>
            </w:r>
            <w:r>
              <w:rPr>
                <w:spacing w:val="-3"/>
              </w:rPr>
              <w:t xml:space="preserve">expenses, to 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16" w:type="dxa"/>
            <w:tcBorders/>
            <w:shd w:fill="CCEEFF" w:val="clear"/>
            <w:tcMar>
              <w:bottom w:w="0" w:type="dxa"/>
            </w:tcMar>
            <w:vAlign w:val="center"/>
          </w:tcPr>
          <w:p>
            <w:pPr>
              <w:pStyle w:val="TableContents"/>
              <w:bidi w:val="0"/>
              <w:spacing w:before="0" w:after="0"/>
              <w:jc w:val="left"/>
              <w:rPr>
                <w:spacing w:val="4"/>
              </w:rPr>
            </w:pPr>
            <w:r>
              <w:rPr>
                <w:spacing w:val="4"/>
              </w:rPr>
              <w:t xml:space="preserve">Per Floating Rate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0.150%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99.850%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16" w:type="dxa"/>
            <w:tcBorders/>
            <w:tcMar>
              <w:bottom w:w="0" w:type="dxa"/>
            </w:tcMar>
            <w:vAlign w:val="center"/>
          </w:tcPr>
          <w:p>
            <w:pPr>
              <w:pStyle w:val="TableContents"/>
              <w:bidi w:val="0"/>
              <w:spacing w:before="0" w:after="0"/>
              <w:jc w:val="left"/>
              <w:rPr>
                <w:spacing w:val="4"/>
              </w:rPr>
            </w:pPr>
            <w:r>
              <w:rPr>
                <w:spacing w:val="4"/>
              </w:rPr>
              <w:t xml:space="preserve">Per 2028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46" w:type="dxa"/>
            <w:tcBorders/>
            <w:tcMar>
              <w:bottom w:w="0" w:type="dxa"/>
            </w:tcMar>
            <w:vAlign w:val="center"/>
          </w:tcPr>
          <w:p>
            <w:pPr>
              <w:pStyle w:val="TableContents"/>
              <w:bidi w:val="0"/>
              <w:spacing w:before="0" w:after="283"/>
              <w:jc w:val="right"/>
              <w:rPr/>
            </w:pPr>
            <w:r>
              <w:rPr/>
              <w:t>99.970%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0.150%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99.820%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16" w:type="dxa"/>
            <w:tcBorders/>
            <w:shd w:fill="CCEEFF" w:val="clear"/>
            <w:tcMar>
              <w:bottom w:w="0" w:type="dxa"/>
            </w:tcMar>
            <w:vAlign w:val="center"/>
          </w:tcPr>
          <w:p>
            <w:pPr>
              <w:pStyle w:val="TableContents"/>
              <w:bidi w:val="0"/>
              <w:spacing w:before="0" w:after="0"/>
              <w:jc w:val="left"/>
              <w:rPr>
                <w:spacing w:val="4"/>
              </w:rPr>
            </w:pPr>
            <w:r>
              <w:rPr>
                <w:spacing w:val="4"/>
              </w:rPr>
              <w:t xml:space="preserve">Per 2030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99.862%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99.612%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16" w:type="dxa"/>
            <w:tcBorders/>
            <w:tcMar>
              <w:bottom w:w="0" w:type="dxa"/>
            </w:tcMar>
            <w:vAlign w:val="center"/>
          </w:tcPr>
          <w:p>
            <w:pPr>
              <w:pStyle w:val="TableContents"/>
              <w:bidi w:val="0"/>
              <w:spacing w:before="0" w:after="0"/>
              <w:jc w:val="left"/>
              <w:rPr>
                <w:spacing w:val="4"/>
              </w:rPr>
            </w:pPr>
            <w:r>
              <w:rPr>
                <w:spacing w:val="4"/>
              </w:rPr>
              <w:t xml:space="preserve">Per 2031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46" w:type="dxa"/>
            <w:tcBorders/>
            <w:tcMar>
              <w:bottom w:w="0" w:type="dxa"/>
            </w:tcMar>
            <w:vAlign w:val="center"/>
          </w:tcPr>
          <w:p>
            <w:pPr>
              <w:pStyle w:val="TableContents"/>
              <w:bidi w:val="0"/>
              <w:spacing w:before="0" w:after="283"/>
              <w:jc w:val="right"/>
              <w:rPr/>
            </w:pPr>
            <w:r>
              <w:rPr/>
              <w:t>99.977%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0.350%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99.627%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16" w:type="dxa"/>
            <w:tcBorders/>
            <w:shd w:fill="CCEEFF" w:val="clear"/>
            <w:tcMar>
              <w:bottom w:w="0" w:type="dxa"/>
            </w:tcMar>
            <w:vAlign w:val="center"/>
          </w:tcPr>
          <w:p>
            <w:pPr>
              <w:pStyle w:val="TableContents"/>
              <w:bidi w:val="0"/>
              <w:spacing w:before="0" w:after="0"/>
              <w:jc w:val="left"/>
              <w:rPr>
                <w:spacing w:val="4"/>
              </w:rPr>
            </w:pPr>
            <w:r>
              <w:rPr>
                <w:spacing w:val="4"/>
              </w:rPr>
              <w:t xml:space="preserve">Per 2033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99.889%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0.375%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99.514%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16" w:type="dxa"/>
            <w:tcBorders/>
            <w:tcMar>
              <w:bottom w:w="0" w:type="dxa"/>
            </w:tcMar>
            <w:vAlign w:val="center"/>
          </w:tcPr>
          <w:p>
            <w:pPr>
              <w:pStyle w:val="TableContents"/>
              <w:bidi w:val="0"/>
              <w:spacing w:before="0" w:after="0"/>
              <w:jc w:val="left"/>
              <w:rPr>
                <w:spacing w:val="4"/>
              </w:rPr>
            </w:pPr>
            <w:r>
              <w:rPr>
                <w:spacing w:val="4"/>
              </w:rPr>
              <w:t xml:space="preserve">Per 2036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46" w:type="dxa"/>
            <w:tcBorders/>
            <w:tcMar>
              <w:bottom w:w="0" w:type="dxa"/>
            </w:tcMar>
            <w:vAlign w:val="center"/>
          </w:tcPr>
          <w:p>
            <w:pPr>
              <w:pStyle w:val="TableContents"/>
              <w:bidi w:val="0"/>
              <w:spacing w:before="0" w:after="283"/>
              <w:jc w:val="right"/>
              <w:rPr/>
            </w:pPr>
            <w:r>
              <w:rPr/>
              <w:t>99.832%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0.450%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99.382%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16" w:type="dxa"/>
            <w:tcBorders/>
            <w:shd w:fill="CCEEFF" w:val="clear"/>
            <w:tcMar>
              <w:bottom w:w="0" w:type="dxa"/>
            </w:tcMar>
            <w:vAlign w:val="center"/>
          </w:tcPr>
          <w:p>
            <w:pPr>
              <w:pStyle w:val="TableContents"/>
              <w:bidi w:val="0"/>
              <w:spacing w:before="0" w:after="0"/>
              <w:jc w:val="left"/>
              <w:rPr>
                <w:spacing w:val="4"/>
              </w:rPr>
            </w:pPr>
            <w:r>
              <w:rPr>
                <w:spacing w:val="4"/>
              </w:rPr>
              <w:t xml:space="preserve">Per 2038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46" w:type="dxa"/>
            <w:tcBorders/>
            <w:shd w:fill="CCEEFF" w:val="clear"/>
            <w:tcMar>
              <w:bottom w:w="0" w:type="dxa"/>
            </w:tcMar>
            <w:vAlign w:val="center"/>
          </w:tcPr>
          <w:p>
            <w:pPr>
              <w:pStyle w:val="TableContents"/>
              <w:bidi w:val="0"/>
              <w:spacing w:before="0" w:after="283"/>
              <w:jc w:val="right"/>
              <w:rPr/>
            </w:pPr>
            <w:r>
              <w:rPr/>
              <w:t>99.810%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0.475%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99.335%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16" w:type="dxa"/>
            <w:tcBorders/>
            <w:tcMar>
              <w:bottom w:w="0" w:type="dxa"/>
            </w:tcMar>
            <w:vAlign w:val="center"/>
          </w:tcPr>
          <w:p>
            <w:pPr>
              <w:pStyle w:val="TableContents"/>
              <w:bidi w:val="0"/>
              <w:spacing w:before="0" w:after="0"/>
              <w:jc w:val="left"/>
              <w:rPr>
                <w:spacing w:val="4"/>
              </w:rPr>
            </w:pPr>
            <w:r>
              <w:rPr>
                <w:spacing w:val="4"/>
              </w:rPr>
              <w:t xml:space="preserve">Per 2056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46" w:type="dxa"/>
            <w:tcBorders/>
            <w:tcMar>
              <w:bottom w:w="0" w:type="dxa"/>
            </w:tcMar>
            <w:vAlign w:val="center"/>
          </w:tcPr>
          <w:p>
            <w:pPr>
              <w:pStyle w:val="TableContents"/>
              <w:bidi w:val="0"/>
              <w:spacing w:before="0" w:after="283"/>
              <w:jc w:val="right"/>
              <w:rPr/>
            </w:pPr>
            <w:r>
              <w:rPr/>
              <w:t>99.441%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0.750%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98.691%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1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Per 2066 Note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546" w:type="dxa"/>
            <w:tcBorders>
              <w:bottom w:val="single" w:sz="2" w:space="0" w:color="000000"/>
            </w:tcBorders>
            <w:shd w:fill="CCEEFF" w:val="clear"/>
            <w:vAlign w:val="center"/>
          </w:tcPr>
          <w:p>
            <w:pPr>
              <w:pStyle w:val="TableContents"/>
              <w:bidi w:val="0"/>
              <w:spacing w:before="0" w:after="283"/>
              <w:jc w:val="right"/>
              <w:rPr/>
            </w:pPr>
            <w:r>
              <w:rPr/>
              <w:t>99.843%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246" w:type="dxa"/>
            <w:tcBorders>
              <w:bottom w:val="single" w:sz="2" w:space="0" w:color="000000"/>
            </w:tcBorders>
            <w:shd w:fill="CCEEFF" w:val="clear"/>
            <w:vAlign w:val="center"/>
          </w:tcPr>
          <w:p>
            <w:pPr>
              <w:pStyle w:val="TableContents"/>
              <w:bidi w:val="0"/>
              <w:spacing w:before="0" w:after="283"/>
              <w:jc w:val="right"/>
              <w:rPr/>
            </w:pPr>
            <w:r>
              <w:rPr/>
              <w:t>0.750%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486" w:type="dxa"/>
            <w:tcBorders>
              <w:bottom w:val="single" w:sz="2" w:space="0" w:color="000000"/>
            </w:tcBorders>
            <w:shd w:fill="CCEEFF" w:val="clear"/>
            <w:vAlign w:val="center"/>
          </w:tcPr>
          <w:p>
            <w:pPr>
              <w:pStyle w:val="TableContents"/>
              <w:bidi w:val="0"/>
              <w:spacing w:before="0" w:after="283"/>
              <w:jc w:val="right"/>
              <w:rPr/>
            </w:pPr>
            <w:r>
              <w:rPr/>
              <w:t>99.093%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416" w:type="dxa"/>
            <w:tcBorders/>
            <w:tcMar>
              <w:bottom w:w="0" w:type="dxa"/>
            </w:tcMar>
            <w:vAlign w:val="center"/>
          </w:tcPr>
          <w:p>
            <w:pPr>
              <w:pStyle w:val="TableContents"/>
              <w:bidi w:val="0"/>
              <w:spacing w:before="0" w:after="0"/>
              <w:jc w:val="left"/>
              <w:rPr>
                <w:spacing w:val="4"/>
              </w:rPr>
            </w:pPr>
            <w:r>
              <w:rPr>
                <w:spacing w:val="4"/>
              </w:rPr>
              <w:t xml:space="preserve">Totals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546" w:type="dxa"/>
            <w:tcBorders>
              <w:bottom w:val="double" w:sz="8" w:space="0" w:color="000000"/>
            </w:tcBorders>
            <w:vAlign w:val="center"/>
          </w:tcPr>
          <w:p>
            <w:pPr>
              <w:pStyle w:val="TableContents"/>
              <w:bidi w:val="0"/>
              <w:spacing w:before="0" w:after="283"/>
              <w:jc w:val="right"/>
              <w:rPr/>
            </w:pPr>
            <w:r>
              <w:rPr/>
              <w:t xml:space="preserve">9,982,652,500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246" w:type="dxa"/>
            <w:tcBorders>
              <w:bottom w:val="double" w:sz="8" w:space="0" w:color="000000"/>
            </w:tcBorders>
            <w:vAlign w:val="center"/>
          </w:tcPr>
          <w:p>
            <w:pPr>
              <w:pStyle w:val="TableContents"/>
              <w:bidi w:val="0"/>
              <w:spacing w:before="0" w:after="283"/>
              <w:jc w:val="right"/>
              <w:rPr/>
            </w:pPr>
            <w:r>
              <w:rPr/>
              <w:t xml:space="preserve">41,812,500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486" w:type="dxa"/>
            <w:tcBorders>
              <w:bottom w:val="double" w:sz="8" w:space="0" w:color="000000"/>
            </w:tcBorders>
            <w:vAlign w:val="center"/>
          </w:tcPr>
          <w:p>
            <w:pPr>
              <w:pStyle w:val="TableContents"/>
              <w:bidi w:val="0"/>
              <w:spacing w:before="0" w:after="283"/>
              <w:jc w:val="right"/>
              <w:rPr/>
            </w:pPr>
            <w:r>
              <w:rPr/>
              <w:t>9,940,840,000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and including August 18, 2026, if settlement occurs after that date.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40" w:before="94" w:after="283"/>
        <w:ind w:left="54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supplement.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94"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underwriters expect to deliver the Notes to purchasers in book-entry form only through the facilities of The Depository Trust Company for the benefit of its participants, including Euroclear Bank S.A./N.V. and Clearstream Banking, </w:t>
      </w:r>
      <w:r>
        <w:rPr>
          <w:rFonts w:ascii="Times New Roman;Times;serif" w:hAnsi="Times New Roman;Times;serif"/>
          <w:b w:val="false"/>
          <w:i/>
          <w:caps w:val="false"/>
          <w:smallCaps w:val="false"/>
          <w:color w:val="000000"/>
          <w:spacing w:val="4"/>
          <w:sz w:val="20"/>
        </w:rPr>
        <w:t>société anonyme</w:t>
      </w:r>
      <w:r>
        <w:rPr>
          <w:rFonts w:ascii="Times New Roman;Times;serif" w:hAnsi="Times New Roman;Times;serif"/>
          <w:b w:val="false"/>
          <w:i w:val="false"/>
          <w:caps w:val="false"/>
          <w:smallCaps w:val="false"/>
          <w:color w:val="000000"/>
          <w:spacing w:val="4"/>
          <w:sz w:val="20"/>
        </w:rPr>
        <w:t xml:space="preserve">, Luxembourg on or about August 18, 2026. </w:t>
      </w:r>
    </w:p>
    <w:p>
      <w:pPr>
        <w:pStyle w:val="TextBody"/>
        <w:bidi w:val="0"/>
        <w:spacing w:lineRule="atLeast" w:line="240" w:before="4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tbl>
      <w:tblPr>
        <w:tblW w:w="9665" w:type="dxa"/>
        <w:jc w:val="left"/>
        <w:tblInd w:w="540" w:type="dxa"/>
        <w:tblLayout w:type="fixed"/>
        <w:tblCellMar>
          <w:top w:w="0" w:type="dxa"/>
          <w:left w:w="0" w:type="dxa"/>
          <w:bottom w:w="0" w:type="dxa"/>
          <w:right w:w="0" w:type="dxa"/>
        </w:tblCellMar>
      </w:tblPr>
      <w:tblGrid>
        <w:gridCol w:w="124"/>
        <w:gridCol w:w="2074"/>
        <w:gridCol w:w="109"/>
        <w:gridCol w:w="109"/>
        <w:gridCol w:w="1988"/>
        <w:gridCol w:w="109"/>
        <w:gridCol w:w="109"/>
        <w:gridCol w:w="1723"/>
        <w:gridCol w:w="109"/>
        <w:gridCol w:w="109"/>
        <w:gridCol w:w="2946"/>
        <w:gridCol w:w="156"/>
      </w:tblGrid>
      <w:tr>
        <w:trPr/>
        <w:tc>
          <w:tcPr>
            <w:tcW w:w="124" w:type="dxa"/>
            <w:tcBorders/>
            <w:vAlign w:val="center"/>
          </w:tcPr>
          <w:p>
            <w:pPr>
              <w:pStyle w:val="TableContents"/>
              <w:bidi w:val="0"/>
              <w:spacing w:before="0" w:after="283"/>
              <w:jc w:val="left"/>
              <w:rPr/>
            </w:pPr>
            <w:r>
              <w:rPr/>
              <w:t>​</w:t>
            </w:r>
          </w:p>
        </w:tc>
        <w:tc>
          <w:tcPr>
            <w:tcW w:w="2074" w:type="dxa"/>
            <w:tcBorders/>
            <w:vAlign w:val="center"/>
          </w:tcPr>
          <w:p>
            <w:pPr>
              <w:pStyle w:val="TableContents"/>
              <w:bidi w:val="0"/>
              <w:spacing w:before="0" w:after="0"/>
              <w:jc w:val="center"/>
              <w:rPr/>
            </w:pPr>
            <w:r>
              <w:rPr>
                <w:spacing w:val="-6"/>
              </w:rPr>
              <w:t>Morgan Stanley</w:t>
            </w:r>
            <w:r>
              <w:rPr/>
              <w:t xml:space="preserve"> </w:t>
            </w:r>
          </w:p>
          <w:p>
            <w:pPr>
              <w:pStyle w:val="TableContents"/>
              <w:bidi w:val="0"/>
              <w:spacing w:lineRule="atLeast" w:line="240" w:before="0" w:after="0"/>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88" w:type="dxa"/>
            <w:tcBorders/>
            <w:vAlign w:val="center"/>
          </w:tcPr>
          <w:p>
            <w:pPr>
              <w:pStyle w:val="TableContents"/>
              <w:bidi w:val="0"/>
              <w:spacing w:before="0" w:after="0"/>
              <w:jc w:val="center"/>
              <w:rPr/>
            </w:pPr>
            <w:r>
              <w:rPr>
                <w:spacing w:val="-6"/>
              </w:rPr>
              <w:t>BofA Securities</w:t>
            </w:r>
            <w:r>
              <w:rPr/>
              <w:t xml:space="preserve"> </w:t>
            </w:r>
          </w:p>
          <w:p>
            <w:pPr>
              <w:pStyle w:val="TableContents"/>
              <w:bidi w:val="0"/>
              <w:spacing w:lineRule="atLeast" w:line="240" w:before="0" w:after="0"/>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3" w:type="dxa"/>
            <w:tcBorders/>
            <w:vAlign w:val="center"/>
          </w:tcPr>
          <w:p>
            <w:pPr>
              <w:pStyle w:val="TableContents"/>
              <w:bidi w:val="0"/>
              <w:spacing w:before="0" w:after="0"/>
              <w:jc w:val="center"/>
              <w:rPr/>
            </w:pPr>
            <w:r>
              <w:rPr>
                <w:spacing w:val="-6"/>
              </w:rPr>
              <w:t>J.P. Morgan</w:t>
            </w:r>
            <w:r>
              <w:rPr/>
              <w:t xml:space="preserve"> </w:t>
            </w:r>
          </w:p>
          <w:p>
            <w:pPr>
              <w:pStyle w:val="TableContents"/>
              <w:bidi w:val="0"/>
              <w:spacing w:lineRule="atLeast" w:line="240" w:before="0" w:after="0"/>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46" w:type="dxa"/>
            <w:tcBorders/>
            <w:vAlign w:val="center"/>
          </w:tcPr>
          <w:p>
            <w:pPr>
              <w:pStyle w:val="TableContents"/>
              <w:bidi w:val="0"/>
              <w:spacing w:before="0" w:after="0"/>
              <w:jc w:val="center"/>
              <w:rPr/>
            </w:pPr>
            <w:r>
              <w:rPr>
                <w:spacing w:val="-6"/>
              </w:rPr>
              <w:t>SOCIETE GENERALE</w:t>
            </w:r>
            <w:r>
              <w:rPr/>
              <w:t xml:space="preserve"> </w:t>
            </w:r>
          </w:p>
          <w:p>
            <w:pPr>
              <w:pStyle w:val="TableContents"/>
              <w:bidi w:val="0"/>
              <w:spacing w:lineRule="atLeast" w:line="240" w:before="0" w:after="0"/>
              <w:jc w:val="center"/>
              <w:rPr>
                <w:b w:val="false"/>
                <w:i/>
                <w:sz w:val="20"/>
              </w:rPr>
            </w:pPr>
            <w:r>
              <w:rPr>
                <w:b w:val="false"/>
                <w:i/>
                <w:spacing w:val="4"/>
                <w:sz w:val="20"/>
              </w:rPr>
              <w:t>(All Notes)</w:t>
            </w:r>
            <w:r>
              <w:rPr>
                <w:b w:val="false"/>
                <w:i/>
                <w:sz w:val="20"/>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74" w:type="dxa"/>
            <w:tcBorders/>
            <w:vAlign w:val="center"/>
          </w:tcPr>
          <w:p>
            <w:pPr>
              <w:pStyle w:val="TableContents"/>
              <w:bidi w:val="0"/>
              <w:spacing w:before="0" w:after="0"/>
              <w:jc w:val="center"/>
              <w:rPr>
                <w:b/>
                <w:i w:val="false"/>
                <w:caps w:val="false"/>
                <w:smallCaps w:val="false"/>
                <w:sz w:val="28"/>
              </w:rPr>
            </w:pPr>
            <w:r>
              <w:rPr>
                <w:b/>
                <w:i w:val="false"/>
                <w:caps w:val="false"/>
                <w:smallCaps w:val="false"/>
                <w:spacing w:val="-6"/>
                <w:sz w:val="28"/>
              </w:rPr>
              <w:t>Barclays</w:t>
            </w:r>
            <w:r>
              <w:rPr>
                <w:b/>
                <w:i w:val="false"/>
                <w:caps w:val="false"/>
                <w:smallCaps w:val="false"/>
                <w:sz w:val="28"/>
              </w:rPr>
              <w:t xml:space="preserve"> </w:t>
            </w:r>
          </w:p>
          <w:p>
            <w:pPr>
              <w:pStyle w:val="TableContents"/>
              <w:bidi w:val="0"/>
              <w:spacing w:lineRule="atLeast" w:line="240" w:before="40" w:after="283"/>
              <w:jc w:val="center"/>
              <w:rPr/>
            </w:pPr>
            <w:r>
              <w:rPr>
                <w:spacing w:val="4"/>
              </w:rPr>
              <w:t xml:space="preserve">(Floating Rate Notes </w:t>
            </w:r>
            <w:r>
              <w:rPr/>
              <w:br/>
            </w:r>
            <w:r>
              <w:rPr>
                <w:spacing w:val="4"/>
              </w:rPr>
              <w:t>and 2028 Notes)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88" w:type="dxa"/>
            <w:tcBorders/>
            <w:vAlign w:val="center"/>
          </w:tcPr>
          <w:p>
            <w:pPr>
              <w:pStyle w:val="TableContents"/>
              <w:bidi w:val="0"/>
              <w:spacing w:before="0" w:after="0"/>
              <w:jc w:val="center"/>
              <w:rPr>
                <w:b/>
                <w:i w:val="false"/>
                <w:caps w:val="false"/>
                <w:smallCaps w:val="false"/>
                <w:sz w:val="28"/>
              </w:rPr>
            </w:pPr>
            <w:r>
              <w:rPr>
                <w:b/>
                <w:i w:val="false"/>
                <w:caps w:val="false"/>
                <w:smallCaps w:val="false"/>
                <w:spacing w:val="-6"/>
                <w:sz w:val="28"/>
              </w:rPr>
              <w:t>BNP PARIBAS</w:t>
            </w:r>
            <w:r>
              <w:rPr>
                <w:b/>
                <w:i w:val="false"/>
                <w:caps w:val="false"/>
                <w:smallCaps w:val="false"/>
                <w:sz w:val="28"/>
              </w:rPr>
              <w:t xml:space="preserve"> </w:t>
            </w:r>
          </w:p>
          <w:p>
            <w:pPr>
              <w:pStyle w:val="TableContents"/>
              <w:bidi w:val="0"/>
              <w:spacing w:before="0" w:after="0"/>
              <w:jc w:val="center"/>
              <w:rPr/>
            </w:pPr>
            <w:r>
              <w:rPr>
                <w:spacing w:val="4"/>
              </w:rPr>
              <w:t>(2030 Notes)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3" w:type="dxa"/>
            <w:tcBorders/>
            <w:vAlign w:val="center"/>
          </w:tcPr>
          <w:p>
            <w:pPr>
              <w:pStyle w:val="TableContents"/>
              <w:bidi w:val="0"/>
              <w:spacing w:before="0" w:after="0"/>
              <w:jc w:val="center"/>
              <w:rPr>
                <w:b/>
                <w:i w:val="false"/>
                <w:caps w:val="false"/>
                <w:smallCaps w:val="false"/>
                <w:sz w:val="28"/>
              </w:rPr>
            </w:pPr>
            <w:r>
              <w:rPr>
                <w:b/>
                <w:i w:val="false"/>
                <w:caps w:val="false"/>
                <w:smallCaps w:val="false"/>
                <w:spacing w:val="-6"/>
                <w:sz w:val="28"/>
              </w:rPr>
              <w:t>Citigroup</w:t>
            </w:r>
            <w:r>
              <w:rPr>
                <w:b/>
                <w:i w:val="false"/>
                <w:caps w:val="false"/>
                <w:smallCaps w:val="false"/>
                <w:sz w:val="28"/>
              </w:rPr>
              <w:t xml:space="preserve"> </w:t>
            </w:r>
          </w:p>
          <w:p>
            <w:pPr>
              <w:pStyle w:val="TableContents"/>
              <w:bidi w:val="0"/>
              <w:spacing w:lineRule="atLeast" w:line="240" w:before="40" w:after="283"/>
              <w:jc w:val="center"/>
              <w:rPr/>
            </w:pPr>
            <w:r>
              <w:rPr>
                <w:spacing w:val="4"/>
              </w:rPr>
              <w:t xml:space="preserve">(2038 Notes and </w:t>
            </w:r>
            <w:r>
              <w:rPr/>
              <w:br/>
            </w:r>
            <w:r>
              <w:rPr>
                <w:spacing w:val="4"/>
              </w:rPr>
              <w:t>2066 Notes)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46" w:type="dxa"/>
            <w:tcBorders/>
            <w:vAlign w:val="center"/>
          </w:tcPr>
          <w:p>
            <w:pPr>
              <w:pStyle w:val="TableContents"/>
              <w:bidi w:val="0"/>
              <w:spacing w:before="0" w:after="0"/>
              <w:jc w:val="center"/>
              <w:rPr>
                <w:b/>
                <w:i w:val="false"/>
                <w:caps w:val="false"/>
                <w:smallCaps w:val="false"/>
                <w:sz w:val="28"/>
              </w:rPr>
            </w:pPr>
            <w:r>
              <w:rPr>
                <w:b/>
                <w:i w:val="false"/>
                <w:caps w:val="false"/>
                <w:smallCaps w:val="false"/>
                <w:spacing w:val="-6"/>
                <w:sz w:val="28"/>
              </w:rPr>
              <w:t>Deutsche Bank Securities</w:t>
            </w:r>
            <w:r>
              <w:rPr>
                <w:b/>
                <w:i w:val="false"/>
                <w:caps w:val="false"/>
                <w:smallCaps w:val="false"/>
                <w:sz w:val="28"/>
              </w:rPr>
              <w:t xml:space="preserve"> </w:t>
            </w:r>
          </w:p>
          <w:p>
            <w:pPr>
              <w:pStyle w:val="TableContents"/>
              <w:bidi w:val="0"/>
              <w:spacing w:before="0" w:after="0"/>
              <w:jc w:val="center"/>
              <w:rPr/>
            </w:pPr>
            <w:r>
              <w:rPr>
                <w:spacing w:val="4"/>
              </w:rPr>
              <w:t>(2036 Notes)</w:t>
            </w:r>
            <w:r>
              <w:rPr/>
              <w:t xml:space="preserve"> </w:t>
            </w:r>
          </w:p>
        </w:tc>
        <w:tc>
          <w:tcPr>
            <w:tcW w:w="156" w:type="dxa"/>
            <w:tcBorders/>
            <w:vAlign w:val="center"/>
          </w:tcPr>
          <w:p>
            <w:pPr>
              <w:pStyle w:val="TableContents"/>
              <w:bidi w:val="0"/>
              <w:spacing w:before="0" w:after="283"/>
              <w:jc w:val="left"/>
              <w:rPr/>
            </w:pPr>
            <w:r>
              <w:rPr/>
              <w:t>​</w:t>
            </w:r>
          </w:p>
        </w:tc>
      </w:tr>
    </w:tbl>
    <w:tbl>
      <w:tblPr>
        <w:tblW w:w="5374" w:type="dxa"/>
        <w:jc w:val="left"/>
        <w:tblInd w:w="540" w:type="dxa"/>
        <w:tblLayout w:type="fixed"/>
        <w:tblCellMar>
          <w:top w:w="0" w:type="dxa"/>
          <w:left w:w="0" w:type="dxa"/>
          <w:bottom w:w="0" w:type="dxa"/>
          <w:right w:w="0" w:type="dxa"/>
        </w:tblCellMar>
      </w:tblPr>
      <w:tblGrid>
        <w:gridCol w:w="124"/>
        <w:gridCol w:w="1233"/>
        <w:gridCol w:w="109"/>
        <w:gridCol w:w="109"/>
        <w:gridCol w:w="1233"/>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0"/>
              <w:jc w:val="center"/>
              <w:rPr/>
            </w:pPr>
            <w:r>
              <w:rPr>
                <w:spacing w:val="-6"/>
              </w:rPr>
              <w:t>HSBC</w:t>
            </w:r>
            <w:r>
              <w:rPr/>
              <w:t xml:space="preserve"> </w:t>
            </w:r>
          </w:p>
          <w:p>
            <w:pPr>
              <w:pStyle w:val="TableContents"/>
              <w:bidi w:val="0"/>
              <w:spacing w:lineRule="atLeast" w:line="240" w:before="0" w:after="0"/>
              <w:jc w:val="center"/>
              <w:rPr>
                <w:b w:val="false"/>
                <w:i/>
                <w:sz w:val="20"/>
              </w:rPr>
            </w:pPr>
            <w:r>
              <w:rPr>
                <w:b w:val="false"/>
                <w:i/>
                <w:spacing w:val="4"/>
                <w:sz w:val="20"/>
              </w:rPr>
              <w:t>(2033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0"/>
              <w:jc w:val="center"/>
              <w:rPr/>
            </w:pPr>
            <w:r>
              <w:rPr>
                <w:spacing w:val="-6"/>
              </w:rPr>
              <w:t>Mizuho</w:t>
            </w:r>
            <w:r>
              <w:rPr/>
              <w:t xml:space="preserve"> </w:t>
            </w:r>
          </w:p>
          <w:p>
            <w:pPr>
              <w:pStyle w:val="TableContents"/>
              <w:bidi w:val="0"/>
              <w:spacing w:lineRule="atLeast" w:line="240" w:before="0" w:after="0"/>
              <w:jc w:val="center"/>
              <w:rPr>
                <w:b w:val="false"/>
                <w:i/>
                <w:sz w:val="20"/>
              </w:rPr>
            </w:pPr>
            <w:r>
              <w:rPr>
                <w:b w:val="false"/>
                <w:i/>
                <w:spacing w:val="4"/>
                <w:sz w:val="20"/>
              </w:rPr>
              <w:t>(2031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Wells Fargo Securities</w:t>
            </w:r>
            <w:r>
              <w:rPr/>
              <w:t xml:space="preserve"> </w:t>
            </w:r>
          </w:p>
          <w:p>
            <w:pPr>
              <w:pStyle w:val="TableContents"/>
              <w:bidi w:val="0"/>
              <w:spacing w:lineRule="atLeast" w:line="240" w:before="0" w:after="0"/>
              <w:jc w:val="center"/>
              <w:rPr>
                <w:b w:val="false"/>
                <w:i/>
                <w:sz w:val="20"/>
              </w:rPr>
            </w:pPr>
            <w:r>
              <w:rPr>
                <w:b w:val="false"/>
                <w:i/>
                <w:spacing w:val="4"/>
                <w:sz w:val="20"/>
              </w:rPr>
              <w:t>(2056 Notes)</w:t>
            </w:r>
            <w:r>
              <w:rPr>
                <w:b w:val="false"/>
                <w:i/>
                <w:sz w:val="20"/>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0" w:after="283"/>
        <w:ind w:left="540"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Co-Managers</w:t>
      </w:r>
      <w:r>
        <w:rPr>
          <w:rFonts w:ascii="Times New Roman;Times;serif" w:hAnsi="Times New Roman;Times;serif"/>
          <w:b/>
          <w:i/>
          <w:caps w:val="false"/>
          <w:smallCaps w:val="false"/>
          <w:color w:val="000000"/>
          <w:spacing w:val="4"/>
          <w:sz w:val="20"/>
        </w:rPr>
        <w:t xml:space="preserve"> </w:t>
      </w:r>
    </w:p>
    <w:tbl>
      <w:tblPr>
        <w:tblW w:w="9665" w:type="dxa"/>
        <w:jc w:val="left"/>
        <w:tblInd w:w="540" w:type="dxa"/>
        <w:tblLayout w:type="fixed"/>
        <w:tblCellMar>
          <w:top w:w="0" w:type="dxa"/>
          <w:left w:w="0" w:type="dxa"/>
          <w:bottom w:w="0" w:type="dxa"/>
          <w:right w:w="0" w:type="dxa"/>
        </w:tblCellMar>
      </w:tblPr>
      <w:tblGrid>
        <w:gridCol w:w="124"/>
        <w:gridCol w:w="3079"/>
        <w:gridCol w:w="109"/>
        <w:gridCol w:w="109"/>
        <w:gridCol w:w="1841"/>
        <w:gridCol w:w="109"/>
        <w:gridCol w:w="109"/>
        <w:gridCol w:w="1999"/>
        <w:gridCol w:w="109"/>
        <w:gridCol w:w="109"/>
        <w:gridCol w:w="1813"/>
        <w:gridCol w:w="155"/>
      </w:tblGrid>
      <w:tr>
        <w:trPr/>
        <w:tc>
          <w:tcPr>
            <w:tcW w:w="124" w:type="dxa"/>
            <w:tcBorders/>
            <w:vAlign w:val="center"/>
          </w:tcPr>
          <w:p>
            <w:pPr>
              <w:pStyle w:val="TableContents"/>
              <w:bidi w:val="0"/>
              <w:spacing w:before="0" w:after="283"/>
              <w:jc w:val="left"/>
              <w:rPr/>
            </w:pPr>
            <w:r>
              <w:rPr/>
              <w:t>​</w:t>
            </w:r>
          </w:p>
        </w:tc>
        <w:tc>
          <w:tcPr>
            <w:tcW w:w="3079" w:type="dxa"/>
            <w:tcBorders/>
            <w:vAlign w:val="center"/>
          </w:tcPr>
          <w:p>
            <w:pPr>
              <w:pStyle w:val="TableContents"/>
              <w:bidi w:val="0"/>
              <w:spacing w:before="0" w:after="0"/>
              <w:jc w:val="center"/>
              <w:rPr>
                <w:b/>
                <w:i w:val="false"/>
                <w:caps w:val="false"/>
                <w:smallCaps w:val="false"/>
                <w:sz w:val="22"/>
              </w:rPr>
            </w:pPr>
            <w:r>
              <w:rPr>
                <w:b/>
                <w:i w:val="false"/>
                <w:caps w:val="false"/>
                <w:smallCaps w:val="false"/>
                <w:spacing w:val="-4"/>
                <w:sz w:val="22"/>
              </w:rPr>
              <w:t>Barclays</w:t>
            </w:r>
            <w:r>
              <w:rPr>
                <w:b/>
                <w:i w:val="false"/>
                <w:caps w:val="false"/>
                <w:smallCaps w:val="false"/>
                <w:sz w:val="22"/>
              </w:rPr>
              <w:t xml:space="preserve"> </w:t>
            </w:r>
          </w:p>
          <w:p>
            <w:pPr>
              <w:pStyle w:val="TableContents"/>
              <w:bidi w:val="0"/>
              <w:spacing w:lineRule="atLeast" w:line="240" w:before="40" w:after="283"/>
              <w:jc w:val="center"/>
              <w:rPr/>
            </w:pPr>
            <w:r>
              <w:rPr>
                <w:spacing w:val="4"/>
              </w:rPr>
              <w:t xml:space="preserve">(2030 Notes, 2031 Notes, 2033 Notes, 2036 Notes, </w:t>
            </w:r>
            <w:r>
              <w:rPr/>
              <w:br/>
            </w:r>
            <w:r>
              <w:rPr>
                <w:spacing w:val="4"/>
              </w:rPr>
              <w:t xml:space="preserve">2038 Notes, 2056 Notes </w:t>
            </w:r>
            <w:r>
              <w:rPr/>
              <w:br/>
            </w:r>
            <w:r>
              <w:rPr>
                <w:spacing w:val="4"/>
              </w:rPr>
              <w:t>and 2066 Notes)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41" w:type="dxa"/>
            <w:tcBorders/>
            <w:vAlign w:val="center"/>
          </w:tcPr>
          <w:p>
            <w:pPr>
              <w:pStyle w:val="TableContents"/>
              <w:bidi w:val="0"/>
              <w:spacing w:before="0" w:after="0"/>
              <w:jc w:val="center"/>
              <w:rPr>
                <w:b/>
                <w:i w:val="false"/>
                <w:caps w:val="false"/>
                <w:smallCaps w:val="false"/>
                <w:sz w:val="22"/>
              </w:rPr>
            </w:pPr>
            <w:r>
              <w:rPr>
                <w:b/>
                <w:i w:val="false"/>
                <w:caps w:val="false"/>
                <w:smallCaps w:val="false"/>
                <w:spacing w:val="-4"/>
                <w:sz w:val="22"/>
              </w:rPr>
              <w:t>BNP PARIBAS</w:t>
            </w:r>
            <w:r>
              <w:rPr>
                <w:b/>
                <w:i w:val="false"/>
                <w:caps w:val="false"/>
                <w:smallCaps w:val="false"/>
                <w:sz w:val="22"/>
              </w:rPr>
              <w:t xml:space="preserve"> </w:t>
            </w:r>
          </w:p>
          <w:p>
            <w:pPr>
              <w:pStyle w:val="TableContents"/>
              <w:bidi w:val="0"/>
              <w:spacing w:lineRule="atLeast" w:line="240" w:before="40" w:after="283"/>
              <w:jc w:val="center"/>
              <w:rPr/>
            </w:pPr>
            <w:r>
              <w:rPr>
                <w:spacing w:val="4"/>
              </w:rPr>
              <w:t xml:space="preserve">(Floating Rate Notes, </w:t>
            </w:r>
            <w:r>
              <w:rPr/>
              <w:br/>
            </w:r>
            <w:r>
              <w:rPr>
                <w:spacing w:val="4"/>
              </w:rPr>
              <w:t xml:space="preserve">2028 Notes, 2031 Notes, </w:t>
            </w:r>
            <w:r>
              <w:rPr/>
              <w:br/>
            </w:r>
            <w:r>
              <w:rPr>
                <w:spacing w:val="4"/>
              </w:rPr>
              <w:t xml:space="preserve">2033 Notes, 2036 Notes, </w:t>
            </w:r>
            <w:r>
              <w:rPr/>
              <w:br/>
            </w:r>
            <w:r>
              <w:rPr>
                <w:spacing w:val="4"/>
              </w:rPr>
              <w:t xml:space="preserve">2038 Notes, 2056 Notes </w:t>
            </w:r>
            <w:r>
              <w:rPr/>
              <w:br/>
            </w:r>
            <w:r>
              <w:rPr>
                <w:spacing w:val="4"/>
              </w:rPr>
              <w:t>and 2066 Notes)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99" w:type="dxa"/>
            <w:tcBorders/>
            <w:vAlign w:val="center"/>
          </w:tcPr>
          <w:p>
            <w:pPr>
              <w:pStyle w:val="TableContents"/>
              <w:bidi w:val="0"/>
              <w:spacing w:before="0" w:after="0"/>
              <w:jc w:val="center"/>
              <w:rPr>
                <w:b/>
                <w:i w:val="false"/>
                <w:caps w:val="false"/>
                <w:smallCaps w:val="false"/>
                <w:sz w:val="22"/>
              </w:rPr>
            </w:pPr>
            <w:r>
              <w:rPr>
                <w:b/>
                <w:i w:val="false"/>
                <w:caps w:val="false"/>
                <w:smallCaps w:val="false"/>
                <w:spacing w:val="-4"/>
                <w:sz w:val="22"/>
              </w:rPr>
              <w:t>Citigroup</w:t>
            </w:r>
            <w:r>
              <w:rPr>
                <w:b/>
                <w:i w:val="false"/>
                <w:caps w:val="false"/>
                <w:smallCaps w:val="false"/>
                <w:sz w:val="22"/>
              </w:rPr>
              <w:t xml:space="preserve"> </w:t>
            </w:r>
          </w:p>
          <w:p>
            <w:pPr>
              <w:pStyle w:val="TableContents"/>
              <w:bidi w:val="0"/>
              <w:spacing w:lineRule="atLeast" w:line="240" w:before="40" w:after="283"/>
              <w:jc w:val="center"/>
              <w:rPr/>
            </w:pPr>
            <w:r>
              <w:rPr>
                <w:spacing w:val="4"/>
              </w:rPr>
              <w:t xml:space="preserve">(Floating Rate Notes, </w:t>
            </w:r>
            <w:r>
              <w:rPr/>
              <w:br/>
            </w:r>
            <w:r>
              <w:rPr>
                <w:spacing w:val="4"/>
              </w:rPr>
              <w:t xml:space="preserve">2028 Notes, 2030 Notes, </w:t>
            </w:r>
            <w:r>
              <w:rPr/>
              <w:br/>
            </w:r>
            <w:r>
              <w:rPr>
                <w:spacing w:val="4"/>
              </w:rPr>
              <w:t xml:space="preserve">2031 Notes, 2033 Notes, </w:t>
            </w:r>
            <w:r>
              <w:rPr/>
              <w:br/>
            </w:r>
            <w:r>
              <w:rPr>
                <w:spacing w:val="4"/>
              </w:rPr>
              <w:t>2036 Notes and 2056 Notes)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3" w:type="dxa"/>
            <w:tcBorders/>
            <w:vAlign w:val="center"/>
          </w:tcPr>
          <w:p>
            <w:pPr>
              <w:pStyle w:val="TableContents"/>
              <w:bidi w:val="0"/>
              <w:spacing w:lineRule="atLeast" w:line="220" w:before="0" w:after="0"/>
              <w:jc w:val="center"/>
              <w:rPr>
                <w:b/>
                <w:i w:val="false"/>
                <w:caps w:val="false"/>
                <w:smallCaps w:val="false"/>
                <w:sz w:val="22"/>
              </w:rPr>
            </w:pPr>
            <w:r>
              <w:rPr>
                <w:b/>
                <w:i w:val="false"/>
                <w:caps w:val="false"/>
                <w:smallCaps w:val="false"/>
                <w:spacing w:val="-4"/>
                <w:sz w:val="22"/>
              </w:rPr>
              <w:t>Deutsche Bank Securities</w:t>
            </w:r>
            <w:r>
              <w:rPr>
                <w:b/>
                <w:i w:val="false"/>
                <w:caps w:val="false"/>
                <w:smallCaps w:val="false"/>
                <w:sz w:val="22"/>
              </w:rPr>
              <w:t xml:space="preserve"> </w:t>
            </w:r>
          </w:p>
          <w:p>
            <w:pPr>
              <w:pStyle w:val="TableContents"/>
              <w:bidi w:val="0"/>
              <w:spacing w:lineRule="atLeast" w:line="240" w:before="0" w:after="0"/>
              <w:jc w:val="center"/>
              <w:rPr/>
            </w:pPr>
            <w:r>
              <w:rPr>
                <w:spacing w:val="4"/>
              </w:rPr>
              <w:t xml:space="preserve">(Floating Rate Notes, </w:t>
            </w:r>
            <w:r>
              <w:rPr/>
              <w:br/>
            </w:r>
            <w:r>
              <w:rPr>
                <w:spacing w:val="4"/>
              </w:rPr>
              <w:t xml:space="preserve">2028 Notes, 2030 Notes, </w:t>
            </w:r>
            <w:r>
              <w:rPr/>
              <w:br/>
            </w:r>
            <w:r>
              <w:rPr>
                <w:spacing w:val="4"/>
              </w:rPr>
              <w:t xml:space="preserve">2031 Notes, 2033 Notes, </w:t>
            </w:r>
            <w:r>
              <w:rPr/>
              <w:br/>
            </w:r>
            <w:r>
              <w:rPr>
                <w:spacing w:val="4"/>
              </w:rPr>
              <w:t xml:space="preserve">2038 Notes, 2056 Notes </w:t>
            </w:r>
            <w:r>
              <w:rPr/>
              <w:br/>
            </w:r>
            <w:r>
              <w:rPr>
                <w:spacing w:val="4"/>
              </w:rPr>
              <w:t>and 2066 Notes)</w:t>
            </w:r>
            <w:r>
              <w:rPr/>
              <w:t xml:space="preserve"> </w:t>
            </w:r>
          </w:p>
        </w:tc>
        <w:tc>
          <w:tcPr>
            <w:tcW w:w="155" w:type="dxa"/>
            <w:tcBorders/>
            <w:vAlign w:val="center"/>
          </w:tcPr>
          <w:p>
            <w:pPr>
              <w:pStyle w:val="TableContents"/>
              <w:bidi w:val="0"/>
              <w:spacing w:before="0" w:after="283"/>
              <w:jc w:val="left"/>
              <w:rPr/>
            </w:pPr>
            <w:r>
              <w:rPr/>
              <w:t>​</w:t>
            </w:r>
          </w:p>
        </w:tc>
      </w:tr>
    </w:tbl>
    <w:tbl>
      <w:tblPr>
        <w:tblW w:w="8502" w:type="dxa"/>
        <w:jc w:val="left"/>
        <w:tblInd w:w="540" w:type="dxa"/>
        <w:tblLayout w:type="fixed"/>
        <w:tblCellMar>
          <w:top w:w="0" w:type="dxa"/>
          <w:left w:w="0" w:type="dxa"/>
          <w:bottom w:w="0" w:type="dxa"/>
          <w:right w:w="0" w:type="dxa"/>
        </w:tblCellMar>
      </w:tblPr>
      <w:tblGrid>
        <w:gridCol w:w="124"/>
        <w:gridCol w:w="2596"/>
        <w:gridCol w:w="109"/>
        <w:gridCol w:w="109"/>
        <w:gridCol w:w="2596"/>
        <w:gridCol w:w="109"/>
        <w:gridCol w:w="109"/>
        <w:gridCol w:w="2596"/>
        <w:gridCol w:w="154"/>
      </w:tblGrid>
      <w:tr>
        <w:trPr/>
        <w:tc>
          <w:tcPr>
            <w:tcW w:w="124"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center"/>
              <w:rPr>
                <w:b/>
                <w:i w:val="false"/>
                <w:caps w:val="false"/>
                <w:smallCaps w:val="false"/>
                <w:sz w:val="22"/>
              </w:rPr>
            </w:pPr>
            <w:r>
              <w:rPr>
                <w:b/>
                <w:i w:val="false"/>
                <w:caps w:val="false"/>
                <w:smallCaps w:val="false"/>
                <w:spacing w:val="-4"/>
                <w:sz w:val="22"/>
              </w:rPr>
              <w:t>HSBC</w:t>
            </w:r>
            <w:r>
              <w:rPr>
                <w:b/>
                <w:i w:val="false"/>
                <w:caps w:val="false"/>
                <w:smallCaps w:val="false"/>
                <w:sz w:val="22"/>
              </w:rPr>
              <w:t xml:space="preserve"> </w:t>
            </w:r>
          </w:p>
          <w:p>
            <w:pPr>
              <w:pStyle w:val="TableContents"/>
              <w:bidi w:val="0"/>
              <w:spacing w:lineRule="atLeast" w:line="240" w:before="40" w:after="283"/>
              <w:jc w:val="center"/>
              <w:rPr/>
            </w:pPr>
            <w:r>
              <w:rPr>
                <w:spacing w:val="4"/>
              </w:rPr>
              <w:t xml:space="preserve">(Floating Rate Notes, </w:t>
            </w:r>
            <w:r>
              <w:rPr/>
              <w:br/>
            </w:r>
            <w:r>
              <w:rPr>
                <w:spacing w:val="4"/>
              </w:rPr>
              <w:t xml:space="preserve">2028 Notes, 2030 Notes, </w:t>
            </w:r>
            <w:r>
              <w:rPr/>
              <w:br/>
            </w:r>
            <w:r>
              <w:rPr>
                <w:spacing w:val="4"/>
              </w:rPr>
              <w:t xml:space="preserve">2031 Notes, 2036 Notes, </w:t>
            </w:r>
            <w:r>
              <w:rPr/>
              <w:br/>
            </w:r>
            <w:r>
              <w:rPr>
                <w:spacing w:val="4"/>
              </w:rPr>
              <w:t xml:space="preserve">2038 Notes, 2056 Notes </w:t>
            </w:r>
            <w:r>
              <w:rPr/>
              <w:br/>
            </w:r>
            <w:r>
              <w:rPr>
                <w:spacing w:val="4"/>
              </w:rPr>
              <w:t>and 2066 Notes)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center"/>
              <w:rPr>
                <w:b/>
                <w:i w:val="false"/>
                <w:caps w:val="false"/>
                <w:smallCaps w:val="false"/>
                <w:sz w:val="22"/>
              </w:rPr>
            </w:pPr>
            <w:r>
              <w:rPr>
                <w:b/>
                <w:i w:val="false"/>
                <w:caps w:val="false"/>
                <w:smallCaps w:val="false"/>
                <w:spacing w:val="-4"/>
                <w:sz w:val="22"/>
              </w:rPr>
              <w:t>Mizuho</w:t>
            </w:r>
            <w:r>
              <w:rPr>
                <w:b/>
                <w:i w:val="false"/>
                <w:caps w:val="false"/>
                <w:smallCaps w:val="false"/>
                <w:sz w:val="22"/>
              </w:rPr>
              <w:t xml:space="preserve"> </w:t>
            </w:r>
          </w:p>
          <w:p>
            <w:pPr>
              <w:pStyle w:val="TableContents"/>
              <w:bidi w:val="0"/>
              <w:spacing w:lineRule="atLeast" w:line="240" w:before="40" w:after="283"/>
              <w:jc w:val="center"/>
              <w:rPr/>
            </w:pPr>
            <w:r>
              <w:rPr>
                <w:spacing w:val="4"/>
              </w:rPr>
              <w:t xml:space="preserve">(Floating Rate Notes, </w:t>
            </w:r>
            <w:r>
              <w:rPr/>
              <w:br/>
            </w:r>
            <w:r>
              <w:rPr>
                <w:spacing w:val="4"/>
              </w:rPr>
              <w:t xml:space="preserve">2028 Notes, 2030 Notes, </w:t>
            </w:r>
            <w:r>
              <w:rPr/>
              <w:br/>
            </w:r>
            <w:r>
              <w:rPr>
                <w:spacing w:val="4"/>
              </w:rPr>
              <w:t xml:space="preserve">2033 Notes, 2036 Notes, </w:t>
            </w:r>
            <w:r>
              <w:rPr/>
              <w:br/>
            </w:r>
            <w:r>
              <w:rPr>
                <w:spacing w:val="4"/>
              </w:rPr>
              <w:t xml:space="preserve">2038 Notes, 2056 Notes </w:t>
            </w:r>
            <w:r>
              <w:rPr/>
              <w:br/>
            </w:r>
            <w:r>
              <w:rPr>
                <w:spacing w:val="4"/>
              </w:rPr>
              <w:t>and 2066 Notes)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6" w:type="dxa"/>
            <w:tcBorders/>
            <w:vAlign w:val="center"/>
          </w:tcPr>
          <w:p>
            <w:pPr>
              <w:pStyle w:val="TableContents"/>
              <w:bidi w:val="0"/>
              <w:spacing w:before="0" w:after="0"/>
              <w:jc w:val="center"/>
              <w:rPr>
                <w:b/>
                <w:i w:val="false"/>
                <w:caps w:val="false"/>
                <w:smallCaps w:val="false"/>
                <w:sz w:val="22"/>
              </w:rPr>
            </w:pPr>
            <w:r>
              <w:rPr>
                <w:b/>
                <w:i w:val="false"/>
                <w:caps w:val="false"/>
                <w:smallCaps w:val="false"/>
                <w:spacing w:val="-4"/>
                <w:sz w:val="22"/>
              </w:rPr>
              <w:t>Wells Fargo Securities</w:t>
            </w:r>
            <w:r>
              <w:rPr>
                <w:b/>
                <w:i w:val="false"/>
                <w:caps w:val="false"/>
                <w:smallCaps w:val="false"/>
                <w:sz w:val="22"/>
              </w:rPr>
              <w:t xml:space="preserve"> </w:t>
            </w:r>
          </w:p>
          <w:p>
            <w:pPr>
              <w:pStyle w:val="TableContents"/>
              <w:bidi w:val="0"/>
              <w:spacing w:lineRule="atLeast" w:line="240" w:before="40" w:after="283"/>
              <w:jc w:val="center"/>
              <w:rPr/>
            </w:pPr>
            <w:r>
              <w:rPr>
                <w:spacing w:val="4"/>
              </w:rPr>
              <w:t xml:space="preserve">(Floating Rate Notes, </w:t>
            </w:r>
            <w:r>
              <w:rPr/>
              <w:br/>
            </w:r>
            <w:r>
              <w:rPr>
                <w:spacing w:val="4"/>
              </w:rPr>
              <w:t xml:space="preserve">2028 Notes, 2030 Notes, </w:t>
            </w:r>
            <w:r>
              <w:rPr/>
              <w:br/>
            </w:r>
            <w:r>
              <w:rPr>
                <w:spacing w:val="4"/>
              </w:rPr>
              <w:t xml:space="preserve">2031 Notes, 2033 Notes, </w:t>
            </w:r>
            <w:r>
              <w:rPr/>
              <w:br/>
            </w:r>
            <w:r>
              <w:rPr>
                <w:spacing w:val="4"/>
              </w:rPr>
              <w:t xml:space="preserve">2036 Notes, 2038 Notes </w:t>
            </w:r>
            <w:r>
              <w:rPr/>
              <w:br/>
            </w:r>
            <w:r>
              <w:rPr>
                <w:spacing w:val="4"/>
              </w:rPr>
              <w:t>and 2066 Notes)</w:t>
            </w:r>
            <w:r>
              <w:rPr/>
              <w:t xml:space="preserve"> </w:t>
            </w:r>
          </w:p>
        </w:tc>
        <w:tc>
          <w:tcPr>
            <w:tcW w:w="154" w:type="dxa"/>
            <w:tcBorders/>
            <w:vAlign w:val="center"/>
          </w:tcPr>
          <w:p>
            <w:pPr>
              <w:pStyle w:val="TableContents"/>
              <w:bidi w:val="0"/>
              <w:spacing w:before="0" w:after="283"/>
              <w:jc w:val="left"/>
              <w:rPr/>
            </w:pPr>
            <w:r>
              <w:rPr/>
              <w:t>​</w:t>
            </w:r>
          </w:p>
        </w:tc>
      </w:tr>
    </w:tbl>
    <w:tbl>
      <w:tblPr>
        <w:tblW w:w="9590" w:type="dxa"/>
        <w:jc w:val="left"/>
        <w:tblInd w:w="540" w:type="dxa"/>
        <w:tblLayout w:type="fixed"/>
        <w:tblCellMar>
          <w:top w:w="0" w:type="dxa"/>
          <w:left w:w="0" w:type="dxa"/>
          <w:bottom w:w="0" w:type="dxa"/>
          <w:right w:w="0" w:type="dxa"/>
        </w:tblCellMar>
      </w:tblPr>
      <w:tblGrid>
        <w:gridCol w:w="124"/>
        <w:gridCol w:w="1745"/>
        <w:gridCol w:w="109"/>
        <w:gridCol w:w="109"/>
        <w:gridCol w:w="2318"/>
        <w:gridCol w:w="109"/>
        <w:gridCol w:w="109"/>
        <w:gridCol w:w="2023"/>
        <w:gridCol w:w="109"/>
        <w:gridCol w:w="109"/>
        <w:gridCol w:w="2572"/>
        <w:gridCol w:w="154"/>
      </w:tblGrid>
      <w:tr>
        <w:trPr/>
        <w:tc>
          <w:tcPr>
            <w:tcW w:w="124"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0"/>
              <w:jc w:val="center"/>
              <w:rPr/>
            </w:pPr>
            <w:r>
              <w:rPr>
                <w:spacing w:val="-4"/>
              </w:rPr>
              <w:t>Lloyds Securities</w:t>
            </w:r>
            <w:r>
              <w:rPr/>
              <w:t xml:space="preserve"> </w:t>
            </w:r>
          </w:p>
          <w:p>
            <w:pPr>
              <w:pStyle w:val="TableContents"/>
              <w:bidi w:val="0"/>
              <w:spacing w:lineRule="atLeast" w:line="240" w:before="40" w:after="283"/>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18" w:type="dxa"/>
            <w:tcBorders/>
            <w:vAlign w:val="center"/>
          </w:tcPr>
          <w:p>
            <w:pPr>
              <w:pStyle w:val="TableContents"/>
              <w:bidi w:val="0"/>
              <w:spacing w:before="0" w:after="0"/>
              <w:jc w:val="center"/>
              <w:rPr/>
            </w:pPr>
            <w:r>
              <w:rPr>
                <w:spacing w:val="-4"/>
              </w:rPr>
              <w:t>MUFG</w:t>
            </w:r>
            <w:r>
              <w:rPr/>
              <w:t xml:space="preserve"> </w:t>
            </w:r>
          </w:p>
          <w:p>
            <w:pPr>
              <w:pStyle w:val="TableContents"/>
              <w:bidi w:val="0"/>
              <w:spacing w:lineRule="atLeast" w:line="240" w:before="40" w:after="283"/>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3" w:type="dxa"/>
            <w:tcBorders/>
            <w:vAlign w:val="center"/>
          </w:tcPr>
          <w:p>
            <w:pPr>
              <w:pStyle w:val="TableContents"/>
              <w:bidi w:val="0"/>
              <w:spacing w:before="0" w:after="0"/>
              <w:jc w:val="center"/>
              <w:rPr/>
            </w:pPr>
            <w:r>
              <w:rPr>
                <w:spacing w:val="-4"/>
              </w:rPr>
              <w:t>Santander</w:t>
            </w:r>
            <w:r>
              <w:rPr/>
              <w:t xml:space="preserve"> </w:t>
            </w:r>
          </w:p>
          <w:p>
            <w:pPr>
              <w:pStyle w:val="TableContents"/>
              <w:bidi w:val="0"/>
              <w:spacing w:lineRule="atLeast" w:line="240" w:before="40" w:after="283"/>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2" w:type="dxa"/>
            <w:tcBorders/>
            <w:vAlign w:val="center"/>
          </w:tcPr>
          <w:p>
            <w:pPr>
              <w:pStyle w:val="TableContents"/>
              <w:bidi w:val="0"/>
              <w:spacing w:before="0" w:after="0"/>
              <w:jc w:val="center"/>
              <w:rPr/>
            </w:pPr>
            <w:r>
              <w:rPr>
                <w:spacing w:val="-4"/>
              </w:rPr>
              <w:t>TD Securities</w:t>
            </w:r>
            <w:r>
              <w:rPr/>
              <w:t xml:space="preserve"> </w:t>
            </w:r>
          </w:p>
          <w:p>
            <w:pPr>
              <w:pStyle w:val="TableContents"/>
              <w:bidi w:val="0"/>
              <w:spacing w:lineRule="atLeast" w:line="240" w:before="40" w:after="283"/>
              <w:jc w:val="center"/>
              <w:rPr>
                <w:b w:val="false"/>
                <w:i/>
                <w:sz w:val="20"/>
              </w:rPr>
            </w:pPr>
            <w:r>
              <w:rPr>
                <w:b w:val="false"/>
                <w:i/>
                <w:spacing w:val="4"/>
                <w:sz w:val="20"/>
              </w:rPr>
              <w:t>(All Notes)</w:t>
            </w:r>
            <w:r>
              <w:rPr>
                <w:b w:val="false"/>
                <w:i/>
                <w:sz w:val="20"/>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0"/>
              <w:jc w:val="center"/>
              <w:rPr/>
            </w:pPr>
            <w:r>
              <w:rPr>
                <w:spacing w:val="-4"/>
              </w:rPr>
              <w:t>US Bancorp</w:t>
            </w:r>
            <w:r>
              <w:rPr/>
              <w:t xml:space="preserve"> </w:t>
            </w:r>
          </w:p>
          <w:p>
            <w:pPr>
              <w:pStyle w:val="TableContents"/>
              <w:bidi w:val="0"/>
              <w:spacing w:before="40" w:after="283"/>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18" w:type="dxa"/>
            <w:tcBorders/>
            <w:vAlign w:val="center"/>
          </w:tcPr>
          <w:p>
            <w:pPr>
              <w:pStyle w:val="TableContents"/>
              <w:bidi w:val="0"/>
              <w:spacing w:before="0" w:after="0"/>
              <w:jc w:val="center"/>
              <w:rPr/>
            </w:pPr>
            <w:r>
              <w:rPr>
                <w:spacing w:val="-4"/>
              </w:rPr>
              <w:t>Siebert Williams Shank</w:t>
            </w:r>
            <w:r>
              <w:rPr/>
              <w:t xml:space="preserve"> </w:t>
            </w:r>
          </w:p>
          <w:p>
            <w:pPr>
              <w:pStyle w:val="TableContents"/>
              <w:bidi w:val="0"/>
              <w:spacing w:before="40" w:after="283"/>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3" w:type="dxa"/>
            <w:tcBorders/>
            <w:vAlign w:val="center"/>
          </w:tcPr>
          <w:p>
            <w:pPr>
              <w:pStyle w:val="TableContents"/>
              <w:bidi w:val="0"/>
              <w:spacing w:before="0" w:after="0"/>
              <w:jc w:val="center"/>
              <w:rPr/>
            </w:pPr>
            <w:r>
              <w:rPr>
                <w:spacing w:val="-4"/>
              </w:rPr>
              <w:t>Blaylock Van, LLC</w:t>
            </w:r>
            <w:r>
              <w:rPr/>
              <w:t xml:space="preserve"> </w:t>
            </w:r>
          </w:p>
          <w:p>
            <w:pPr>
              <w:pStyle w:val="TableContents"/>
              <w:bidi w:val="0"/>
              <w:spacing w:before="40" w:after="283"/>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2" w:type="dxa"/>
            <w:tcBorders/>
            <w:vAlign w:val="center"/>
          </w:tcPr>
          <w:p>
            <w:pPr>
              <w:pStyle w:val="TableContents"/>
              <w:bidi w:val="0"/>
              <w:spacing w:before="0" w:after="0"/>
              <w:jc w:val="center"/>
              <w:rPr/>
            </w:pPr>
            <w:r>
              <w:rPr>
                <w:spacing w:val="-4"/>
              </w:rPr>
              <w:t>CastleOak Securities, L.P.</w:t>
            </w:r>
            <w:r>
              <w:rPr/>
              <w:t xml:space="preserve"> </w:t>
            </w:r>
          </w:p>
          <w:p>
            <w:pPr>
              <w:pStyle w:val="TableContents"/>
              <w:bidi w:val="0"/>
              <w:spacing w:before="40" w:after="283"/>
              <w:jc w:val="center"/>
              <w:rPr>
                <w:b w:val="false"/>
                <w:i/>
                <w:sz w:val="20"/>
              </w:rPr>
            </w:pPr>
            <w:r>
              <w:rPr>
                <w:b w:val="false"/>
                <w:i/>
                <w:spacing w:val="4"/>
                <w:sz w:val="20"/>
              </w:rPr>
              <w:t>(All Notes)</w:t>
            </w:r>
            <w:r>
              <w:rPr>
                <w:b w:val="false"/>
                <w:i/>
                <w:sz w:val="20"/>
              </w:rPr>
              <w:t xml:space="preserve"> </w:t>
            </w:r>
          </w:p>
        </w:tc>
        <w:tc>
          <w:tcPr>
            <w:tcW w:w="154" w:type="dxa"/>
            <w:tcBorders/>
            <w:vAlign w:val="center"/>
          </w:tcPr>
          <w:p>
            <w:pPr>
              <w:pStyle w:val="TableContents"/>
              <w:bidi w:val="0"/>
              <w:spacing w:before="0" w:after="283"/>
              <w:jc w:val="left"/>
              <w:rPr/>
            </w:pPr>
            <w:r>
              <w:rPr/>
              <w:t>​</w:t>
            </w:r>
          </w:p>
        </w:tc>
      </w:tr>
    </w:tbl>
    <w:tbl>
      <w:tblPr>
        <w:tblW w:w="8383" w:type="dxa"/>
        <w:jc w:val="left"/>
        <w:tblInd w:w="540" w:type="dxa"/>
        <w:tblLayout w:type="fixed"/>
        <w:tblCellMar>
          <w:top w:w="0" w:type="dxa"/>
          <w:left w:w="0" w:type="dxa"/>
          <w:bottom w:w="0" w:type="dxa"/>
          <w:right w:w="0" w:type="dxa"/>
        </w:tblCellMar>
      </w:tblPr>
      <w:tblGrid>
        <w:gridCol w:w="124"/>
        <w:gridCol w:w="2920"/>
        <w:gridCol w:w="109"/>
        <w:gridCol w:w="109"/>
        <w:gridCol w:w="2404"/>
        <w:gridCol w:w="109"/>
        <w:gridCol w:w="109"/>
        <w:gridCol w:w="2345"/>
        <w:gridCol w:w="154"/>
      </w:tblGrid>
      <w:tr>
        <w:trPr/>
        <w:tc>
          <w:tcPr>
            <w:tcW w:w="124" w:type="dxa"/>
            <w:tcBorders/>
            <w:vAlign w:val="center"/>
          </w:tcPr>
          <w:p>
            <w:pPr>
              <w:pStyle w:val="TableContents"/>
              <w:bidi w:val="0"/>
              <w:spacing w:before="0" w:after="283"/>
              <w:jc w:val="left"/>
              <w:rPr/>
            </w:pPr>
            <w:r>
              <w:rPr/>
              <w:t>​</w:t>
            </w:r>
          </w:p>
        </w:tc>
        <w:tc>
          <w:tcPr>
            <w:tcW w:w="2920" w:type="dxa"/>
            <w:tcBorders/>
            <w:vAlign w:val="center"/>
          </w:tcPr>
          <w:p>
            <w:pPr>
              <w:pStyle w:val="TableContents"/>
              <w:bidi w:val="0"/>
              <w:spacing w:before="0" w:after="0"/>
              <w:jc w:val="center"/>
              <w:rPr/>
            </w:pPr>
            <w:r>
              <w:rPr>
                <w:spacing w:val="-4"/>
              </w:rPr>
              <w:t>Independence Point Securities</w:t>
            </w:r>
            <w:r>
              <w:rPr/>
              <w:t xml:space="preserve"> </w:t>
            </w:r>
          </w:p>
          <w:p>
            <w:pPr>
              <w:pStyle w:val="TableContents"/>
              <w:bidi w:val="0"/>
              <w:spacing w:before="40" w:after="283"/>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04" w:type="dxa"/>
            <w:tcBorders/>
            <w:vAlign w:val="center"/>
          </w:tcPr>
          <w:p>
            <w:pPr>
              <w:pStyle w:val="TableContents"/>
              <w:bidi w:val="0"/>
              <w:spacing w:before="0" w:after="0"/>
              <w:jc w:val="center"/>
              <w:rPr/>
            </w:pPr>
            <w:r>
              <w:rPr>
                <w:spacing w:val="-4"/>
              </w:rPr>
              <w:t>Penserra Securities LLC</w:t>
            </w:r>
            <w:r>
              <w:rPr/>
              <w:t xml:space="preserve"> </w:t>
            </w:r>
          </w:p>
          <w:p>
            <w:pPr>
              <w:pStyle w:val="TableContents"/>
              <w:bidi w:val="0"/>
              <w:spacing w:before="40" w:after="283"/>
              <w:jc w:val="center"/>
              <w:rPr>
                <w:b w:val="false"/>
                <w:i/>
                <w:sz w:val="20"/>
              </w:rPr>
            </w:pPr>
            <w:r>
              <w:rPr>
                <w:b w:val="false"/>
                <w:i/>
                <w:spacing w:val="4"/>
                <w:sz w:val="20"/>
              </w:rPr>
              <w:t>(All Notes)</w:t>
            </w:r>
            <w:r>
              <w:rPr>
                <w:b w:val="false"/>
                <w:i/>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0"/>
              <w:jc w:val="center"/>
              <w:rPr/>
            </w:pPr>
            <w:r>
              <w:rPr>
                <w:spacing w:val="-4"/>
              </w:rPr>
              <w:t>R. Seelaus &amp; Co., LLC</w:t>
            </w:r>
            <w:r>
              <w:rPr/>
              <w:t xml:space="preserve"> </w:t>
            </w:r>
          </w:p>
          <w:p>
            <w:pPr>
              <w:pStyle w:val="TableContents"/>
              <w:bidi w:val="0"/>
              <w:spacing w:before="40" w:after="283"/>
              <w:jc w:val="center"/>
              <w:rPr>
                <w:b w:val="false"/>
                <w:i/>
                <w:sz w:val="20"/>
              </w:rPr>
            </w:pPr>
            <w:r>
              <w:rPr>
                <w:b w:val="false"/>
                <w:i/>
                <w:spacing w:val="4"/>
                <w:sz w:val="20"/>
              </w:rPr>
              <w:t>(All Notes)</w:t>
            </w:r>
            <w:r>
              <w:rPr>
                <w:b w:val="false"/>
                <w:i/>
                <w:sz w:val="20"/>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94" w:after="283"/>
        <w:ind w:left="54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supplement is August 4,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349" w:type="dxa"/>
        <w:jc w:val="left"/>
        <w:tblInd w:w="1393" w:type="dxa"/>
        <w:tblLayout w:type="fixed"/>
        <w:tblCellMar>
          <w:top w:w="0" w:type="dxa"/>
          <w:left w:w="0" w:type="dxa"/>
          <w:bottom w:w="28" w:type="dxa"/>
          <w:right w:w="0" w:type="dxa"/>
        </w:tblCellMar>
      </w:tblPr>
      <w:tblGrid>
        <w:gridCol w:w="7030"/>
        <w:gridCol w:w="109"/>
        <w:gridCol w:w="109"/>
        <w:gridCol w:w="109"/>
        <w:gridCol w:w="109"/>
        <w:gridCol w:w="620"/>
        <w:gridCol w:w="109"/>
        <w:gridCol w:w="154"/>
      </w:tblGrid>
      <w:tr>
        <w:trPr/>
        <w:tc>
          <w:tcPr>
            <w:tcW w:w="70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S-1</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UM">
              <w:r>
                <w:rPr>
                  <w:rStyle w:val="InternetLink"/>
                  <w:spacing w:val="4"/>
                </w:rPr>
                <w:t>S-2</w:t>
              </w:r>
            </w:hyperlink>
            <w:hyperlink w:anchor="s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S-7</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OP">
              <w:r>
                <w:rPr>
                  <w:rStyle w:val="InternetLink"/>
                  <w:spacing w:val="4"/>
                </w:rPr>
                <w:t>S-13</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CAP">
              <w:r>
                <w:rPr>
                  <w:rStyle w:val="InternetLink"/>
                  <w:spacing w:val="4"/>
                </w:rPr>
                <w:t>S-14</w:t>
              </w:r>
            </w:hyperlink>
            <w:hyperlink w:anchor="s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DON">
              <w:r>
                <w:rPr>
                  <w:rStyle w:val="InternetLink"/>
                  <w:spacing w:val="4"/>
                </w:rPr>
                <w:t xml:space="preserve">DESCRIPTION OF NOTES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DON">
              <w:r>
                <w:rPr>
                  <w:rStyle w:val="InternetLink"/>
                  <w:spacing w:val="4"/>
                </w:rPr>
                <w:t>S-16</w:t>
              </w:r>
            </w:hyperlink>
            <w:hyperlink w:anchor="sDO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MUFI">
              <w:r>
                <w:rPr>
                  <w:rStyle w:val="InternetLink"/>
                  <w:spacing w:val="4"/>
                </w:rPr>
                <w:t xml:space="preserve">MATERIAL U.S. FEDERAL INCOME TAX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MUFI">
              <w:r>
                <w:rPr>
                  <w:rStyle w:val="InternetLink"/>
                  <w:spacing w:val="4"/>
                </w:rPr>
                <w:t>S-39</w:t>
              </w:r>
            </w:hyperlink>
            <w:hyperlink w:anchor="sMU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ND">
              <w:r>
                <w:rPr>
                  <w:rStyle w:val="InternetLink"/>
                  <w:spacing w:val="4"/>
                </w:rPr>
                <w:t>S-44</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WTOM">
              <w:r>
                <w:rPr>
                  <w:rStyle w:val="InternetLink"/>
                  <w:spacing w:val="4"/>
                </w:rPr>
                <w:t xml:space="preserve">WHERE TO OBTAIN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WTOM">
              <w:r>
                <w:rPr>
                  <w:rStyle w:val="InternetLink"/>
                  <w:spacing w:val="4"/>
                </w:rPr>
                <w:t>S-51</w:t>
              </w:r>
            </w:hyperlink>
            <w:hyperlink w:anchor="sWTO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IIBR">
              <w:r>
                <w:rPr>
                  <w:rStyle w:val="InternetLink"/>
                  <w:spacing w:val="4"/>
                </w:rPr>
                <w:t xml:space="preserve">INFORMATION INCORPORATED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IIBR">
              <w:r>
                <w:rPr>
                  <w:rStyle w:val="InternetLink"/>
                  <w:spacing w:val="4"/>
                </w:rPr>
                <w:t>S-52</w:t>
              </w:r>
            </w:hyperlink>
            <w:hyperlink w:anchor="sIIB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IAMD">
              <w:r>
                <w:rPr>
                  <w:rStyle w:val="InternetLink"/>
                  <w:spacing w:val="4"/>
                </w:rPr>
                <w:t xml:space="preserve">INDUSTRY AND MARKET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IAMD">
              <w:r>
                <w:rPr>
                  <w:rStyle w:val="InternetLink"/>
                  <w:spacing w:val="4"/>
                </w:rPr>
                <w:t>S-53</w:t>
              </w:r>
            </w:hyperlink>
            <w:hyperlink w:anchor="sIAM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FOST">
              <w:r>
                <w:rPr>
                  <w:rStyle w:val="InternetLink"/>
                  <w:spacing w:val="4"/>
                </w:rPr>
                <w:t>S-54</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30"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S-55</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30"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EXP">
              <w:r>
                <w:rPr>
                  <w:rStyle w:val="InternetLink"/>
                  <w:spacing w:val="4"/>
                </w:rPr>
                <w:t>S-56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6960" w:type="dxa"/>
        <w:jc w:val="left"/>
        <w:tblInd w:w="1393" w:type="dxa"/>
        <w:tblLayout w:type="fixed"/>
        <w:tblCellMar>
          <w:top w:w="0" w:type="dxa"/>
          <w:left w:w="0" w:type="dxa"/>
          <w:bottom w:w="28" w:type="dxa"/>
          <w:right w:w="0" w:type="dxa"/>
        </w:tblCellMar>
      </w:tblPr>
      <w:tblGrid>
        <w:gridCol w:w="5851"/>
        <w:gridCol w:w="109"/>
        <w:gridCol w:w="109"/>
        <w:gridCol w:w="109"/>
        <w:gridCol w:w="109"/>
        <w:gridCol w:w="410"/>
        <w:gridCol w:w="109"/>
        <w:gridCol w:w="154"/>
      </w:tblGrid>
      <w:tr>
        <w:trPr/>
        <w:tc>
          <w:tcPr>
            <w:tcW w:w="58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51" w:type="dxa"/>
            <w:tcBorders/>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FOST">
              <w:r>
                <w:rPr>
                  <w:rStyle w:val="InternetLink"/>
                  <w:spacing w:val="4"/>
                </w:rPr>
                <w:t>2</w:t>
              </w:r>
            </w:hyperlink>
            <w:hyperlink w:anchor="t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3</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51" w:type="dxa"/>
            <w:tcBorders/>
            <w:tcMar>
              <w:bottom w:w="0" w:type="dxa"/>
            </w:tcMar>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IBR">
              <w:r>
                <w:rPr>
                  <w:rStyle w:val="InternetLink"/>
                  <w:spacing w:val="4"/>
                </w:rPr>
                <w:t>4</w:t>
              </w:r>
            </w:hyperlink>
            <w:hyperlink w:anchor="tIIB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5</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51"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IFA">
              <w:r>
                <w:rPr>
                  <w:rStyle w:val="InternetLink"/>
                  <w:spacing w:val="4"/>
                </w:rPr>
                <w:t>6</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51"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DS">
              <w:r>
                <w:rPr>
                  <w:rStyle w:val="InternetLink"/>
                  <w:spacing w:val="4"/>
                </w:rPr>
                <w:t>8</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10</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51"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
              <w:r>
                <w:rPr>
                  <w:rStyle w:val="InternetLink"/>
                  <w:spacing w:val="4"/>
                </w:rPr>
                <w:t>12</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51"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14, 2025, we filed with the Securities and Exchange Commission (the “SEC”) a registration statement on Form S-3 utilizing a shelf registration process relating to the securities described in this prospectus supplement, which became effective upon filing.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is in two parts. The first part is the prospectus supplement, which describes the specific terms of the Notes the Issuer is offering and certain other matters relating to the Issuer. The second part, the accompanying prospectus, gives more general information about debt securities that the Issuer may offer from time to time, some of which may not apply to the Notes the Issuer is offering. The rules of the SEC allow us to incorporate by reference information into this prospectus supplement. This information incorporated by reference is considered to be a part of this prospectus supplement, and information that we file later with the SEC, to the extent incorporated by reference, will automatically update and supersede this information. See “</w:t>
      </w:r>
      <w:r>
        <w:rPr>
          <w:rFonts w:ascii="Times New Roman;Times;serif" w:hAnsi="Times New Roman;Times;serif"/>
          <w:b w:val="false"/>
          <w:i/>
          <w:caps w:val="false"/>
          <w:smallCaps w:val="false"/>
          <w:color w:val="000000"/>
          <w:spacing w:val="4"/>
          <w:sz w:val="20"/>
        </w:rPr>
        <w:t>Information Incorporated by Reference</w:t>
      </w:r>
      <w:r>
        <w:rPr>
          <w:rFonts w:ascii="Times New Roman;Times;serif" w:hAnsi="Times New Roman;Times;serif"/>
          <w:b w:val="false"/>
          <w:i w:val="false"/>
          <w:caps w:val="false"/>
          <w:smallCaps w:val="false"/>
          <w:color w:val="000000"/>
          <w:spacing w:val="4"/>
          <w:sz w:val="20"/>
        </w:rPr>
        <w:t xml:space="preserve">.” You should read this prospectus supplement along with the accompanying prospectus, as well as the documents incorporated by reference. If the description of the offering varies between this prospectus supplement and the accompanying prospectus, you should rely on the information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underwriters have not, authorized any dealer, salesman or other person to provide you with any information or to make any representation other than those contained or incorporated by reference into this prospectus supplement or the accompanying prospectus and any free writing prospectus prepared by or on behalf of us. We take no responsibility for, and can provide no assurance as to the reliability of, any other information that others may give you. If anyone provides you with different or inconsistent information, you should not rely on it. This prospectus supplement and the accompanying prospectus do not constitute an offer to sell or the solicitation of an offer to buy any securities other than the Notes offered hereby, nor do this prospectus supplement and the accompanying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and the accompanying prospectus is accurate on any date subsequent to the date set forth on the front of the document or that any information we have incorporated by reference is correct on any date subsequent to the date of the document incorporated by reference, even though this prospectus supplement and the accompanying prospectus are delivered or securities are sold on a later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otherwise provided herein, as used in this prospectus supplement, the term “Issuer” refers to AbbVie Inc., a Delaware corporation, and not to any of its subsidiaries; and “AbbVie,” “we,” “us,” and “our” refer to AbbVie Inc. and its consolidated subsidiaries.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6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information contained elsewhere in this prospectus supplement and the documents we incorporate by reference and is qualified in its entirety by the more detailed information and consolidated financial statements included elsewhere in this prospectus supplement, the accompanying prospectus and the documents we incorporate by reference into this prospectus supplement. This summary is not complete and may not contain all of the information that may be important to you. You should carefully read the following summary together with the entire prospectus supplement, including the “Risk Factors” section, the accompanying prospectus, and our consolidated financial statements and notes to those statements, before making an investment decision.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In the United States, AbbVie distributes pharmaceutical products principally through independent wholesale distributors, with some sales directly to retailers, pharmacies, patients, or other customers. Outside the United States, AbbVie sells products primarily to wholesalers or through distributors, and depending on the market works through largely centralized national payer systems to agree on reimbursement terms. Certain products are co-marketed or co-promoted with other companies. AbbVie operates as a single global business segment.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Pending Acquisition of Apogee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18, 2026, the Issuer entered into a definitive agreement (the “Acquisition Agreement”) to acquire Apogee Therapeutics, Inc. (“Apogee”). Apogee is a clinical-stage biotechnology company advancing novel biologics with potential for differentiated efficacy and dosing for the treatment of atopic dermatitis, asthma and other inflammatory conditions. Under the terms of the agreement, AbbVie is expected to acquire all outstanding shares of Apogee for $135.11 per share in cash, for a total equity value of approximately $10.9 billion.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expects that the Specified Acquisition will be completed in the third quarter of 2026, subject to receipt of regulatory approvals and the satisfaction or waiver of other customary closing conditions, including Apogee shareholder approval. There can be no assurance that the conditions to the Specified Acquisition will be satisfied or that the parties will be able to consummate the Specified Acquisition on a timely basis or at all. The completion of this offering of the Notes is not contingent on the consummation of the Specified Acquisition, nor is the Specified Acquisition contingent on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364-Day Delayed Draw Term Loan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10, 2026, the Issuer entered into a new 364-day senior unsecured delayed draw term loan facility (the “364-Day Delayed Draw Term Loan Facility”) with Morgan Stanley Senior Funding, Inc., as administrative agent, and certain other financial institutions, as lenders, pursuant to which such financial institutions agreed to provide, subject to the satisfaction of customary closing conditions, up to $10.0 billion of senior unsecured term loans for the purpose of financing a portion of the Issuer’s cash payment obligations in connection with the Specified Acquisition and related fees, expenses, and other amounts in connection therewith. As of the date hereof, there are no outstanding borrowings under the 364-Day Delayed Draw Term Loan Facility. The net proceeds from the issuance of the Notes offered hereby will reduce commitments under the 364-Day Delayed Draw Term Loan Facility.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 was incorporated in Delaware on April 10, 2012. On January 1, 2013, the Issuer became an independent, publicly traded company as a result of the distribution by Abbott Laboratories (“Abbott”) of 100% of the outstanding common stock of the Issuer to Abbott’s shareholders. The Issuer’s common stock began trading “regular-way” under the ticker symbol “ABBV” on the New York Stock Exchange on January 2, 2013.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also maintains an internet site at www.abbvie.com. AbbVie’s website and the information contained therein or connected thereto shall not be deemed to be incorporated herein, and you should not rely on any such information in making an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address of AbbVie’s principal executive offices is 1 North Waukegan Road, North Chicago, Illinois 60064. AbbVie’s telephone number is (847) 932-7900.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84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Notes offered hereby. Certain of the terms and conditions described below are subject to important limitations and exceptions. You should carefully review the “Description of Notes” section of this prospectus supplement, which contains a more detailed description of the terms and conditions of the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Inc.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Securities Offered </w:t>
      </w:r>
    </w:p>
    <w:p>
      <w:pPr>
        <w:pStyle w:val="TextBody"/>
        <w:bidi w:val="0"/>
        <w:spacing w:lineRule="atLeast" w:line="240" w:before="120" w:after="283"/>
        <w:ind w:left="1993" w:right="0" w:hanging="2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Mandatorily Redeemable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$500,000,000 aggregate principal amount of Floating Rate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$1,000,000,000 aggregate principal amount of 2028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$1,250,000,000 aggregate principal amount of 2030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$1,500,000,000 aggregate principal amount of 2031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$1,250,000,000 aggregate principal amount of 2033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$1,500,000,000 aggregate principal amount of 2036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$1,000,000,000 aggregate principal amount of 2038 Notes. </w:t>
      </w:r>
    </w:p>
    <w:p>
      <w:pPr>
        <w:pStyle w:val="TextBody"/>
        <w:bidi w:val="0"/>
        <w:spacing w:lineRule="atLeast" w:line="240" w:before="120" w:after="283"/>
        <w:ind w:left="1993" w:right="0" w:hanging="2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Long-Term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$1,500,000,000 aggregate principal amount of 2056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$500,000,000 aggregate principal amount of 2066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on Fixed Rate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4.500% per year for the 2028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4.650% per year for the 2030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4.875% per year for the 2031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5.050% per year for the 2033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5.300% per year for the 2036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5.450% per year for the 2038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6.000% per year for the 2056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6.100% per year for the 2066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on Floating Rate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floating rate equal to a benchmark rate, which will initially be Compounded SOFR (as defined herein), plus a spread of 0.420% per year. See “</w:t>
      </w:r>
      <w:r>
        <w:rPr>
          <w:rFonts w:ascii="Times New Roman;Times;serif" w:hAnsi="Times New Roman;Times;serif"/>
          <w:b w:val="false"/>
          <w:i/>
          <w:caps w:val="false"/>
          <w:smallCaps w:val="false"/>
          <w:color w:val="000000"/>
          <w:spacing w:val="4"/>
          <w:sz w:val="20"/>
          <w:bdr w:val="single" w:sz="8" w:space="1" w:color="000000"/>
        </w:rPr>
        <w:t>Description of Notes—Interest Rate on Floating Rate Notes—Compounded SOFR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February 18, May 18, August 18, and November 18 of each year, commencing November 18, 2026 for the Floating Rate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February 18 and August 18 of each year, commencing February 18, 2027 for the 2028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March 15 and September 15 of each year, commencing March 15, 2027 for the Fixed Rate Notes (other than the 2028 Notes).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August 18, 2028 for the Floating Rate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August 18, 2028 for the 2028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March 15, 2030 for the 2030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September 15, 2031 for the 2031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September 15, 2033 for the 2033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September 15, 2036 for the 2036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September 15, 2038 for the 2038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September 15, 2056 for the 2056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September 15, 2066 for the 2066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redeem the Fixed Rate Notes of any series at our option, in whole or in part, at any time and from time to time at the applicable redemption price set forth under the caption “</w:t>
      </w:r>
      <w:r>
        <w:rPr>
          <w:rFonts w:ascii="Times New Roman;Times;serif" w:hAnsi="Times New Roman;Times;serif"/>
          <w:b w:val="false"/>
          <w:i/>
          <w:caps w:val="false"/>
          <w:smallCaps w:val="false"/>
          <w:color w:val="000000"/>
          <w:spacing w:val="4"/>
          <w:sz w:val="20"/>
          <w:bdr w:val="single" w:sz="8" w:space="1" w:color="000000"/>
        </w:rPr>
        <w:t>Description of Notes—</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Optional Redemption</w:t>
      </w:r>
      <w:r>
        <w:rPr>
          <w:rFonts w:ascii="Times New Roman;Times;serif" w:hAnsi="Times New Roman;Times;serif"/>
          <w:b w:val="false"/>
          <w:i w:val="false"/>
          <w:caps w:val="false"/>
          <w:smallCaps w:val="false"/>
          <w:color w:val="000000"/>
          <w:spacing w:val="4"/>
          <w:sz w:val="20"/>
          <w:bdr w:val="single" w:sz="8" w:space="1" w:color="000000"/>
        </w:rPr>
        <w:t>.”</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Floating Rate Notes may not be redeemed prior to maturity (other than pursuant to a Special Mandatory Redemption, as described under the caption “</w:t>
      </w:r>
      <w:r>
        <w:rPr>
          <w:rFonts w:ascii="Times New Roman;Times;serif" w:hAnsi="Times New Roman;Times;serif"/>
          <w:b w:val="false"/>
          <w:i/>
          <w:caps w:val="false"/>
          <w:smallCaps w:val="false"/>
          <w:color w:val="000000"/>
          <w:spacing w:val="4"/>
          <w:sz w:val="20"/>
          <w:bdr w:val="single" w:sz="8" w:space="1" w:color="000000"/>
        </w:rPr>
        <w:t>Description of Notes—Special Mandatory Redemption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Special Mandatory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This offering is not conditioned upon the consummation of the Specified Acquisition by the Issuer or any of its subsidiaries; however, if the Issuer publicly announces that the Acquisition Agreement has been terminated prior to the consummation of the Specified Acquisition, or otherwise notifies the Trustee in writing that it will not pursue the consummation of the Specified Acquisition, the Issuer will be required to redeem the Mandatorily Redeemable Notes then outstanding at a redemption price equal to 101% of the principal amount of the Mandatorily Redeemable Notes to be redeemed plus accrued and unpaid interest thereon to, but excluding, the redemption date. The Long-Term Notes will not be subject to any Special Mandatory Redemption. There is no escrow account for, or security interest in, the proceeds of this offering for the benefit of holders of the Notes. See “</w:t>
      </w:r>
      <w:r>
        <w:rPr>
          <w:rFonts w:ascii="Times New Roman;Times;serif" w:hAnsi="Times New Roman;Times;serif"/>
          <w:b w:val="false"/>
          <w:i/>
          <w:caps w:val="false"/>
          <w:smallCaps w:val="false"/>
          <w:color w:val="000000"/>
          <w:spacing w:val="4"/>
          <w:sz w:val="20"/>
          <w:bdr w:val="single" w:sz="8" w:space="1" w:color="000000"/>
        </w:rPr>
        <w:t>Description of Notes—Special Mandatory Redemption.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the Issuer’s unsecured, unsubordinated obligations, and will:</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rank equally in right of payment with all of the Issuer’s existing and future unsecured, unsubordinated indebtedness, liabilities, and other obligations;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5250" distB="0" distL="213360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5pt;mso-wrap-distance-bottom:0pt;margin-top:7.5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rank senior in right of payment to all of the Issuer’s future indebtedness that is subordinated to the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5250" distB="0" distL="213360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5pt;mso-wrap-distance-bottom:0pt;margin-top:7.5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be effectively subordinated in right of payment to all of the Issuer’s existing and future secured indebtedness, to the extent of the value of the assets securing such indebtedness;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5250" distB="0" distL="21336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5pt;mso-wrap-distance-bottom:0pt;margin-top:7.5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 structurally subordinated in right of payment to all existing and future indebtedness, liabilities, and other obligations of the Issuer’s subsidiaries. </w:t>
      </w:r>
      <w:r>
        <mc:AlternateContent>
          <mc:Choice Requires="wps">
            <w:drawing>
              <wp:anchor behindDoc="0" distT="93980" distB="0" distL="21336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4pt;mso-wrap-distance-bottom:0pt;margin-top:7.4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00"/>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 expects the net proceeds to it from this offering will be approximately $9.93 billion (after deducting underwriting discounts and its estimated offering expenses). The Issuer intends to use the net proceeds from the sale of the Notes (i) to fund a portion of its cash payment obligations in connection with the Specified Acquisition, and to pay fees, expenses, and other amounts in connection therewith, and (ii) for other general corporate purposes, which may include the repayment or repurchase of outstanding debt.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governing the Notes includes covenants that, among other things, limit the ability of the Issuer and its subsidiaries to create or permit to exist mortgages with respect to their principal domestic properties and certain other assets and to enter into sale and leaseback transactions with respect to such principal domestic properties, and limit the Issuer’s ability to consolidate with or merge into any other entity or convey, transfer, or lease the Issuer’s properties and assets substantially as an entirety. These covenants are subject to a number of important qualifications and limitations. See “</w:t>
      </w:r>
      <w:r>
        <w:rPr>
          <w:rFonts w:ascii="Times New Roman;Times;serif" w:hAnsi="Times New Roman;Times;serif"/>
          <w:b w:val="false"/>
          <w:i/>
          <w:caps w:val="false"/>
          <w:smallCaps w:val="false"/>
          <w:color w:val="000000"/>
          <w:spacing w:val="4"/>
          <w:sz w:val="20"/>
          <w:bdr w:val="single" w:sz="8" w:space="1" w:color="000000"/>
        </w:rPr>
        <w:t>Description of Notes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Bank Trust Company, National Association (in its capacity as trustee, the “Trustee”).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 may “re-open” each series of Notes and issue an unlimited principal amount of additional Notes of that series in the future without the consent of the holders.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and Denominations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book-entry only and registered in the name of a nominee of The Depository Trust Company (“DTC”). Investors may elect to hold interests in the Notes through DTC, Clearstream Banking, S.A. or Euroclear Bank S.A./N.V., as operator of the Euroclear System, if they are participants in these systems, or indirectly through organizations that are participants in these systems. The Notes will be issued in minimum denominations of $2,000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should carefully consider the information set forth herein under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and the other information in this prospectus supplement and the documents incorporated herein by reference in deciding whether to purchase the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Public Market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are new issues of securities with no established trading markets. We do not intend to apply for the Notes to be listed on any securities exchange or to arrange for the Notes to be quoted on any quotation system. Certain of the underwriters have advised us that they intend to make markets in the Notes, but they are not obligated to do so. The underwriters may discontinue any market-making in the Notes at any time without notice at their sole discretion. Accordingly, we cannot assure you that a liquid trading market will develop for the Notes, that you will be able to sell your Notes at a particular time or that the prices you receive when you sell will be favorable.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State of New York.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carefully consider the following risk factors, as well as the other information included or incorporated by reference into this prospectus supplement and the accompanying prospectus, before making an investment decision. These risks are not the only risks that we face in our business and/or in connection with this offering. Our business, financial condition and results of operations and/or the Notes offered hereby could also be affected by additional factors that are not presently known to us or that we currently do not consider to be material. In this section, when we refer to the applicability of the Secured Overnight Financing Rate to the Floating Rate Notes, we mean the Floating Rate Notes at any time when the interest rate on the Floating Rate Notes is or will be determined based on the Secured Overnight Financing Rate, including Compounded SOFR, and when we refer to the “benchmark transition provisions” and certain defined terms in those provisions, we mean the benchmark transition provisions and defined terms that are described under “</w:t>
      </w:r>
      <w:r>
        <w:rPr>
          <w:rFonts w:ascii="Times New Roman;Times;serif" w:hAnsi="Times New Roman;Times;serif"/>
          <w:b w:val="false"/>
          <w:i/>
          <w:caps w:val="false"/>
          <w:smallCaps w:val="false"/>
          <w:color w:val="000000"/>
          <w:spacing w:val="4"/>
          <w:sz w:val="20"/>
        </w:rPr>
        <w:t>Description of Notes—Interest Rate on Floating Rate Notes—Effect of Benchmark Transition Event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Our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 discussion of the risks related to our business, you should carefully consider the risks, uncertainties and assumptions discussed under “Part I—Item 1A. Risk Factors” in the Issuer’s </w:t>
      </w:r>
      <w:hyperlink r:id="rId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in other documents that we subsequently file with the SEC that update, supplement or supersede such information, all of which are incorporated by reference into this prospectus supplement. See “</w:t>
      </w:r>
      <w:r>
        <w:rPr>
          <w:rFonts w:ascii="Times New Roman;Times;serif" w:hAnsi="Times New Roman;Times;serif"/>
          <w:b w:val="false"/>
          <w:i/>
          <w:caps w:val="false"/>
          <w:smallCaps w:val="false"/>
          <w:color w:val="000000"/>
          <w:spacing w:val="4"/>
          <w:sz w:val="20"/>
        </w:rPr>
        <w:t>Where to Obtain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addition to indebtedness that will be issued in this offering, the Issuer has significant outstanding unused borrowing capacity and significant outstanding debt and may incur additional debt in the future. The terms of such indebtedness could restrict the activities of AbbVie.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AbbVie had $68.4 billion aggregate principal amount (calculated based on exchange rates in effect as of June 30, 2026) of outstanding unsecured senior notes (the “Existing Notes”). The Existing Notes are unsecured, unsubordinated obligations of the Issuer and rank equally in right of payment with all of the Issuer’s existing and future unsecured, unsubordinated indebtedness, liabilities, and other obligations. The Issuer may redeem the Existing Notes prior to maturity at redemption prices specified therein, in accordance with their respective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2026, the Issuer entered into a $10.0 billion 364-day delayed draw term loan facility (the “364-Day Delayed Draw Term Loan Facility”) that matures 364 days following the funding of term loans thereunder, proceeds from which may be used to finance a portion of the Issuer’s cash payment obligations in connection with the Specified Acquisition and related fees, expenses, and other amounts in connection therewith. The Issuer also has a $3.0 billion five-year revolving credit facility that matures in January 2030 (the “2030 Revolving Credit Facility”), which it entered into in January 2025, a $5.0 billion five-year revolving credit facility that matures in March 2028 (the “2028 Revolving Credit Facility” and, together with the 2030 Revolving Credit Facility, the “Revolving Credit Facilities”), which it entered into in March 2023, and a $2.0 billion fixed-rate term loan facility that matures in April 2027 (the “Term Loan Facility” and, together with the 364-Day Delayed Draw Term Loan Facility and the Revolving Credit Facilities, the “credit facilities”), which it entered into in October 2024. There are currently no amounts outstanding under the 364-Day Delayed Draw Term Loan Facility, no amounts outstanding under the Revolving Credit Facilities, and $2.0 billion aggregate principal amount of loans outstanding under the Term Loan Facility. The credit facilities impose restrictions on the Issuer and its subsidiaries, including certain restrictions on their ability to incur liens on their assets. In addition, these credit facilities require the Issuer to maintain compliance with a financial covenant. The Issuer’s ability to comply with these restrictions and covenants may be affected by events beyond its control. If the Issuer breaches any of these restrictions or covenants and does not obtain a waiver from the lenders under the applicable credit facility, then, subject to applicable cure periods, any outstanding indebtedness under such credit facility could be declared immediately due and payable. AbbVie may also incur significantly more debt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Issuer has limited direct operations and depends on dividends and other distributions from its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has limited direct operations. The Issuer’s principal assets are the equity interests that the Issuer holds in its subsidiaries. As a result, the Issuer depends on dividends and other distributions from its subsidiaries to generate the funds necessary to meet its financial obligations, including the payment of principal and interest on its outstanding indebtedness. The Issuer’s subsidiaries are legally distinct from the Issuer and have no obligation to pay amounts due on the Issuer’s indebtedness or to make funds available for such payment. In addition, the Issuer’s subsidiaries will be permitted under the terms of the indenture governing the Notes to incur additional indebtedness that may restrict or prohibit the making of distributions, the payment of dividends or the making of loans by such subsidiaries to the Issuer. The Issuer cannot assure you that the agreements governing the current and future indebtedness of its subsidiaries will permit such subsidiaries to provide it with sufficient dividends, distributions or loans to fund payments on the Notes when due.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increase in interest rates could result in a decrease in the market values of the Fixed Rate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as market interest rates rise, notes bearing interest at a fixed rate decline in value because the premium over market interest rates, if any, will decline. Consequently, if you purchase the Fixed Rate Notes and market interest rates increase, the market values of your Fixed Rate Notes may decline. The Issuer cannot predict the future level of market interest rates.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Issuer’s credit ratings may adversely affect the values of the Notes and the Issuer’s credit ratings may not reflect all risks of your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ratings assigned to the Notes could be lowered, suspended or withdrawn entirely by the rating agencies if, in each rating agency’s judgment, circumstances warrant. Actual or anticipated changes or downgrades in the Issuer’s credit ratings, including any announcement that the Issuer’s ratings are under further review for a downgrade, could affect the market values of the Notes.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credit ratings assigned or that will be assigned to the Notes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can be no assurance that such credit ratings will remain in effect for any given period of time or that a rating will not be lowered, suspended or withdrawn entirely by the applicable rating agencies, if, in such rating agency’s judgment, circumstances so warrant.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Agency credit ratings are not a recommendation to buy, sell, or hold any security. Each agency’s rating should be evaluated independently of any other agency’s rating. Actual or anticipated changes or downgrades in the Issuer’s credit ratings, including any announcement that its ratings are under further review for a downgrade, could affect the market values of the Notes and increase the Issuer’s corporate borrowing costs.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governing the Notes will not restrict the amount of additional debt that AbbVie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the indenture under which the Notes will be issued do not place any limitation on the amount of debt that AbbVie may incur (other than certain limited restrictions on the incurrence of certain secured debt). AbbVie’s incurrence of additional debt may have important consequences for you as a holder of the Notes, including making it more difficult for the Issuer to satisfy its obligations with respect to the Notes, a loss in the market values of the Notes and a risk that any credit rating of the Notes is lowered or withdrawn. In addition, the Issuer is not restricted under the indenture governing the Notes from paying dividends or issuing or repurchasing its securities.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are no financial covenants in the indenture governing the Notes. Except for the covenants described under “</w:t>
      </w:r>
      <w:r>
        <w:rPr>
          <w:rFonts w:ascii="Times New Roman;Times;serif" w:hAnsi="Times New Roman;Times;serif"/>
          <w:b w:val="false"/>
          <w:i/>
          <w:caps w:val="false"/>
          <w:smallCaps w:val="false"/>
          <w:color w:val="000000"/>
          <w:spacing w:val="4"/>
          <w:sz w:val="20"/>
        </w:rPr>
        <w:t>Description of Notes—Certain Covenants of AbbVie</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Description of Notes—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there are no covenants or any other provisions in the indenture under which the Notes will be issued which may afford you protection in the event of a highly leveraged transaction, including one that may or may not result in a change of control of the Issuer.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Issuer is required to redeem the Mandatorily Redeemable Notes in connection with a Special Mandatory Redemption, holders of the Mandatorily Redeemable Notes may not obtain their expected return on such Mandatorily Redeemable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is not conditioned upon the consummation of the Specified Acquisition by the Issuer or any of its subsidiaries; however, if the Issuer publicly announces that the Acquisition Agreement has been terminated prior to the consummation of the Specified Acquisition, or otherwise notifies the Trustee in writing that it will not pursue the consummation of the Specified Acquisition, the Issuer will be required to redeem the Mandatorily Redeemable Notes then outstanding at a redemption price equal to 101% of the principal amount of the Mandatorily Redeemable Notes to be redeemed plus accrued and unpaid interest thereon to, but excluding, the redemption date (a “Special Mandatory Redemption”). The Long-Term Notes will not be subject to any Special Mandatory Redemption. AbbVie’s ability to consummate the Specified Acquisition is subject to various closing conditions, including regulatory approvals and other matters over which we have limited or no control. If AbbVie is required to redeem the Mandatorily Redeemable Notes, holders of such Mandatorily Redeemable Notes may not obtain their expected return on such Mandatorily Redeemable Notes and may not be able to reinvest the proceeds from a Special Mandatory Redemption in an investment that results in a comparable return. Holders of the Mandatorily Redeemable Notes will have no right to opt out of the Special Mandatory Redemption provisions of such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holders of the Mandatorily Redeemable Notes will have no rights under the Special Mandatory Redemption provisions of such Notes unless a Special Mandatory Redemption is triggered in the manner described above, nor will such holders have any right to require the Issuer to redeem the Mandatorily Redeemable Notes if, between the closing of the Notes offering and the closing of the Specified Acquisition, we experience any changes in our business or financial condition or if the terms of the Specified Acquisition change.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AbbVie may not have or be able to obtain all the funds necessary to redeem the Mandatorily Redeemable Notes and may be unable to redeem the Mandatorily Redeemable Notes in the event of a Special 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is not obligated to place the proceeds of this offering of Notes in escrow prior to the closing of the Specified Acquisition or to provide a security interest in such proceeds, and there are no other restrictions on our use of such proceeds during such time. Accordingly, the Issuer will need to fund any Special Mandatory Redemption using proceeds that it has voluntarily retained or from other sources of liquidity. As a result, in the event of a Special Mandatory Redemption, the Issuer may not have sufficient funds to redeem the Mandatorily Redeemable Notes. This could be the case, for example, if the Issuer or any of its subsidiaries commence a bankruptcy or reorganization case, or such a case is commenced against the Issuer or one of its subsidiaries before we redeem the Mandatorily Redeemable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are currently no markets for the Notes, and active trading markets may not develop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constitute new issues of securities for which there are no established public markets. The Issuer does not expect to have the Notes listed on a national securities exchange or to arrange for quotation on any automated dealer quotation systems. Certain of the underwriters have advised the Issuer that they expect to make a market for each series of the Notes as permitted by applicable laws and regulations. However, the underwriters are not obligated to make a market for any series of the Notes, and they may discontinue their market-making activities at any time without notice. In addition, the liquidity of the trading markets in the Notes and the market prices quoted for the Notes may be adversely affected by changes in the overall market for securities and by changes in AbbVie’s financial performance or prospects or changes in the financial performance or prospects of companies in AbbVie’s industry. Active trading markets for the Notes may not develop or be sustained and there can be no assurance as to the liquidity of any markets that do develop. You may not be able to sell your Notes at a particular time, and the price that you receive when you sell may not be favorable.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Issuer has broad discretion to determine that a property is not a principal domestic property and therefore not subject to certain covenants in the indenture governing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governing the Notes includes covenants that, among other things, limit the ability of the Issuer and its subsidiaries to create or permit to exist mortgages with respect to their principal domestic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properties and certain other assets, and to enter into sale and leaseback transactions with respect to such principal domestic properties. The indenture governing the Notes provides that a principal domestic property means any building, structure, or other facility, together with the land on which it is erected and fixtures comprising a part thereof, used primarily for manufacturing, processing, research, warehousing, or distribution and located in the United States (excluding its territories and possessions and Puerto Rico), owned or leased by the Issuer or any of its domestic subsidiaries and having a net book value which, on the date the determination as to whether a property is a principal domestic property is being made, exceeds 2% of the consolidated net assets of the Issuer, other than any such building, structure, or other facility or a portion thereof (i) which is an air or water pollution control facility financed by state or local governmental obligations or (ii) which the chairman of the board, chief executive officer, an executive vice president, a senior vice president, or a vice president of the Issuer, and the chief financial officer, treasurer or an assistant treasurer of the Issuer, determine in good faith, at any time on or prior to such date, is not of material importance to the total business conducted, or assets owned, by the Issuer and its subsidiaries as a whole. Although it has not yet done so, under the terms of the indenture governing the Notes, the chairman of the board of the Issuer or any of the Issuer’s executive officers listed above may determine from time to time that a property owned by the Issuer or a subsidiary thereof is not a principal domestic property and therefore such property is not subject to the covenants in the indenture governing the Notes. As of the date of this prospectus supplement, neither the Issuer, nor any of its subsidiaries, has any property that constitutes a principal domestic property under the indenture governing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not be guaranteed by any of the Issuer’s subsidiaries and are structurally subordinated to any existing or future preferred stock, indebtedness, guarantees, and other liabilities of the Issuer’s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obligations exclusively of the Issuer and will not be guaranteed by any of the Issuer’s subsidiaries. As a result, the Notes will be structurally subordinated to existing or future preferred stock, indebtedness, guarantees, and other liabilities, including trade payables, of the Issuer’s subsidiaries. The indenture governing the Notes does not restrict the Issuer or its subsidiaries from incurring substantial additional indebtedness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on a pro forma basis, giving effect to the issuance and sale of the Notes, the Issuer would have had approximately $80.4 billion of outstanding indebtedness. In addition, the Issuer has unused borrowing capacity of up to $8.0 billion under the Revolving Credit Facilities. The Issuer’s subsidiaries are separate and distinct legal entities from the Issuer and such subsidiaries have no obligation to pay any amounts due on the Notes or to provide the Issuer with funds to meet the payment obligations on the Notes. Any payment of dividends, loans, or advances by the Issuer’s subsidiaries could be subject to statutory or contractual restrictions and will be contingent upon the subsidiaries’ earnings and business considerations.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right to receive any assets of any of its subsidiaries upon their bankruptcy, liquidation, or similar reorganization, and the rights of the holders of the Notes, will be structurally subordinated to all existing and future indebtedness of such subsidiaries and other liabilities of such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subject to prior claims of secured creditors.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unsecured, unsubordinated obligations of the Issuer, and will rank equally in right of payment with all of the Issuer’s existing and future unsecured, unsubordinated indebtedness, liabilities, and other obligations, and will be effectively subordinated in right of payment to all of the Issuer’s existing and future secured indebtedness to the extent of the value of the assets securing such indebtedness. As of June 30, 2026, the Issuer did not have any significant secured debt outstanding. However, each of the indenture governing the Notes and the agreements governing the Issuer’s credit facilities permits the Issuer and its subsidiaries to incur secured debt under certain circumstances, and the amounts could be substantial. If the Issuer incurs any debt secured by its assets or the assets of its subsidiaries, these assets could be subject to the claims of secured creditors that are prior to your claim as a holder of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bankruptcy, liquidation, or similar proceeding, the pledged assets of the Issuer would be available to satisfy obligations in respect of the secured debt before any payment could be made on the Notes. As a result, the Notes will be effectively subordinated to any secured debt that the Issuer may have to the extent of the value of the assets securing such debt. To the extent that such pledged assets cannot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satisfy such secured debt, the holders of such debt would have a claim for any shortfall that would rank equally in right of payment with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Issuer may choose to redeem the Fixed Rate Notes of any series prior to maturity.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Issuer may redeem some or all of the Fixed Rate Notes of any series at any time. See “</w:t>
      </w:r>
      <w:r>
        <w:rPr>
          <w:rFonts w:ascii="Times New Roman;Times;serif" w:hAnsi="Times New Roman;Times;serif"/>
          <w:b w:val="false"/>
          <w:i/>
          <w:caps w:val="false"/>
          <w:smallCaps w:val="false"/>
          <w:color w:val="000000"/>
          <w:spacing w:val="4"/>
          <w:sz w:val="20"/>
        </w:rPr>
        <w:t>Description of Notes—Optional Redemption</w:t>
      </w:r>
      <w:r>
        <w:rPr>
          <w:rFonts w:ascii="Times New Roman;Times;serif" w:hAnsi="Times New Roman;Times;serif"/>
          <w:b w:val="false"/>
          <w:i w:val="false"/>
          <w:caps w:val="false"/>
          <w:smallCaps w:val="false"/>
          <w:color w:val="000000"/>
          <w:spacing w:val="4"/>
          <w:sz w:val="20"/>
        </w:rPr>
        <w:t xml:space="preserve">.” Although the Fixed Rate Notes contain provisions designed to compensate you for the lost value of such Notes if the Issuer redeems some or all of such Notes prior to maturity, they are only an approximation of this lost value and may not adequately compensate you. Furthermore, depending on prevailing interest rates at the time of any such redemption, you may not be able to reinvest the redemption proceeds in a comparable security at an interest rate as high as the interest rate of the Fixed Rate Notes being redeemed or at an interest rate that would otherwise compensate you for any lost value as a result of any such redemption of Fixed Rate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Floating Rate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future performance of SOFR cannot be predicted based on historical performance.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Publication of SOFR began in April 2018. The future performance of SOFR (as defined herein) cannot be predicted based on the limited historical performance. Levels of SOFR going forward may bear little or no relation to the historical actual or historical indicative data. Prior observed patterns, if any, in the behavior of market variables and their relation to SOFR, such as correlations, may change in the future. Because only limited historical data have been released by the Federal Reserve Bank of New York, such analysis inherently involves assumptions, estimates and approximations. The future performance of SOFR is impossible to predict and therefore no future performance of SOFR may be inferred from any of the historical actual or historical indicative data. Hypothetical or historical performance data are not indicative of, and have no bearing on, the potential performance of SOFR. There can be no assurance that SOFR will be positive. Investors in the Floating Rate Notes may not be able to sell the Floating Rate Notes at all or may not be able to sell the Floating Rate Notes at prices that will provide them with a yield comparable to similar investments that have a developed secondary market, and may consequently suffer from increased pricing volatility and market risk.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interest rate on the Floating Rate Notes is based on a Compounded SOFR rate and the SOFR Index.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Floating Rate Notes interest period, the interest rate on the Floating Rate Notes is based on Compounded SOFR, which is calculated using the SOFR Index (as defined herein) published by the Federal Reserve Bank of New York according to the specific formula described under “</w:t>
      </w:r>
      <w:r>
        <w:rPr>
          <w:rFonts w:ascii="Times New Roman;Times;serif" w:hAnsi="Times New Roman;Times;serif"/>
          <w:b w:val="false"/>
          <w:i/>
          <w:caps w:val="false"/>
          <w:smallCaps w:val="false"/>
          <w:color w:val="000000"/>
          <w:spacing w:val="4"/>
          <w:sz w:val="20"/>
        </w:rPr>
        <w:t>Description of Notes—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pacing w:val="4"/>
          <w:sz w:val="20"/>
        </w:rPr>
        <w:t>Interest Rate on Floating Rate Notes—Compounded SOFR</w:t>
      </w:r>
      <w:r>
        <w:rPr>
          <w:rFonts w:ascii="Times New Roman;Times;serif" w:hAnsi="Times New Roman;Times;serif"/>
          <w:b w:val="false"/>
          <w:i w:val="false"/>
          <w:caps w:val="false"/>
          <w:smallCaps w:val="false"/>
          <w:color w:val="000000"/>
          <w:spacing w:val="4"/>
          <w:sz w:val="20"/>
        </w:rPr>
        <w:t xml:space="preserve">,” not the SOFR rate published on or in respect of a particular date during such Floating Rate Notes interest period or an arithmetic average of SOFR rates during such period. For this and other reasons, the interest rate on the Floating Rate Notes during any Floating Rate Notes interest period will not be the same as the interest rate on other SOFR-linked investments that use an alternative basis to determine the applicable interest rate. Further, if the SOFR rate in respect of a particular date during a Floating Rate Notes interest period is negative, its contribution to the SOFR Index will be negative, resulting in a reduction to Compounded SOFR used to calculate the interest payable on the Floating Rate Notes on the Floating Rate Notes interest payment date for such Floating Rate Notes interest period.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Compounded SOFR with respect to a particular Floating Rate Notes interest period will only be capable of being determined near the end of the relevant Floating Rate Notes interest period.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level of Compounded SOFR applicable to a particular Floating Rate Notes interest period and, therefore, the amount of interest payable with respect to such Floating Rate Notes interest period will be determined on the Interest Payment Determination Date (as defined herein) for such Floating Rate Notes interest period. Because each such date is near the end of such Floating Rate Notes interest period, you will not know the amount of interest payable with respect to a particular Floating Rate Notes interest period until shortly prior to the related Floating Rate Notes interest payment date and it may be difficult for you to reliably estimate the amount of interest that will be payable on each such Floating Rate Notes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date. In addition, some investors may be unwilling or unable to trade the Floating Rate Notes without changes to their information technology systems, both of which could adversely impact the liquidity and trading price of the Floating Rate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SOFR or the SOFR Index may be modified or discontinued and the Floating Rate Notes may bear interest by reference to a rate other than Compounded SOFR, which could adversely affect the value of the Floating Rate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SOFR Index is published by the Federal Reserve Bank of New York based on data received by it from sources other than us, and we have no control over its methods of calculation, publication schedule, rate revision practices or availability of the SOFR Index at any time. There can be no guarantee that the SOFR Index will not be discontinued or fundamentally altered in a manner that is materially adverse to the interests of investors in the Floating Rate Notes. If the manner in which the SOFR Index is calculated, including the manner in which SOFR is calculated, is changed, that change may result in a reduction of the amount of interest payable on the Floating Rate Notes, which may adversely affect the trading prices of the Floating Rate Notes. The Federal Reserve Bank of New York may withdraw, modify, amend, suspend or discontinue the publication of the SOFR Index or SOFR data in its sole discretion and without notice (in which case a fallback method of determining the interest rate on the Floating Rate Notes as further described under “</w:t>
      </w:r>
      <w:r>
        <w:rPr>
          <w:rFonts w:ascii="Times New Roman;Times;serif" w:hAnsi="Times New Roman;Times;serif"/>
          <w:b w:val="false"/>
          <w:i/>
          <w:caps w:val="false"/>
          <w:smallCaps w:val="false"/>
          <w:color w:val="000000"/>
          <w:spacing w:val="4"/>
          <w:sz w:val="20"/>
        </w:rPr>
        <w:t>Description of Notes—Interest Rate on Floating Rate Notes—Compounded SOFR</w:t>
      </w:r>
      <w:r>
        <w:rPr>
          <w:rFonts w:ascii="Times New Roman;Times;serif" w:hAnsi="Times New Roman;Times;serif"/>
          <w:b w:val="false"/>
          <w:i w:val="false"/>
          <w:caps w:val="false"/>
          <w:smallCaps w:val="false"/>
          <w:color w:val="000000"/>
          <w:spacing w:val="4"/>
          <w:sz w:val="20"/>
        </w:rPr>
        <w:t xml:space="preserve">” will apply) and has no obligation to consider the interests of holders of the Floating Rate Notes in calculating, withdrawing, modifying, amending, suspending or discontinuing SOFR or the SOFR Index. The interest rate for any interest period will not be adjusted for any modifications or amendments to the SOFR Index or SOFR data that the Federal Reserve Bank of New York may publish after the interest rate for that interest period has been determined.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Issuer or its Designee (as defined herein) determines that a Benchmark Transition Event (as defined herein) and its related Benchmark Replacement Date (as defined herein) have occurred in respect of the SOFR Index, then the interest rate on the Floating Rate Notes will no longer be determined by reference to the SOFR Index, but instead will be determined by reference to a different rate, which will be a different rate plus a spread adjustment, which the Issuer refers to as a “Benchmark Replacement,” as further described under “</w:t>
      </w:r>
      <w:r>
        <w:rPr>
          <w:rFonts w:ascii="Times New Roman;Times;serif" w:hAnsi="Times New Roman;Times;serif"/>
          <w:b w:val="false"/>
          <w:i/>
          <w:caps w:val="false"/>
          <w:smallCaps w:val="false"/>
          <w:color w:val="000000"/>
          <w:spacing w:val="4"/>
          <w:sz w:val="20"/>
        </w:rPr>
        <w:t>Description of Notes—Interest Rate on Floating Rate Notes—Effect of Benchmark Transition Event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Issuer or an affiliate of the Issuer will or could have authority to make determinations, decisions and elections that could affect the return on, value of and market for the Floating Rate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terms of the Floating Rate Notes, the Issuer is authorized to make certain determinations, decisions and elections with respect to the interest rate on the Floating Rate Notes. The Issuer will make any such determination, decision or election in its sole discretion, and any such determination, decision or election that it makes could affect the amount of interest payable on the Floating Rate Notes. For example, if the Issuer determines that a Benchmark Transition Event and its related Benchmark Replacement Date have occurred with respect to the Floating Rate Notes, then the Issuer will determine, among other things, the Benchmark Replacement, Benchmark Replacement Adjustment and Benchmark Replacement Conforming Changes (each as defined herein). Furthermore, the Issuer is authorized to appoint a designee (which may be one of its affiliates) to make certain of the determinations, decisions and elections that the Issuer is authorized to make under the terms of the Floating Rate Notes, including any determination that a Benchmark Transition Event and its related Benchmark Replacement Date have occurred, and the related determinations of the Benchmark Replacement and Benchmark Replacement Adjustment. Any exercise of discretion by the Issuer, or by one of its affiliates acting as the Issuer’s designee, under the terms of the Floating Rate Notes could present a conflict of interest. In addition, the Issuer or an affiliate of the Issuer may assume the duties of calculation agent for the Floating Rate Notes. In making any required determinations, decisions and elections under the terms of the Floating Rate Notes, the Issuer or any affiliate acting as its designee, including if the Issuer or an affiliate is acting as calculation agent, may have economic interests that are adverse to the interest of the holders of those Notes, and those determinations, decisions or elections could have a material adverse effect on the return on, value of and market for those Notes. All determinations, decisions or elections by the Issuer, or by one of its affiliates acting as its designee, including those made by the Issuer or by its affiliate acting as calculation agent, will be conclusive and binding absent manifest error.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expects the net proceeds to it from this offering will be approximately $9.93 billion (after deducting underwriting discounts and its estimated offering expenses). The Issuer intends to use the net proceeds from the sale of the Notes (i) to fund a portion of its cash payment obligations in connection with the Specified Acquisition, and to pay fees, expenses, and other amounts in connection therewith and (ii) for other general corporate purposes, which may include the repayment or repurchase of outstanding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CA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capitalization as of June 30, 2026, on an actual basis and as adjusted to give effect to the issuance and sale of the Notes.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amounts set forth in the table are subject to adjustments and may differ at the time of issuance of the Notes depending on several factors, including changes in the actual amount of fees and expenses related to the proposed transactions and the outstanding amount of indebtedness at that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table in conjunction with the “</w:t>
      </w:r>
      <w:r>
        <w:rPr>
          <w:rFonts w:ascii="Times New Roman;Times;serif" w:hAnsi="Times New Roman;Times;serif"/>
          <w:b w:val="false"/>
          <w:i/>
          <w:caps w:val="false"/>
          <w:smallCaps w:val="false"/>
          <w:color w:val="000000"/>
          <w:spacing w:val="4"/>
          <w:sz w:val="20"/>
        </w:rPr>
        <w:t>Use of Proceeds</w:t>
      </w:r>
      <w:r>
        <w:rPr>
          <w:rFonts w:ascii="Times New Roman;Times;serif" w:hAnsi="Times New Roman;Times;serif"/>
          <w:b w:val="false"/>
          <w:i w:val="false"/>
          <w:caps w:val="false"/>
          <w:smallCaps w:val="false"/>
          <w:color w:val="000000"/>
          <w:spacing w:val="4"/>
          <w:sz w:val="20"/>
        </w:rPr>
        <w:t xml:space="preserve">” section and the consolidated financial statements and accompanying notes thereto and other financial information, which are incorporated by reference into this prospectus supplement. </w:t>
      </w:r>
    </w:p>
    <w:tbl>
      <w:tblPr>
        <w:tblW w:w="8395" w:type="dxa"/>
        <w:jc w:val="left"/>
        <w:tblInd w:w="1393" w:type="dxa"/>
        <w:tblLayout w:type="fixed"/>
        <w:tblCellMar>
          <w:top w:w="0" w:type="dxa"/>
          <w:left w:w="0" w:type="dxa"/>
          <w:bottom w:w="28" w:type="dxa"/>
          <w:right w:w="0" w:type="dxa"/>
        </w:tblCellMar>
      </w:tblPr>
      <w:tblGrid>
        <w:gridCol w:w="5390"/>
        <w:gridCol w:w="109"/>
        <w:gridCol w:w="109"/>
        <w:gridCol w:w="109"/>
        <w:gridCol w:w="226"/>
        <w:gridCol w:w="646"/>
        <w:gridCol w:w="109"/>
        <w:gridCol w:w="109"/>
        <w:gridCol w:w="109"/>
        <w:gridCol w:w="113"/>
        <w:gridCol w:w="236"/>
        <w:gridCol w:w="863"/>
        <w:gridCol w:w="113"/>
        <w:gridCol w:w="154"/>
      </w:tblGrid>
      <w:tr>
        <w:trPr/>
        <w:tc>
          <w:tcPr>
            <w:tcW w:w="53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0"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(dollars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jc w:val="left"/>
              <w:rPr>
                <w:spacing w:val="4"/>
              </w:rPr>
            </w:pPr>
            <w:r>
              <w:rPr>
                <w:spacing w:val="4"/>
              </w:rPr>
              <w:t xml:space="preserve">Cash and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6,569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63"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16,495 </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283"/>
              <w:jc w:val="left"/>
              <w:rPr>
                <w:spacing w:val="4"/>
              </w:rPr>
            </w:pPr>
            <w:r>
              <w:rPr>
                <w:spacing w:val="4"/>
              </w:rPr>
              <w:t xml:space="preserve">Total debt and lease obligations: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Commercial paper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Revolving credit facility due 2028 (up to $5 billion)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Revolving credit facility due 2030 (up to $3 billion)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Term loan facility due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2,000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2.95% senior notes due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4,000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pPr>
            <w:r>
              <w:rPr>
                <w:spacing w:val="4"/>
              </w:rPr>
              <w:t>0.75% senior euro notes due 2027 (€750 principal)</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854</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4.80% senior notes due 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2,250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Senior floating rate notes due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750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3.775% senior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1,500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4.25% senior notes due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1,750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4.65% senior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1,250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pPr>
            <w:r>
              <w:rPr>
                <w:spacing w:val="4"/>
              </w:rPr>
              <w:t>2.125% senior euro notes due 2028 (€750 principal)</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854</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pPr>
            <w:r>
              <w:rPr>
                <w:spacing w:val="4"/>
              </w:rPr>
              <w:t>2.625% senior euro notes due 2028 (€500 principal)</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569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3.20%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5,500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pPr>
            <w:r>
              <w:rPr>
                <w:spacing w:val="4"/>
              </w:rPr>
              <w:t>2.125% senior euro notes due 2029 (€550 principal)</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626</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4.80%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2,500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4.875% senior notes due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1,000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pPr>
            <w:r>
              <w:rPr>
                <w:spacing w:val="4"/>
              </w:rPr>
              <w:t>1.25% senior euro notes due 2031 (€650 principal)</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741</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4.125% senior notes due 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1,250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4.95% senior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2,000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4.40% senior notes due 2033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1,250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5.05% senior notes due 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3,000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 senior notes due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2,500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4.55% senior notes due 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1,789</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5.20% senior notes due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1,000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4.75% senior notes due 2036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1,500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4.30% senior notes due 2036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1,000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4.05% senior notes due 2039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4,000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4.40% senior notes due 2042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2,600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tcMar>
              <w:bottom w:w="0" w:type="dxa"/>
            </w:tcMar>
            <w:vAlign w:val="center"/>
          </w:tcPr>
          <w:p>
            <w:pPr>
              <w:pStyle w:val="TableContents"/>
              <w:bidi w:val="0"/>
              <w:spacing w:before="0" w:after="0"/>
              <w:ind w:left="200" w:right="0" w:hanging="0"/>
              <w:jc w:val="left"/>
              <w:rPr>
                <w:spacing w:val="4"/>
              </w:rPr>
            </w:pPr>
            <w:r>
              <w:rPr>
                <w:spacing w:val="4"/>
              </w:rPr>
              <w:t xml:space="preserve">4.625% senior notes due 2042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457</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4.85% senior notes due 2044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1,074</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156" w:type="dxa"/>
        <w:jc w:val="left"/>
        <w:tblInd w:w="1393" w:type="dxa"/>
        <w:tblLayout w:type="fixed"/>
        <w:tblCellMar>
          <w:top w:w="0" w:type="dxa"/>
          <w:left w:w="0" w:type="dxa"/>
          <w:bottom w:w="28" w:type="dxa"/>
          <w:right w:w="0" w:type="dxa"/>
        </w:tblCellMar>
      </w:tblPr>
      <w:tblGrid>
        <w:gridCol w:w="4002"/>
        <w:gridCol w:w="109"/>
        <w:gridCol w:w="109"/>
        <w:gridCol w:w="109"/>
        <w:gridCol w:w="226"/>
        <w:gridCol w:w="796"/>
        <w:gridCol w:w="109"/>
        <w:gridCol w:w="109"/>
        <w:gridCol w:w="109"/>
        <w:gridCol w:w="116"/>
        <w:gridCol w:w="241"/>
        <w:gridCol w:w="851"/>
        <w:gridCol w:w="116"/>
        <w:gridCol w:w="154"/>
      </w:tblGrid>
      <w:tr>
        <w:trPr/>
        <w:tc>
          <w:tcPr>
            <w:tcW w:w="40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8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02"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(dollars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5.35% senior notes due 2044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750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4.70% senior notes due 2045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2,700</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4.75% senior notes due 2045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881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4.45% senior notes due 2046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2,000</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4.875% senior notes due 2048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1,750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4.25% senior notes due 2049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5,750</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5.40% senior notes due 2054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3,000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5.60% senior notes due 2055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750</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5.55% senior notes due 2056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1,250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5.50% senior notes due 2064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1,500</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5.65% senior notes due 2066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500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spacing w:val="4"/>
              </w:rPr>
            </w:pPr>
            <w:r>
              <w:rPr>
                <w:spacing w:val="4"/>
              </w:rPr>
              <w:t xml:space="preserve">Notes offered hereby: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400" w:right="0" w:hanging="0"/>
              <w:jc w:val="left"/>
              <w:rPr/>
            </w:pPr>
            <w:r>
              <w:rPr>
                <w:spacing w:val="4"/>
              </w:rPr>
              <w:t>Senior floating rate notes due 2028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500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400" w:right="0" w:hanging="0"/>
              <w:jc w:val="left"/>
              <w:rPr/>
            </w:pPr>
            <w:r>
              <w:rPr>
                <w:spacing w:val="4"/>
              </w:rPr>
              <w:t>4.50% senior notes due 2028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1,000</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400" w:right="0" w:hanging="0"/>
              <w:jc w:val="left"/>
              <w:rPr/>
            </w:pPr>
            <w:r>
              <w:rPr>
                <w:spacing w:val="4"/>
              </w:rPr>
              <w:t>4.65% senior notes due 2030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1,250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400" w:right="0" w:hanging="0"/>
              <w:jc w:val="left"/>
              <w:rPr/>
            </w:pPr>
            <w:r>
              <w:rPr>
                <w:spacing w:val="4"/>
              </w:rPr>
              <w:t>4.875% senior notes due 2031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1,500</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400" w:right="0" w:hanging="0"/>
              <w:jc w:val="left"/>
              <w:rPr/>
            </w:pPr>
            <w:r>
              <w:rPr>
                <w:spacing w:val="4"/>
              </w:rPr>
              <w:t>5.05% senior notes due 2033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1,250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400" w:right="0" w:hanging="0"/>
              <w:jc w:val="left"/>
              <w:rPr/>
            </w:pPr>
            <w:r>
              <w:rPr>
                <w:spacing w:val="4"/>
              </w:rPr>
              <w:t>5.30% senior notes due 2036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1,500</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400" w:right="0" w:hanging="0"/>
              <w:jc w:val="left"/>
              <w:rPr/>
            </w:pPr>
            <w:r>
              <w:rPr>
                <w:spacing w:val="4"/>
              </w:rPr>
              <w:t>5.45% senior notes due 2038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1,000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400" w:right="0" w:hanging="0"/>
              <w:jc w:val="left"/>
              <w:rPr/>
            </w:pPr>
            <w:r>
              <w:rPr>
                <w:spacing w:val="4"/>
              </w:rPr>
              <w:t>6.00% senior notes due 2056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1,500</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400" w:right="0" w:hanging="0"/>
              <w:jc w:val="left"/>
              <w:rPr/>
            </w:pPr>
            <w:r>
              <w:rPr>
                <w:spacing w:val="4"/>
              </w:rPr>
              <w:t>6.10% senior notes due 2066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500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pPr>
            <w:r>
              <w:rPr>
                <w:spacing w:val="4"/>
              </w:rPr>
              <w:t>Fair value hedges</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(83)</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pPr>
            <w:r>
              <w:rPr>
                <w:spacing w:val="4"/>
              </w:rPr>
              <w:t>Unamortized bond discounts</w:t>
            </w:r>
            <w:r>
              <w:rPr>
                <w:spacing w:val="3"/>
                <w:sz w:val="13"/>
              </w:rPr>
              <w:t>(b)</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(124)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ind w:left="200" w:right="0" w:hanging="0"/>
              <w:jc w:val="left"/>
              <w:rPr/>
            </w:pPr>
            <w:r>
              <w:rPr>
                <w:spacing w:val="4"/>
              </w:rPr>
              <w:t>Unamortized deferred financing costs</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851" w:type="dxa"/>
            <w:tcBorders/>
            <w:tcMar>
              <w:bottom w:w="0" w:type="dxa"/>
            </w:tcMar>
            <w:vAlign w:val="center"/>
          </w:tcPr>
          <w:p>
            <w:pPr>
              <w:pStyle w:val="TableContents"/>
              <w:bidi w:val="0"/>
              <w:spacing w:before="0" w:after="283"/>
              <w:jc w:val="right"/>
              <w:rPr/>
            </w:pPr>
            <w:r>
              <w:rPr/>
              <w:t>(285)</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02" w:type="dxa"/>
            <w:tcBorders/>
            <w:shd w:fill="CCEEFF" w:val="clear"/>
            <w:tcMar>
              <w:bottom w:w="0" w:type="dxa"/>
            </w:tcMar>
            <w:vAlign w:val="center"/>
          </w:tcPr>
          <w:p>
            <w:pPr>
              <w:pStyle w:val="TableContents"/>
              <w:bidi w:val="0"/>
              <w:spacing w:before="0" w:after="0"/>
              <w:ind w:left="200" w:right="0" w:hanging="0"/>
              <w:jc w:val="left"/>
              <w:rPr/>
            </w:pPr>
            <w:r>
              <w:rPr>
                <w:spacing w:val="4"/>
              </w:rPr>
              <w:t>Unamortized bond premiums</w:t>
            </w:r>
            <w:r>
              <w:rPr>
                <w:spacing w:val="3"/>
                <w:sz w:val="13"/>
              </w:rPr>
              <w:t>(b)</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851" w:type="dxa"/>
            <w:tcBorders/>
            <w:shd w:fill="CCEEFF" w:val="clear"/>
            <w:tcMar>
              <w:bottom w:w="0" w:type="dxa"/>
            </w:tcMar>
            <w:vAlign w:val="center"/>
          </w:tcPr>
          <w:p>
            <w:pPr>
              <w:pStyle w:val="TableContents"/>
              <w:bidi w:val="0"/>
              <w:spacing w:before="0" w:after="283"/>
              <w:jc w:val="right"/>
              <w:rPr/>
            </w:pPr>
            <w:r>
              <w:rPr/>
              <w:t>478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02"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4"/>
              </w:rPr>
              <w:t>Other</w:t>
            </w:r>
            <w:r>
              <w:rPr>
                <w:spacing w:val="3"/>
                <w:sz w:val="13"/>
              </w:rPr>
              <w:t>(b)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441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1" w:type="dxa"/>
            <w:tcBorders>
              <w:bottom w:val="single" w:sz="2" w:space="0" w:color="000000"/>
            </w:tcBorders>
            <w:tcMar>
              <w:bottom w:w="50" w:type="dxa"/>
            </w:tcMar>
            <w:vAlign w:val="center"/>
          </w:tcPr>
          <w:p>
            <w:pPr>
              <w:pStyle w:val="TableContents"/>
              <w:bidi w:val="0"/>
              <w:spacing w:before="0" w:after="283"/>
              <w:jc w:val="right"/>
              <w:rPr/>
            </w:pPr>
            <w:r>
              <w:rPr/>
              <w:t>​</w:t>
            </w:r>
          </w:p>
        </w:tc>
        <w:tc>
          <w:tcPr>
            <w:tcW w:w="851" w:type="dxa"/>
            <w:tcBorders>
              <w:bottom w:val="single" w:sz="2" w:space="0" w:color="000000"/>
            </w:tcBorders>
            <w:tcMar>
              <w:bottom w:w="50" w:type="dxa"/>
            </w:tcMar>
            <w:vAlign w:val="center"/>
          </w:tcPr>
          <w:p>
            <w:pPr>
              <w:pStyle w:val="TableContents"/>
              <w:bidi w:val="0"/>
              <w:spacing w:before="0" w:after="283"/>
              <w:jc w:val="right"/>
              <w:rPr/>
            </w:pPr>
            <w:r>
              <w:rPr/>
              <w:t>441</w:t>
            </w:r>
          </w:p>
        </w:tc>
        <w:tc>
          <w:tcPr>
            <w:tcW w:w="11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0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Stockholders’ equity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(5,935)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51" w:type="dxa"/>
            <w:tcBorders>
              <w:bottom w:val="single" w:sz="2" w:space="0" w:color="000000"/>
            </w:tcBorders>
            <w:shd w:fill="CCEEFF" w:val="clear"/>
            <w:tcMar>
              <w:bottom w:w="50" w:type="dxa"/>
            </w:tcMar>
            <w:vAlign w:val="center"/>
          </w:tcPr>
          <w:p>
            <w:pPr>
              <w:pStyle w:val="TableContents"/>
              <w:bidi w:val="0"/>
              <w:spacing w:before="0" w:after="283"/>
              <w:jc w:val="right"/>
              <w:rPr/>
            </w:pPr>
            <w:r>
              <w:rPr/>
              <w:t>(5,935)</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02" w:type="dxa"/>
            <w:tcBorders/>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64,887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bottom w:val="double" w:sz="8" w:space="0" w:color="000000"/>
            </w:tcBorders>
            <w:tcMar>
              <w:bottom w:w="50" w:type="dxa"/>
            </w:tcMar>
            <w:vAlign w:val="center"/>
          </w:tcPr>
          <w:p>
            <w:pPr>
              <w:pStyle w:val="TableContents"/>
              <w:bidi w:val="0"/>
              <w:spacing w:before="0" w:after="283"/>
              <w:jc w:val="right"/>
              <w:rPr/>
            </w:pPr>
            <w:r>
              <w:rPr/>
              <w:t>$</w:t>
            </w:r>
          </w:p>
        </w:tc>
        <w:tc>
          <w:tcPr>
            <w:tcW w:w="851" w:type="dxa"/>
            <w:tcBorders>
              <w:bottom w:val="double" w:sz="8" w:space="0" w:color="000000"/>
            </w:tcBorders>
            <w:tcMar>
              <w:bottom w:w="50" w:type="dxa"/>
            </w:tcMar>
            <w:vAlign w:val="center"/>
          </w:tcPr>
          <w:p>
            <w:pPr>
              <w:pStyle w:val="TableContents"/>
              <w:bidi w:val="0"/>
              <w:spacing w:before="0" w:after="283"/>
              <w:jc w:val="right"/>
              <w:rPr/>
            </w:pPr>
            <w:r>
              <w:rPr/>
              <w:t>74,887</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56" w:type="dxa"/>
            <w:gridSpan w:val="14"/>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U.S. dollar to Euro exchange rate as of June 30, 2026.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Excludes the impact of the Notes offered hereby.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DON"/>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under an indenture, dated as of November 8, 2012 (the “indenture”), between AbbVie and U.S. Bank Trust Company, National Association, as successor to U.S. Bank National Association, as trustee (the “Trustee”), as supplemented by one or more supplemental indentures relating to the Notes. The following description of the terms of the Notes supplements and, to the extent it is inconsistent therewith, replaces, the description of the general terms of debt securities set forth in the accompanying prospectus, to which description reference is hereby made. The following summary of certain provisions of the indenture and the Notes does not purport to be complete and is subject to, and is qualified in its entirety by reference to, all the provisions of the indenture and the Notes, including the definitions of certain terms therein and those terms made part thereof by the Trust Indenture Act of 1939 (the “Trust Indenture Act”), as amended. In this description, all references to “AbbVie,” “we,” “our,” and “us” mean AbbVie Inc. only.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Mandatorily Redeemable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$500,000,000 aggregate principal amount of Floating Rate Notes (the “Floating Rate Notes”). The Floating Rate Notes will mature on August 18, 2028. The Floating Rate Notes will bear interest at a floating rate per annum equal to Compounded SOFR plus a spread of 0.420%.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$1,000,000,000 aggregate principal amount of 2028 Notes (the “2028 Notes”). The 2028 Notes will mature on August 18, 2028. Interest on the 2028 Notes will accrue at the rate of 4.500%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$1,250,000,000 aggregate principal amount of 2030 Notes (the “2030 Notes”). The 2030 Notes will mature on March 15, 2030. Interest on the 2030 Notes will accrue at the rate of 4.650%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$1,500,000,000 aggregate principal amount of 2031 Notes (the “2031 Notes”). The 2031 Notes will mature on September 15, 2031. Interest on the 2031 Notes will accrue at the rate of 4.875%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$1,250,000,000 aggregate principal amount of 2033 Notes (the “2033 Notes”). The 2033 Notes will mature on September 15, 2033. Interest on the 2033 Notes will accrue at the rate of 5.050%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$1,500,000,000 aggregate principal amount of 2036 Notes (the “2036 Notes”). The 2036 Notes will mature on September 15, 2036. Interest on the 2036 Notes will accrue at the rate of 5.300%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$1,000,000,000 aggregate principal amount of 2038 Notes (the “2038 Notes”). The 2038 Notes will mature on September 15, 2038. Interest on the 2038 Notes will accrue at the rate of 5.450% per annum.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Long-Term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$1,500,000,000 aggregate principal amount of 2056 Notes (the “2056 Notes”). The 2056 Notes will mature on September 15, 2056. Interest on the 2056 Notes will accrue at the rate of 6.000%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issuing $500,000,000 aggregate principal amount of 2066 Notes (the “2066 Notes” and, together with the 2028 Notes, the 2030 Notes, the 2031 Notes, the 2033 Notes, the 2036 Notes, the 2038 Notes and the 2056 Notes, the “Fixed Rate Notes”). The 2066 Notes will mature on September 15, 2066. Interest on the 2066 Notes will accrue at the rate of 6.100%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fully registered form and shall be in denominations of $2,000 and integral multiples of $1,000 in excess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AbbVie may, without the consent of the holders, increase the principal amount of any series of Notes offered hereby. The Notes of each series and any additional Notes of such series subsequently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issued under the indenture will be treated as a single series or class for all purposes under the indenture, including, without limitation, waivers, amendments, and redemptions; provided that, if any such additional Notes are not fungible with the existing Notes for United States federal income tax purposes, such additional Notes will have a separate CUSIP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limits neither the amount of debt that AbbVie may issue under the indenture, nor the amount of other debt or securities that AbbVie or any of its subsidiaries may issue. AbbVie may issue debt securities under the indenture from time to time in one or more series, each in an amount authorized prior to issuance. Other than the restrictions contained in the indenture on secured debt and sale/leaseback transactions described below under “—</w:t>
      </w:r>
      <w:r>
        <w:rPr>
          <w:rFonts w:ascii="Times New Roman;Times;serif" w:hAnsi="Times New Roman;Times;serif"/>
          <w:b w:val="false"/>
          <w:i/>
          <w:caps w:val="false"/>
          <w:smallCaps w:val="false"/>
          <w:color w:val="000000"/>
          <w:spacing w:val="4"/>
          <w:sz w:val="20"/>
        </w:rPr>
        <w:t>Certain Covenants of AbbVie</w:t>
      </w:r>
      <w:r>
        <w:rPr>
          <w:rFonts w:ascii="Times New Roman;Times;serif" w:hAnsi="Times New Roman;Times;serif"/>
          <w:b w:val="false"/>
          <w:i w:val="false"/>
          <w:caps w:val="false"/>
          <w:smallCaps w:val="false"/>
          <w:color w:val="000000"/>
          <w:spacing w:val="4"/>
          <w:sz w:val="20"/>
        </w:rPr>
        <w:t>” and the restrictions described below under “—</w:t>
      </w: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the indenture does not contain any covenants or other provisions designed to protect holders of the debt securities in the event AbbVie participates in a highly leveraged transaction. In addition, the indenture does not limit AbbVie’s ability to guarantee any indebtedness of its subsidiaries or any other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redeem the Fixed Rate Notes of any series at our option, in whole or in part, at any time and from time to time, at the applicable redemption price set forth under the caption “</w:t>
      </w:r>
      <w:r>
        <w:rPr>
          <w:rFonts w:ascii="Times New Roman;Times;serif" w:hAnsi="Times New Roman;Times;serif"/>
          <w:b w:val="false"/>
          <w:i/>
          <w:caps w:val="false"/>
          <w:smallCaps w:val="false"/>
          <w:color w:val="000000"/>
          <w:spacing w:val="4"/>
          <w:sz w:val="20"/>
        </w:rPr>
        <w:t>Description of Notes—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pacing w:val="4"/>
          <w:sz w:val="20"/>
        </w:rPr>
        <w:t>Optional Redemption</w:t>
      </w:r>
      <w:r>
        <w:rPr>
          <w:rFonts w:ascii="Times New Roman;Times;serif" w:hAnsi="Times New Roman;Times;serif"/>
          <w:b w:val="false"/>
          <w:i w:val="false"/>
          <w:caps w:val="false"/>
          <w:smallCaps w:val="false"/>
          <w:color w:val="000000"/>
          <w:spacing w:val="4"/>
          <w:sz w:val="20"/>
        </w:rPr>
        <w:t>”. The Floating Rate Notes may not be redeemed prior to maturity (other than pursuant to a Special Mandatory Redemption, as described under the caption “</w:t>
      </w:r>
      <w:r>
        <w:rPr>
          <w:rFonts w:ascii="Times New Roman;Times;serif" w:hAnsi="Times New Roman;Times;serif"/>
          <w:b w:val="false"/>
          <w:i/>
          <w:caps w:val="false"/>
          <w:smallCaps w:val="false"/>
          <w:color w:val="000000"/>
          <w:spacing w:val="4"/>
          <w:sz w:val="20"/>
        </w:rPr>
        <w:t>Description of Notes—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pacing w:val="4"/>
          <w:sz w:val="20"/>
        </w:rPr>
        <w:t>Special Mandatory 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be required to redeem the Floating Rate Notes, the 2028 Notes, the 2030 Notes, the 2031 Notes, the 2033 Notes, the 2036 Notes or the 2038 Notes (the “Mandatorily Redeemable Notes”) on or prior to the Special Mandatory Redemption Date (as defined herein) at the redemption price described under “</w:t>
      </w:r>
      <w:r>
        <w:rPr>
          <w:rFonts w:ascii="Times New Roman;Times;serif" w:hAnsi="Times New Roman;Times;serif"/>
          <w:b w:val="false"/>
          <w:i/>
          <w:caps w:val="false"/>
          <w:smallCaps w:val="false"/>
          <w:color w:val="000000"/>
          <w:spacing w:val="4"/>
          <w:sz w:val="20"/>
        </w:rPr>
        <w:t>Description of Notes—Special Mandatory Redemption</w:t>
      </w:r>
      <w:r>
        <w:rPr>
          <w:rFonts w:ascii="Times New Roman;Times;serif" w:hAnsi="Times New Roman;Times;serif"/>
          <w:b w:val="false"/>
          <w:i w:val="false"/>
          <w:caps w:val="false"/>
          <w:smallCaps w:val="false"/>
          <w:color w:val="000000"/>
          <w:spacing w:val="4"/>
          <w:sz w:val="20"/>
        </w:rPr>
        <w:t xml:space="preserve">” below. The 2056 Notes and the 2066 Notes (the “Long-Term Notes”) will not be subject to any Special Mandatory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2028 Notes will be payable semi-annually in arrears on February 18 and August 18 of each year, commencing February 18, 2027, interest on each series of Fixed Rate Notes (other than the 2028 Notes) will be payable semi-annually in arrears on March 15 and September 15 of each year, commencing March 15, 2027, and interest on the Floating Rate Notes will be payable quarterly in arrears on February 18, May 18, August 18, and November 18 of each year, commencing November 18, 2026, in each case, to the persons in whose names such Notes are registered at the close of business on the date that is 15 calendar days prior to the relevant interest payment date (whether or not a business day). Interest on the Fixed Rate Notes will be paid on the basis of a 360-day year consisting of twelve 30-day months. Interest on the Floating Rate Notes will be paid on the basis of the actual number of days in an interest period and a 360-day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case where any interest or other payment date of any Note is not a business day at the applicable place of payment, then payment of interest or principal (and premium, if any) need not be made at such place of payment on such date, but may be made on the next succeeding business day at such place of payment with the same force and effect as if made on the applicable interest or other payment date, provided that no interest shall accrue for the period from and after such interest or other payment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Rate on Fixed Rate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2028 Notes is 4.500% per year, computed on the basis of a 360-day year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2030 Notes is 4.650% per year, computed on the basis of a 360-day year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2031 Notes is 4.875% per year, computed on the basis of a 360-day year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2033 Notes is 5.050% per year, computed on the basis of a 360-day year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2036 Notes is 5.300% per year, computed on the basis of a 360-day year of twelve 30-day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2038 Notes is 5.450% per year, computed on the basis of a 360-day year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2056 Notes is 6.000% per year, computed on the basis of a 360-day year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2066 Notes is 6.100% per year, computed on the basis of a 360-day year of twelve 30-day months.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Rate on Floating Rate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Floating Rate Notes will bear interest for each interest period at a rate determined by the Calculation Agent (as defined herein), except as set forth below. The calculation agent will be U.S. Bank Trust Company, National Association until such time as we appoint a successor calculation agent (the “Calculation Agent”). The interest rate on the Floating Rate Notes for a particular interest period (as defined below) will be an annual rate equal to a benchmark rate, which will initially be Compounded SOFR, determined as described below, plus a spread of 0.420% per year (the “spread”), computed on the basis of the actual number of days in an interest period and a 360-day year. In no event will the interest rate on the Floating Rate Notes be higher than the maximum rate permitted by New York law, as the same may be modified by U.S. law of general application, or lower than zero. The interest determination date for an interest period will be the date that is two U.S. Government Securities Business Days (as defined below) before the applicable interest payment date. Promptly upon determination, the Calculation Agent will inform the Trustee, and us or, in certain circumstances described below, we or our designee (which may be an independent financial advisor or such other designee of ours (any of such entities, a “Designee”)) will inform the Trustee, of the interest rate for such interest period. Absent manifest error, the determination of the interest rate by the Calculation Agent or, in certain circumstances described below, by us or our Designee, shall be binding and conclusive on the holders of the Floating Rate Notes, the Trustee and us. For the avoidance of doubt, in no event shall the Calculation Agent, Trustee, or paying agent be the Designee.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Trustee, the paying agent or the Calculation Agent shall be under any obligation to (i) monitor, determine or verify the unavailability or cessation of Compounded SOFR (or any other benchmark), or whether or when there has occurred, or to give notice to any other transaction party of the occurrence of, any Benchmark Transition Event or related Benchmark Replacement Date, (ii) select, determine or designate any Benchmark Replacement, or other successor or replacement benchmark index, or whether any conditions to the designation of such a rate or index have been satisfied, (iii) select, determine or designate any Benchmark Replacement Adjustment, or other modifier to any replacement or successor index, or (iv) determine whether or what Benchmark Replacement Conforming Changes are necessary or advisable, if any, in connection with any of the foregoing, including, but not limited to, adjustments as to any alternative spread thereon, the business day convention, interest determination dates or any other relevant methodology applicable to such substitute or successor benchmark. In connection with the foregoing, each of the Trustee, the paying agent and the Calculation Agent shall be entitled to conclusively rely on any determinations made by AbbVie or its Designee without independent investigation, and none will have any liability for actions taken at the direction of AbbVie.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determination, decision or election that may be made by AbbVie or its Designee in connection with a Benchmark Transition Event or a Benchmark Replacement, including any determination with respect to a rate or adjustment or of the occurrence or non-occurrence of an event, circumstance or date and any decision to take or refrain from taking any action or any selection, will be conclusive and binding absent manifest error, may be made in AbbVie or its Designee’s sole discretion and, notwithstanding anything to the contrary in the transaction documents, will become effective without consent from any other party. None of the Trustee, the paying agent or the Calculation Agent will have any responsibility or liability for any determination made by or on behalf of AbbVie or its Designee in connection with a Benchmark Transition Event or a Benchmark Replacement.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Trustee, the paying agent or the Calculation Agent shall be responsible or liable for any inability, failure or delay on its part to perform any of its duties set forth in this prospectus supplement as a result of the unavailability of Compounded SOFR or other applicable Benchmark Replacement, including as a result of any failure, inability, delay, error or inaccuracy on the part of any other transaction party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any direction, instruction, notice or information required or contemplated by the terms of this prospectus supplement and reasonably required for the performance of such duties. None of the Trustee, the paying agent or the Calculation Agent shall be responsible or liable for AbbVie’s actions or omissions or for those of its Designee, or for any failure or delay in the performance by AbbVie or its Designee, nor shall any of the Trustee, the paying agent or the Calculation Agent be under any obligation to oversee or monitor AbbVie’s performance or that of the Designee.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“interest period,” with respect to the Floating Rate Notes, means the period from, and including, the most recent interest payment date for the Floating Rate Notes (or, with respect to the initial interest period only, from and including August 18, 2026) to, but excluding, the next succeeding interest payment date for the Floating Rate Notes or, in the case of the last such period, from, and including, the interest payment date for the Floating Rate Notes immediately preceding the maturity date to, but excluding, the maturity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Compounded SOFR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interest rate on the Floating Rate Notes for each interest period will be equal to Compounded SOFR plus the spread. “Compounded SOFR” will be determined by the Calculation Agent in accordance with the following formula (and the resulting percentage will be rounded, if necessary, to the nearest one hundred-thousandth of a percentage point,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3.753973% (or .03753973) being rounded down to 3.75397% (or .0375397) and 3.753978% (or .03753978) being rounded up to 3.75398% (or .0375398)): </w:t>
      </w:r>
    </w:p>
    <w:p>
      <w:pPr>
        <w:pStyle w:val="TextBody"/>
        <w:bidi w:val="0"/>
        <w:spacing w:before="202" w:after="283"/>
        <w:jc w:val="center"/>
        <w:rPr>
          <w:caps w:val="false"/>
          <w:smallCaps w:val="false"/>
          <w:color w:val="000000"/>
        </w:rPr>
      </w:pPr>
      <w:r>
        <w:rPr>
          <w:caps w:val="false"/>
          <w:smallCaps w:val="false"/>
          <w:color w:val="000000"/>
        </w:rPr>
        <w:drawing>
          <wp:inline distT="0" distB="0" distL="0" distR="0">
            <wp:extent cx="2209800" cy="4857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3"/>
                    <a:stretch>
                      <a:fillRect/>
                    </a:stretch>
                  </pic:blipFill>
                  <pic:spPr bwMode="auto">
                    <a:xfrm>
                      <a:off x="0" y="0"/>
                      <a:ext cx="2209800"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4"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SOFR Index</w:t>
      </w:r>
      <w:r>
        <w:rPr>
          <w:rFonts w:ascii="Times New Roman;Times;serif" w:hAnsi="Times New Roman;Times;serif"/>
          <w:b w:val="false"/>
          <w:i/>
          <w:caps w:val="false"/>
          <w:smallCaps w:val="false"/>
          <w:color w:val="000000"/>
          <w:spacing w:val="3"/>
          <w:sz w:val="15"/>
        </w:rPr>
        <w:t>Start</w:t>
      </w:r>
      <w:r>
        <w:rPr>
          <w:rFonts w:ascii="Times New Roman;Times;serif" w:hAnsi="Times New Roman;Times;serif"/>
          <w:b w:val="false"/>
          <w:i w:val="false"/>
          <w:caps w:val="false"/>
          <w:smallCaps w:val="false"/>
          <w:color w:val="000000"/>
          <w:spacing w:val="4"/>
          <w:sz w:val="20"/>
        </w:rPr>
        <w:t xml:space="preserve">” is the SOFR Index value for the day which is two U.S. Government Securities Business Days preceding the first date of the relevant interest period;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SOFR Index</w:t>
      </w:r>
      <w:r>
        <w:rPr>
          <w:rFonts w:ascii="Times New Roman;Times;serif" w:hAnsi="Times New Roman;Times;serif"/>
          <w:b w:val="false"/>
          <w:i/>
          <w:caps w:val="false"/>
          <w:smallCaps w:val="false"/>
          <w:color w:val="000000"/>
          <w:spacing w:val="3"/>
          <w:sz w:val="15"/>
        </w:rPr>
        <w:t>End</w:t>
      </w:r>
      <w:r>
        <w:rPr>
          <w:rFonts w:ascii="Times New Roman;Times;serif" w:hAnsi="Times New Roman;Times;serif"/>
          <w:b w:val="false"/>
          <w:i w:val="false"/>
          <w:caps w:val="false"/>
          <w:smallCaps w:val="false"/>
          <w:color w:val="000000"/>
          <w:spacing w:val="4"/>
          <w:sz w:val="20"/>
        </w:rPr>
        <w:t xml:space="preserve">” is the SOFR Index value for the day which is two U.S. Government Securities Business Days preceding the interest payment date relating to such interest period; and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w:t>
      </w:r>
      <w:r>
        <w:rPr>
          <w:rFonts w:ascii="Times New Roman;Times;serif" w:hAnsi="Times New Roman;Times;serif"/>
          <w:b w:val="false"/>
          <w:i/>
          <w:caps w:val="false"/>
          <w:smallCaps w:val="false"/>
          <w:color w:val="000000"/>
          <w:spacing w:val="3"/>
          <w:sz w:val="15"/>
        </w:rPr>
        <w:t>c</w:t>
      </w:r>
      <w:r>
        <w:rPr>
          <w:rFonts w:ascii="Times New Roman;Times;serif" w:hAnsi="Times New Roman;Times;serif"/>
          <w:b w:val="false"/>
          <w:i w:val="false"/>
          <w:caps w:val="false"/>
          <w:smallCaps w:val="false"/>
          <w:color w:val="000000"/>
          <w:spacing w:val="4"/>
          <w:sz w:val="20"/>
        </w:rPr>
        <w:t xml:space="preserve">” is the number of calendar days in the applicable Observation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determining Compounded SOFR, “SOFR Index” means, with respect to any U.S. Government Securities Business Day: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SOFR Index published for such U.S. Government Securities Business Day as such value appears on the Federal Reserve Bank of New York’s Website at 3:00 p.m. (New York time) on such U.S. Government Securities Business Day (the “SOFR Index Determination Time”); or </w:t>
      </w:r>
      <w:r>
        <mc:AlternateContent>
          <mc:Choice Requires="wps">
            <w:drawing>
              <wp:anchor behindDoc="0" distT="101600" distB="0" distL="2540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SOFR Index specified in (1) above does not so appear, unless both a Benchmark Transition Event and its related Benchmark Replacement Date have occurred, with respect to SOFR, then Compounded SOFR shall be the rate determined pursuant to the “SOFR Index Unavailability” provisions below. </w:t>
      </w:r>
      <w:r>
        <mc:AlternateContent>
          <mc:Choice Requires="wps">
            <w:drawing>
              <wp:anchor behindDoc="0" distT="10160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Payment Determination Date” is the date that is two U.S. Government Securities Business Days before each interest payment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Observation Period” is, in respect of each interest period for the Floating Rate Notes, the period from, and including, the date that is two U.S. Government Securities Business Days preceding the first date in such interest period to, but excluding, the Interest Payment Determination Date for such interest period.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SOFR” with respect to any day means the secured overnight financing rate published for such day by the Federal Reserve Bank of New York, as the administrator of the benchmark (or a successor administrator), on the Federal Reserve Bank of New York’s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U.S. Government Securities Business Day” is any day except for a Saturday, a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the calculation of Compounded SOFR shall exclude the spread of 0.420% per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documentation relating to the Floating Rate Notes, if we or our Designee determines on or prior to the relevant Reference Time (as defined herein) that a Benchmark Transition Event and its related Benchmark Replacement Date have occurred with respect to determining Compounded SOFR, then the benchmark replacement provisions set forth herein will thereafter apply to all determinations of the rate of interest payable on the Floating Rate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in accordance with the benchmark replacement provisions, after a Benchmark Transition Event and its related Benchmark Replacement Date have occurred, the interest rate for each interest period on the Floating Rate Notes will be an annual rate equal to the sum of the Benchmark Replacement (as defined below) and the spread.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SOFR Index Unavailability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SOFR Index</w:t>
      </w:r>
      <w:r>
        <w:rPr>
          <w:rFonts w:ascii="Times New Roman;Times;serif" w:hAnsi="Times New Roman;Times;serif"/>
          <w:b w:val="false"/>
          <w:i w:val="false"/>
          <w:caps w:val="false"/>
          <w:smallCaps w:val="false"/>
          <w:color w:val="000000"/>
          <w:spacing w:val="3"/>
          <w:sz w:val="15"/>
        </w:rPr>
        <w:t>Start</w:t>
      </w:r>
      <w:r>
        <w:rPr>
          <w:rFonts w:ascii="Times New Roman;Times;serif" w:hAnsi="Times New Roman;Times;serif"/>
          <w:b w:val="false"/>
          <w:i w:val="false"/>
          <w:caps w:val="false"/>
          <w:smallCaps w:val="false"/>
          <w:color w:val="000000"/>
          <w:spacing w:val="4"/>
          <w:sz w:val="20"/>
        </w:rPr>
        <w:t xml:space="preserve"> or SOFR Index</w:t>
      </w:r>
      <w:r>
        <w:rPr>
          <w:rFonts w:ascii="Times New Roman;Times;serif" w:hAnsi="Times New Roman;Times;serif"/>
          <w:b w:val="false"/>
          <w:i w:val="false"/>
          <w:caps w:val="false"/>
          <w:smallCaps w:val="false"/>
          <w:color w:val="000000"/>
          <w:spacing w:val="3"/>
          <w:sz w:val="15"/>
        </w:rPr>
        <w:t>End</w:t>
      </w:r>
      <w:r>
        <w:rPr>
          <w:rFonts w:ascii="Times New Roman;Times;serif" w:hAnsi="Times New Roman;Times;serif"/>
          <w:b w:val="false"/>
          <w:i w:val="false"/>
          <w:caps w:val="false"/>
          <w:smallCaps w:val="false"/>
          <w:color w:val="000000"/>
          <w:spacing w:val="4"/>
          <w:sz w:val="20"/>
        </w:rPr>
        <w:t xml:space="preserve"> is not published on the associated Interest Payment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website of the Federal Reserve Bank of New York, at https://www.newyorkfed.org/markets/reference-rates/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additional-information-about-reference-rates, or any successor source. For the purposes of this provision, references in the SOFR Averages compounding formula and related definitions to “calculation period” shall be replaced with “Observation Period” and the words “that is, 30-,90-, or 180- calendar days” shall be removed. If the daily SOFR (“SOFR</w:t>
      </w:r>
      <w:r>
        <w:rPr>
          <w:rFonts w:ascii="Times New Roman;Times;serif" w:hAnsi="Times New Roman;Times;serif"/>
          <w:b w:val="false"/>
          <w:i w:val="false"/>
          <w:caps w:val="false"/>
          <w:smallCaps w:val="false"/>
          <w:color w:val="000000"/>
          <w:spacing w:val="3"/>
          <w:sz w:val="15"/>
        </w:rPr>
        <w:t>i</w:t>
      </w:r>
      <w:r>
        <w:rPr>
          <w:rFonts w:ascii="Times New Roman;Times;serif" w:hAnsi="Times New Roman;Times;serif"/>
          <w:b w:val="false"/>
          <w:i w:val="false"/>
          <w:caps w:val="false"/>
          <w:smallCaps w:val="false"/>
          <w:color w:val="000000"/>
          <w:spacing w:val="4"/>
          <w:sz w:val="20"/>
        </w:rPr>
        <w:t>”) does not so appear for any day, “i”, in the Observation Period, SOFR</w:t>
      </w:r>
      <w:r>
        <w:rPr>
          <w:rFonts w:ascii="Times New Roman;Times;serif" w:hAnsi="Times New Roman;Times;serif"/>
          <w:b w:val="false"/>
          <w:i w:val="false"/>
          <w:caps w:val="false"/>
          <w:smallCaps w:val="false"/>
          <w:color w:val="000000"/>
          <w:spacing w:val="3"/>
          <w:sz w:val="15"/>
        </w:rPr>
        <w:t>i</w:t>
      </w:r>
      <w:r>
        <w:rPr>
          <w:rFonts w:ascii="Times New Roman;Times;serif" w:hAnsi="Times New Roman;Times;serif"/>
          <w:b w:val="false"/>
          <w:i w:val="false"/>
          <w:caps w:val="false"/>
          <w:smallCaps w:val="false"/>
          <w:color w:val="000000"/>
          <w:spacing w:val="4"/>
          <w:sz w:val="20"/>
        </w:rPr>
        <w:t xml:space="preserve"> for such day “i” shall be SOFR published in respect of the first preceding U.S. Government Securities Business Day for which SOFR was published on the Federal Reserve Bank of New York’s Website.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Benchmark Transition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AbbVie or our Designee determines that a Benchmark Transition Event and its related Benchmark Replacement Date have occurred on or prior to the Reference Time in respect of any determination of the Benchmark on any date, the Benchmark Replacement will replace the then-current Benchmark for all purposes relating to the Floating Rate Notes in respect of such determination on such date and for all determinations on all subsequent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implementation of a Benchmark Replacement, AbbVie (or our Designee) will have the right to make Benchmark Replacement Conforming Changes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determination, decision or election that may be made by AbbVie (or our Designee) pursuant to this Section titled “</w:t>
      </w:r>
      <w:r>
        <w:rPr>
          <w:rFonts w:ascii="Times New Roman;Times;serif" w:hAnsi="Times New Roman;Times;serif"/>
          <w:b w:val="false"/>
          <w:i/>
          <w:caps w:val="false"/>
          <w:smallCaps w:val="false"/>
          <w:color w:val="000000"/>
          <w:spacing w:val="4"/>
          <w:sz w:val="20"/>
        </w:rPr>
        <w:t>Effect of Benchmark Transition Event</w:t>
      </w:r>
      <w:r>
        <w:rPr>
          <w:rFonts w:ascii="Times New Roman;Times;serif" w:hAnsi="Times New Roman;Times;serif"/>
          <w:b w:val="false"/>
          <w:i w:val="false"/>
          <w:caps w:val="false"/>
          <w:smallCaps w:val="false"/>
          <w:color w:val="000000"/>
          <w:spacing w:val="4"/>
          <w:sz w:val="20"/>
        </w:rPr>
        <w:t xml:space="preserve">,”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AbbVie’s (or our Designee’s) sole discretion, and, notwithstanding anything to the contrary in the documentation relating to the Floating Rate Notes, shall become effective without consent from the holders of the Floating Rate Notes or any other party.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means, initially, Compounded SOFR; provided that if a Benchmark Transition Event and its related Benchmark Replacement Date have occurred with respect to Compounded SOFR or the then-current Benchmark, then “Benchmark” means the applicable Benchmark Replacement.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means the first alternative set forth in the order below that can be determined by AbbVie (or our Designee) as of the Benchmark Replacement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 the alternate rate of interest that has been selected or recommended by the Relevant Governmental Body as the replacement for the then-current Benchmark and (b) the Benchmark Replacement Adjustment; </w:t>
      </w:r>
      <w:r>
        <mc:AlternateContent>
          <mc:Choice Requires="wps">
            <w:drawing>
              <wp:anchor behindDoc="0" distT="0" distB="0" distL="254000" distR="0" simplePos="0" locked="0" layoutInCell="1" allowOverlap="1" relativeHeight="14">
                <wp:simplePos x="0" y="0"/>
                <wp:positionH relativeFrom="column">
                  <wp:align>left</wp:align>
                </wp:positionH>
                <wp:positionV relativeFrom="line">
                  <wp:posOffset>635</wp:posOffset>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 the ISDA Fallback Rate and (b) the Benchmark Replacement Adjustment; or </w:t>
      </w:r>
      <w:r>
        <mc:AlternateContent>
          <mc:Choice Requires="wps">
            <w:drawing>
              <wp:anchor behindDoc="0" distT="10287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 the alternate rate of interest that has been selected by AbbVie (or our Designee) as the replacement for the then-current Benchmark giving due consideration to any industry-accepted rate of interest as a replacement for the then-current Benchmark for U.S. dollar-denominated floating rate notes at such time and (b) the Benchmark Replacement Adjustment. </w:t>
      </w:r>
      <w:r>
        <mc:AlternateContent>
          <mc:Choice Requires="wps">
            <w:drawing>
              <wp:anchor behindDoc="0" distT="10287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Adjustment” means the first alternative set forth in the order below that can be determined by AbbVie (or our Designee) as of the Benchmark Replacement Date: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spread adjustment (which may be a positive or negative value or zero), or method for calculating or determining such spread adjustment, that has been selected or recommended by the Relevant Governmental Body for the applicable Unadjusted Benchmark Replacement; </w:t>
      </w:r>
      <w:r>
        <mc:AlternateContent>
          <mc:Choice Requires="wps">
            <w:drawing>
              <wp:anchor behindDoc="0" distT="10287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applicable Unadjusted Benchmark Replacement is equivalent to the ISDA Fallback Rate, then the ISDA Fallback Adjustment; or </w:t>
      </w:r>
      <w:r>
        <mc:AlternateContent>
          <mc:Choice Requires="wps">
            <w:drawing>
              <wp:anchor behindDoc="0" distT="10160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spread adjustment (which may be a positive or negative value or zero) that has been selected by AbbVie (or our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 </w:t>
      </w:r>
      <w:r>
        <mc:AlternateContent>
          <mc:Choice Requires="wps">
            <w:drawing>
              <wp:anchor behindDoc="0" distT="10160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Conforming Changes” means, with respect to any Benchmark Replacement, any technical, administrative or operational changes (including changes to the definitions of “interest period” and “Observation Period,” the timing and frequency of determining rates and making payments of interest, the rounding of amounts or tenors and other administrative matters) that AbbVie (or our Designee) decides may be appropriate to reflect the adoption of such Benchmark Replacement in a manner substantially consistent with market practice (or, if AbbVie (or our Designee) decides that adoption of any portion of such market practice is not administratively feasible or if AbbVie (or our Designee) determines that no market practice for use of the Benchmark Replacement exists, in such other manner as AbbVie (or our Designee) determines is reasonably necessary).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Date” means the earliest to occur of the following events with respect to the then-current Benchmark: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w:t>
      </w:r>
      <w:r>
        <mc:AlternateContent>
          <mc:Choice Requires="wps">
            <w:drawing>
              <wp:anchor behindDoc="0" distT="10160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 (3) of the definition of “Benchmark Transition Event,” the date of the public statement or publication of information referenced therein. </w:t>
      </w:r>
      <w:r>
        <mc:AlternateContent>
          <mc:Choice Requires="wps">
            <w:drawing>
              <wp:anchor behindDoc="0" distT="10160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for purposes of the definitions of Benchmark Replacement Date and Benchmark Transition Event, references to Benchmark also include any reference rate underlying such Benchmark.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Transition Event” means the occurrence of one or more of the following events with respect to the then-current Benchmark: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statement or publication of information by or on behalf of the administrator of the </w:t>
      </w:r>
      <w:r>
        <mc:AlternateContent>
          <mc:Choice Requires="wps">
            <w:drawing>
              <wp:anchor behindDoc="0" distT="10160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Benchmark announcing that such administrator has ceased or will cease to provide the Benchmark, permanently or indefinitely; provided that, at the time of such statement or publication, there is no successor administrator that will continue to provide the Benchmark; </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 </w:t>
      </w:r>
      <w:r>
        <mc:AlternateContent>
          <mc:Choice Requires="wps">
            <w:drawing>
              <wp:anchor behindDoc="0" distT="8890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statement or publication of information by the regulatory supervisor for the administrator of the Benchmark announcing that the Benchmark is no longer representative. </w:t>
      </w:r>
      <w:r>
        <mc:AlternateContent>
          <mc:Choice Requires="wps">
            <w:drawing>
              <wp:anchor behindDoc="0" distT="8890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Reference Time” with respect to any determination of the Benchmark for the Floating Rate Notes means (1) if the Benchmark is Compounded SOFR, the SOFR Index Determination Time and (2) if the Benchmark is not Compounded SOFR, the time determined by us or our Designee after giving effect to the Benchmark Replacement Conforming Changes.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Relevant Governmental Body”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Unadjusted Benchmark Replacement” means the Benchmark Replacement excluding the Benchmark Replacement Adjustment.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Interest Begins to Accrue on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Floating Rate Notes on August 18,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2028 Notes on August 18,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2030 Notes on August 18,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2031 Notes on August 18,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2033 Notes on August 18,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2036 Notes on August 18,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2038 Notes on August 18,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2056 Notes on August 18,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begin to accrue on the 2066 Notes on August 18,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applicable Par Call Date (as defined below), in the case of each series of Fixed Rate Notes other than the 2028 Notes, or, in the case of the 2028 Notes, at any time, we may redeem the Fixed 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of any series at our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such Fixed Rate Notes matured on the applicable Par Call Date) on a semi-annual basis (assuming a 360-day year consisting of twelve 30-day months) at the Treasury Rate plus 5 basis points for the 2028 Notes, 10 basis points for the 2030 Notes, 10 basis points for the 2031 Notes, 10 basis points for the 2033 Notes, 15 basis points for the 2036 Notes, 15 basis points for the 2038 Notes, 15 basis points for the 2056 Notes, and 15 basis points for the 2066 Notes less (b) interest accrued to the date of redemption, and (2) 100% of the principal amount of the Fixed Rate Notes to be redeemed, plus, in either case, accrued and unpaid interest thereon to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applicable Par Call Date, we may redeem the Fixed Rate Notes of any series (other than the 2028 Notes), in whole or in part, at any time and from time to time, at a redemption price equal to 100% of the principal amount of such Fixed Rate Notes being redeemed plus accrued and unpaid interest thereon to the redemption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terms are relevant to the determination of the redemption price.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Par Call Date” means: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2030 Notes, February 15, 2030 (the date that is one month prior to the maturity date of the 2030 Notes);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2031 Notes, August 15, 2031 (the date that is one month prior to the maturity date of the 2031 Notes);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2033 Notes, July 15, 2033 (the date that is two months prior to the maturity date of the 2033 Notes);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2036 Notes, June 15, 2036 (the date that is three months prior to the maturity date of the 2036 Notes);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2038 Notes, June 15, 2038 (the date that is three months prior to the maturity date of the 2038 Notes);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2056 Notes, March 15, 2056 (the date that is six months prior to the maturity date of the 2056 Notes); and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2066 Notes, March 15, 2066 (the date that is six months prior to the maturity date of the 2066 Notes).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for a series of Fixed Rate Notes, the yield applicable to such series of Fixed Rate Notes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applicable to a series of Fixed Rate Notes shall be determined by us after 4:15 p.m., New York City time (or after such time as yields on U.S. government securities are posted daily by the Board of Governors of the Federal Reserve System), on the third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applicable Treasury Rate, we shall select, as applicable: (1) the yield for the Treasury constant maturity on H.15 exactly equal to the period from such redemption date to the applicable Par Call Date (the “Remaining Life”);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paragraph, the applicable Treasury constant maturity or maturities on H.15 shall be deemed to have a maturity date equal to the relevant number of months or years, as applicable, of such Treasury constant maturity from such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such redemption date H.15 TCM is no longer published, we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AbbVie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AbbVie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of any series of Notes, selection of the Notes of such series for redemption will be made pro rata, by lot, or by such other method as the Trustee in its sole discretion deems appropriate and fair. No Notes of a principal amount of $2,000 or less will be redeemed in part. If Notes of any series are to be redeemed in part only, the notice of redemption that relates to such Note will state the portion of the principal amount of the Notes of such series to be redeemed. A new Note in a principal amount equal to the unredeemed portion of the relevant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Any redemption or notice of redemption may, at AbbVie’s discretion, be subject to one or more conditions precedent, and, at AbbVie’s discretion, the redemption date may be delayed until such time as any or all such conditions shall be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or portions thereof called for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Floating Rate Notes may not be redeemed prior to maturity (other than pursuant to a Special Mandatory Redemption, as described under the caption “—</w:t>
      </w:r>
      <w:r>
        <w:rPr>
          <w:rFonts w:ascii="Times New Roman;Times;serif" w:hAnsi="Times New Roman;Times;serif"/>
          <w:b w:val="false"/>
          <w:i/>
          <w:caps w:val="false"/>
          <w:smallCaps w:val="false"/>
          <w:color w:val="000000"/>
          <w:spacing w:val="4"/>
          <w:sz w:val="20"/>
        </w:rPr>
        <w:t>Special Mandatory 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Mandatory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is not conditioned upon the consummation of the Specified Acquisition by the Issuer or any of its subsidiaries; however, if the Issuer publicly announces that the Acquisition Agreement has been terminated prior to the consummation of the Specified Acquisition, or notifies the Trustee in writing that it will not pursue the consummation of the Specified Acquisition (the earliest date of any such announcement or notification, the “Special Mandatory Redemption Trigger Date”), the Issuer will be required to redeem all and not less than all of the Mandatorily Redeemable Notes then outstanding by a date no later than ten (10) business days after the Special Mandatory Redemption Trigger Date (the “Special Mandatory Redemption End Date”) at a redemption price equal to 101% of the principal amount of the Mandatorily Redeemable Notes to be redeemed plus accrued and unpaid interest thereon to, but excluding, the Special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Mandatory Redemption Date (the “Special Mandatory Redemption Price”). The Long-Term Notes will not be subject to any Special Mandatory Redemption. There is no escrow account for, or security interest in, the proceeds of this offering for the benefit of holders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we become obligated to redeem the Mandatorily Redeemable Notes pursuant to the foregoing paragraph, we will promptly, and in any event not more than five (5) business days after the Special Mandatory Redemption Trigger Date, deliver notice to the Trustee of the Special Mandatory Redemption and the date upon which the Mandatorily Redeemable Notes will be redeemed (the “Special Mandatory Redemption Date”), which shall be no later than the Special Mandatory Redemption End Date. The Trustee will then promptly, and in any event not more than one (1) business day after receipt of such notice, deliver notice of the Special Mandatory Redemption and the Special Mandatory Redemption Date to each holder of Mandatorily Redeemable Notes at its registered address. Unless we default in payment of the Special Mandatory Redemption Price, on and after such Special Mandatory Redemption Date, interest will cease to accrue on the Mandatorily Redeemable Notes and the indenture will be discharged and cease to be of further effect as to all Mandatorily Redeemable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Description of Notes, the “Specified Acquisition” means the acquisition of Apogee by us or any of our subsidiaries and “Acquisition Agreement” means the definitive agreement of the Issuer providing for the Specified Acquisition.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installments of interest on any series of Mandatorily Redeemable Notes that are due and payable on interest payment dates falling on or prior to the Special Mandatory Redemption Date will be payable on such interest payment dates to the registered holders as of the close of business on the relevant record dates in accordance with the Mandatorily Redeemable Notes and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proceeds of the offering of the Mandatorily Redeemable Notes will not be deposited into an escrow account pending any Special Mandatory Redemption of such Notes. Our ability to pay the redemption price to holders of the Mandatorily Redeemable Notes if we become obligated to redeem the Mandatorily Redeemable Notes pursuant to a Special Mandatory Redemption may be limited by our then existing financial resources, and sufficient funds may not be available when necessary to make any required redemptions of Mandatorily Redeemable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Open Market Purchases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or any of its affiliates may at any time and from time to time purchase Notes in the open market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Sinking Fund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provision for a sinking fund for any of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the Issuer’s unsecured, unsubordinated obligations, and will: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rank equally in right of payment with all of the Issuer’s existing and future unsecured, unsubordinated indebtedness, liabilities, and other obligations;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rank senior in right of payment to all of the Issuer’s future indebtedness that is subordinated to the Notes;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effectively subordinated in right of payment to all of the Issuer’s existing and future secured indebtedness, to the extent of the value of the assets securing such indebtedness; and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structurally subordinated in right of payment to all existing and future indebtedness, liabilities, and other obligations of the Issuer’s subsidiaries.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derives substantially all of its operating income from, and holds substantially all of its assets through, its subsidiaries. AbbVie depends on distributions of cash flow and earnings from its subsidiaries in order to meet its payment obligations under the Notes and its other debt obligations. These subsidiaries are separate and distinct legal entities and will have no obligation to pay any amounts due on the Notes,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AbbVie with funds for its payment obligations with respect thereto, whether by dividends, distributions, loans, or otherwise. As a result, the Notes will be structurally subordinated to the liabilities of AbbVie’s subsidiaries, including trade payables. In addition, provisions of applicable law, such as those limiting the payment of dividends, could limit the ability of AbbVie’s subsidiaries to make payments or other distributions to it, and AbbVie’s subsidiaries could agree to contractual restrictions on their ability to pay dividends or make payments or other distributions to it. As of June 30, 2026, on a pro forma basis, giving effect to the issuance and sale of the Notes, AbbVie would have had approximately $80.4 billion of outstanding indebtedness and, additionally, unused borrowing capacity of up to $8.0 billion under the Revolving Credit Facilities.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 of AbbVie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Secured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AbbVie or any Domestic Subsidiary incurs, issues, assumes or guarantees any indebtedness for borrowed money represented by notes, bonds, debentures, or other similar evidences of indebtedness for borrowed money (“Debt”) and that Debt is secured by a Mortgage on any Principal Domestic Property, or any shares of stock or Debt of any Domestic Subsidiary, AbbVie will secure, or cause its Domestic Subsidiary to secure, the Notes equally and ratably with, or prior to, such secured Debt, so long as such secured Debt shall be so secured, unless, after giving effect thereto, the aggregate amount of all such secured Debt plus all Attributable Debt in respect of Sale and Leaseback Transactions involving Principal Domestic Properties (other than Sale and Leaseback Transactions permitted pursuant to the second bullet under the heading “—</w:t>
      </w:r>
      <w:r>
        <w:rPr>
          <w:rFonts w:ascii="Times New Roman;Times;serif" w:hAnsi="Times New Roman;Times;serif"/>
          <w:b w:val="false"/>
          <w:i/>
          <w:caps w:val="false"/>
          <w:smallCaps w:val="false"/>
          <w:color w:val="000000"/>
          <w:spacing w:val="4"/>
          <w:sz w:val="20"/>
        </w:rPr>
        <w:t>Restrictions on Sales and Leasebacks</w:t>
      </w:r>
      <w:r>
        <w:rPr>
          <w:rFonts w:ascii="Times New Roman;Times;serif" w:hAnsi="Times New Roman;Times;serif"/>
          <w:b w:val="false"/>
          <w:i w:val="false"/>
          <w:caps w:val="false"/>
          <w:smallCaps w:val="false"/>
          <w:color w:val="000000"/>
          <w:spacing w:val="4"/>
          <w:sz w:val="20"/>
        </w:rPr>
        <w:t xml:space="preserve">” below), would not exceed 15% of AbbVie’s Consolidated Net Assets. This restriction will not apply to, and there shall be excluded from secured Debt in any computation under this restriction, Debt secured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on property of, or on any shares of stock or Debt of, any Person existing at the time such Person becomes a Domestic Subsidiary;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in favor of AbbVie or any Subsidiary thereof;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on property of AbbVie or a Domestic Subsidiary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on property, shares of stock or Debt existing at the time of acquisition thereof (including acquisition through merger or consolidation);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to secure the payment of all or any part of the cost of acquisition, construction, development, or improvement of the underlying property, or to secure debt incurred to provide funds for any such purpose, provided that the commitment of the creditor to extend the credit secured by any such Mortgage shall have been obtained not later than 365 days after the later of (a) the completion of the acquisition, construction, development, or improvement of such property, or (b) the placing in operation of such property;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each series of Notes, Mortgages existing on the first date on which a Note of such series is authenticated by the Trustee under the indenture;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incurred in connection with pollution control, industrial revenue, or similar financings;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Mortgages created in substitution of or as replacements for any Mortgages referred to in the foregoing list, inclusive; provided that, based on a good faith determination of an officer of AbbVie, the property encumbered under any such substitute or replacement Mortgage is substantially similar in nature to the property encumbered by the otherwise permitted Mortgage which is being replaced; and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extension, renewal or replacement (or successive extensions, renewals or replacements), as a whole or in part, of any Debt secured by any Mortgage referred to in the foregoing list, inclusive; provided that (i) such extension, renewal or replacement Mortgage shall be limited to all or a part of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same property, shares of stock or debt that secured the Mortgage extended, renewed or replaced (plus improvements on such property, and plus any property relating to a specific project, the completion of which is funded pursuant to clause (ii)(b) below), and (ii) the Debt secured by such Mortgage at such time is not increased (other than (a) by an amount equal to any related financing costs (including, but not limited to, the accrued interest and premium, if any, on the Debt being refinanced) and (b) where an additional principal amount of Debt is incurred to provide funds for the completion of a specific project that is subject to a Mortgage securing the Debt being extended, refinanced, or renewed, by an amount equal to such additional principal amount).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Sales and Leasebacks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AbbVie nor any Domestic Subsidiary may enter into any Sale and Leaseback Transaction unless either: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AbbVie or such Domestic Subsidiary could incur Debt secured by a Mortgage under the restrictions described above under “—</w:t>
      </w:r>
      <w:r>
        <w:rPr>
          <w:rFonts w:ascii="Times New Roman;Times;serif" w:hAnsi="Times New Roman;Times;serif"/>
          <w:b w:val="false"/>
          <w:i/>
          <w:caps w:val="false"/>
          <w:smallCaps w:val="false"/>
          <w:color w:val="000000"/>
          <w:spacing w:val="4"/>
          <w:sz w:val="20"/>
        </w:rPr>
        <w:t>Restrictions on Secured Debt</w:t>
      </w:r>
      <w:r>
        <w:rPr>
          <w:rFonts w:ascii="Times New Roman;Times;serif" w:hAnsi="Times New Roman;Times;serif"/>
          <w:b w:val="false"/>
          <w:i w:val="false"/>
          <w:caps w:val="false"/>
          <w:smallCaps w:val="false"/>
          <w:color w:val="000000"/>
          <w:spacing w:val="4"/>
          <w:sz w:val="20"/>
        </w:rPr>
        <w:t xml:space="preserve">” on the Principal Domestic Property to be leased back in an amount equal to the Attributable Debt with respect to such Sale and Leaseback Transaction without equally and ratably securing the Notes; or </w:t>
      </w:r>
      <w:r>
        <mc:AlternateContent>
          <mc:Choice Requires="wps">
            <w:drawing>
              <wp:anchor behindDoc="0" distT="7239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within 180 days after the sale or transfer by AbbVie or by any such Domestic Subsidiary, applies to the retirement of AbbVie’s Funded Debt, an amount equal to the greater of (1) the net proceeds of the sale of the Principal Domestic Property sold and leased back pursuant to such arrangement or (2) the fair market value of the Principal Domestic Property so sold and leased back at the time of entering into such arrangements (as determined by any two of the following: the chairman of the board of AbbVie, its chief executive officer, an executive vice president, a senior vice president, or a vice president, and the chief financial officer, the treasurer, or an assistant treasurer), subject to credits for certain voluntary retirements of Funded Debt. </w:t>
      </w:r>
      <w:r>
        <mc:AlternateContent>
          <mc:Choice Requires="wps">
            <w:drawing>
              <wp:anchor behindDoc="0" distT="7239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the meanings of terms that are important in understanding the restrictive covenants of AbbVie: </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Attributable Debt” means (except as otherwise provided in this paragraph), as to any particular lease under which any Person is at the time liable for a term of more than 12 months, at any date as of which the amount thereof is to be determined (the “Determination Date”), the total net amount of rent required to be paid by such Person under such lease during the remaining term thereof (excluding any subsequent renewal or other extension options held by the lessee), discounted from the respective due dates thereof to the Determination Date at the rate of 8% per annum, compounded monthly. The net amount of rent required to be paid under any such lease for any such period shall be the aggregate amount of the rent payable by the lessee with respect to such period after excluding amounts required to be paid on account of maintenance and repairs, services, insurance, taxes, assessments, water rates, and similar charges, and contingent rents (such as those based on sales or monetary inflation). If any lease is terminable by the lessee upon the payment of a penalty, if under the terms of the lease the termination right is not exercisable until after the Determination Date, and if the amount of such penalty discounted to the Determination Date at the rate of 8% per annum compounded monthly is less than the net amount of rentals payable after the time as of which such termination could occur (the “Termination Time”) discounted to the Determination Date at the rate of 8% per annum compounded monthly, then such discounted penalty amount shall be used instead of such discounted amount of net rentals payable after the Termination Time in calculating the Attributable Debt for such lease. If any lease is terminable by the lessee upon the payment of a penalty, if such termination right is exercisable on the Determination Date, and if the amount of the net rentals payable under such lease after the Determination Date discounted to the Determination Date at the rate of 8% per annum compounded monthly is greater than the amount of such penalty, the “Attributable Debt” for such lease as of such Determination Date shall be equal to the amount of such penalty.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Net Assets” means the aggregate amount of assets (less applicable reserves and other properly deductible items) after deducting therefrom all current liabilities, as set forth on the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consolidated balance sheet of AbbVie and its consolidated Subsidiaries prepared as of the end of a fiscal quarter in accordance with generally accepted accounting principles which AbbVie shall have most recently filed with the SEC or otherwise distributed to its shareholders prior to the time as of which “Consolidated Net Assets” shall be determined (which calculation shall give pro forma effect to any acquisition by or disposition of assets of AbbVie or any of its Subsidiaries involving the payment or receipt by AbbVie or any of its Subsidiaries, as applicable, of consideration (whether in the form of cash or non-cash consideration) in excess of $500,000,000 that has occurred since the end of such fiscal quarter, as if such acquisition or disposition had occurred on the last day of such fiscal quarter). </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Domestic Subsidiary” means any Subsidiary of AbbVie that transacts substantially all of its business or maintains substantially all of its property within the United States of America (excluding its territories and possessions and Puerto Rico); provided, however, that the term shall not include any Subsidiary which (i) is engaged primarily in the financing of operations outside of the United States of America or in leasing personal property or financing inventory, receivables, or other property, or (ii) does not own a Principal Domestic Property.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Funded Debt” means indebtedness of AbbVie (other than the Notes or indebtedness subordinated in right of payment to the Notes) or indebtedness of a wholly owned Domestic Subsidiary, for borrowed money, having a stated maturity more than 12 months from the date of application of Sale and Leaseback Transaction proceeds or which is extendible at the option of the obligor thereon to a date more than 12 months from the date of such application.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Mortgage” means any mortgage, pledge, lien, security interest, conditional sale or other title retention agreement, or other similar encumbrance.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any individual, partnership, corporation (including a business trust), joint stock company, trust, unincorporated association, joint venture, limited liability company or other entity, or a government or any political subdivision or agency thereof.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Principal Domestic Property” means any building, structure, or other facility, together with the land upon which it is erected and fixtures comprising a part thereof, used primarily for manufacturing, processing, research, warehousing, or distribution and located in the United States of America (excluding its territories and possessions and Puerto Rico), owned or leased by AbbVie or any Domestic Subsidiary and having a net book value which, on the date the determination as to whether a property is a Principal Domestic Property is being made, exceeds 2% of Consolidated Net Assets of AbbVie other than any such building, structure, or other facility or a portion thereof (i) which is an air or water pollution control facility financed by state or local governmental obligations, or (ii) which the chairman of the board, chief executive officer, an executive vice president, a senior vice president, or a vice president and the chief financial officer, treasurer or assistant treasurer of AbbVie determine in good faith, at any time on or prior to such date, is not of material importance to the total business conducted, or assets owned, by AbbVie and its Subsidiaries as an entirety.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Sale and Leaseback Transaction” means any arrangement with any bank, insurance company or other lender or investor (not including AbbVie or any Subsidiary) or to which any such lender or investor is a party, providing for the leasing by AbbVie or any Domestic Subsidiary for a period, including renewals, in excess of three years of any Principal Domestic Property which has been or is to be sold or transferred, more than 180 days after the acquisition thereof or the completion of construction and commencement of full operation thereof, by AbbVie or any Domestic Subsidiary to such lender or investor or to any person to whom funds have been or are to be advanced by such lender or investor on the security of such Principal Domestic Property.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means any Person which is a corporation, partnership, joint venture, limited liability company, trust, or estate, and of which AbbVie directly or indirectly owns or controls stock or other interests, which under ordinary circumstances (not dependent upon the happening of a contingency) has the voting power to elect a majority of the board of directors, managers, trustees, or equivalent of such Person; provided, however, that the term shall not include any such Person if and for so long as (i) such Person does not own a Principal Domestic Property and (ii) the chairman of the board, chief executive officer, an executive vice president, a senior vice president, or a vice president and the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financial officer, treasurer or assistant treasurer of AbbVie determine in good faith at least annually that the existing aggregate investments by AbbVie and its Domestic Subsidiaries (including all guarantees and other extensions of credit) in such Person are not of material importance to the total business conducted, or assets owned, by AbbVie and its Subsidiaries, as an entirety. </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Trustee” means the Person named as the “Trustee” in the indenture until a successor Trustee shall have become such pursuant to the applicable provisions of the indenture, and thereafter “Trustee” shall mean or include each Person who is then a Trustee under the indenture, and if at any time there is more than one such Person, “Trustee” as used with respect to the Notes of any series shall mean the Trustee with respect to the Notes of that series.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shall not consolidate with or merge into any other Person or convey, transfer, or lease its properties and assets substantially as an entirety to any Person,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formed by such consolidation or into which AbbVie is merged or the Person which acquires by conveyance or transfer, or which leases, AbbVie’s properties and assets substantially as an entirety shall be a corporation, limited liability company or partnership, shall be organized and validly existing under the laws of the United States of America, any state thereof or the District of Columbia and shall expressly assume AbbVie’s obligations on the Notes under a supplemental indenture;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and treating any indebtedness which becomes an obligation of AbbVie or a Subsidiary as a result of such transaction as having been incurred by AbbVie or such Subsidiary at the time of such transaction, no event of default, and no event which, after notice or lapse of time or both, would become an event of default, shall have happened and be continuing;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a result of any such consolidation or merger or such conveyance, transfer, or lease, AbbVie’s properties or assets would become subject to a mortgage, pledge, lien, security interest, or other encumbrance which would not be permitted by the indenture, AbbVie or such successor Person, as the case may be, shall take such steps as shall be necessary to effectively secure the Notes equally and ratably with (or prior to) all indebtedness secured thereby; and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has delivered to the Trustee an officers’ certificate and an opinion of counsel stating compliance with these provisions.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consolidation of AbbVie with, or merger of AbbVie into, any other Person or any conveyance, transfer, or lease of the properties and assets of AbbVie substantially as an entirety in accordance with the above provisions, the successor Person formed by such consolidation or into which AbbVie is merged or to which such conveyance, transfer, or lease is made shall succeed to, and be substituted for, and may exercise every right and power of, AbbVie under the indenture with the same effect as if such successor Person had been named in the indenture, and thereafter, except in the case of a lease, the predecessor Person shall be relieved of all obligations and covenants under the indenture and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phrase “substantially as an entirety,” as used with respect to our assets and properties in this covenant, is subject to interpretation under applicable state law, and its applicability in a given instance would depend upon the facts and circumstances. Although there is a limited body of case law interpreting the phrase “substantially as an entirety,” there is no precise established definition of the phrase under applicable law. Accordingly, the applicability of the requirement that any Person assume AbbVie’s obligations on the Notes in connection with any conveyance, transfer, or lease of AbbVie’s properties and assets may be uncertain.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defines an event of default with respect to any series of Notes as being: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interest or premium on that series of Notes when due, continued for a period of 30 days; </w:t>
      </w:r>
      <w:r>
        <mc:AlternateContent>
          <mc:Choice Requires="wps">
            <w:drawing>
              <wp:anchor behindDoc="0" distT="10033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the principal on that series of Notes when due; </w:t>
      </w:r>
      <w:r>
        <mc:AlternateContent>
          <mc:Choice Requires="wps">
            <w:drawing>
              <wp:anchor behindDoc="0" distT="0" distB="0" distL="254000" distR="0" simplePos="0" locked="0" layoutInCell="1" allowOverlap="1" relativeHeight="62">
                <wp:simplePos x="0" y="0"/>
                <wp:positionH relativeFrom="column">
                  <wp:align>left</wp:align>
                </wp:positionH>
                <wp:positionV relativeFrom="line">
                  <wp:posOffset>635</wp:posOffset>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or breach, under any other covenant or warranty applicable to that series of Notes and not otherwise specifically dealt with in the definition of “event of default,” continued for a period of 90 days after the giving of written notice to AbbVie by the Trustee or to AbbVie and the Trustee by holders of at least 25% in principal amount of outstanding Notes of that series (provided that such notice may not be given with respect to any action taken, and reported publicly or to holders of the Notes more than two years prior to such notice); or </w:t>
      </w:r>
      <w:r>
        <mc:AlternateContent>
          <mc:Choice Requires="wps">
            <w:drawing>
              <wp:anchor behindDoc="0" distT="10414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of bankruptcy, insolvency, or reorganization of AbbVie. </w:t>
      </w:r>
      <w:r>
        <mc:AlternateContent>
          <mc:Choice Requires="wps">
            <w:drawing>
              <wp:anchor behindDoc="0" distT="10287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time period to cure any actual or alleged default or event of default may be extended or stayed by a court of competent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is required to give holders of the particular series of Notes written notice of a default with respect to that series as provided by the Trust Indenture Act. In the case of any default of the character described above in clause (3) of the immediately preceding paragraph, no such notice to holders must be given until at least 60 days after the occurrence of that default.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is required annually to deliver to the Trustee a certificate stating whether or not the signers have any knowledge of any default by AbbVie in its performance and observance of any terms, provisions, and conditions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an event of default (other than an event of default involving an event of bankruptcy, insolvency, or reorganization of AbbVie) shall occur and be continuing with respect to any series of Notes, the Trustee or the holders of not less than 25% in principal amount of the particular series of Notes then outstanding may declare the principal amount of such series of Notes to be immediately due and payable. If an event of default relating to any event of bankruptcy, insolvency or reorganization of AbbVie occurs, the principal of all the Notes then outstanding will become immediately due and payable without any action on the part of the Trustee or any holder. The holders of a majority in principal amount of the outstanding series of Notes affected by the default may in some cases rescind this accelerated payment requirement. Depending on the terms of AbbVie’s other indebtedness, an event of default in respect of the Notes may give rise to cross defaults on its other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past default with respect to a series of Notes may be waived on behalf of all holders of that series of Notes by at least a majority in principal amount of the holders of the outstanding Notes of that series, except a default: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payment of the principal of or any premium or interest on that series of Notes; or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a covenant or provision which under the indenture cannot be modified or amended without the consent of the holder of each outstanding Note of that series affected.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 that is so waived will cease to exist and any event of default arising from that default will be deemed to be cured and shall cease to exist for every purpose under the indenture, but no such waiver will extend to any subsequent or other default or impair any right consequent thereon.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Notes of any series will be able to pursue any remedy under the indenture only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has previously given written notice to the Trustee of a continuing event of default with respect to that series of Notes;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25% in principal amount of the outstanding Notes of that series shall have made written request to the Trustee to institute proceedings in respect of such event of default in its own name as Trustee under the indenture;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holders or holders making the request have offered to the Trustee reasonable indemnity against the costs, expenses, and liabilities to be incurred in compliance with such request;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for 60 days after its receipt of such notice, request, and offer of indemnity has failed to institute any such proceeding; and </w:t>
      </w:r>
      <w:r>
        <mc:AlternateContent>
          <mc:Choice Requires="wps">
            <w:drawing>
              <wp:anchor behindDoc="0" distT="7874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that 60-day period, the holders of a majority in principal amount of that series of Notes do not give the Trustee a direction inconsistent with such request. </w:t>
      </w:r>
      <w:r>
        <mc:AlternateContent>
          <mc:Choice Requires="wps">
            <w:drawing>
              <wp:anchor behindDoc="0" distT="0" distB="0" distL="254000" distR="0" simplePos="0" locked="0" layoutInCell="1" allowOverlap="1" relativeHeight="71">
                <wp:simplePos x="0" y="0"/>
                <wp:positionH relativeFrom="column">
                  <wp:align>left</wp:align>
                </wp:positionH>
                <wp:positionV relativeFrom="line">
                  <wp:posOffset>635</wp:posOffset>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Notes, however, are entitled at any time to bring a lawsuit for the payment of principal and interest due on their Notes on or after its due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and the Trustee may modify the indenture or any supplemental indenture without the consent of the holders of the Notes for one or more of the following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AbbVie and the assumption by any such successor of the obligations of AbbVie in the indenture or any supplemental indenture, and in the Notes;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covenants of AbbVie for the benefit of the holders of all or any series of Notes or to surrender any right or power conferred upon AbbVie by the indenture or any supplemental indenture;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any additional events of default for the benefit of holders of all or any series of Notes;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or change any of the provisions of the indenture or any supplemental indenture to such extent as shall be necessary to permit or facilitate the issuance of debt securities in certain other forms;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change or eliminate any of the provisions of the indenture or any supplemental indenture in respect of one or more series of Notes, provided that any such addition, change or elimination (i) shall neither (A) apply to any Note of any series created prior to the execution of such supplemental indenture affecting such modification and entitled to the benefit of such provision nor (B) modify the rights of the holder of any such Note with respect to such provision, or (ii) shall become effective only when there is no such Note outstanding;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Notes pursuant to the requirements of the indenture or the requirements of any supplemental indenture or to otherwise provide any security for, or add any guarantees of or additional obligors on, the Notes of all or any series;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Notes of any series in accordance with the terms of the indenture;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supplement any of the provisions of the indenture to such extent as shall be necessary to permit or facilitate the defeasance and discharge of a particular series of Notes in accordance with the provisions in the indenture;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the appointment of a successor trustee with respect to the Notes of one or more series and to add to or change any of the provisions of the indenture or any supplemental indenture as shall be necessary to provide for or facilitate the administration of the trusts under such indenture or supplemental indenture by more than one trustee pursuant to the requirements set forth in the indenture; or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or to correct or supplement any provision of the indenture or any supplemental indenture which may be defective or inconsistent with any other provision in the indenture or any supplemental indenture, or to make any other provisions with respect to matters or questions arising under the indenture or any supplemental indenture as shall not adversely affect the interests of the holders of any series of Notes in any material respect.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and the Trustee may otherwise modify the indenture or any supplemental indenture with the consent of the holders of not less than a majority in principal amount of each series of Notes affected for the purpose of adding any provisions to or changing in any manner or eliminating any of the provisions of the indenture or of modifying in any manner the rights of the holders of Notes of such series under the indenture or any supplemental indentures. However, without the consent of the holder of each outstanding Note affected by such modification, no modification may: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any installment of principal of or interest thereon, or reduce the principal amount thereof or the rate of interest thereon or any premium payable upon the redemption thereof, or change any place of payment where, or the coin or currency in which, such Notes or any premium or interest thereon is payable, or impair the right to institute suit for the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enforcement of any such payment on or after the stated maturity thereof (or, in the case of redemption, on or after the redemption date);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the Notes of any series, the consent of whose holders is required in the indenture for consent for any waiver of compliance with certain provisions of the indenture or certain defaults under the indenture and their consequences; or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the provisions set forth in the two bullets above or the paragraph immediately preceding the two bullets above or modify provisions relating to the waiver of past defaults or the waiver of certain covenants in the indenture, in each case, other than to increase the percentage in principal amount of the Notes required to modify such provisions or to provide that certain other provisions of the indenture cannot be modified or waived without the consent of the holder of each outstanding Note affected by such modification.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indenture relating to defeasance and covenant defeasance as described in the indenture will apply to the Notes.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at AbbVie’s option, AbbVie: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discharged from any and all obligations in respect of the Notes of a series, except for certain obligations set forth in the indenture that survive such discharge (“legal defeasance”); or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may omit to comply with certain restrictive covenants of the indenture, including those described under “</w:t>
      </w:r>
      <w:r>
        <w:rPr>
          <w:rFonts w:ascii="Times New Roman;Times;serif" w:hAnsi="Times New Roman;Times;serif"/>
          <w:b w:val="false"/>
          <w:i/>
          <w:caps w:val="false"/>
          <w:smallCaps w:val="false"/>
          <w:color w:val="000000"/>
          <w:spacing w:val="4"/>
          <w:sz w:val="20"/>
        </w:rPr>
        <w:t>Certain Covenants of AbbVie</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and the occurrence of an event described in clause (3) under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with respect to any such covenants will no longer be an event of default (“covenant defeasance”);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irrevocably deposits or causes to be deposited with the Trustee, as trust funds in trust for the purpose of making the following payments, specifically pledged as security for, and dedicated solely to, the benefit of the holders of such Notes, in money in an amount, U.S. government obligations, which through the scheduled payment of principal and interest in respect thereof in accordance with their terms will provide, not later than one day before the due date of any payment, money in an amount, or a combination thereof, sufficient, without reinvestment, in the opinion of a nationally recognized firm of independent public accountants to pay and discharge all the principal of and premium, if any, and interest on the Notes of that series on the dates such payments are due, which may include one or more redemption dates that AbbVie designates, in accordance with the terms of the Notes of that series;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which with notice or lapse of time, or both, would become an event of default with respect to Notes of such series shall have occurred and be continuing on the date of such deposit or insofar as an event of default resulting from certain events involving AbbVie’s bankruptcy or insolvency are concerned, at any time during the period ending on the 121st day after such date of the deposit or, if longer, ending on the day following the expiration of the longest preference period applicable to AbbVie in respect of such deposit (it being understood that this condition will not be deemed satisfied until the expiration of such period);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defeasance will not cause the Trustee to have a conflicting interest with respect to any of AbbVie’s securities or result in the trust arising from such deposit to constitute, unless it is qualified as, a regulated investment company under the Investment Company Act of 1940, as amended;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defeasance will not result in a breach or violation of, or constitute a default under, the indenture or any other agreement or instrument to which AbbVie is a party or by which AbbVie is bound;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has delivered an opinion of counsel to the effect that the beneficial owners of Notes will not recognize income, gain or loss for federal income tax purposes as a result of the defeasance and will be subject to federal income tax in the same manner as if the defeasance had not occurred, which opinion of counsel, in the case of legal defeasance, must refer to and be based upon a published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ruling of the Internal Revenue Service, a private ruling of the Internal Revenue Service addressed to AbbVie, or otherwise a change in applicable federal income tax law occurring after the date of the indenture; and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shall have delivered an officer’s certificate and an opinion of counsel stating that the conditions to such defeasance set forth in the indenture have been complied with. </w:t>
      </w:r>
      <w:r>
        <mc:AlternateContent>
          <mc:Choice Requires="wps">
            <w:drawing>
              <wp:anchor behindDoc="0" distT="8001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AbbVie fails to comply with its remaining obligations under the indenture after a covenant defeasance with respect to the Notes of any series and the Notes of such series are declared due and payable because of the occurrence of any event of default, the amount of money and U.S. Government Obligations on deposit with the Trustee may be insufficient to pay amounts due on the Notes of that series at the time of the acceleration resulting from the event of default. AbbVie will, however, remain liable for those payments.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be discharged and will cease to be of further effect (except as to any surviving rights of registration of transfer or exchange of Notes, as expressly provided for in the indenture) as to all outstanding Notes of any series when: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(a) all the Notes of such series theretofore authenticated and delivered (except lost, stolen or destroyed Notes which have been replaced or paid and Notes for whose payment money has theretofore been deposited in trust or segregated and held in trust by AbbVie and thereafter repaid to it or discharged from such trust) have been delivered to the Trustee for cancellation, or (b) all of the Notes of such series not theretofore delivered to the Trustee for cancellation (i) have become due and payable, (ii) will become due and payable at their stated maturity within one year, or (iii) if redeemable at AbbVie’s option, are to be called for redemption within one year under arrangements satisfactory to the Trustee for the giving of notice of redemption by the Trustee in the name, and at the expense, of AbbVie, and AbbVie has irrevocably deposited or caused to be deposited with the Trustee funds in an amount sufficient to pay and discharge the entire indebtedness on the Notes of such series not theretofore delivered to the Trustee for cancellation, for principal of, premium, if any, and interest on the Notes of such series to the date of such deposit (in the case of Notes which have become due and payable), or to their stated maturity or the redemption date, as the case may be, together with irrevocable instructions from AbbVie directing the Trustee to apply such funds to the payment thereof at maturity or redemption, as the case may be; provided that in connection with any discharge relating to any redemption that requires the payment of a premium or any discharge if, on the date of deposit or, if earlier, notice of redemption, as applicable, interest payable to such stated maturity or redemption date cannot be calculated, the amount deposited shall be sufficient for purposes of the indenture to the extent that an amount is deposited with the Trustee equal to the premium, or interest, respectively, calculated as of the date of deposit or, if earlier, notice of redemption, with the amount of any deficit as of such stated maturity or redemption date only required to be deposited with the Trustee on or prior to such stated maturity or redemption date; provided, further, that the amount of any such deficit shall be set forth in an officer’s certificate, delivered to the Trustee simultaneously with the deposit of the amount of such deficit, confirming that such amount shall be applied to the interest or other amounts payable at such stated maturity or on such redemption date, as applicable; </w:t>
      </w:r>
      <w:r>
        <mc:AlternateContent>
          <mc:Choice Requires="wps">
            <w:drawing>
              <wp:anchor behindDoc="0" distT="10541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has paid or caused to be paid all other sums payable under the indenture in respect of such series of Notes; and </w:t>
      </w:r>
      <w:r>
        <mc:AlternateContent>
          <mc:Choice Requires="wps">
            <w:drawing>
              <wp:anchor behindDoc="0" distT="10414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has delivered to the Trustee an officers’ certificate and an opinion of counsel, each stating that all conditions precedent under the indenture relating to the satisfaction and discharge of the indenture with respect to such series of Notes have been complied with. </w:t>
      </w:r>
      <w:r>
        <mc:AlternateContent>
          <mc:Choice Requires="wps">
            <w:drawing>
              <wp:anchor behindDoc="0" distT="10414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Notes shall be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Bank Trust Company, National Association, successor to U.S. Bank National Association, will be named as the “Trustee” under the indenture. U.S. Bank Trust Company, National Association and its affiliates perform certain commercial banking services for some of AbbVie’s affiliates for which they receive customary fees.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become obligated to exercise any of its powers under the indenture at the request or direction of any of the holders of any Notes pursuant to the indenture only after those holders have offered the Trustee reasonable security or indemnity against the costs, expenses, and liabilities which might be incurred by the Trustee in compliance with such request or direction.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has designated the Trustee as its paying agent for payments on Notes. AbbVie may at any time designate additional paying agents or rescind the designation of any paying agent or approve a change in the office through which any paying agent 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or paying agent, as applicable, will repay to AbbVie on AbbVie’s written request any funds they hold for payments on the Notes that remain unclaimed for two years after the date upon which that payment has become due. After repayment to AbbVie, holders entitled to those funds must look only to it for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Registration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of any series may be exchangeable for other Notes of the same series with the same total principal amount and the same terms but in different authorized denominations in accordance with the indenture. Holders may present registered Notes for registration of transfer at the office of the security registrar. The security registrar will effect the transfer or exchange when it is satisfied with the documents of title and identity of the person making the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will appoint the Trustee as security registrar for the Notes. AbbVie may at any time designate additional security registrars for any series of Notes or rescind the designation of any security registrar or approve a change in the location through which any security registrar acts. AbbVie will be required to maintain an office or agency for transfers and exchanges in each place of payment. No service charge will be made for any registration of transfer or exchange of the Notes, but we or the security registrar may require payment of a sum sufficient to cover any transfer tax, assessments, or similar governmental charge payable in connection therewith (other than as set forth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AbbVie nor the security registrar will be required to register the transfer of or exchange of any Note: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 period beginning at the opening of business 15 days before the day of the mailing of a notice of redemption of Notes of that series selected for redemption and ending at the close of business on the day of such mailing; or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selected for redemption in whole or in part, except the unredeemed portion of any Note being redeemed in part.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System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Notes initially in the form of one or more global notes (the “Global Notes”) in definitive, fully registered, book-entry form. The Global Notes will be delivered to the Trustee, as custodian for DTC, and registered in the name of DTC or the nominee of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described below, the Global Notes may be transferred, in whole but not in part, only to another nominee of DTC or to a successor of DTC or its nominee. Beneficial interests in the Global Notes may not be exchanged for Notes in registered certificated form (“Certificated Notes”) except in the limited circumstances described below. See “—</w:t>
      </w:r>
      <w:r>
        <w:rPr>
          <w:rFonts w:ascii="Times New Roman;Times;serif" w:hAnsi="Times New Roman;Times;serif"/>
          <w:b w:val="false"/>
          <w:i/>
          <w:caps w:val="false"/>
          <w:smallCaps w:val="false"/>
          <w:color w:val="000000"/>
          <w:spacing w:val="4"/>
          <w:sz w:val="20"/>
        </w:rPr>
        <w:t>Exchange of Global Notes for Certificated Notes</w:t>
      </w:r>
      <w:r>
        <w:rPr>
          <w:rFonts w:ascii="Times New Roman;Times;serif" w:hAnsi="Times New Roman;Times;serif"/>
          <w:b w:val="false"/>
          <w:i w:val="false"/>
          <w:caps w:val="false"/>
          <w:smallCaps w:val="false"/>
          <w:color w:val="000000"/>
          <w:spacing w:val="4"/>
          <w:sz w:val="20"/>
        </w:rPr>
        <w:t xml:space="preserve">.” Except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limited circumstances described below, owners of beneficial interests in the Global Notes will not be entitled to receive physical delivery of Certificated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DTC, Clearstream and Euroclear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is provided solely as a matter of convenience and we take no responsibility for the accuracy of this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Clearstream Banking, </w:t>
      </w:r>
      <w:r>
        <w:rPr>
          <w:rFonts w:ascii="Times New Roman;Times;serif" w:hAnsi="Times New Roman;Times;serif"/>
          <w:b w:val="false"/>
          <w:i/>
          <w:caps w:val="false"/>
          <w:smallCaps w:val="false"/>
          <w:color w:val="000000"/>
          <w:spacing w:val="4"/>
          <w:sz w:val="20"/>
        </w:rPr>
        <w:t>société anonyme</w:t>
      </w:r>
      <w:r>
        <w:rPr>
          <w:rFonts w:ascii="Times New Roman;Times;serif" w:hAnsi="Times New Roman;Times;serif"/>
          <w:b w:val="false"/>
          <w:i w:val="false"/>
          <w:caps w:val="false"/>
          <w:smallCaps w:val="false"/>
          <w:color w:val="000000"/>
          <w:spacing w:val="4"/>
          <w:sz w:val="20"/>
        </w:rPr>
        <w:t xml:space="preserve">, Luxembourg (“Clearstream”) or Euroclear Bank S.A./N.V., as operator of the Euroclear System (“Euroclear”) in Europe,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United States depositaries, which in turn will hold such interests in customers’ securities accounts in the United States depositaries’ names on the books of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DTC’s system is also available to other entities such as banks, brokers, dealers, trust companies, and clearing corporations that clear through or maintain a custodial relationship with a DTC participant, either directly or indirectly, which entities are referred to as “indirect participants.” Persons who are not DTC participants may beneficially own securities held by or on behalf of DTC only through participants or indirect participants. DTC has no knowledge of the identity of beneficial owners of securities held by or on behalf of DTC. DTC’s records reflect only the identity of its participants to whose accounts securities are credited. The ownership interests and transfer of ownership interests of each beneficial owner of each security held by or on behalf of DTC are recorded on the records of DTC’s participants and indirect participants. The rules applicable to DTC and its direct and indirect participants are on file with the SEC.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pursuant to procedures established by DTC: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the Global Notes, DTC will credit the accounts of participants designated by the underwriters with portions of the principal amount of the Global Notes; and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in the Global Notes who are participants in DTC’s system may hold their interests therein directly through DTC. Investors in the Global Notes who are not participants may hold their interests therein indirectly through organizations (including Euroclear and Clearstream) that are participants in such system. Euroclear and Clearstream may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will be subject to the procedures and requirements of DTC. Those interests held through Euroclear or Clearstream may also be subject to the procedures and requirements of such systems.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owners of a beneficial interest in the Global Notes will not have Notes registered in their names, will not receive physical delivery of Certificated Notes, and will not be considered the registered owners or “holders” thereof under the indenture for any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in respect of the principal of, premium, if any, and interest on a Global Note registered in the name of DTC or its nominee will be payable to DTC in its capacity as the registered holder under the indenture. Under the terms of the indenture, AbbVie, the Trustee and any agent of AbbVie or the Trustee will treat the persons in whose names the Notes, including the Global Notes, are registered as the owners of the Notes for the purpose of receiving payments and for all other purposes, whether or not the Notes are overdue, and neither AbbVie, the Trustee nor any such agent shall be affected by notice to the contrary. Consequently, neither AbbVie, the Trustee nor any agent of AbbVie or the Trustee has or will have any responsibility or liability for: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r>
        <mc:AlternateContent>
          <mc:Choice Requires="wps">
            <w:drawing>
              <wp:anchor behindDoc="0" distT="10160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matter relating to the actions and practices of DTC or any of its participants or indirect participants. </w:t>
      </w:r>
      <w:r>
        <mc:AlternateContent>
          <mc:Choice Requires="wps">
            <w:drawing>
              <wp:anchor behindDoc="0" distT="10160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expects that, under DTC’s current practice, at the due date of any payment in respect of securities such as the Notes (including principal and interest), DTC will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AbbVie. Neither we nor the Trustee will be liable for any delay by DTC or any of its participants in identifying the beneficial owners of the Notes, and we and the Trustee may conclusively rely on, and will be protected in relying on, instructions from DTC or its nominee for all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between participants in DTC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understands that DTC will take any action permitted to be taken by a holder of Notes only at the direction of one or more participants to whose account DTC has credited the interests in the Global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and only in respect of such portion of the aggregate principal amount of the Notes as to which such participant or participants has or have given such direction.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AbbVie understands that DTC, Euroclear and Clearstream have agreed to the procedures described herein to facilitate transfers of interests in the Notes among participants in DTC, Euroclear and Clearstream, they are under no obligation to perform or to continue to perform such procedures, and may discontinue such procedures at any time. None of AbbVie, the Trustee or any of their respective agents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Same-Day Settlement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will make payments in respect of the Notes represented by the Global Notes (including principal, premium, if any, and interest) by wire transfer of immediately available funds to the account specified by the depositary; provided, however, that at AbbVie’s option, payment of interest may be made by (1) check mailed to the address of the Person entitled thereto as such address shall appear in the security register or (2) wire transfer as directed by the holder of any Note, in immediately available funds to an account maintained by the applicable depository or its nominee with respect to a Global Note, and to the holder of any Note or its nominee with respect to a Note in definitive form; provided, further, that in the case of a Note in definitive form (x) the holder thereof shall have provided written wiring instructions to the Trustee on or before the related record date and (y) if appropriate instructions for any such wire transfer are not received by the related record date, then such payment shall be made by check mailed to the address of such holder specified in the security register. Any permitted secondary market trading activity in the Notes will be required by DTC to be settled in immediately available funds. AbbVie expects that secondary trading in any Certificated Notes will also be settled in immediately available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AbbVie understands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of or any premium or interest on the Notes is payable on a day that is not a business day, the payment will be made on the following business day without the accrual of any interest on that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Global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will issue Certificated Notes upon surrender by DTC of the Global Notes only if: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(a) notifies AbbVie that it is no longer willing or able to act as a depositary or clearing system for the Global Notes, or (b) ceases to be a clearing agency registered under the Exchange Act, and in either event, a successor depositary or clearing system is not appointed by AbbVie within 90 days of such notice or cessation; </w:t>
      </w:r>
      <w:r>
        <mc:AlternateContent>
          <mc:Choice Requires="wps">
            <w:drawing>
              <wp:anchor behindDoc="0" distT="10287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occurred and is continuing an event of default and DTC notifies the Trustee of its decision to exchange the Global Note for Certificated Notes; or </w:t>
      </w:r>
      <w:r>
        <mc:AlternateContent>
          <mc:Choice Requires="wps">
            <w:drawing>
              <wp:anchor behindDoc="0" distT="10287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determines not to have the Notes represented by a Global Note. </w:t>
      </w:r>
      <w:r>
        <mc:AlternateContent>
          <mc:Choice Requires="wps">
            <w:drawing>
              <wp:anchor behindDoc="0" distT="10287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all cases, Certificated Notes delivered in exchange for any Global Note or beneficial interests in Global Notes will be registered in the names, and issued in any approved denominations, requested by or on behalf of DTC (in accordance with its customary procedures).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be liable for any delay by DTC or its nominee in identifying the holders of beneficial interests in the Global Notes, and each such person may conclusively rely on, and will be protected in relying on, instructions from DTC for all purposes (including with respect to the registration and delivery, and the respective principal amounts, of the Certificated Notes to be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MUF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discussion of the material U.S. federal income tax considerations that may be relevant to U.S. Holders and Non-U.S. Holders (each as defined below and collectively referred to as “Holders”) with respect to the purchase, ownership, and disposition of the Notes acquired in this offering, but does not purport to be a complete analysis of all the potential tax considerations. This discussion is based on the Internal Revenue Code of 1986, as amended (the “Code”), the Treasury regulations promulgated thereunder, and administrative rulings of the Internal Revenue Service (the “IRS”) and judicial decisions, each as in effect as of the date hereof. These authorities are subject to differing interpretations and may change, possibly on a retroactive basis, and any such change could affect the accuracy of the statements and conclusions set forth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discussion applies only to Holders that purchase Notes in the initial offering at their original “issue price”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first price at which a substantial amount of the Notes is sold to purchasers (other than bond houses, brokers, or similar persons or organizations acting in the capacity of underwriters, placement agents, or wholesalers) for cash) and hold Notes as “capital assets” within the meaning of Section 1221 of the Code (generally, property held for investment). This discussion does not address tax considerations applicable to subsequent purchasers of the Notes. This discussion does not address all aspects of U.S. federal income taxation that may be relevant to particular investors in light of their individual circumstances or the U.S. federal income tax consequences applicable to Holders that are subject to special rules under the U.S. federal income tax laws including, for example, banks and other financial institutions, insurance companies, tax-exempt organizations, partnerships, or other pass-through entities (or investors therein), individual retirement and other tax deferred accounts, dealers, or traders in securities or currencies, regulated investment companies, real estate investment trusts, U.S. Holders whose “functional currency” is not the U.S. dollar, traders in securities that elect a mark-to-market method of accounting, “controlled foreign corporations,” “passive foreign investment companies,” U.S. expatriates, non-U.S. trusts and estates that have U.S. beneficiaries, and persons holding Notes as part of a hedge, straddle, conversion transaction, or other integrated transaction, or risk reduction transaction, or persons required to accelerate the recognition of any item of gross income with respect to the Notes as a result of such income being recognized on an applicable financial statement. This discussion does not address the tax consequences of the ownership or disposition of Notes arising under any alternative minimum tax or the unearned income Medicare contribution tax pursuant to the Health Care and Education Reconciliation Act of 2010, nor any considerations with respect to any withholding required pursuant to the Foreign Account Tax Compliance provisions of the HIRE Act of 2010 (including the Treasury regulations promulgated thereunder, and any intergovernmental agreements entered into in connection therewith, and any laws, regulations, or practices adopted in connection with any such agreement), and does not address any U.S. federal tax laws other than those pertaining to the income tax, nor does it address any foreign, state, or local tax consequences. We have not sought, and will not seek, any ruling from the IRS with respect to the statements made and the conclusions reached in this discussion, and we cannot assure you that the IRS will agree with such statements and conclusions.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a “U.S. Holder” means a beneficial owner of a Note that is, for U.S. federal income tax purposes: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for U.S. federal income tax purposes;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classified as a corporation for U.S. federal income tax purposes) created or organized in or under the laws of the United States, any state within the United States, or the District of Columbia;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United States is able to exercise primary supervision over the administration of the trust and one or more U.S. persons have the authority to control all substantial decisions of the trust, or (ii) the trust validly elected to be treated as a U.S. person under applicable Treasury regulations.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a “Non-U.S. Holder” is a beneficial owner of a Note that is, for U.S. federal income tax purposes, an individual, corporation, trust, or estate that is not a U.S.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Notes, the U.S. federal income tax treatment of a partner in such entity will generally depend upon the status of the partner and the activities of the entity. Holders of Notes that are partnerships or partners in such entities should consult their own tax advisors regarding the tax consequences to them of the purchase, ownership, and disposition of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GENERAL INFORMATION ONLY AND IS NOT INTENDED TO CONSTITUTE A COMPLETE DESCRIPTION OF ALL TAX CONSEQUENCES RELATING TO THE PURCHASE, OWNERSHIP, AND DISPOSITION OF NOTES. PROSPECTIVE INVESTORS SHOULD CONSULT THEIR OWN TAX ADVISORS REGARDING THE PARTICULAR TAX CONSEQUENCES TO THEM OF PURCHASING, OWNING, AND DISPOSING OF THE NOTES, AS WELL AS THE APPLICATION AND EFFECT OF ANY U.S. FEDERAL, STATE, LOCAL, AND FOREIGN INCOME AND OTHER TAX LAWS OR ANY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Notes provide for payments by us in excess of stated interest or principal, or prior to their scheduled payment dates, under certain circumstances. The possibility of such payments may implicate special rules under Treasury regulations governing “contingent payment debt instruments.” According to those Treasury regulations, the possibility that such payments of excess or accelerated amounts will be made will not affect the amount of income a Holder recognizes in advance of the payment of such excess or accelerated amounts if there is only a remote chance as of the date the Notes are issued that such payments will be made. We intend to take the position that the likelihood that such payments of excess or accelerated amounts will be made is remote within the meaning of the applicable Treasury regulations. The remainder of this discussion assumes that this position will be respected. Our position that these contingencies are remote is binding on a Holder unless such Holder discloses its contrary position to the IRS in the manner required by applicable Treasury regulations. Our position is not, however, binding on the IRS, and if the IRS were to challenge this position successfully, a Holder might be required, among other things, to accrue interest income based on a projected payment schedule and comparable yield, which may be in excess of stated interest, and treat as ordinary income rather than capital gain any income realized on the taxable disposition of a Note. In the event that a contingency described above occurs, it could affect the amount, timing, and character of the income or loss recognized by a Holder. Prospective investors should consult their own tax advisors regarding the tax consequences if the Notes were treated as contingent payment debt instruments. The remainder of this discussion assumes that the Notes will not be considered contingent payment debt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 for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Payments of stated interest on a Note will generally be taxable to U.S. Holders as ordinary interest income at the time such interest payments are accrued or received, depending on such U.S. Holder’s regular method of accounting for U.S. federal income tax purposes. It is anticipated, and this discussion assumes, that the issue price of the Notes will be equal to the stated principal amount or, if the issue price is less than the stated principal amount, that the difference will be a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amount (as set forth in the applicable Treasury regulations).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exchange, redemption, or other taxable disposition of a Note, a U.S. Holder generally will recognize gain or loss equal to the difference, if any, between (i) the sum of all cash plus the fair market value of all other property received on such disposition (other than amounts properly attributable to accrued and unpaid interest, which, to the extent not previously included in income, will be treated as ordinary interest income), and (ii) such U.S. Holder’s adjusted tax basis in the Note. A U.S. Holder’s adjusted tax basis in the Note will generally equal the amount such U.S. Holder paid for the Note. Any gain or loss recognized on the sale, exchange, redemption, or other taxable disposition of a Note generally will be capital gain or loss, and will be long-term capital gain or loss if, at the time of such disposition, the U.S. Holder held the Note for a period of more than one year. Long-term capital gains recognized by certain non-corporate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including individuals, are generally subject to tax at preferential rates.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apply to payments of interest on the Notes and payments of the proceeds from a sale or other disposition (including retirement or a redemption) of the Notes unless the U.S. Holder is an exempt recipient. U.S. federal backup withholding (currently, at a rate of 24%) generally will apply to such payments if the U.S. Holder fails to (i) provide a properly completed and executed IRS Form W-9 to the applicable withholding agent providing such U.S. Holder’s correct taxpayer identification number and complying with certain certification requirements or (ii) otherwise establish an exemption from backup withholding. U.S. Holders should consult their own tax advisors regarding their qualification for an exemption from backup withholding, and the procedures for establishing such exemption, if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will be refunded or allowed as a credit against the U.S. Holder’s U.S. federal income tax liability, if any, provided that the required information is furnished to the IRS in a timely manner.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 for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the discussion below under “—</w:t>
      </w: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payments of interest on the Notes to a Non-U.S. Holder generally will not be subject to U.S. federal income or withholding tax under the “portfolio interest exemption,” provided that: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interest is not effectively connected with the Non-U.S. Holder’s conduct of a trade or business within the United States (or, in the case of an income tax treaty resident, is not attributable to a permanent establishment or fixed base of the Non-U.S. Holder in the United States);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the total combined voting power of all classes of our voting stock within the meaning of the Code and the Treasury regulations;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with respect to which we are a “related person” within the meaning of the Code;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bank receiving the interest pursuant to a loan agreement entered into in the ordinary course of its trade or business; and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the Non-U.S. Holder of the Notes provides the applicable withholding agent with a properly completed and executed IRS Form W-8BEN or IRS Form W-8BEN-E, as applicable, certifying, under penalties of perjury, that it is not a “United States person” ​(as defined in the Code) and providing its name and address or (2) a financial institution that holds Notes on behalf of the Non-U.S. Holder certifies to the applicable withholding agent, under penalties of perjury, that it has received such properly completed and executed IRS Form W-8BEN or IRS Form W-8BEN-E, as applicable, from the Non-U.S. Holder and provides the applicable withholding agent with a copy thereof.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cannot satisfy the requirements of the “portfolio interest exemption” described above, payments of interest made to such Non-U.S. Holder will generally be subject to U.S. federal withholding tax at a rate of 30% or such lower rate as may be specified by an applicable income tax treaty, unless such interest is effectively connected with such Non-U.S. Holder’s conduct of a trade or business in the United States (and, if required by an applicable income tax treaty, is attributable to a permanent establishment or fixed base of the Non-U.S. Holder in the United States), and such Non-U.S. Holder provides the applicable withholding agent with a properly completed and executed IRS Form W-8ECI. In order to claim an exemption from or reduction of withholding under an applicable income tax treaty, a Non-U.S. Holder generally must provide to the applicable withholding agent a properly completed and executed IRS Form W-8BEN or IRS Form W-8BEN-E, as applicable. Non-U.S. Holders should consult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own tax advisors regarding their entitlement to benefits under an applicable income tax treaty and the requirements for claiming any such benefits.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to a Non-U.S. Holder that is effectively connected with such Non-U.S. Holder’s conduct of a trade or business within the United States (and, if required by an applicable income tax treaty, is attributable to a permanent establishment or fixed base of the Non-U.S. Holder in the United States) generally will not be subject to the U.S. federal withholding tax discussed above, provided that the Non-U.S. Holder provides the applicable withholding agent with a properly completed and executed IRS Form W-8ECI and complies with any other applicable requirements. Instead, such interest generally will be subject to U.S. federal income tax on a net income basis at regular U.S. federal income tax rates in the same manner as if such Non-U.S. Holder were a U.S. person. A Non-U.S. Holder that is a corporation may be subject to an additional “branch profits tax” at a rate of 30% (or such lower rate as may be specified by an applicable income tax treaty) on its “effectively connected earnings and profits” for the taxable year, subject to certain adjustments.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discussion below under “— </w:t>
      </w: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any gain realized on the sale, exchange, redemption, or other taxable disposition of a Note by a Non-U.S. Holder (other than amounts properly attributable to accrued and unpaid interest, which generally will be treated as described above under “—</w:t>
      </w:r>
      <w:r>
        <w:rPr>
          <w:rFonts w:ascii="Times New Roman;Times;serif" w:hAnsi="Times New Roman;Times;serif"/>
          <w:b w:val="false"/>
          <w:i/>
          <w:caps w:val="false"/>
          <w:smallCaps w:val="false"/>
          <w:color w:val="000000"/>
          <w:spacing w:val="4"/>
          <w:sz w:val="20"/>
        </w:rPr>
        <w:t>Non-U.S. Holders—Payments of Interest</w:t>
      </w:r>
      <w:r>
        <w:rPr>
          <w:rFonts w:ascii="Times New Roman;Times;serif" w:hAnsi="Times New Roman;Times;serif"/>
          <w:b w:val="false"/>
          <w:i w:val="false"/>
          <w:caps w:val="false"/>
          <w:smallCaps w:val="false"/>
          <w:color w:val="000000"/>
          <w:spacing w:val="4"/>
          <w:sz w:val="20"/>
        </w:rPr>
        <w:t xml:space="preserve">”) generally will not be subject to U.S. federal income or withholding tax,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gain is effectively connected with the Non-U.S. Holder’s conduct of a trade or business within the United States (and, if required by an applicable income tax treaty, is attributable to a permanent establishment or fixed base of the Non-U.S. Holder in the United States); or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Non-U.S. Holder is an individual who is present in the United States for a period of 183 days or more during the taxable year of the disposition and certain other conditions are met.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generally will be subject to U.S. federal income tax on a net income basis at regular U.S. federal income tax rates in the same manner as if such Non-U.S. Holder were a U.S. person. A Non-U.S. Holder that is a corporation may be subject to an additional “branch profits tax” at a rate of 30% (or such lower rate as may be specified under an applicable income tax treaty) on its “effectively connected earnings and profits” for the taxable year, subject to certain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second bullet point above generally will be subject to U.S. federal income tax at a 30% rate (or such lower rate as may be specified under an applicable income tax treaty), which gain may be offset by certain U.S.-source capital losses, if any, of the Non-U.S.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must report annually to the IRS and to each Non-U.S. Holder the amount of interest paid to such Non-U.S. Holder and the amount of tax, if any, withheld with respect to such payments. These reporting requirements apply regardless of whether withholding was reduced or eliminated by an applicable income tax treaty. This information may also be made available to the tax authorities in the country in which a Non-U.S. Holder resides or is established pursuant to the provisions of a specific treaty or agreement with those tax authorities.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backup withholding tax (currently, at a rate of 24%) is imposed on certain payments to persons that fail to furnish the information required under the U.S. information reporting rules. Interest paid to a Non-U.S. Holder generally will be exempt from backup withholding if the Non-U.S. Holder provides the applicable withholding agent with a properly completed and executed IRS Form W-8BEN or IRS Form W-8BEN-E, as applicable, or otherwise establishes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Treasury regulations, the payment of proceeds from the disposition of a Note by a Non-U.S. Holder effected at a U.S. office of a broker generally will be subject to information reporting and backup withholding, unless the Non-U.S. Holder provides a properly executed IRS Form W-8BEN or IRS Form W-8BEN-E, as applicable (or other applicable IRS Form W-8), certifying such Non-U.S.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status or by otherwise establishing an exemption. The payment of proceeds from the disposition of Notes by a Non-U.S. Holder effected at a non-U.S. office of a U.S. broker or a non-U.S. broker with certain specified U.S. connections generally will be subject to information reporting (but not backup withholding) unless such Non-U.S. Holder provides a properly executed IRS Form W-8BEN or IRS Form W-8BEN-E, as applicable (or other applicable IRS Form W-8), certifying such Non-U.S. Holder’s non-U.S. status or by otherwise establishing an exemption. Backup withholding will apply if the disposition is subject to information reporting and the broker has actual knowledge that the Non-U.S. Holder is a U.S.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Backup withholding is not an additional tax. Any amounts withheld under the backup withholding rules will be refunded or allowed as a credit against the Non-U.S. Holder’s U.S. federal income tax liability, if any, provided that the required information is furnished to the IRS in a timely manner. Non-U.S. Holders should consult their own tax advisors regarding the application of these rules to their particular circumstances.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N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contained in an underwriting agreement, dated as of the date of this prospectus supplement between the Issuer and the underwriters named below, for whom Morgan Stanley &amp; Co. LLC, BofA Securities, Inc., J.P. Morgan Securities LLC and SG Americas Securities, LLC are acting as representatives, the Issuer has agreed to sell to each underwriter, and each underwriter has severally and not jointly agreed to purchase from the Issuer, the principal amount of Notes that appears opposite its name in the table below: </w:t>
      </w:r>
    </w:p>
    <w:tbl>
      <w:tblPr>
        <w:tblW w:w="20450" w:type="dxa"/>
        <w:jc w:val="left"/>
        <w:tblInd w:w="543" w:type="dxa"/>
        <w:tblLayout w:type="fixed"/>
        <w:tblCellMar>
          <w:top w:w="0" w:type="dxa"/>
          <w:left w:w="0" w:type="dxa"/>
          <w:bottom w:w="51" w:type="dxa"/>
          <w:right w:w="0" w:type="dxa"/>
        </w:tblCellMar>
      </w:tblPr>
      <w:tblGrid>
        <w:gridCol w:w="1324"/>
        <w:gridCol w:w="109"/>
        <w:gridCol w:w="109"/>
        <w:gridCol w:w="109"/>
        <w:gridCol w:w="226"/>
        <w:gridCol w:w="1306"/>
        <w:gridCol w:w="109"/>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09"/>
        <w:gridCol w:w="109"/>
        <w:gridCol w:w="109"/>
        <w:gridCol w:w="226"/>
        <w:gridCol w:w="1306"/>
        <w:gridCol w:w="109"/>
        <w:gridCol w:w="154"/>
      </w:tblGrid>
      <w:tr>
        <w:trPr/>
        <w:tc>
          <w:tcPr>
            <w:tcW w:w="1324"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Floating Rate </w:t>
            </w:r>
            <w:r>
              <w:rPr/>
              <w:br/>
            </w:r>
            <w:r>
              <w:rPr>
                <w:spacing w:val="-3"/>
              </w:rPr>
              <w:t xml:space="preserve">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2028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2030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2031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2033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2036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2038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2056 Notes to </w:t>
            </w:r>
            <w:r>
              <w:rPr/>
              <w:br/>
            </w:r>
            <w:r>
              <w:rPr>
                <w:spacing w:val="-3"/>
              </w:rPr>
              <w:t xml:space="preserve">be 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w:t>
            </w:r>
            <w:r>
              <w:rPr/>
              <w:br/>
            </w:r>
            <w:r>
              <w:rPr>
                <w:spacing w:val="-3"/>
              </w:rPr>
              <w:t xml:space="preserve">2066 Notes to </w:t>
            </w:r>
            <w:r>
              <w:rPr/>
              <w:br/>
            </w:r>
            <w:r>
              <w:rPr>
                <w:spacing w:val="-3"/>
              </w:rPr>
              <w:t xml:space="preserve">be Purchased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ind w:left="150" w:right="0" w:hanging="150"/>
              <w:jc w:val="left"/>
              <w:rPr/>
            </w:pPr>
            <w:r>
              <w:rPr>
                <w:spacing w:val="3"/>
              </w:rPr>
              <w:t xml:space="preserve">Morgan Stanley &amp; Co. </w:t>
            </w:r>
            <w:r>
              <w:rPr/>
              <w:br/>
            </w:r>
            <w:r>
              <w:rPr>
                <w:spacing w:val="3"/>
              </w:rPr>
              <w:t>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187,500,000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187,500,000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tcMar>
              <w:bottom w:w="0" w:type="dxa"/>
            </w:tcMar>
            <w:vAlign w:val="center"/>
          </w:tcPr>
          <w:p>
            <w:pPr>
              <w:pStyle w:val="TableContents"/>
              <w:bidi w:val="0"/>
              <w:spacing w:before="0" w:after="0"/>
              <w:jc w:val="left"/>
              <w:rPr>
                <w:spacing w:val="3"/>
              </w:rPr>
            </w:pPr>
            <w:r>
              <w:rPr>
                <w:spacing w:val="3"/>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75,000,000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150,000,000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187,500,000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225,000,000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187,500,000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225,000,000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150,000,000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225,000,000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75,000,000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ind w:left="150" w:right="0" w:hanging="150"/>
              <w:jc w:val="left"/>
              <w:rPr/>
            </w:pPr>
            <w:r>
              <w:rPr>
                <w:spacing w:val="3"/>
              </w:rPr>
              <w:t xml:space="preserve">J.P. Morgan Securities </w:t>
            </w:r>
            <w:r>
              <w:rPr/>
              <w:br/>
            </w:r>
            <w:r>
              <w:rPr>
                <w:spacing w:val="3"/>
              </w:rPr>
              <w:t xml:space="preserve">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187,500,000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187,500,000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tcMar>
              <w:bottom w:w="0" w:type="dxa"/>
            </w:tcMar>
            <w:vAlign w:val="center"/>
          </w:tcPr>
          <w:p>
            <w:pPr>
              <w:pStyle w:val="TableContents"/>
              <w:bidi w:val="0"/>
              <w:spacing w:before="0" w:after="0"/>
              <w:ind w:left="150" w:right="0" w:hanging="150"/>
              <w:jc w:val="left"/>
              <w:rPr/>
            </w:pPr>
            <w:r>
              <w:rPr>
                <w:spacing w:val="3"/>
              </w:rPr>
              <w:t>SG Americas Securities,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27,000,000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54,000,000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67,500,000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81,000,000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67,500,000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81,000,000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54,000,000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81,000,000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27,000,000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jc w:val="left"/>
              <w:rPr>
                <w:spacing w:val="3"/>
              </w:rPr>
            </w:pPr>
            <w:r>
              <w:rPr>
                <w:spacing w:val="3"/>
              </w:rPr>
              <w:t xml:space="preserve">Barclays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27,000,000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67,500,000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67,500,000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27,000,000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tcMar>
              <w:bottom w:w="0" w:type="dxa"/>
            </w:tcMar>
            <w:vAlign w:val="center"/>
          </w:tcPr>
          <w:p>
            <w:pPr>
              <w:pStyle w:val="TableContents"/>
              <w:bidi w:val="0"/>
              <w:spacing w:before="0" w:after="0"/>
              <w:ind w:left="150" w:right="0" w:hanging="150"/>
              <w:jc w:val="left"/>
              <w:rPr>
                <w:spacing w:val="3"/>
              </w:rPr>
            </w:pPr>
            <w:r>
              <w:rPr>
                <w:spacing w:val="3"/>
              </w:rPr>
              <w:t xml:space="preserve">BNP Paribas Securities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27,000,000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54,000,000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67,500,000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67,500,000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54,000,000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27,000,000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ind w:left="150" w:right="0" w:hanging="150"/>
              <w:jc w:val="left"/>
              <w:rPr/>
            </w:pPr>
            <w:r>
              <w:rPr>
                <w:spacing w:val="3"/>
              </w:rPr>
              <w:t xml:space="preserve">HSBC Securities (USA) </w:t>
            </w:r>
            <w:r>
              <w:rPr/>
              <w:br/>
            </w:r>
            <w:r>
              <w:rPr>
                <w:spacing w:val="3"/>
              </w:rPr>
              <w:t xml:space="preserve">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27,000,000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67,500,000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67,500,000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27,000,000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tcMar>
              <w:bottom w:w="0" w:type="dxa"/>
            </w:tcMar>
            <w:vAlign w:val="center"/>
          </w:tcPr>
          <w:p>
            <w:pPr>
              <w:pStyle w:val="TableContents"/>
              <w:bidi w:val="0"/>
              <w:spacing w:before="0" w:after="0"/>
              <w:ind w:left="150" w:right="0" w:hanging="150"/>
              <w:jc w:val="left"/>
              <w:rPr/>
            </w:pPr>
            <w:r>
              <w:rPr>
                <w:spacing w:val="3"/>
              </w:rPr>
              <w:t xml:space="preserve">Citigroup Global Markets </w:t>
            </w:r>
            <w:r>
              <w:rPr/>
              <w:br/>
            </w:r>
            <w:r>
              <w:rPr>
                <w:spacing w:val="3"/>
              </w:rPr>
              <w:t xml:space="preserve">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27,000,000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54,000,000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67,500,000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67,500,000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54,000,000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27,000,000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ind w:left="150" w:right="0" w:hanging="150"/>
              <w:jc w:val="left"/>
              <w:rPr>
                <w:spacing w:val="3"/>
              </w:rPr>
            </w:pPr>
            <w:r>
              <w:rPr>
                <w:spacing w:val="3"/>
              </w:rPr>
              <w:t xml:space="preserve">Deutsche Bank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27,000,000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67,500,000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67,500,000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27,000,000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tcMar>
              <w:bottom w:w="0" w:type="dxa"/>
            </w:tcMar>
            <w:vAlign w:val="center"/>
          </w:tcPr>
          <w:p>
            <w:pPr>
              <w:pStyle w:val="TableContents"/>
              <w:bidi w:val="0"/>
              <w:spacing w:before="0" w:after="0"/>
              <w:ind w:left="150" w:right="0" w:hanging="150"/>
              <w:jc w:val="left"/>
              <w:rPr>
                <w:spacing w:val="3"/>
              </w:rPr>
            </w:pPr>
            <w:r>
              <w:rPr>
                <w:spacing w:val="3"/>
              </w:rPr>
              <w:t xml:space="preserve">Mizuho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27,000,000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54,000,000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67,500,000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67,500,000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54,000,000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27,000,000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ind w:left="150" w:right="0" w:hanging="150"/>
              <w:jc w:val="left"/>
              <w:rPr/>
            </w:pPr>
            <w:r>
              <w:rPr>
                <w:spacing w:val="3"/>
              </w:rPr>
              <w:t xml:space="preserve">Wells Fargo Securities, </w:t>
            </w:r>
            <w:r>
              <w:rPr/>
              <w:br/>
            </w:r>
            <w:r>
              <w:rPr>
                <w:spacing w:val="3"/>
              </w:rPr>
              <w:t xml:space="preserve">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27,000,000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67,500,000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67,500,000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27,000,000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tcMar>
              <w:bottom w:w="0" w:type="dxa"/>
            </w:tcMar>
            <w:vAlign w:val="center"/>
          </w:tcPr>
          <w:p>
            <w:pPr>
              <w:pStyle w:val="TableContents"/>
              <w:bidi w:val="0"/>
              <w:spacing w:before="0" w:after="0"/>
              <w:jc w:val="left"/>
              <w:rPr>
                <w:spacing w:val="3"/>
              </w:rPr>
            </w:pPr>
            <w:r>
              <w:rPr>
                <w:spacing w:val="3"/>
              </w:rPr>
              <w:t xml:space="preserve">Lloyds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9,800,000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19,600,000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24,500,000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29,400,000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24,500,000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29,400,000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19,600,000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29,400,000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9,800,000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ind w:left="150" w:right="0" w:hanging="150"/>
              <w:jc w:val="left"/>
              <w:rPr>
                <w:spacing w:val="3"/>
              </w:rPr>
            </w:pPr>
            <w:r>
              <w:rPr>
                <w:spacing w:val="3"/>
              </w:rPr>
              <w:t xml:space="preserve">Santander US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9,800,000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19,600,000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24,500,000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29,400,000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24,500,000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29,400,000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19,600,000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29,400,000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9,800,000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tcMar>
              <w:bottom w:w="0" w:type="dxa"/>
            </w:tcMar>
            <w:vAlign w:val="center"/>
          </w:tcPr>
          <w:p>
            <w:pPr>
              <w:pStyle w:val="TableContents"/>
              <w:bidi w:val="0"/>
              <w:spacing w:before="0" w:after="0"/>
              <w:ind w:left="150" w:right="0" w:hanging="150"/>
              <w:jc w:val="left"/>
              <w:rPr/>
            </w:pPr>
            <w:r>
              <w:rPr>
                <w:spacing w:val="3"/>
              </w:rPr>
              <w:t xml:space="preserve">TD Securities (USA) </w:t>
            </w:r>
            <w:r>
              <w:rPr/>
              <w:br/>
            </w:r>
            <w:r>
              <w:rPr>
                <w:spacing w:val="3"/>
              </w:rPr>
              <w:t xml:space="preserve">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9,800,000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19,600,000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24,500,000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29,400,000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24,500,000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29,400,000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19,600,000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29,400,000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9,800,000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ind w:left="150" w:right="0" w:hanging="150"/>
              <w:jc w:val="left"/>
              <w:rPr>
                <w:spacing w:val="3"/>
              </w:rPr>
            </w:pPr>
            <w:r>
              <w:rPr>
                <w:spacing w:val="3"/>
              </w:rPr>
              <w:t xml:space="preserve">MUFG Securities Americas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9,800,000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19,600,000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24,500,000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29,400,000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24,500,000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29,400,000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19,600,000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29,400,000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9,800,000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tcMar>
              <w:bottom w:w="0" w:type="dxa"/>
            </w:tcMar>
            <w:vAlign w:val="center"/>
          </w:tcPr>
          <w:p>
            <w:pPr>
              <w:pStyle w:val="TableContents"/>
              <w:bidi w:val="0"/>
              <w:spacing w:before="0" w:after="0"/>
              <w:ind w:left="150" w:right="0" w:hanging="150"/>
              <w:jc w:val="left"/>
              <w:rPr/>
            </w:pPr>
            <w:r>
              <w:rPr>
                <w:spacing w:val="3"/>
              </w:rPr>
              <w:t xml:space="preserve">U.S. Bancorp Investments, </w:t>
            </w:r>
            <w:r>
              <w:rPr/>
              <w:br/>
            </w:r>
            <w:r>
              <w:rPr>
                <w:spacing w:val="3"/>
              </w:rPr>
              <w:t xml:space="preserve">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9,800,000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19,600,000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24,500,000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29,400,000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24,500,000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29,400,000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19,600,000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29,400,000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9,800,000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ind w:left="150" w:right="0" w:hanging="150"/>
              <w:jc w:val="left"/>
              <w:rPr/>
            </w:pPr>
            <w:r>
              <w:rPr>
                <w:spacing w:val="3"/>
              </w:rPr>
              <w:t xml:space="preserve">Siebert Williams Shank &amp; </w:t>
            </w:r>
            <w:r>
              <w:rPr/>
              <w:br/>
            </w:r>
            <w:r>
              <w:rPr>
                <w:spacing w:val="3"/>
              </w:rPr>
              <w:t xml:space="preserve">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12,500,000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12,500,000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tcMar>
              <w:bottom w:w="0" w:type="dxa"/>
            </w:tcMar>
            <w:vAlign w:val="center"/>
          </w:tcPr>
          <w:p>
            <w:pPr>
              <w:pStyle w:val="TableContents"/>
              <w:bidi w:val="0"/>
              <w:spacing w:before="0" w:after="0"/>
              <w:jc w:val="left"/>
              <w:rPr>
                <w:spacing w:val="3"/>
              </w:rPr>
            </w:pPr>
            <w:r>
              <w:rPr>
                <w:spacing w:val="3"/>
              </w:rPr>
              <w:t xml:space="preserve">R. Seelaus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jc w:val="left"/>
              <w:rPr/>
            </w:pPr>
            <w:r>
              <w:rPr>
                <w:spacing w:val="3"/>
              </w:rPr>
              <w:t>Blaylock Van,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tcMar>
              <w:bottom w:w="0" w:type="dxa"/>
            </w:tcMar>
            <w:vAlign w:val="center"/>
          </w:tcPr>
          <w:p>
            <w:pPr>
              <w:pStyle w:val="TableContents"/>
              <w:bidi w:val="0"/>
              <w:spacing w:before="0" w:after="0"/>
              <w:ind w:left="150" w:right="0" w:hanging="150"/>
              <w:jc w:val="left"/>
              <w:rPr/>
            </w:pPr>
            <w:r>
              <w:rPr>
                <w:spacing w:val="3"/>
              </w:rPr>
              <w:t>Independence Point Securities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3,000,000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jc w:val="left"/>
              <w:rPr/>
            </w:pPr>
            <w:r>
              <w:rPr>
                <w:spacing w:val="3"/>
              </w:rPr>
              <w:t>Penserra Securities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4" w:type="dxa"/>
            <w:tcBorders>
              <w:bottom w:val="single" w:sz="2" w:space="0" w:color="FFFFFF"/>
            </w:tcBorders>
            <w:tcMar>
              <w:bottom w:w="58" w:type="dxa"/>
            </w:tcMar>
            <w:vAlign w:val="center"/>
          </w:tcPr>
          <w:p>
            <w:pPr>
              <w:pStyle w:val="TableContents"/>
              <w:bidi w:val="0"/>
              <w:spacing w:before="0" w:after="0"/>
              <w:jc w:val="left"/>
              <w:rPr/>
            </w:pPr>
            <w:r>
              <w:rPr>
                <w:spacing w:val="3"/>
              </w:rPr>
              <w:t>CastleOak Securities, L.P.</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8" w:type="dxa"/>
            </w:tcMar>
            <w:vAlign w:val="center"/>
          </w:tcPr>
          <w:p>
            <w:pPr>
              <w:pStyle w:val="TableContents"/>
              <w:bidi w:val="0"/>
              <w:spacing w:before="0" w:after="283"/>
              <w:jc w:val="right"/>
              <w:rPr/>
            </w:pPr>
            <w:r>
              <w:rPr/>
              <w:t>​</w:t>
            </w:r>
          </w:p>
        </w:tc>
        <w:tc>
          <w:tcPr>
            <w:tcW w:w="1306" w:type="dxa"/>
            <w:tcBorders>
              <w:bottom w:val="single" w:sz="2" w:space="0" w:color="000000"/>
            </w:tcBorders>
            <w:tcMar>
              <w:bottom w:w="58" w:type="dxa"/>
            </w:tcMar>
            <w:vAlign w:val="center"/>
          </w:tcPr>
          <w:p>
            <w:pPr>
              <w:pStyle w:val="TableContents"/>
              <w:bidi w:val="0"/>
              <w:spacing w:before="0" w:after="283"/>
              <w:jc w:val="right"/>
              <w:rPr/>
            </w:pPr>
            <w:r>
              <w:rPr/>
              <w:t>1,000,000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8" w:type="dxa"/>
            </w:tcMar>
            <w:vAlign w:val="center"/>
          </w:tcPr>
          <w:p>
            <w:pPr>
              <w:pStyle w:val="TableContents"/>
              <w:bidi w:val="0"/>
              <w:spacing w:before="0" w:after="283"/>
              <w:jc w:val="right"/>
              <w:rPr/>
            </w:pPr>
            <w:r>
              <w:rPr/>
              <w:t>​</w:t>
            </w:r>
          </w:p>
        </w:tc>
        <w:tc>
          <w:tcPr>
            <w:tcW w:w="1486" w:type="dxa"/>
            <w:tcBorders>
              <w:bottom w:val="single" w:sz="2" w:space="0" w:color="000000"/>
            </w:tcBorders>
            <w:tcMar>
              <w:bottom w:w="58" w:type="dxa"/>
            </w:tcMar>
            <w:vAlign w:val="center"/>
          </w:tcPr>
          <w:p>
            <w:pPr>
              <w:pStyle w:val="TableContents"/>
              <w:bidi w:val="0"/>
              <w:spacing w:before="0" w:after="283"/>
              <w:jc w:val="right"/>
              <w:rPr/>
            </w:pPr>
            <w:r>
              <w:rPr/>
              <w:t>2,000,000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8" w:type="dxa"/>
            </w:tcMar>
            <w:vAlign w:val="center"/>
          </w:tcPr>
          <w:p>
            <w:pPr>
              <w:pStyle w:val="TableContents"/>
              <w:bidi w:val="0"/>
              <w:spacing w:before="0" w:after="283"/>
              <w:jc w:val="right"/>
              <w:rPr/>
            </w:pPr>
            <w:r>
              <w:rPr/>
              <w:t>​</w:t>
            </w:r>
          </w:p>
        </w:tc>
        <w:tc>
          <w:tcPr>
            <w:tcW w:w="1486" w:type="dxa"/>
            <w:tcBorders>
              <w:bottom w:val="single" w:sz="2" w:space="0" w:color="000000"/>
            </w:tcBorders>
            <w:tcMar>
              <w:bottom w:w="58" w:type="dxa"/>
            </w:tcMar>
            <w:vAlign w:val="center"/>
          </w:tcPr>
          <w:p>
            <w:pPr>
              <w:pStyle w:val="TableContents"/>
              <w:bidi w:val="0"/>
              <w:spacing w:before="0" w:after="283"/>
              <w:jc w:val="right"/>
              <w:rPr/>
            </w:pPr>
            <w:r>
              <w:rPr/>
              <w:t>2,500,000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8" w:type="dxa"/>
            </w:tcMar>
            <w:vAlign w:val="center"/>
          </w:tcPr>
          <w:p>
            <w:pPr>
              <w:pStyle w:val="TableContents"/>
              <w:bidi w:val="0"/>
              <w:spacing w:before="0" w:after="283"/>
              <w:jc w:val="right"/>
              <w:rPr/>
            </w:pPr>
            <w:r>
              <w:rPr/>
              <w:t>​</w:t>
            </w:r>
          </w:p>
        </w:tc>
        <w:tc>
          <w:tcPr>
            <w:tcW w:w="1486" w:type="dxa"/>
            <w:tcBorders>
              <w:bottom w:val="single" w:sz="2" w:space="0" w:color="000000"/>
            </w:tcBorders>
            <w:tcMar>
              <w:bottom w:w="58" w:type="dxa"/>
            </w:tcMar>
            <w:vAlign w:val="center"/>
          </w:tcPr>
          <w:p>
            <w:pPr>
              <w:pStyle w:val="TableContents"/>
              <w:bidi w:val="0"/>
              <w:spacing w:before="0" w:after="283"/>
              <w:jc w:val="right"/>
              <w:rPr/>
            </w:pPr>
            <w:r>
              <w:rPr/>
              <w:t>3,000,000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8" w:type="dxa"/>
            </w:tcMar>
            <w:vAlign w:val="center"/>
          </w:tcPr>
          <w:p>
            <w:pPr>
              <w:pStyle w:val="TableContents"/>
              <w:bidi w:val="0"/>
              <w:spacing w:before="0" w:after="283"/>
              <w:jc w:val="right"/>
              <w:rPr/>
            </w:pPr>
            <w:r>
              <w:rPr/>
              <w:t>​</w:t>
            </w:r>
          </w:p>
        </w:tc>
        <w:tc>
          <w:tcPr>
            <w:tcW w:w="1486" w:type="dxa"/>
            <w:tcBorders>
              <w:bottom w:val="single" w:sz="2" w:space="0" w:color="000000"/>
            </w:tcBorders>
            <w:tcMar>
              <w:bottom w:w="58" w:type="dxa"/>
            </w:tcMar>
            <w:vAlign w:val="center"/>
          </w:tcPr>
          <w:p>
            <w:pPr>
              <w:pStyle w:val="TableContents"/>
              <w:bidi w:val="0"/>
              <w:spacing w:before="0" w:after="283"/>
              <w:jc w:val="right"/>
              <w:rPr/>
            </w:pPr>
            <w:r>
              <w:rPr/>
              <w:t>2,500,000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8" w:type="dxa"/>
            </w:tcMar>
            <w:vAlign w:val="center"/>
          </w:tcPr>
          <w:p>
            <w:pPr>
              <w:pStyle w:val="TableContents"/>
              <w:bidi w:val="0"/>
              <w:spacing w:before="0" w:after="283"/>
              <w:jc w:val="right"/>
              <w:rPr/>
            </w:pPr>
            <w:r>
              <w:rPr/>
              <w:t>​</w:t>
            </w:r>
          </w:p>
        </w:tc>
        <w:tc>
          <w:tcPr>
            <w:tcW w:w="1486" w:type="dxa"/>
            <w:tcBorders>
              <w:bottom w:val="single" w:sz="2" w:space="0" w:color="000000"/>
            </w:tcBorders>
            <w:tcMar>
              <w:bottom w:w="58" w:type="dxa"/>
            </w:tcMar>
            <w:vAlign w:val="center"/>
          </w:tcPr>
          <w:p>
            <w:pPr>
              <w:pStyle w:val="TableContents"/>
              <w:bidi w:val="0"/>
              <w:spacing w:before="0" w:after="283"/>
              <w:jc w:val="right"/>
              <w:rPr/>
            </w:pPr>
            <w:r>
              <w:rPr/>
              <w:t>3,000,000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8" w:type="dxa"/>
            </w:tcMar>
            <w:vAlign w:val="center"/>
          </w:tcPr>
          <w:p>
            <w:pPr>
              <w:pStyle w:val="TableContents"/>
              <w:bidi w:val="0"/>
              <w:spacing w:before="0" w:after="283"/>
              <w:jc w:val="right"/>
              <w:rPr/>
            </w:pPr>
            <w:r>
              <w:rPr/>
              <w:t>​</w:t>
            </w:r>
          </w:p>
        </w:tc>
        <w:tc>
          <w:tcPr>
            <w:tcW w:w="1486" w:type="dxa"/>
            <w:tcBorders>
              <w:bottom w:val="single" w:sz="2" w:space="0" w:color="000000"/>
            </w:tcBorders>
            <w:tcMar>
              <w:bottom w:w="58" w:type="dxa"/>
            </w:tcMar>
            <w:vAlign w:val="center"/>
          </w:tcPr>
          <w:p>
            <w:pPr>
              <w:pStyle w:val="TableContents"/>
              <w:bidi w:val="0"/>
              <w:spacing w:before="0" w:after="283"/>
              <w:jc w:val="right"/>
              <w:rPr/>
            </w:pPr>
            <w:r>
              <w:rPr/>
              <w:t>2,000,000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8" w:type="dxa"/>
            </w:tcMar>
            <w:vAlign w:val="center"/>
          </w:tcPr>
          <w:p>
            <w:pPr>
              <w:pStyle w:val="TableContents"/>
              <w:bidi w:val="0"/>
              <w:spacing w:before="0" w:after="283"/>
              <w:jc w:val="right"/>
              <w:rPr/>
            </w:pPr>
            <w:r>
              <w:rPr/>
              <w:t>​</w:t>
            </w:r>
          </w:p>
        </w:tc>
        <w:tc>
          <w:tcPr>
            <w:tcW w:w="1486" w:type="dxa"/>
            <w:tcBorders>
              <w:bottom w:val="single" w:sz="2" w:space="0" w:color="000000"/>
            </w:tcBorders>
            <w:tcMar>
              <w:bottom w:w="58" w:type="dxa"/>
            </w:tcMar>
            <w:vAlign w:val="center"/>
          </w:tcPr>
          <w:p>
            <w:pPr>
              <w:pStyle w:val="TableContents"/>
              <w:bidi w:val="0"/>
              <w:spacing w:before="0" w:after="283"/>
              <w:jc w:val="right"/>
              <w:rPr/>
            </w:pPr>
            <w:r>
              <w:rPr/>
              <w:t>3,000,000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8" w:type="dxa"/>
            </w:tcMar>
            <w:vAlign w:val="center"/>
          </w:tcPr>
          <w:p>
            <w:pPr>
              <w:pStyle w:val="TableContents"/>
              <w:bidi w:val="0"/>
              <w:spacing w:before="0" w:after="283"/>
              <w:jc w:val="right"/>
              <w:rPr/>
            </w:pPr>
            <w:r>
              <w:rPr/>
              <w:t>​</w:t>
            </w:r>
          </w:p>
        </w:tc>
        <w:tc>
          <w:tcPr>
            <w:tcW w:w="1306" w:type="dxa"/>
            <w:tcBorders>
              <w:bottom w:val="single" w:sz="2" w:space="0" w:color="000000"/>
            </w:tcBorders>
            <w:tcMar>
              <w:bottom w:w="58" w:type="dxa"/>
            </w:tcMar>
            <w:vAlign w:val="center"/>
          </w:tcPr>
          <w:p>
            <w:pPr>
              <w:pStyle w:val="TableContents"/>
              <w:bidi w:val="0"/>
              <w:spacing w:before="0" w:after="283"/>
              <w:jc w:val="right"/>
              <w:rPr/>
            </w:pPr>
            <w:r>
              <w:rPr/>
              <w:t xml:space="preserve">1,000,000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24" w:type="dxa"/>
            <w:tcBorders/>
            <w:shd w:fill="CCEEFF" w:val="clear"/>
            <w:tcMar>
              <w:bottom w:w="0" w:type="dxa"/>
            </w:tcMar>
            <w:vAlign w:val="center"/>
          </w:tcPr>
          <w:p>
            <w:pPr>
              <w:pStyle w:val="TableContents"/>
              <w:bidi w:val="0"/>
              <w:spacing w:before="0" w:after="0"/>
              <w:ind w:left="150" w:right="0" w:hanging="0"/>
              <w:jc w:val="left"/>
              <w:rPr>
                <w:spacing w:val="3"/>
              </w:rPr>
            </w:pPr>
            <w:r>
              <w:rPr>
                <w:spacing w:val="3"/>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8" w:type="dxa"/>
            </w:tcMar>
            <w:vAlign w:val="center"/>
          </w:tcPr>
          <w:p>
            <w:pPr>
              <w:pStyle w:val="TableContents"/>
              <w:bidi w:val="0"/>
              <w:spacing w:before="0" w:after="283"/>
              <w:jc w:val="right"/>
              <w:rPr/>
            </w:pPr>
            <w:r>
              <w:rPr/>
              <w:t xml:space="preserve">500,000,000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1486" w:type="dxa"/>
            <w:tcBorders>
              <w:bottom w:val="double" w:sz="8" w:space="0" w:color="000000"/>
            </w:tcBorders>
            <w:shd w:fill="CCEEFF" w:val="clear"/>
            <w:tcMar>
              <w:bottom w:w="58" w:type="dxa"/>
            </w:tcMar>
            <w:vAlign w:val="center"/>
          </w:tcPr>
          <w:p>
            <w:pPr>
              <w:pStyle w:val="TableContents"/>
              <w:bidi w:val="0"/>
              <w:spacing w:before="0" w:after="283"/>
              <w:jc w:val="right"/>
              <w:rPr/>
            </w:pPr>
            <w:r>
              <w:rPr/>
              <w:t xml:space="preserve">1,000,000,000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1486" w:type="dxa"/>
            <w:tcBorders>
              <w:bottom w:val="double" w:sz="8" w:space="0" w:color="000000"/>
            </w:tcBorders>
            <w:shd w:fill="CCEEFF" w:val="clear"/>
            <w:tcMar>
              <w:bottom w:w="58" w:type="dxa"/>
            </w:tcMar>
            <w:vAlign w:val="center"/>
          </w:tcPr>
          <w:p>
            <w:pPr>
              <w:pStyle w:val="TableContents"/>
              <w:bidi w:val="0"/>
              <w:spacing w:before="0" w:after="283"/>
              <w:jc w:val="right"/>
              <w:rPr/>
            </w:pPr>
            <w:r>
              <w:rPr/>
              <w:t xml:space="preserve">1,250,000,000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1486" w:type="dxa"/>
            <w:tcBorders>
              <w:bottom w:val="double" w:sz="8" w:space="0" w:color="000000"/>
            </w:tcBorders>
            <w:shd w:fill="CCEEFF" w:val="clear"/>
            <w:tcMar>
              <w:bottom w:w="58" w:type="dxa"/>
            </w:tcMar>
            <w:vAlign w:val="center"/>
          </w:tcPr>
          <w:p>
            <w:pPr>
              <w:pStyle w:val="TableContents"/>
              <w:bidi w:val="0"/>
              <w:spacing w:before="0" w:after="283"/>
              <w:jc w:val="right"/>
              <w:rPr/>
            </w:pPr>
            <w:r>
              <w:rPr/>
              <w:t xml:space="preserve">1,500,000,000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1486" w:type="dxa"/>
            <w:tcBorders>
              <w:bottom w:val="double" w:sz="8" w:space="0" w:color="000000"/>
            </w:tcBorders>
            <w:shd w:fill="CCEEFF" w:val="clear"/>
            <w:tcMar>
              <w:bottom w:w="58" w:type="dxa"/>
            </w:tcMar>
            <w:vAlign w:val="center"/>
          </w:tcPr>
          <w:p>
            <w:pPr>
              <w:pStyle w:val="TableContents"/>
              <w:bidi w:val="0"/>
              <w:spacing w:before="0" w:after="283"/>
              <w:jc w:val="right"/>
              <w:rPr/>
            </w:pPr>
            <w:r>
              <w:rPr/>
              <w:t xml:space="preserve">1,250,000,000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1486" w:type="dxa"/>
            <w:tcBorders>
              <w:bottom w:val="double" w:sz="8" w:space="0" w:color="000000"/>
            </w:tcBorders>
            <w:shd w:fill="CCEEFF" w:val="clear"/>
            <w:tcMar>
              <w:bottom w:w="58" w:type="dxa"/>
            </w:tcMar>
            <w:vAlign w:val="center"/>
          </w:tcPr>
          <w:p>
            <w:pPr>
              <w:pStyle w:val="TableContents"/>
              <w:bidi w:val="0"/>
              <w:spacing w:before="0" w:after="283"/>
              <w:jc w:val="right"/>
              <w:rPr/>
            </w:pPr>
            <w:r>
              <w:rPr/>
              <w:t xml:space="preserve">1,500,000,000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1486" w:type="dxa"/>
            <w:tcBorders>
              <w:bottom w:val="double" w:sz="8" w:space="0" w:color="000000"/>
            </w:tcBorders>
            <w:shd w:fill="CCEEFF" w:val="clear"/>
            <w:tcMar>
              <w:bottom w:w="58" w:type="dxa"/>
            </w:tcMar>
            <w:vAlign w:val="center"/>
          </w:tcPr>
          <w:p>
            <w:pPr>
              <w:pStyle w:val="TableContents"/>
              <w:bidi w:val="0"/>
              <w:spacing w:before="0" w:after="283"/>
              <w:jc w:val="right"/>
              <w:rPr/>
            </w:pPr>
            <w:r>
              <w:rPr/>
              <w:t xml:space="preserve">1,000,000,000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1486" w:type="dxa"/>
            <w:tcBorders>
              <w:bottom w:val="double" w:sz="8" w:space="0" w:color="000000"/>
            </w:tcBorders>
            <w:shd w:fill="CCEEFF" w:val="clear"/>
            <w:tcMar>
              <w:bottom w:w="58" w:type="dxa"/>
            </w:tcMar>
            <w:vAlign w:val="center"/>
          </w:tcPr>
          <w:p>
            <w:pPr>
              <w:pStyle w:val="TableContents"/>
              <w:bidi w:val="0"/>
              <w:spacing w:before="0" w:after="283"/>
              <w:jc w:val="right"/>
              <w:rPr/>
            </w:pPr>
            <w:r>
              <w:rPr/>
              <w:t>1,500,000,000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8"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8" w:type="dxa"/>
            </w:tcMar>
            <w:vAlign w:val="center"/>
          </w:tcPr>
          <w:p>
            <w:pPr>
              <w:pStyle w:val="TableContents"/>
              <w:bidi w:val="0"/>
              <w:spacing w:before="0" w:after="283"/>
              <w:jc w:val="right"/>
              <w:rPr/>
            </w:pPr>
            <w:r>
              <w:rPr/>
              <w:t>500,000,000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their acceptance of the Notes from the Issuer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of up to 0.100% of the principal amount of the Floating Rate Notes, up to 0.100% of the principal amount of the 2028 Notes, up to 0.150% of the principal amount of the 2030 Notes, up to 0.250% of the principal amount of the 2031 Notes, up to 0.250% of the principal amount of the 2033 Notes, up to 0.300% of the principal amount of the 2036 Notes, up to 0.300% of the principal amount of the 2038 Notes, up to 0.450% of the principal amount of the 2056 Notes, and up to 0.450% of the principal amount of the 2066 Notes. If all of the Notes are not sold at the initial offering price, the underwriters may change the offering price and the other selling terms. The underwriters may offer and sell the Notes through certain of their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new issues of securities with no established trading markets. We do not intend to apply for the Notes to be listed on any securities exchange or to arrange for the Notes to be quoted on any quotation system. Certain of the underwriters have advised us that they intend to make markets in the Notes, but they are not obligated to do so. The underwriters may discontinue any market making in the Notes at any time without notice at their sole discretion. Accordingly, we cannot assure you that a liquid trading market will develop for the Notes, that you will be able to sell your Notes at a particular time, or that the prices you receive when you sell will be favorable.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share of the total expenses of the offering, excluding underwriting discounts, will be approximately $14 million. The underwriters have agreed to reimburse us for certain of our expenses in connection with the offering. We have agreed to indemnify the several underwriters against, or contribute to payments that the underwriters may be required to make in respect of, certain liabilities, including certain liabilities under the Securities Act of 1933, as amended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deliver the Notes against payment for the Notes on August 18, 2026, which is the tenth business day following the date of the pricing of the Notes (T+10).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prices of the Notes while the offering is in progress.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by the underwriters, as well as other purchases by the underwriters for their own accounts, may stabilize, maintain, or otherwise affect the market prices of the Notes. As a result, the prices of the Notes may be higher than the prices that otherwise might exist in the open market. If these activities are commenced, they may be discontinued by the underwriters at any time without notice. Neither we nor any of the underwriters make any representation or prediction as to the direction or magnitude of any effect that the transactions described above may have on the prices of the Notes. These transactions may be effected in the over-the-counter market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certain of the underwriters or their respective affiliates may receive a portion of the net proceeds from this offering that may be used to redeem, satisfy, and discharge or prepay, as the case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indebtedness under existing or future debt agreements. A certain affiliate of Morgan Stanley &amp; Co. LLC serves as administrative agent, and certain affiliates of Morgan Stanley &amp; Co. LLC and J.P. Morgan Securities LLC serve as joint lead arrangers and joint bookrunners, under the 364-Day Delayed Draw Term Loan Facility, and certain affiliates of the underwriters are lenders thereunder, and each may receive customary fees in connection therewith. A certain affiliate of J.P. Morgan Securities LLC serves as administrative agent, certain affiliates of Morgan Stanley &amp; Co. LLC and BofA Securities, Inc. serve as syndication agents, BofA Securities, Inc. and certain affiliates of Morgan Stanley &amp; Co. LLC and J.P. Morgan Securities LLC serve as joint lead arrangers and bookrunners, and a certain affiliate of Societe Generale serves as a documentation agent under our Revolving Credit Facilities, and certain affiliates of the underwriters are lenders thereunder, and may receive customary fees in connection therewith. An affiliate of BofA Securities, Inc. serves as administrative agent, BofA Securities, Inc. serves as sole lead arranger and bookrunner, and an affiliate of BofA Securities, Inc. is a lender under the Term Loan Facility, and may receive customary fees in connection therewith. In addition, Morgan Stanley &amp; Co. LLC is acting as a financial adviser to us in connection with the Specified Acquisition. In addition, U.S. Bancorp Investments, Inc., one of the underwriters, is an affiliate of the trustee under the indenture governing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and/or persons and entities with relationships with us or our affiliates. Certain of the underwriters or their affiliates that have a lending relationship with us routinely hedge, and certain other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and accompanying prospectus (including any amendment thereto)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Dubai International Financial Centre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relate to an Exempt Offer in accordance with the Offered Securities Rules of the Dubai Financial Services Authority (the “DFSA”).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the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Dubai International Financial Centre (the “DIFC”), this document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(a) a retail client as defined in point (11) of Article 4(1) of Directive 2014/65/EU (as amended, “MiFID II”); (b) a customer within the meaning of Directive (EU) 2016/97, where that customer would not qualify as a professional client as defined in point (10) of Article 4(1) of MiFID II; or (c)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in relation to the offering. This prospectus supplement and accompanying prospectus do not constitute a prospectus, product disclosure statement or other disclosure document under the Corporations Act 2001 (the “Corporations Act”), and do not purport to include the information required for a prospectus, product disclosure statement or other disclosure document under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applied for by the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Notes must observe such Australian on-sale restrictions.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accompanying prospectus contain general information only and do not take account of the investment objectives, financial situation, or particular needs of any particular person. They do not contain any securities recommendations or financial product advice. Before making an investment decision, investors need to consider whether the information in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accompanying prospectus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assimilated law by virtue of the European Union (Withdrawal) Act 2018 (as amended, and together with any statutory instruments made in exercise of the powers conferred by such Act, the “EUWA”); nor (ii) a “qualified investor” as defined in paragraph 15 of Schedule 1 to The Public Offers and Admissions to Trading Regulations 2024 (the “UK POATRs”). Consequently, no key information document required by Regulation (EU) No 1286/2014 as it forms part of assimilated law by virtue of the EUWA (the “UK PRIIPs Regulation”) for offering or selling packaged retail and insurance based investment products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from the prohibition on public offers of relevant securities in the UK POATRs. Neither this prospectus supplement nor the accompanying prospectus is a prospectus for the purposes of the UK POATRs.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UK, this prospectus supplement and the accompanying prospectus are for distribution only to non-retail investors (being persons who are not retail investors as defined in this section titled “Notice to Prospective Investors in the United Kingdom”) who are also: (i) persons having professional experience in matters relating to investments who fall within the definition of “investment professionals” in Article 19(5) of the Financial Services and Markets Act 2000 (Financial Promotion) Order 2005 (as amended, the “Financial Promotion Order”); (ii) high net worth bodies corporate, unincorporated associations and partnerships and trustees of high value trusts as described in Article 49(2)(a) to (c) (“high net worth companies, unincorporated associations etc.”) of the Financial Promotion Order; or (iii)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“relevant persons”). In the UK, this prospectus supplement and the accompanying prospectus are directed only at relevant persons and must not be acted on or relied on by persons who are not relevant persons. In the UK, any investment or investment activity to which this prospectus supplement and the accompanying prospectus relate is available only to relevant persons and will be engaged in only with relevant persons. Each person in the UK who purchases any of the Notes will be deemed to have represented and warranted that they are a relevant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Instruments and Exchange Law of Japan (the “Financial Instruments and Exchange Law”) and each underwriter has agreed that it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the accompanying prospectus has been registered as a prospectus with the Monetary Authority of Singapore. Accordingly, no underwriter has offered or sold any Notes or caused any Notes to be made the subject of an invitation for subscription or purchase and will not offer or sell any Notes or cause any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Securities and Futures Act Product Classification—Solely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South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In addition, within one year following the issuance of the Notes, the Notes may not be transferred to any resident of Korea other than a qualified institutional buyer (as such term is defined in the regulation on issuance, public disclosure, etc. of securities of Korea, a “Korean QIB”) registered with the Korea Financial Investment Association (the “KOFIA”) as a Korean QIB and subject to the requirement of monthly reports with the KOFIA of its holding of Korean QIB bonds as defined in the Regulation on Issuance, Public Disclosure, etc. of notes of Korea, provided that (a) the Notes are denominated, and the principal and interest payments thereunder are made, in a currency other than Korean won, (b) the amount of the Notes acquired by such Korean QIBs in the primary market is limited to less than 20%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one-year restriction on offering, delivering, or selling of securities to a Korean resident other than a Korean QIB is expressly stated in the securities, the relevant purchase agreement, subscription agreement, and the offering circular, and (e) the Issuer and the underwriters shall individually or collectively keep the evidence of fulfillment of conditions (a) through (d) above after having taken necessary actions therefor.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not intended to constitute an offer or solicitation to purchase or invest in the Notes. The Notes may not be publicly offered,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Switzerland within the meaning of the Swiss Financial Services Act (the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 a registration or approval of the Financial Supervisory Commission of Taiwan. No person or entity in Taiwan has been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WTOM"/>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TO OBTAIN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with respect to the Notes offered hereby. This prospectus supplement does not contain all the information set forth in the registration statement, parts of which are omitted in accordance with the rules and regulations of the SEC. For further information with respect to us and the Notes offered hereby, reference is made to the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special reports, proxy statements, and other information with the SEC. Our SEC filings are available to the public over the Internet from the SEC’s website at www.sec.gov, or our website at www.abbvie.com. </w:t>
      </w:r>
      <w:r>
        <w:rPr>
          <w:rFonts w:ascii="Times New Roman;Times;serif" w:hAnsi="Times New Roman;Times;serif"/>
          <w:b/>
          <w:i w:val="false"/>
          <w:caps w:val="false"/>
          <w:smallCaps w:val="false"/>
          <w:color w:val="000000"/>
          <w:spacing w:val="-4"/>
          <w:sz w:val="20"/>
        </w:rPr>
        <w:t>Our website and the information contained therein or connected thereto shall not be deemed to be incorporated into this prospectus supplement or the registration statement of which this prospectus supplement forms a part, and you should not rely on any such information in making your investment decision.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IIB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that we can disclose important information to you by referring you to those documents. The information incorporated by reference is considered to be part of this prospectus supplement, and information that we file later with the SEC will automatically update and supersede information included or previously incorporated by reference into this prospectus supplement from the date we file the document containing such information. Any statement so modified or superseded shall not be deemed, except as so modified or superseded, to constitute a part of this prospectus supplement. Except to the extent furnished and not filed with the SEC pursuant to Items 2.02 or 7.01 of Form 8-K or as otherwise permitted by the SEC rules, we incorporate by reference the documents listed below and any future filings we will make with the SEC under Section 13(a), 13(c), 14, or 15(d) of the Securities Exchange Act of 1934, as amended (the “Exchange Act”), and such documents shall be deemed to be incorporated by reference into this prospectus supplement and to be a part of this prospectus supplement from the respective dates of filing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documents we incorporate by reference into this prospectus supplement are: </w:t>
      </w:r>
    </w:p>
    <w:p>
      <w:pPr>
        <w:pStyle w:val="TextBody"/>
        <w:bidi w:val="0"/>
        <w:spacing w:lineRule="atLeast" w:line="240" w:before="160" w:after="0"/>
        <w:ind w:left="2193" w:right="0" w:hanging="0"/>
        <w:jc w:val="left"/>
        <w:rPr/>
      </w:pPr>
      <w:hyperlink r:id="rId4">
        <w:r>
          <w:rPr>
            <w:rStyle w:val="InternetLink"/>
          </w:rPr>
          <w:t>AbbVie’s Annual Report on Form 10-K for the year ended December 31, 2025, filed on February 20,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hyperlink r:id="rId5">
        <w:r>
          <w:rPr>
            <w:rStyle w:val="InternetLink"/>
          </w:rPr>
          <w:t>AbbVie’s Quarterly Report on Form 10-Q for the quarter ended March 31, 2026, filed on 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hyperlink r:id="rId6">
        <w:r>
          <w:rPr>
            <w:rStyle w:val="InternetLink"/>
          </w:rPr>
          <w:t>AbbVie’s Quarterly Report on Form 10-Q for the quarter ended June 30, 2026, filed on August 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the portions of AbbVie’s </w:t>
      </w:r>
      <w:hyperlink r:id="rId7">
        <w:r>
          <w:rPr>
            <w:rStyle w:val="InternetLink"/>
          </w:rPr>
          <w:t>Definitive Proxy Statement on Schedule 14A, filed on March 23, 2026</w:t>
        </w:r>
      </w:hyperlink>
      <w:r>
        <w:rPr>
          <w:rFonts w:ascii="Times New Roman;Times;serif" w:hAnsi="Times New Roman;Times;serif"/>
          <w:b w:val="false"/>
          <w:i w:val="false"/>
          <w:caps w:val="false"/>
          <w:smallCaps w:val="false"/>
          <w:color w:val="000000"/>
          <w:spacing w:val="4"/>
          <w:sz w:val="20"/>
        </w:rPr>
        <w:t xml:space="preserve">, incorporated by reference into our </w:t>
      </w:r>
      <w:hyperlink r:id="rId8">
        <w:r>
          <w:rPr>
            <w:rStyle w:val="InternetLink"/>
          </w:rPr>
          <w:t>Annual Report on Form 10-K for the fiscal year ended December 31, 2025, filed on February 20, 2026</w:t>
        </w:r>
      </w:hyperlink>
      <w:hyperlink r:id="rId9">
        <w:r>
          <w:rPr>
            <w:rStyle w:val="InternetLink"/>
          </w:rPr>
          <w:t>; and</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AbbVie’s Current Reports on Form 8-K filed on </w:t>
      </w:r>
      <w:hyperlink r:id="rId10">
        <w:r>
          <w:rPr>
            <w:rStyle w:val="InternetLink"/>
          </w:rPr>
          <w:t>February 26,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March 4, 2026</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incorporated by reference are available from us, without charge, excluding all exhibits unless specifically incorporated by reference in the documents. You may obtain documents incorporated by reference into this prospectus supplement by writing to us at the following address or by calling us at the telephone number listed below: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AbbVie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 North Waukegan Road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North Chicago, Illinois 60064-6400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(847) 932-7900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http://investors.abbvie.com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IAM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INDUSTRY AND MARKET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supplement and the accompanying prospectus, and any document incorporated by reference into this prospectus supplement and the accompanying prospectus, may include industry and trade association data, forecasts, and information that we have prepared based, in part, upon data, forecasts, and information obtained from independent trade associations, industry publications and surveys, and other information available to us. Some data are also based on our good-faith estimates, which are derived from management’s knowledge of the industry and independent sources. Industry publications and surveys and forecasts generally state that the information contained in these materials has been obtained from sources believed to be reliable. Although we believe these sources are reliable, we have not independently verified the information. In certain of the markets in which we operate, it may be difficult to directly ascertain industry or market data. Unless otherwise noted, statements about our market share and market position are approximated and based on management experience and estimates using the above-mentioned third-party data combined with our internal analysis and estimates. While we are not aware of any misstatements regarding our industry data presented in the applicable documents, our estimates involve risks and uncertainties and are subject to change based on various factors, including those discussed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this prospectus supplement and the accompanying prospectus, as well as the documents incorporated by reference into this prospectus supplement and the accompanying prospectus. Similarly, while we believe our internal research is reliable, such research has not been verified by any independent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FOST"/>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Some statements in this prospectus supplement, the accompanying prospectus, any free writing prospectus, and the documents incorporated by reference into this prospectus supplement or the accompanying prospectus are, or may be considered, forward-looking statements for purposes of the Private Securities Litigation Reform Act of 1995 (the “PSLRA”). The words “believe,” “expect,” “anticipate,” “project,” and similar expressions and uses of future or conditional verbs generally identify “forward looking statements,” which speak only as of the date the statements were made. The matters discussed in these forward-looking statements are subject to risks, uncertainties, and other factors that could cause actual results to differ materially from those expressed or implied in the forward-looking statements. Where, in any forward-looking statement, an expectation or belief as to future results or events is expressed or implied, such expectation or belief is based on the current plans and expectations of AbbVie management, and expressed in good faith, and believed to have a reasonable basis, but there can be no assurance that the expectation or belief will result or be achieved or accomplished. Additional information about the economic, competitive, governmental, technological, and other factors that may affect AbbVie’s operations is set forth in Item 1A, “Risk Factors” in AbbVie’s </w:t>
      </w:r>
      <w:hyperlink r:id="rId1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which has been filed with the Securities and Exchange Commission. AbbVie notes these factors for investors as permitted by the PSLRA. AbbVie does not undertake, and specifically declines, any obligation to update the forward-looking statements included in this prospectus supplement to reflect events or circumstances after the date hereof, unless AbbVie is required by applicable securities law to do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LEM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related to the offering will be passed upon for us by Wachtell, Lipton, Rosen &amp; Katz, New York, New York. Certain legal matters related to the offering will be passed upon for the underwriters by Davis Polk &amp; Wardwell LLP, New York,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EX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AbbVie Inc. and subsidiaries appearing in AbbVie Inc.’s </w:t>
      </w:r>
      <w:hyperlink r:id="rId14">
        <w:r>
          <w:rPr>
            <w:rStyle w:val="InternetLink"/>
          </w:rPr>
          <w:t>Annual Report (Form 10-K) for the year ended December 31, 2025</w:t>
        </w:r>
      </w:hyperlink>
      <w:r>
        <w:rPr>
          <w:rFonts w:ascii="Times New Roman;Times;serif" w:hAnsi="Times New Roman;Times;serif"/>
          <w:b w:val="false"/>
          <w:i w:val="false"/>
          <w:caps w:val="false"/>
          <w:smallCaps w:val="false"/>
          <w:color w:val="000000"/>
          <w:spacing w:val="4"/>
          <w:sz w:val="20"/>
        </w:rPr>
        <w:t>, and the effectiveness of AbbVie Inc. and subsidiaries’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2952750" cy="514350"/>
            <wp:effectExtent l="0" t="0" r="0" b="0"/>
            <wp:docPr id="1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 descr=""/>
                    <pic:cNvPicPr>
                      <a:picLocks noChangeAspect="1" noChangeArrowheads="1"/>
                    </pic:cNvPicPr>
                  </pic:nvPicPr>
                  <pic:blipFill>
                    <a:blip r:embed="rId15"/>
                    <a:stretch>
                      <a:fillRect/>
                    </a:stretch>
                  </pic:blipFill>
                  <pic:spPr bwMode="auto">
                    <a:xfrm>
                      <a:off x="0" y="0"/>
                      <a:ext cx="2952750" cy="5143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ABBVIE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sale of one or more series of debt securities of AbbVie Inc., a Delaware corporation (“AbbVie,” “we,” “us” or the “Company”), from time to time, on terms and at prices determined at the time the debt securities are offered for sale. The terms and prices will be described in more detail in one or more supplements to this prospectus. Before investing, you should carefully read this prospectus and any related prospectus supplement or free writing prospectus. Prospectus supplements or free writing prospectuses may also add, update, or change information contained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agents, underwriters, dealers, or directly to purchasers on a continuous or a delayed basis. The names of any agents, underwriters, or dealers and the terms of the arrangements with such entities will be stated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our securities involves risks. See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in our Annual Report on Form 10-K for the fiscal year ended December 31, 2024 (the “2024 Annual Report”), in our subsequent periodic filings with the Securities and Exchange Commission (the “SEC”) incorporated by reference in this prospectus and in the applicable prospectus supplement or any related free writing prospectuses that we have authorized for use in connection with a specific offering.</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6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dated February 14, 2025.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3"/>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5181" w:type="dxa"/>
        <w:jc w:val="left"/>
        <w:tblInd w:w="1393" w:type="dxa"/>
        <w:tblLayout w:type="fixed"/>
        <w:tblCellMar>
          <w:top w:w="0" w:type="dxa"/>
          <w:left w:w="0" w:type="dxa"/>
          <w:bottom w:w="28" w:type="dxa"/>
          <w:right w:w="0" w:type="dxa"/>
        </w:tblCellMar>
      </w:tblPr>
      <w:tblGrid>
        <w:gridCol w:w="4072"/>
        <w:gridCol w:w="109"/>
        <w:gridCol w:w="109"/>
        <w:gridCol w:w="109"/>
        <w:gridCol w:w="109"/>
        <w:gridCol w:w="410"/>
        <w:gridCol w:w="109"/>
        <w:gridCol w:w="154"/>
      </w:tblGrid>
      <w:tr>
        <w:trPr/>
        <w:tc>
          <w:tcPr>
            <w:tcW w:w="40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2" w:type="dxa"/>
            <w:tcBorders/>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FOST">
              <w:r>
                <w:rPr>
                  <w:rStyle w:val="InternetLink"/>
                  <w:spacing w:val="4"/>
                </w:rPr>
                <w:t>2</w:t>
              </w:r>
            </w:hyperlink>
            <w:hyperlink w:anchor="t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3</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2" w:type="dxa"/>
            <w:tcBorders/>
            <w:tcMar>
              <w:bottom w:w="0" w:type="dxa"/>
            </w:tcMar>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IBR">
              <w:r>
                <w:rPr>
                  <w:rStyle w:val="InternetLink"/>
                  <w:spacing w:val="4"/>
                </w:rPr>
                <w:t>4</w:t>
              </w:r>
            </w:hyperlink>
            <w:hyperlink w:anchor="tIIB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5</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2"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IFA">
              <w:r>
                <w:rPr>
                  <w:rStyle w:val="InternetLink"/>
                  <w:spacing w:val="4"/>
                </w:rPr>
                <w:t>6</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2"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DS">
              <w:r>
                <w:rPr>
                  <w:rStyle w:val="InternetLink"/>
                  <w:spacing w:val="4"/>
                </w:rPr>
                <w:t>8</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10</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2"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
              <w:r>
                <w:rPr>
                  <w:rStyle w:val="InternetLink"/>
                  <w:spacing w:val="4"/>
                </w:rPr>
                <w:t>12</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2"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 as a “well known seasoned issuer” as defined in Rule 405 under the Securities Act of 1933, as amended (the “Securities Act”), using a “shelf” registration process. Using this process, we may offer and sell debt securities described in this prospectus in one or more offerings from time to time.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to give any information or to make any representations concerning the debt securities we may offer except those which are in this prospectus, any prospectus supplement that is delivered with this prospectus, any related free writing prospectus that we authorize, or any documents incorporated by reference into this prospectus. We take no responsibility for, and can provide no assurance as to the reliability of, any other information or representations that others may give or make to you. This prospectus is not an offer to sell or a solicitation of an offer to buy any securities other than the debt securities that are referred to in the prospectus supplement. This prospectus is not an offer to sell or a solicitation of an offer to buy debt securities in any circumstances in which the offer or solicitation is unlawful. You should not interpret the delivery of this prospectus, or any offer or sale of debt securities, as an indication that there has been no change in our affairs since the date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debt securities we may offer. Each time we sell debt securities described in this prospectus, we will provide a prospectus supplement or free writing prospectus that will contain specific information about the terms of that offering and the debt securities being offered at that time. The prospectus supplement or free writing prospectus also may add, update or change information contained in this prospectus, and any statement in this prospectus will be modified or superseded by any inconsistent statement in a prospectus supplement or free writing prospectus. You should read both this prospectus and any prospectus supplement or free writing prospectus together with the additional information described under the headings “Where You Can Find More Information” and “Information Incorporated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in this prospectus or any applicable prospectus supplement or any related free writing prospectus is accurate as of any date other than the date on the cover of the applicable document. Our business, financial condition, results of operations and prospects may have changed since that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FOS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Some statements in this prospectus, any prospectus supplement, any free writing prospectus and the documents incorporated herein by reference are, or may be considered, forward-looking statements for purposes of the Private Securities Litigation Reform Act of 1995 (“PSLRA”). The words “believe,” “expect,” “anticipate,” “project” and similar expressions and uses of future or conditional verbs, generally identify “forward looking statements,” which speak only as of the date the statements were made. The matters discussed in these forward-looking statements are subject to risks, uncertainties and other factors that could cause actual results to differ materially from those expressed or implied in the forward-looking statements. Where, in any forward-looking statement, an expectation or belief as to future results or events is expressed or implied, such expectation or belief is based on the current plans and expectations of AbbVie management and expressed in good faith and believed to have a reasonable basis, but there can be no assurance that the expectation or belief will result or be achieved or accomplished. Additional information about the economic, competitive, governmental, technological and other factors that may affect AbbVie’s operations is set forth in Item 1A, “Risk Factors,” in the 2024 Annual Report, which has been filed with the SEC. AbbVie notes these factors for investors as permitted by the PSLRA. AbbVie does not undertake, and specifically declines, any obligation to update the forward-looking statements included in this prospectus to reflect events or circumstances after the date hereof, unless AbbVie is required by applicable securities law to do so.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PRSU"/>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summary highlights selected information contained elsewhere in this prospectus. This summary does not contain all the information that you should consider before investing in our debt securities. You should read the following summary together with the more detailed information regarding our Company, the securities being registered hereby and our financial statements and notes thereto incorporated by reference into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AbbVie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is a global, diversified research-based biopharmaceutical company positioned for success with a comprehensive product portfolio that has leadership positions across immunology, oncology, neuroscience, aesthetics and eye care. AbbVie uses its expertise, dedicated people and unique approach to innovation to develop and market advanced therapies that address some of the world’s most complex and serious diseases.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was incorporated in Delaware on April 10, 2012. On January 1, 2013, AbbVie became an independent, publicly traded company as a result of the distribution by Abbott Laboratories (“Abbott”) of 100% of the outstanding common stock of AbbVie to Abbott’s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AbbVie also maintains an Internet site at www.abbvie.com. AbbVie’s website and the information contained therein or connected thereto shall not be deemed to be incorporated herein, and you should not rely on any such information in making an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address of AbbVie’s principal executive offices is 1 North Waukegan Road, North Chicago, Illinois 60064-6400. AbbVie’s telephone number is (847) 932-7900.</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IIBR"/>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information included or previously incorporated by reference into this prospectus from the date we file the document containing such information. Any statement so modified or superseded shall not be deemed, except as so modified or superseded, to constitute a part of this prospectus. Except to the extent furnished and not filed with the SEC pursuant to Item 2.02 or 7.01 of Form 8-K or as otherwise permitted by the SEC rules, we incorporate by reference the documents listed below and any future filings we will make with the SEC under Section 13(a), 13(c), 14 or 15(d) of the Securities Exchange Act of 1934, as amended (the “Exchange Act”), from the date of this prospectus until the completion of the offering in the relevant prospectus supplement to which this prospectus relates or the offering is terminated.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documents we incorporate by reference into this prospectus are: </w:t>
      </w:r>
    </w:p>
    <w:p>
      <w:pPr>
        <w:pStyle w:val="TextBody"/>
        <w:bidi w:val="0"/>
        <w:spacing w:lineRule="atLeast" w:line="240" w:before="160" w:after="0"/>
        <w:ind w:left="2193" w:right="0" w:hanging="0"/>
        <w:jc w:val="left"/>
        <w:rPr/>
      </w:pPr>
      <w:hyperlink r:id="rId16">
        <w:r>
          <w:rPr>
            <w:rStyle w:val="InternetLink"/>
          </w:rPr>
          <w:t>Annual Report on Form 10-K for the year ended December 31, 2024, as filed with the SEC on February 14,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The information in Part III of the </w:t>
      </w:r>
      <w:hyperlink r:id="rId17">
        <w:r>
          <w:rPr>
            <w:rStyle w:val="InternetLink"/>
          </w:rPr>
          <w:t>Annual Report on Form 10-K for the year ended December 31, 2023, as filed with the SEC on February 20, 2024,</w:t>
        </w:r>
      </w:hyperlink>
      <w:r>
        <w:rPr>
          <w:rFonts w:ascii="Times New Roman;Times;serif" w:hAnsi="Times New Roman;Times;serif"/>
          <w:b w:val="false"/>
          <w:i w:val="false"/>
          <w:caps w:val="false"/>
          <w:smallCaps w:val="false"/>
          <w:color w:val="000000"/>
          <w:spacing w:val="4"/>
          <w:sz w:val="20"/>
        </w:rPr>
        <w:t xml:space="preserve"> incorporated by reference from the Company’s </w:t>
      </w:r>
      <w:hyperlink r:id="rId18">
        <w:r>
          <w:rPr>
            <w:rStyle w:val="InternetLink"/>
          </w:rPr>
          <w:t>Definitive Proxy Statement on Schedule 14A, as filed with the SEC on March 18,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254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The Company’s Current Reports on Form 8-K as filed with the SEC on </w:t>
      </w:r>
      <w:hyperlink r:id="rId19">
        <w:r>
          <w:rPr>
            <w:rStyle w:val="InternetLink"/>
          </w:rPr>
          <w:t>January 10, 2025</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February 5, 2025</w:t>
        </w:r>
      </w:hyperlink>
      <w:r>
        <w:rPr>
          <w:rFonts w:ascii="Times New Roman;Times;serif" w:hAnsi="Times New Roman;Times;serif"/>
          <w:b w:val="false"/>
          <w:i w:val="false"/>
          <w:caps w:val="false"/>
          <w:smallCaps w:val="false"/>
          <w:color w:val="000000"/>
          <w:spacing w:val="4"/>
          <w:sz w:val="20"/>
        </w:rPr>
        <w:t xml:space="preserve"> and </w:t>
      </w:r>
      <w:hyperlink r:id="rId21">
        <w:r>
          <w:rPr>
            <w:rStyle w:val="InternetLink"/>
          </w:rPr>
          <w:t>February 14,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filed with the SEC under the Securities Act. This prospectus does not contain all of the information set forth in the registration statement. You should read the registration statement for further information about AbbVie and our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incorporated by reference into this prospectus are available from us, without charge, excluding all exhibits unless specifically incorporated by reference in the documents. You may obtain documents incorporated by reference into this prospectus by writing to us at the following address or by calling us at the telephone number listed below: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AbbVie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 North Waukegan Road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North Chicago, Illinois 60064-6400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(847) 932-7900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http://investors.abbvie.com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any information other than that contained or incorporated by reference into this prospectus, any accompanying prospectus or in any free writing prospectus prepared by or on behalf of us or to which we have referred you and take no responsibility for, and can provide no assurance as to the reliability of, any other information that others may give you. We are not making an offer of these securities in any state where the offer is not permitted. You should not assume that the information in this prospectus or any prospectus supplement is accurate as of any date other than the date on the front page of those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WYC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with respect to the debt securities offered hereby. This prospectus does not contain all the information set forth in the registration statement, parts of which are omitted in accordance with the rules and regulations of the SEC. For further information with respect to us and the debt securities offered hereby, reference is made to the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special reports, proxy statements and other information with the SEC. Our SEC filings are available to the public over the Internet from the SEC’s website at www.sec.gov, or our website at www.abbvie.com. Our website and the information contained therein or connected thereto shall not be deemed to be incorporated into this prospectus or the registration statement of which this prospectus forms a part and you should not rely on any such information in making your investment decision.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RIF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debt securities involves risks. You should carefully consider the risks described under “Risk Factors” beginning on page 14 of our 2024 Annual Report, which is incorporated by reference herein, as well as the other information contained or incorporated by reference into this prospectus or any prospectus supplement hereto before making a decision to invest in our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financial condition, results of operations, and cash flows could be materially adversely affected by any of these risks. The market or trading price of our debt securities could decline due to any of these risks. Additional risks and uncertainties not presently known to us or that we currently deem immaterial also may impair our business and operations or cause the price of our debt securities to decline. In addition, past financial performance may not be a reliable indicator of future performance and historical trends should not be used to anticipate results or trends in future periods.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U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may be described otherwise in a prospectus supplement, we expect to use the net proceeds from the sale of the debt securities under this prospectus for future acquisitions, stock repurchases, the repayment of indebtedness, capital expenditures, dividends, working capital, and any other general corporate purpose.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D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that may be included in any applicable prospectus supplement and in any related free writing prospectuses, summarizes the material terms and provisions of the debt securities that AbbVie may offer under this prospectus. While the terms summarized below will apply generally to any debt securities that AbbVie may offer, the particular terms of any debt securities will be described in more detail in the applicable prospectus supplement. The terms of any debt securities offered under a prospectus supplement may differ from the terms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AbbVie may issue debentures, notes or other evidences of indebtedness, which we refer to as “debt securities,” from time to time in one or more distinct series. The debt securities may be senior debt securities or subordinated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governed by an indenture, dated as of November 8, 2012 (the “indenture”), between AbbVie and U.S. Bank Trust Company, National Association, as trustee. The indenture is subject to and governed by the Trust Indenture Act of 1939, as amended (the “Trust Indenture Act”). The trustee under the indenture has two main roles: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subject to some limitations, the trustee can enforce your rights against us if we default; and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trustee performs certain administrative duties for us, which include sending you notices and, if the trustee also performs the service of paying agent, interest payments.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specific terms of debt securities being offered will be described in the applicable prospectus supplement. </w:t>
      </w:r>
      <w:r>
        <w:rPr>
          <w:rFonts w:ascii="Times New Roman;Times;serif" w:hAnsi="Times New Roman;Times;serif"/>
          <w:b w:val="false"/>
          <w:i/>
          <w:caps w:val="false"/>
          <w:smallCaps w:val="false"/>
          <w:color w:val="000000"/>
          <w:spacing w:val="4"/>
          <w:sz w:val="20"/>
        </w:rPr>
        <w:t xml:space="preserve">As you read this section, please remember that the specific terms of your debt securities as described in the applicable prospectus supplement will supplement and, if applicable, may modify or replace the general terms described in this section. If there are any differences between the applicable prospectus supplement and this prospectus, the applicable prospectus supplement will control. Thus, the statements we make in this section may not apply to your debt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statements and descriptions in this prospectus or in any prospectus supplement or any document incorporated by reference into this prospectus or the applicable prospectus supplement regarding provisions of debt securities and the indenture are summaries of those provisions, do not purport to be complete and are subject to, and are qualified in their entirety by reference to, all of the provisions of the debt securities and the indenture (including any amendments or supplements AbbVie may enter into from time to time which are permitted under the debt securities or the indenture). You should read the summary below, the applicable prospectus supplement, the indenture and any related documents before making your investment decision.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set forth the terms of the debt securities or any series thereof, including, if applicable: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of the series;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upon the aggregate principal amount of the debt securities of the series which may be authenticated and delivered under the indenture;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to whom any interest on the debt securities of the series shall be payable, if other than the person in whose name the debt securities (or one or more predecessor debt securities) is registered at the close of business on the regular record date for such interest;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debt securities of the series is payable;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at which the debt securities of the series shall bear interest, if any, or the method of calculating such rate or rates of interest, and the date or dates from which such interest shall accrue;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any such interest shall be payable and the regular record date for any interest payable on any such date;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and any premium and interest on the debt securities of the series shall be payable;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the debt securities of the series may be redeemed, in whole or in part, at AbbVie’s option;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if any, of AbbVie to redeem, purchase or repay the debt securities of the series pursuant to any sinking fund or analogous provisions or at the option of a holder thereof and the period or periods within which the price or prices at which and the terms and conditions upon which the debt securities of the series shall be redeemed, purchased or repaid, in whole or in part, pursuant to such obligation; </w:t>
      </w:r>
      <w:r>
        <mc:AlternateContent>
          <mc:Choice Requires="wps">
            <w:drawing>
              <wp:anchor behindDoc="0" distT="0" distB="0" distL="254000" distR="0" simplePos="0" locked="0" layoutInCell="1" allowOverlap="1" relativeHeight="134">
                <wp:simplePos x="0" y="0"/>
                <wp:positionH relativeFrom="column">
                  <wp:align>left</wp:align>
                </wp:positionH>
                <wp:positionV relativeFrom="line">
                  <wp:posOffset>635</wp:posOffset>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denominations of $2,000 and any integral multiple of $1,000 in excess thereof, the denominations in which the debt securities of the series shall be issuable;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in which payment of the principal of and any premium and interest on the debt securities of the series shall be payable if other than the currency of the United States of America and the manner of determining the equivalent thereof in the currency of the United States of America for purposes of the indenture;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amount of payments of principal of or any premium or interest on any debt securities of the series may be determined with reference to an index or formula, the manner in which such amounts shall be determined;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of or any premium or interest on the debt securities of the series is to be payable, at the election of AbbVie or a holder thereof, in one or more currencies or currency units other than that or those in which the debt securities are stated to be payable, the currency, currencies or currency units in which payment of the principal of and any premium and interest on the debt securities of such series as to which such election is made shall be payable, and the periods within which and the terms and conditions upon which such election is to be made;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application, if any, of the provisions for the defeasance or covenant defeasance of the indenture to the debt securities of any series;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of the series shall be issued in whole or in part in the form of one or more global securities and, in such case, the depositary with respect to such global security or securities and the circumstances under which any global security may be registered for transfer or exchange, or authenticated and delivered, in the name of a person other than such depositary or its nominee;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principal amount thereof, the portion of the principal amount of the debt securities of the series which shall be payable upon declaration of acceleration of the maturity thereof pursuant to the indenture;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payment of any amount due under the debt securities will be guaranteed by one or more guarantors, including one or more of our subsidiaries;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secured or unsecured;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forms of the debt securities;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United States federal income tax consequences of owning and disposing of the debt securities; and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of the series (which terms shall not be inconsistent with the provisions of the indenture, except as permitted thereunder).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provides that AbbVie may issue debt securities from time to time in one or more series under the indenture, in each case with the same or various maturities, at par or at a discount. Unless otherwise indicated in the applicable prospectus supplement, the aggregate principal amount of debt securities that may be issued under the applicable indenture is unlimited.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certain restrictive covenants that will apply to AbbVie and its subsidiaries unless otherwise indicated in the applicable prospectus supplement. Unless otherwise indicated in the applicable prospectus supplement, the debt securities will not be listed on any securities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POD"/>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debt securities to or through underwriters and also directly to other purchasers or through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debt securities offered under this prospectus may occur from time to time in one or more transactions at a fixed price or prices, which may be changed, or at market prices prevailing at the time of sale, at prices related to such prevailing market prices or at negotiated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debt securities, underwriters may receive compensation from us or from purchasers of debt securities for whom they may act as agents in the form of discounts, concessions, or commissions.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sell debt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debt securities offered under this prospectus may be “underwriters,” as defined in the Securities Act. Any underwriters or agents will be identified and their compensation (including underwriting discount) will be described in the applicable prospectus supplement. The prospectus supplement will also describe the other terms of the offering, including any discounts or concessions allowed or re-allowed or paid to dealers and any securities exchanges on which the offered securities may be listed.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underwriters, dealers, and agents to indemnify them against certain liabilities, including certain liabilities under the Securities Act, or to contribute with respect to payments which the underwriters, dealers, or agents may be required to make as a result of those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applicable prospectus supplement indicates, we may authorize dealers or agents to solicit offers by certain institutions to purchase debt securities from us pursuant to contracts that provide for payment and delivery on a future date. We must approve all institutions, but they may include,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and savings banks;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pension funds;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companies; and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educational and charitable institutions.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institutional purchaser’s obligation under the contract will be subject to the condition that the purchase of the offered debt securities at the time of delivery is allowed by the laws that govern such purchaser. The dealers and the agents will not be responsible for the validity or performance of the contracts.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the debt securities will be a new issue of securities and will have no established trading market. Any underwriters to whom debt securities are sold for public offering and sale may make a market in the debt securities, but such underwriters will not be obligated to do so and may discontinue any market making at any time without notice. The debt securities may or may not be listed on a national securities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offering of the debt securities offered under this prospectus, underwriters may engage in transactions that stabilize, maintain or otherwise affect the price of the debt securities or any other securities the prices of which may be used to determine payments on the debt securities. These transactions may include short sales, stabilizing transactions and purchases to cover positions created by short sales. Short sales involve the sale by underwriters of a greater number of debt securities than the underwriters are required to purchase in the offering. Stabilizing transactions consist of certain bids or purchases made for the purpose of preventing or retarding a decline in the market price of the debt securities while the offering is in progress.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also impose a penalty bid in any offering of debt securities offered under this prospectus and any prospectus supplement through a syndicate of underwriters. This occurs when a particular underwriter repays to the underwriters a portion of the underwriting discount received by 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other underwriters have repurchased debt securities sold by or for the account of such underwriter in stabilizing or short covering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by underwriters may stabilize, maintain or otherwise affect the market price of the debt securities offered under this prospectus and any prospectus supplement. As a result, the price of such debt securities may be higher than the price that otherwise might exist in the open market. If these activities are commenced, they may be discontinued by underwriters at any time. These transactions may be effected in the over-the-counter market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LEMA"/>
      <w:bookmarkEnd w:id="28"/>
      <w:r>
        <w:rPr>
          <w:rFonts w:ascii="calibri;arial;sans-serif" w:hAnsi="calibri;arial;sans-serif"/>
          <w:b w:val="false"/>
          <w:i w:val="false"/>
          <w:caps w:val="false"/>
          <w:smallCaps w:val="false"/>
          <w:color w:val="000000"/>
          <w:sz w:val="16"/>
        </w:rPr>
        <w:t>​</w:t>
      </w:r>
      <w:bookmarkStart w:id="29" w:name="tEXP"/>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legal matters in connection with the debt securities offered under this prospectus will be passed upon for us by Kirkland &amp; Ellis LLP, New York, New York, and for any underwriters or agents by counsel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AbbVie Inc. appearing in our Annual Report on Form 10-K for the year ended December 31, 2024, and the effectiveness of the Company’s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30" w:after="283"/>
        <w:jc w:val="center"/>
        <w:rPr>
          <w:caps w:val="false"/>
          <w:smallCaps w:val="false"/>
          <w:color w:val="000000"/>
        </w:rPr>
      </w:pPr>
      <w:r>
        <w:rPr>
          <w:caps w:val="false"/>
          <w:smallCaps w:val="false"/>
          <w:color w:val="000000"/>
        </w:rPr>
        <w:drawing>
          <wp:inline distT="0" distB="0" distL="0" distR="0">
            <wp:extent cx="3790950" cy="666750"/>
            <wp:effectExtent l="0" t="0" r="0" b="0"/>
            <wp:docPr id="1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 descr=""/>
                    <pic:cNvPicPr>
                      <a:picLocks noChangeAspect="1" noChangeArrowheads="1"/>
                    </pic:cNvPicPr>
                  </pic:nvPicPr>
                  <pic:blipFill>
                    <a:blip r:embed="rId22"/>
                    <a:stretch>
                      <a:fillRect/>
                    </a:stretch>
                  </pic:blipFill>
                  <pic:spPr bwMode="auto">
                    <a:xfrm>
                      <a:off x="0" y="0"/>
                      <a:ext cx="3790950" cy="666750"/>
                    </a:xfrm>
                    <a:prstGeom prst="rect">
                      <a:avLst/>
                    </a:prstGeom>
                  </pic:spPr>
                </pic:pic>
              </a:graphicData>
            </a:graphic>
          </wp:inline>
        </w:drawing>
      </w:r>
      <w:r>
        <w:rPr>
          <w:caps w:val="false"/>
          <w:smallCaps w:val="false"/>
          <w:color w:val="000000"/>
        </w:rPr>
        <w:t xml:space="preserve"> </w:t>
      </w:r>
    </w:p>
    <w:p>
      <w:pPr>
        <w:pStyle w:val="TextBody"/>
        <w:bidi w:val="0"/>
        <w:spacing w:lineRule="atLeast" w:line="300" w:before="580" w:after="283"/>
        <w:jc w:val="center"/>
        <w:rPr>
          <w:rFonts w:ascii="Times New Roman;Times;serif" w:hAnsi="Times New Roman;Times;serif"/>
          <w:b/>
          <w:i w:val="false"/>
          <w:caps w:val="false"/>
          <w:smallCaps w:val="false"/>
          <w:color w:val="000000"/>
          <w:sz w:val="26"/>
        </w:rPr>
      </w:pPr>
      <w:r>
        <w:rPr>
          <w:rFonts w:ascii="Times New Roman;Times;serif" w:hAnsi="Times New Roman;Times;serif"/>
          <w:b/>
          <w:i w:val="false"/>
          <w:caps w:val="false"/>
          <w:smallCaps w:val="false"/>
          <w:color w:val="000000"/>
          <w:spacing w:val="-5"/>
          <w:sz w:val="26"/>
        </w:rPr>
        <w:t xml:space="preserve">$500,000,000 SENIOR FLOATING RATE NOTES DUE 2028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$1,000,000,000 4.500% SENIOR NOTES DUE 2028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$1,250,000,000 4.650% SENIOR NOTES DUE 2030</w:t>
      </w:r>
      <w:r>
        <w:rPr>
          <w:rFonts w:ascii="Times New Roman;Times;serif" w:hAnsi="Times New Roman;Times;serif"/>
          <w:b/>
          <w:i w:val="false"/>
          <w:caps w:val="false"/>
          <w:smallCaps w:val="false"/>
          <w:color w:val="000000"/>
          <w:sz w:val="26"/>
        </w:rPr>
        <w:t xml:space="preserve"> </w:t>
        <w:br/>
      </w:r>
      <w:r>
        <w:rPr>
          <w:rFonts w:ascii="Times New Roman;Times;serif" w:hAnsi="Times New Roman;Times;serif"/>
          <w:b/>
          <w:i w:val="false"/>
          <w:caps w:val="false"/>
          <w:smallCaps w:val="false"/>
          <w:color w:val="000000"/>
          <w:spacing w:val="-5"/>
          <w:sz w:val="26"/>
        </w:rPr>
        <w:t xml:space="preserve">$1,500,000,000 4.875% SENIOR NOTES DUE 2031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$1,250,000,000 5.050% SENIOR NOTES DUE 2033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$1,500,000,000 5.300% SENIOR NOTES DUE 2036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$1,000,000,000 5.450% SENIOR NOTES DUE 2038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$1,500,000,000 6.000% SENIOR NOTES DUE 2056</w:t>
      </w:r>
      <w:r>
        <w:rPr>
          <w:rFonts w:ascii="Times New Roman;Times;serif" w:hAnsi="Times New Roman;Times;serif"/>
          <w:b/>
          <w:i w:val="false"/>
          <w:caps w:val="false"/>
          <w:smallCaps w:val="false"/>
          <w:color w:val="000000"/>
          <w:sz w:val="26"/>
        </w:rPr>
        <w:t xml:space="preserve"> </w:t>
        <w:br/>
      </w:r>
      <w:r>
        <w:rPr>
          <w:rFonts w:ascii="Times New Roman;Times;serif" w:hAnsi="Times New Roman;Times;serif"/>
          <w:b/>
          <w:i w:val="false"/>
          <w:caps w:val="false"/>
          <w:smallCaps w:val="false"/>
          <w:color w:val="000000"/>
          <w:spacing w:val="-5"/>
          <w:sz w:val="26"/>
        </w:rPr>
        <w:t>$500,000,000 6.100% SENIOR NOTES DUE 2066</w:t>
      </w:r>
      <w:r>
        <w:rPr>
          <w:rFonts w:ascii="Times New Roman;Times;serif" w:hAnsi="Times New Roman;Times;serif"/>
          <w:b/>
          <w:i w:val="false"/>
          <w:caps w:val="false"/>
          <w:smallCaps w:val="false"/>
          <w:color w:val="000000"/>
          <w:spacing w:val="5"/>
          <w:sz w:val="26"/>
        </w:rPr>
        <w:t xml:space="preserve"> </w:t>
      </w:r>
    </w:p>
    <w:p>
      <w:pPr>
        <w:pStyle w:val="TextBody"/>
        <w:bidi w:val="0"/>
        <w:spacing w:lineRule="atLeast" w:line="240" w:before="34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Morgan Stanley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(All Notes)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BofA Securities</w:t>
      </w:r>
      <w:r>
        <w:rPr>
          <w:rFonts w:ascii="Times New Roman;Times;serif" w:hAnsi="Times New Roman;Times;serif"/>
          <w:b/>
          <w:i w:val="false"/>
          <w:caps w:val="false"/>
          <w:smallCaps w:val="false"/>
          <w:color w:val="000000"/>
          <w:sz w:val="28"/>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(All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J.P. Morgan</w:t>
      </w:r>
      <w:r>
        <w:rPr>
          <w:rFonts w:ascii="Times New Roman;Times;serif" w:hAnsi="Times New Roman;Times;serif"/>
          <w:b/>
          <w:i w:val="false"/>
          <w:caps w:val="false"/>
          <w:smallCaps w:val="false"/>
          <w:color w:val="000000"/>
          <w:sz w:val="28"/>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(All Notes)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SOCIETE GENERALE</w:t>
      </w:r>
      <w:r>
        <w:rPr>
          <w:rFonts w:ascii="Times New Roman;Times;serif" w:hAnsi="Times New Roman;Times;serif"/>
          <w:b/>
          <w:i w:val="false"/>
          <w:caps w:val="false"/>
          <w:smallCaps w:val="false"/>
          <w:color w:val="000000"/>
          <w:sz w:val="28"/>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(All Notes)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Barclays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(Floating Rate Notes and 2028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BNP PARIBAS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(2030 Notes)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Citigroup</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(2038 Notes and 2066 Notes)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Deutsche Bank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(2036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HSBC</w:t>
      </w:r>
      <w:r>
        <w:rPr>
          <w:rFonts w:ascii="Times New Roman;Times;serif" w:hAnsi="Times New Roman;Times;serif"/>
          <w:b/>
          <w:i w:val="false"/>
          <w:caps w:val="false"/>
          <w:smallCaps w:val="false"/>
          <w:color w:val="000000"/>
          <w:sz w:val="28"/>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(2033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Mizuho</w:t>
      </w:r>
      <w:r>
        <w:rPr>
          <w:rFonts w:ascii="Times New Roman;Times;serif" w:hAnsi="Times New Roman;Times;serif"/>
          <w:b/>
          <w:i w:val="false"/>
          <w:caps w:val="false"/>
          <w:smallCaps w:val="false"/>
          <w:color w:val="000000"/>
          <w:sz w:val="28"/>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(2031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320" w:before="1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Wells Fargo Securities</w:t>
      </w:r>
      <w:r>
        <w:rPr>
          <w:rFonts w:ascii="Times New Roman;Times;serif" w:hAnsi="Times New Roman;Times;serif"/>
          <w:b/>
          <w:i w:val="false"/>
          <w:caps w:val="false"/>
          <w:smallCaps w:val="false"/>
          <w:color w:val="000000"/>
          <w:sz w:val="28"/>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(2056 Notes)</w:t>
      </w:r>
      <w:r>
        <w:rPr>
          <w:rFonts w:ascii="Times New Roman;Times;serif" w:hAnsi="Times New Roman;Times;serif"/>
          <w:b w:val="false"/>
          <w:i/>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Co-Managers</w:t>
      </w:r>
      <w:r>
        <w:rPr>
          <w:rFonts w:ascii="Times New Roman;Times;serif" w:hAnsi="Times New Roman;Times;serif"/>
          <w:b/>
          <w:i/>
          <w:caps w:val="false"/>
          <w:smallCaps w:val="false"/>
          <w:color w:val="000000"/>
          <w:sz w:val="20"/>
        </w:rPr>
        <w:t xml:space="preserve"> </w:t>
      </w:r>
    </w:p>
    <w:p>
      <w:pPr>
        <w:pStyle w:val="TextBody"/>
        <w:bidi w:val="0"/>
        <w:spacing w:lineRule="atLeast" w:line="260" w:before="8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Barclays</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(2030 Notes, 2031 Notes, 2033 Notes, 2036 Notes, 2038 Notes, 2056 Notes and 2066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BNP PARIBAS</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(Floating Rate Notes, 2028 Notes, 2031 Notes, 2033 Notes, 2036 Notes, 2038 Notes, 2056 Notes and 2066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Citigroup</w:t>
      </w:r>
      <w:r>
        <w:rPr>
          <w:rFonts w:ascii="Times New Roman;Times;serif" w:hAnsi="Times New Roman;Times;serif"/>
          <w:b/>
          <w:i w:val="false"/>
          <w:caps w:val="false"/>
          <w:smallCaps w:val="false"/>
          <w:color w:val="000000"/>
          <w:spacing w:val="4"/>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(Floating Rate Notes, 2028 Notes, 2030 Notes, 2031 Notes, 2033 Notes, 2036 Notes and 2056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Deutsche Bank Securities</w:t>
      </w:r>
      <w:r>
        <w:rPr>
          <w:rFonts w:ascii="Times New Roman;Times;serif" w:hAnsi="Times New Roman;Times;serif"/>
          <w:b/>
          <w:i w:val="false"/>
          <w:caps w:val="false"/>
          <w:smallCaps w:val="false"/>
          <w:color w:val="000000"/>
          <w:spacing w:val="4"/>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(Floating Rate Notes, 2028 Notes, 2030 Notes, 2031 Notes, 2033 Notes, 2038 Notes, 2056 Notes and 2066 Notes)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HSBC</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(Floating Rate Notes, 2028 Notes, 2030 Notes, 2031 Notes, 2036 Notes, 2038 Notes, 2056 Notes and 2066 Notes)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Mizuho</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(Floating Rate Notes, 2028 Notes, 2030 Notes, 2033 Notes, 2036 Notes, 2038 Notes, 2056 Notes and 2066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Wells Fargo Securities</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(Floating Rate Notes, 2028 Notes, 2030 Notes, 2031 Notes, 2033 Notes, 2036 Notes, 2038 Notes and 2066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Lloyds Securities</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(All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MUFG</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(All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Santander</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(All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TD Securities</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(All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US Bancorp</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(All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Siebert Williams Shank</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z w:val="19"/>
        </w:rPr>
      </w:pPr>
      <w:r>
        <w:rPr>
          <w:rFonts w:ascii="Times New Roman;Times;serif" w:hAnsi="Times New Roman;Times;serif"/>
          <w:b w:val="false"/>
          <w:i/>
          <w:caps w:val="false"/>
          <w:smallCaps w:val="false"/>
          <w:color w:val="000000"/>
          <w:spacing w:val="4"/>
          <w:sz w:val="19"/>
        </w:rPr>
        <w:t>(All Notes)</w:t>
      </w:r>
      <w:r>
        <w:rPr>
          <w:rFonts w:ascii="Times New Roman;Times;serif" w:hAnsi="Times New Roman;Times;serif"/>
          <w:b w:val="false"/>
          <w:i/>
          <w:caps w:val="false"/>
          <w:smallCaps w:val="false"/>
          <w:color w:val="000000"/>
          <w:sz w:val="19"/>
        </w:rPr>
        <w:t xml:space="preserve">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Blaylock Van, LLC</w:t>
      </w:r>
      <w:r>
        <w:rPr>
          <w:rFonts w:ascii="Times New Roman;Times;serif" w:hAnsi="Times New Roman;Times;serif"/>
          <w:b/>
          <w:i w:val="false"/>
          <w:caps w:val="false"/>
          <w:smallCaps w:val="false"/>
          <w:color w:val="000000"/>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(All Notes)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CastleOak Securities, L.P.</w:t>
      </w:r>
      <w:r>
        <w:rPr>
          <w:rFonts w:ascii="Times New Roman;Times;serif" w:hAnsi="Times New Roman;Times;serif"/>
          <w:b/>
          <w:i w:val="false"/>
          <w:caps w:val="false"/>
          <w:smallCaps w:val="false"/>
          <w:color w:val="000000"/>
          <w:spacing w:val="4"/>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(All Notes)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Independence Point Securities</w:t>
      </w:r>
      <w:r>
        <w:rPr>
          <w:rFonts w:ascii="Times New Roman;Times;serif" w:hAnsi="Times New Roman;Times;serif"/>
          <w:b/>
          <w:i w:val="false"/>
          <w:caps w:val="false"/>
          <w:smallCaps w:val="false"/>
          <w:color w:val="000000"/>
          <w:spacing w:val="4"/>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(All Notes)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Penserra Securities LLC</w:t>
      </w:r>
      <w:r>
        <w:rPr>
          <w:rFonts w:ascii="Times New Roman;Times;serif" w:hAnsi="Times New Roman;Times;serif"/>
          <w:b/>
          <w:i w:val="false"/>
          <w:caps w:val="false"/>
          <w:smallCaps w:val="false"/>
          <w:color w:val="000000"/>
          <w:spacing w:val="4"/>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(All Notes) </w:t>
      </w:r>
    </w:p>
    <w:p>
      <w:pPr>
        <w:pStyle w:val="TextBody"/>
        <w:bidi w:val="0"/>
        <w:spacing w:lineRule="atLeast" w:line="260" w:before="10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R. Seelaus &amp; Co., LLC</w:t>
      </w:r>
      <w:r>
        <w:rPr>
          <w:rFonts w:ascii="Times New Roman;Times;serif" w:hAnsi="Times New Roman;Times;serif"/>
          <w:b/>
          <w:i w:val="false"/>
          <w:caps w:val="false"/>
          <w:smallCaps w:val="false"/>
          <w:color w:val="000000"/>
          <w:spacing w:val="4"/>
          <w:sz w:val="22"/>
        </w:rPr>
        <w:t xml:space="preserve"> </w:t>
      </w:r>
    </w:p>
    <w:p>
      <w:pPr>
        <w:pStyle w:val="TextBody"/>
        <w:bidi w:val="0"/>
        <w:spacing w:lineRule="atLeast" w:line="230" w:before="4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(All Notes) </w:t>
      </w:r>
    </w:p>
    <w:p>
      <w:pPr>
        <w:pStyle w:val="TextBody"/>
        <w:bidi w:val="0"/>
        <w:spacing w:lineRule="atLeast" w:line="240" w:before="9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4, 2026</w:t>
      </w:r>
      <w:r>
        <w:rPr>
          <w:rFonts w:ascii="Times New Roman;Times;serif" w:hAnsi="Times New Roman;Times;serif"/>
          <w:b/>
          <w:i w:val="false"/>
          <w:caps w:val="false"/>
          <w:smallCaps w:val="false"/>
          <w:color w:val="000000"/>
          <w:sz w:val="20"/>
        </w:rPr>
        <w:t xml:space="preserve"> </w:t>
      </w:r>
    </w:p>
    <w:p>
      <w:pPr>
        <w:pStyle w:val="TextBody"/>
        <w:bidi w:val="0"/>
        <w:spacing w:before="10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0" w:name="tm2621452d3_ex-filingfees.htm"/>
      <w:bookmarkStart w:id="31" w:name="kstm2621452d3_exfilingfees"/>
      <w:bookmarkStart w:id="32" w:name="tm2621452d3_ex-filingfees.htm"/>
      <w:bookmarkStart w:id="33" w:name="kstm2621452d3_exfilingfees"/>
      <w:bookmarkEnd w:id="32"/>
      <w:bookmarkEnd w:id="33"/>
      <w:r>
        <w:br w:type="page"/>
      </w:r>
    </w:p>
    <w:tbl>
      <w:tblPr>
        <w:tblW w:w="3550" w:type="dxa"/>
        <w:jc w:val="left"/>
        <w:tblInd w:w="0" w:type="dxa"/>
        <w:tblLayout w:type="fixed"/>
        <w:tblCellMar>
          <w:top w:w="28" w:type="dxa"/>
          <w:left w:w="28" w:type="dxa"/>
          <w:bottom w:w="28" w:type="dxa"/>
          <w:right w:w="28" w:type="dxa"/>
        </w:tblCellMar>
      </w:tblPr>
      <w:tblGrid>
        <w:gridCol w:w="3396"/>
        <w:gridCol w:w="154"/>
      </w:tblGrid>
      <w:tr>
        <w:trPr/>
        <w:tc>
          <w:tcPr>
            <w:tcW w:w="355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96" w:type="dxa"/>
            <w:tcBorders/>
            <w:vAlign w:val="center"/>
          </w:tcPr>
          <w:p>
            <w:pPr>
              <w:pStyle w:val="TableContents"/>
              <w:bidi w:val="0"/>
              <w:spacing w:before="0" w:after="283"/>
              <w:jc w:val="left"/>
              <w:rPr>
                <w:b/>
              </w:rPr>
            </w:pPr>
            <w:r>
              <w:rPr>
                <w:b/>
              </w:rPr>
              <w:t xml:space="preserve">AbbVie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184" w:type="dxa"/>
        <w:jc w:val="left"/>
        <w:tblInd w:w="0" w:type="dxa"/>
        <w:tblLayout w:type="fixed"/>
        <w:tblCellMar>
          <w:top w:w="28" w:type="dxa"/>
          <w:left w:w="28" w:type="dxa"/>
          <w:bottom w:w="28" w:type="dxa"/>
          <w:right w:w="28" w:type="dxa"/>
        </w:tblCellMar>
      </w:tblPr>
      <w:tblGrid>
        <w:gridCol w:w="1126"/>
        <w:gridCol w:w="226"/>
        <w:gridCol w:w="946"/>
        <w:gridCol w:w="946"/>
        <w:gridCol w:w="1276"/>
        <w:gridCol w:w="1486"/>
        <w:gridCol w:w="1156"/>
        <w:gridCol w:w="1966"/>
        <w:gridCol w:w="1126"/>
        <w:gridCol w:w="154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1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Senior Floating Rate Notes due 2028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$ 1.00 </w:t>
            </w:r>
          </w:p>
        </w:tc>
        <w:tc>
          <w:tcPr>
            <w:tcW w:w="1966" w:type="dxa"/>
            <w:tcBorders/>
            <w:shd w:fill="E7E7E2" w:val="clear"/>
            <w:vAlign w:val="center"/>
          </w:tcPr>
          <w:p>
            <w:pPr>
              <w:pStyle w:val="TableContents"/>
              <w:bidi w:val="0"/>
              <w:spacing w:before="0" w:after="283"/>
              <w:jc w:val="right"/>
              <w:rPr/>
            </w:pPr>
            <w:r>
              <w:rPr/>
              <w:t xml:space="preserve">$ 500,000,000.00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546" w:type="dxa"/>
            <w:tcBorders/>
            <w:shd w:fill="E7E7E2" w:val="clear"/>
            <w:vAlign w:val="center"/>
          </w:tcPr>
          <w:p>
            <w:pPr>
              <w:pStyle w:val="TableContents"/>
              <w:bidi w:val="0"/>
              <w:spacing w:before="0" w:after="283"/>
              <w:jc w:val="right"/>
              <w:rPr/>
            </w:pPr>
            <w:r>
              <w:rPr/>
              <w:t xml:space="preserve">$ 69,050.00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4.500% Senior Notes due 2028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right"/>
              <w:rPr/>
            </w:pPr>
            <w:r>
              <w:rPr/>
              <w:t xml:space="preserve">$ 0.9997 </w:t>
            </w:r>
          </w:p>
        </w:tc>
        <w:tc>
          <w:tcPr>
            <w:tcW w:w="1966" w:type="dxa"/>
            <w:tcBorders/>
            <w:shd w:fill="E7E7E2" w:val="clear"/>
            <w:vAlign w:val="center"/>
          </w:tcPr>
          <w:p>
            <w:pPr>
              <w:pStyle w:val="TableContents"/>
              <w:bidi w:val="0"/>
              <w:spacing w:before="0" w:after="283"/>
              <w:jc w:val="right"/>
              <w:rPr/>
            </w:pPr>
            <w:r>
              <w:rPr/>
              <w:t xml:space="preserve">$ 999,700,000.00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546" w:type="dxa"/>
            <w:tcBorders/>
            <w:shd w:fill="E7E7E2" w:val="clear"/>
            <w:vAlign w:val="center"/>
          </w:tcPr>
          <w:p>
            <w:pPr>
              <w:pStyle w:val="TableContents"/>
              <w:bidi w:val="0"/>
              <w:spacing w:before="0" w:after="283"/>
              <w:jc w:val="right"/>
              <w:rPr/>
            </w:pPr>
            <w:r>
              <w:rPr/>
              <w:t xml:space="preserve">$ 138,058.57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4.650% Senior Notes due 2030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1,250,000,000 </w:t>
            </w:r>
          </w:p>
        </w:tc>
        <w:tc>
          <w:tcPr>
            <w:tcW w:w="1156" w:type="dxa"/>
            <w:tcBorders/>
            <w:shd w:fill="E7E7E2" w:val="clear"/>
            <w:vAlign w:val="center"/>
          </w:tcPr>
          <w:p>
            <w:pPr>
              <w:pStyle w:val="TableContents"/>
              <w:bidi w:val="0"/>
              <w:spacing w:before="0" w:after="283"/>
              <w:jc w:val="right"/>
              <w:rPr/>
            </w:pPr>
            <w:r>
              <w:rPr/>
              <w:t xml:space="preserve">$ 0.99862 </w:t>
            </w:r>
          </w:p>
        </w:tc>
        <w:tc>
          <w:tcPr>
            <w:tcW w:w="1966" w:type="dxa"/>
            <w:tcBorders/>
            <w:shd w:fill="E7E7E2" w:val="clear"/>
            <w:vAlign w:val="center"/>
          </w:tcPr>
          <w:p>
            <w:pPr>
              <w:pStyle w:val="TableContents"/>
              <w:bidi w:val="0"/>
              <w:spacing w:before="0" w:after="283"/>
              <w:jc w:val="right"/>
              <w:rPr/>
            </w:pPr>
            <w:r>
              <w:rPr/>
              <w:t xml:space="preserve">$ 1,248,275,000.00 </w:t>
            </w:r>
          </w:p>
        </w:tc>
        <w:tc>
          <w:tcPr>
            <w:tcW w:w="1126" w:type="dxa"/>
            <w:tcBorders/>
            <w:shd w:fill="E7E7E2" w:val="clear"/>
            <w:vAlign w:val="center"/>
          </w:tcPr>
          <w:p>
            <w:pPr>
              <w:pStyle w:val="TableContents"/>
              <w:bidi w:val="0"/>
              <w:spacing w:before="0" w:after="283"/>
              <w:jc w:val="right"/>
              <w:rPr/>
            </w:pPr>
            <w:r>
              <w:rPr/>
              <w:t xml:space="preserve">0.0001381 </w:t>
            </w:r>
          </w:p>
        </w:tc>
        <w:tc>
          <w:tcPr>
            <w:tcW w:w="1546" w:type="dxa"/>
            <w:tcBorders/>
            <w:shd w:fill="E7E7E2" w:val="clear"/>
            <w:vAlign w:val="center"/>
          </w:tcPr>
          <w:p>
            <w:pPr>
              <w:pStyle w:val="TableContents"/>
              <w:bidi w:val="0"/>
              <w:spacing w:before="0" w:after="283"/>
              <w:jc w:val="right"/>
              <w:rPr/>
            </w:pPr>
            <w:r>
              <w:rPr/>
              <w:t xml:space="preserve">$ 172,386.78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4.875% Senior Notes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1,500,000,000 </w:t>
            </w:r>
          </w:p>
        </w:tc>
        <w:tc>
          <w:tcPr>
            <w:tcW w:w="1156" w:type="dxa"/>
            <w:tcBorders/>
            <w:shd w:fill="E7E7E2" w:val="clear"/>
            <w:vAlign w:val="center"/>
          </w:tcPr>
          <w:p>
            <w:pPr>
              <w:pStyle w:val="TableContents"/>
              <w:bidi w:val="0"/>
              <w:spacing w:before="0" w:after="283"/>
              <w:jc w:val="right"/>
              <w:rPr/>
            </w:pPr>
            <w:r>
              <w:rPr/>
              <w:t xml:space="preserve">$ 0.99977 </w:t>
            </w:r>
          </w:p>
        </w:tc>
        <w:tc>
          <w:tcPr>
            <w:tcW w:w="1966" w:type="dxa"/>
            <w:tcBorders/>
            <w:shd w:fill="E7E7E2" w:val="clear"/>
            <w:vAlign w:val="center"/>
          </w:tcPr>
          <w:p>
            <w:pPr>
              <w:pStyle w:val="TableContents"/>
              <w:bidi w:val="0"/>
              <w:spacing w:before="0" w:after="283"/>
              <w:jc w:val="right"/>
              <w:rPr/>
            </w:pPr>
            <w:r>
              <w:rPr/>
              <w:t xml:space="preserve">$ 1,499,655,000.00 </w:t>
            </w:r>
          </w:p>
        </w:tc>
        <w:tc>
          <w:tcPr>
            <w:tcW w:w="1126" w:type="dxa"/>
            <w:tcBorders/>
            <w:shd w:fill="E7E7E2" w:val="clear"/>
            <w:vAlign w:val="center"/>
          </w:tcPr>
          <w:p>
            <w:pPr>
              <w:pStyle w:val="TableContents"/>
              <w:bidi w:val="0"/>
              <w:spacing w:before="0" w:after="283"/>
              <w:jc w:val="right"/>
              <w:rPr/>
            </w:pPr>
            <w:r>
              <w:rPr/>
              <w:t xml:space="preserve">0.0001381 </w:t>
            </w:r>
          </w:p>
        </w:tc>
        <w:tc>
          <w:tcPr>
            <w:tcW w:w="1546" w:type="dxa"/>
            <w:tcBorders/>
            <w:shd w:fill="E7E7E2" w:val="clear"/>
            <w:vAlign w:val="center"/>
          </w:tcPr>
          <w:p>
            <w:pPr>
              <w:pStyle w:val="TableContents"/>
              <w:bidi w:val="0"/>
              <w:spacing w:before="0" w:after="283"/>
              <w:jc w:val="right"/>
              <w:rPr/>
            </w:pPr>
            <w:r>
              <w:rPr/>
              <w:t xml:space="preserve">$ 207,102.36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5.050% Senior Notes due 2033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1,250,000,000 </w:t>
            </w:r>
          </w:p>
        </w:tc>
        <w:tc>
          <w:tcPr>
            <w:tcW w:w="1156" w:type="dxa"/>
            <w:tcBorders/>
            <w:shd w:fill="E7E7E2" w:val="clear"/>
            <w:vAlign w:val="center"/>
          </w:tcPr>
          <w:p>
            <w:pPr>
              <w:pStyle w:val="TableContents"/>
              <w:bidi w:val="0"/>
              <w:spacing w:before="0" w:after="283"/>
              <w:jc w:val="right"/>
              <w:rPr/>
            </w:pPr>
            <w:r>
              <w:rPr/>
              <w:t xml:space="preserve">$ 0.99889 </w:t>
            </w:r>
          </w:p>
        </w:tc>
        <w:tc>
          <w:tcPr>
            <w:tcW w:w="1966" w:type="dxa"/>
            <w:tcBorders/>
            <w:shd w:fill="E7E7E2" w:val="clear"/>
            <w:vAlign w:val="center"/>
          </w:tcPr>
          <w:p>
            <w:pPr>
              <w:pStyle w:val="TableContents"/>
              <w:bidi w:val="0"/>
              <w:spacing w:before="0" w:after="283"/>
              <w:jc w:val="right"/>
              <w:rPr/>
            </w:pPr>
            <w:r>
              <w:rPr/>
              <w:t xml:space="preserve">$ 1,248,612,500.00 </w:t>
            </w:r>
          </w:p>
        </w:tc>
        <w:tc>
          <w:tcPr>
            <w:tcW w:w="1126" w:type="dxa"/>
            <w:tcBorders/>
            <w:shd w:fill="E7E7E2" w:val="clear"/>
            <w:vAlign w:val="center"/>
          </w:tcPr>
          <w:p>
            <w:pPr>
              <w:pStyle w:val="TableContents"/>
              <w:bidi w:val="0"/>
              <w:spacing w:before="0" w:after="283"/>
              <w:jc w:val="right"/>
              <w:rPr/>
            </w:pPr>
            <w:r>
              <w:rPr/>
              <w:t xml:space="preserve">0.0001381 </w:t>
            </w:r>
          </w:p>
        </w:tc>
        <w:tc>
          <w:tcPr>
            <w:tcW w:w="1546" w:type="dxa"/>
            <w:tcBorders/>
            <w:shd w:fill="E7E7E2" w:val="clear"/>
            <w:vAlign w:val="center"/>
          </w:tcPr>
          <w:p>
            <w:pPr>
              <w:pStyle w:val="TableContents"/>
              <w:bidi w:val="0"/>
              <w:spacing w:before="0" w:after="283"/>
              <w:jc w:val="right"/>
              <w:rPr/>
            </w:pPr>
            <w:r>
              <w:rPr/>
              <w:t xml:space="preserve">$ 172,433.39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5.300% Senior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1,500,000,000 </w:t>
            </w:r>
          </w:p>
        </w:tc>
        <w:tc>
          <w:tcPr>
            <w:tcW w:w="1156" w:type="dxa"/>
            <w:tcBorders/>
            <w:shd w:fill="E7E7E2" w:val="clear"/>
            <w:vAlign w:val="center"/>
          </w:tcPr>
          <w:p>
            <w:pPr>
              <w:pStyle w:val="TableContents"/>
              <w:bidi w:val="0"/>
              <w:spacing w:before="0" w:after="283"/>
              <w:jc w:val="right"/>
              <w:rPr/>
            </w:pPr>
            <w:r>
              <w:rPr/>
              <w:t xml:space="preserve">$ 0.99832 </w:t>
            </w:r>
          </w:p>
        </w:tc>
        <w:tc>
          <w:tcPr>
            <w:tcW w:w="1966" w:type="dxa"/>
            <w:tcBorders/>
            <w:shd w:fill="E7E7E2" w:val="clear"/>
            <w:vAlign w:val="center"/>
          </w:tcPr>
          <w:p>
            <w:pPr>
              <w:pStyle w:val="TableContents"/>
              <w:bidi w:val="0"/>
              <w:spacing w:before="0" w:after="283"/>
              <w:jc w:val="right"/>
              <w:rPr/>
            </w:pPr>
            <w:r>
              <w:rPr/>
              <w:t xml:space="preserve">$ 1,497,480,000.00 </w:t>
            </w:r>
          </w:p>
        </w:tc>
        <w:tc>
          <w:tcPr>
            <w:tcW w:w="1126" w:type="dxa"/>
            <w:tcBorders/>
            <w:shd w:fill="E7E7E2" w:val="clear"/>
            <w:vAlign w:val="center"/>
          </w:tcPr>
          <w:p>
            <w:pPr>
              <w:pStyle w:val="TableContents"/>
              <w:bidi w:val="0"/>
              <w:spacing w:before="0" w:after="283"/>
              <w:jc w:val="right"/>
              <w:rPr/>
            </w:pPr>
            <w:r>
              <w:rPr/>
              <w:t xml:space="preserve">0.0001381 </w:t>
            </w:r>
          </w:p>
        </w:tc>
        <w:tc>
          <w:tcPr>
            <w:tcW w:w="1546" w:type="dxa"/>
            <w:tcBorders/>
            <w:shd w:fill="E7E7E2" w:val="clear"/>
            <w:vAlign w:val="center"/>
          </w:tcPr>
          <w:p>
            <w:pPr>
              <w:pStyle w:val="TableContents"/>
              <w:bidi w:val="0"/>
              <w:spacing w:before="0" w:after="283"/>
              <w:jc w:val="right"/>
              <w:rPr/>
            </w:pPr>
            <w:r>
              <w:rPr/>
              <w:t xml:space="preserve">$ 206,801.99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5.450% Senior Notes due 2038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right"/>
              <w:rPr/>
            </w:pPr>
            <w:r>
              <w:rPr/>
              <w:t xml:space="preserve">$ 0.9981 </w:t>
            </w:r>
          </w:p>
        </w:tc>
        <w:tc>
          <w:tcPr>
            <w:tcW w:w="1966" w:type="dxa"/>
            <w:tcBorders/>
            <w:shd w:fill="E7E7E2" w:val="clear"/>
            <w:vAlign w:val="center"/>
          </w:tcPr>
          <w:p>
            <w:pPr>
              <w:pStyle w:val="TableContents"/>
              <w:bidi w:val="0"/>
              <w:spacing w:before="0" w:after="283"/>
              <w:jc w:val="right"/>
              <w:rPr/>
            </w:pPr>
            <w:r>
              <w:rPr/>
              <w:t xml:space="preserve">$ 998,100,000.00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546" w:type="dxa"/>
            <w:tcBorders/>
            <w:shd w:fill="E7E7E2" w:val="clear"/>
            <w:vAlign w:val="center"/>
          </w:tcPr>
          <w:p>
            <w:pPr>
              <w:pStyle w:val="TableContents"/>
              <w:bidi w:val="0"/>
              <w:spacing w:before="0" w:after="283"/>
              <w:jc w:val="right"/>
              <w:rPr/>
            </w:pPr>
            <w:r>
              <w:rPr/>
              <w:t xml:space="preserve">$ 137,837.61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6.000% Senior Notes due 2056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1,500,000,000 </w:t>
            </w:r>
          </w:p>
        </w:tc>
        <w:tc>
          <w:tcPr>
            <w:tcW w:w="1156" w:type="dxa"/>
            <w:tcBorders/>
            <w:shd w:fill="E7E7E2" w:val="clear"/>
            <w:vAlign w:val="center"/>
          </w:tcPr>
          <w:p>
            <w:pPr>
              <w:pStyle w:val="TableContents"/>
              <w:bidi w:val="0"/>
              <w:spacing w:before="0" w:after="283"/>
              <w:jc w:val="right"/>
              <w:rPr/>
            </w:pPr>
            <w:r>
              <w:rPr/>
              <w:t xml:space="preserve">$ 0.99441 </w:t>
            </w:r>
          </w:p>
        </w:tc>
        <w:tc>
          <w:tcPr>
            <w:tcW w:w="1966" w:type="dxa"/>
            <w:tcBorders/>
            <w:shd w:fill="E7E7E2" w:val="clear"/>
            <w:vAlign w:val="center"/>
          </w:tcPr>
          <w:p>
            <w:pPr>
              <w:pStyle w:val="TableContents"/>
              <w:bidi w:val="0"/>
              <w:spacing w:before="0" w:after="283"/>
              <w:jc w:val="right"/>
              <w:rPr/>
            </w:pPr>
            <w:r>
              <w:rPr/>
              <w:t xml:space="preserve">$ 1,491,615,000.00 </w:t>
            </w:r>
          </w:p>
        </w:tc>
        <w:tc>
          <w:tcPr>
            <w:tcW w:w="1126" w:type="dxa"/>
            <w:tcBorders/>
            <w:shd w:fill="E7E7E2" w:val="clear"/>
            <w:vAlign w:val="center"/>
          </w:tcPr>
          <w:p>
            <w:pPr>
              <w:pStyle w:val="TableContents"/>
              <w:bidi w:val="0"/>
              <w:spacing w:before="0" w:after="283"/>
              <w:jc w:val="right"/>
              <w:rPr/>
            </w:pPr>
            <w:r>
              <w:rPr/>
              <w:t xml:space="preserve">0.0001381 </w:t>
            </w:r>
          </w:p>
        </w:tc>
        <w:tc>
          <w:tcPr>
            <w:tcW w:w="1546" w:type="dxa"/>
            <w:tcBorders/>
            <w:shd w:fill="E7E7E2" w:val="clear"/>
            <w:vAlign w:val="center"/>
          </w:tcPr>
          <w:p>
            <w:pPr>
              <w:pStyle w:val="TableContents"/>
              <w:bidi w:val="0"/>
              <w:spacing w:before="0" w:after="283"/>
              <w:jc w:val="right"/>
              <w:rPr/>
            </w:pPr>
            <w:r>
              <w:rPr/>
              <w:t xml:space="preserve">$ 205,992.03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9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6.100% Senior Notes due 2066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$ 0.99843 </w:t>
            </w:r>
          </w:p>
        </w:tc>
        <w:tc>
          <w:tcPr>
            <w:tcW w:w="1966" w:type="dxa"/>
            <w:tcBorders/>
            <w:shd w:fill="E7E7E2" w:val="clear"/>
            <w:vAlign w:val="center"/>
          </w:tcPr>
          <w:p>
            <w:pPr>
              <w:pStyle w:val="TableContents"/>
              <w:bidi w:val="0"/>
              <w:spacing w:before="0" w:after="283"/>
              <w:jc w:val="right"/>
              <w:rPr/>
            </w:pPr>
            <w:r>
              <w:rPr/>
              <w:t xml:space="preserve">$ 499,215,000.00 </w:t>
            </w:r>
          </w:p>
        </w:tc>
        <w:tc>
          <w:tcPr>
            <w:tcW w:w="1126" w:type="dxa"/>
            <w:tcBorders/>
            <w:shd w:fill="E7E7E2" w:val="clear"/>
            <w:vAlign w:val="center"/>
          </w:tcPr>
          <w:p>
            <w:pPr>
              <w:pStyle w:val="TableContents"/>
              <w:bidi w:val="0"/>
              <w:spacing w:before="0" w:after="283"/>
              <w:jc w:val="right"/>
              <w:rPr/>
            </w:pPr>
            <w:r>
              <w:rPr/>
              <w:t xml:space="preserve">0.0001381 </w:t>
            </w:r>
          </w:p>
        </w:tc>
        <w:tc>
          <w:tcPr>
            <w:tcW w:w="1546" w:type="dxa"/>
            <w:tcBorders/>
            <w:shd w:fill="E7E7E2" w:val="clear"/>
            <w:vAlign w:val="center"/>
          </w:tcPr>
          <w:p>
            <w:pPr>
              <w:pStyle w:val="TableContents"/>
              <w:bidi w:val="0"/>
              <w:spacing w:before="0" w:after="283"/>
              <w:jc w:val="right"/>
              <w:rPr/>
            </w:pPr>
            <w:r>
              <w:rPr/>
              <w:t xml:space="preserve">$ 68,941.59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1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4" w:name="MaxAggtOfferingPrice"/>
            <w:bookmarkEnd w:id="34"/>
            <w:r>
              <w:rPr/>
              <w:t xml:space="preserve">$ 9,982,652,500.00 </w:t>
            </w:r>
          </w:p>
        </w:tc>
        <w:tc>
          <w:tcPr>
            <w:tcW w:w="1126" w:type="dxa"/>
            <w:tcBorders/>
            <w:vAlign w:val="center"/>
          </w:tcPr>
          <w:p>
            <w:pPr>
              <w:pStyle w:val="TableContents"/>
              <w:bidi w:val="0"/>
              <w:spacing w:before="0" w:after="283"/>
              <w:jc w:val="left"/>
              <w:rPr>
                <w:sz w:val="4"/>
                <w:szCs w:val="4"/>
              </w:rPr>
            </w:pPr>
            <w:r>
              <w:rPr>
                <w:sz w:val="4"/>
                <w:szCs w:val="4"/>
              </w:rPr>
            </w:r>
          </w:p>
        </w:tc>
        <w:tc>
          <w:tcPr>
            <w:tcW w:w="154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$ 1,378,604.32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38" w:name="NetFeeAmt"/>
            <w:bookmarkEnd w:id="38"/>
            <w:r>
              <w:rPr/>
              <w:t xml:space="preserve">$ 1,378,604.32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8"/>
        <w:gridCol w:w="1295"/>
        <w:gridCol w:w="8682"/>
      </w:tblGrid>
      <w:tr>
        <w:trPr/>
        <w:tc>
          <w:tcPr>
            <w:tcW w:w="22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77" w:type="dxa"/>
            <w:gridSpan w:val="2"/>
            <w:tcBorders/>
            <w:vAlign w:val="center"/>
          </w:tcPr>
          <w:p>
            <w:pPr>
              <w:pStyle w:val="TableContents"/>
              <w:bidi w:val="0"/>
              <w:spacing w:before="0" w:after="283"/>
              <w:jc w:val="left"/>
              <w:rPr/>
            </w:pPr>
            <w:r>
              <w:rPr/>
              <w:t xml:space="preserve">The prospectus supplement to which this Exhibit is attached is a final prospectus for the related offerings. The maximum aggregate amount of those offerings is $10,000,000,000. </w:t>
            </w:r>
          </w:p>
        </w:tc>
      </w:tr>
      <w:tr>
        <w:trPr/>
        <w:tc>
          <w:tcPr>
            <w:tcW w:w="1523" w:type="dxa"/>
            <w:gridSpan w:val="2"/>
            <w:tcBorders/>
            <w:vAlign w:val="center"/>
          </w:tcPr>
          <w:p>
            <w:pPr>
              <w:pStyle w:val="HorizontalLine"/>
              <w:pBdr>
                <w:bottom w:val="double" w:sz="2" w:space="0" w:color="808080"/>
              </w:pBdr>
              <w:bidi w:val="0"/>
              <w:spacing w:before="0" w:after="283"/>
              <w:jc w:val="left"/>
              <w:rPr/>
            </w:pPr>
            <w:r>
              <w:rPr/>
            </w:r>
          </w:p>
        </w:tc>
        <w:tc>
          <w:tcPr>
            <w:tcW w:w="8682"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23" w:type="dxa"/>
            <w:gridSpan w:val="2"/>
            <w:tcBorders/>
            <w:vAlign w:val="center"/>
          </w:tcPr>
          <w:p>
            <w:pPr>
              <w:pStyle w:val="HorizontalLine"/>
              <w:pBdr>
                <w:bottom w:val="double" w:sz="2" w:space="0" w:color="808080"/>
              </w:pBdr>
              <w:bidi w:val="0"/>
              <w:spacing w:before="0" w:after="283"/>
              <w:jc w:val="left"/>
              <w:rPr/>
            </w:pPr>
            <w:r>
              <w:rPr/>
            </w:r>
          </w:p>
        </w:tc>
        <w:tc>
          <w:tcPr>
            <w:tcW w:w="8682"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23" w:type="dxa"/>
            <w:gridSpan w:val="2"/>
            <w:tcBorders/>
            <w:vAlign w:val="center"/>
          </w:tcPr>
          <w:p>
            <w:pPr>
              <w:pStyle w:val="HorizontalLine"/>
              <w:pBdr>
                <w:bottom w:val="double" w:sz="2" w:space="0" w:color="808080"/>
              </w:pBdr>
              <w:bidi w:val="0"/>
              <w:spacing w:before="0" w:after="283"/>
              <w:jc w:val="left"/>
              <w:rPr/>
            </w:pPr>
            <w:r>
              <w:rPr/>
            </w:r>
          </w:p>
        </w:tc>
        <w:tc>
          <w:tcPr>
            <w:tcW w:w="8682"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23" w:type="dxa"/>
            <w:gridSpan w:val="2"/>
            <w:tcBorders/>
            <w:vAlign w:val="center"/>
          </w:tcPr>
          <w:p>
            <w:pPr>
              <w:pStyle w:val="HorizontalLine"/>
              <w:pBdr>
                <w:bottom w:val="double" w:sz="2" w:space="0" w:color="808080"/>
              </w:pBdr>
              <w:bidi w:val="0"/>
              <w:spacing w:before="0" w:after="283"/>
              <w:jc w:val="left"/>
              <w:rPr/>
            </w:pPr>
            <w:r>
              <w:rPr/>
            </w:r>
          </w:p>
        </w:tc>
        <w:tc>
          <w:tcPr>
            <w:tcW w:w="8682"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23" w:type="dxa"/>
            <w:gridSpan w:val="2"/>
            <w:tcBorders/>
            <w:vAlign w:val="center"/>
          </w:tcPr>
          <w:p>
            <w:pPr>
              <w:pStyle w:val="HorizontalLine"/>
              <w:pBdr>
                <w:bottom w:val="double" w:sz="2" w:space="0" w:color="808080"/>
              </w:pBdr>
              <w:bidi w:val="0"/>
              <w:spacing w:before="0" w:after="283"/>
              <w:jc w:val="left"/>
              <w:rPr/>
            </w:pPr>
            <w:r>
              <w:rPr/>
            </w:r>
          </w:p>
        </w:tc>
        <w:tc>
          <w:tcPr>
            <w:tcW w:w="8682"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23" w:type="dxa"/>
            <w:gridSpan w:val="2"/>
            <w:tcBorders/>
            <w:vAlign w:val="center"/>
          </w:tcPr>
          <w:p>
            <w:pPr>
              <w:pStyle w:val="HorizontalLine"/>
              <w:pBdr>
                <w:bottom w:val="double" w:sz="2" w:space="0" w:color="808080"/>
              </w:pBdr>
              <w:bidi w:val="0"/>
              <w:spacing w:before="0" w:after="283"/>
              <w:jc w:val="left"/>
              <w:rPr/>
            </w:pPr>
            <w:r>
              <w:rPr/>
            </w:r>
          </w:p>
        </w:tc>
        <w:tc>
          <w:tcPr>
            <w:tcW w:w="8682"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23" w:type="dxa"/>
            <w:gridSpan w:val="2"/>
            <w:tcBorders/>
            <w:vAlign w:val="center"/>
          </w:tcPr>
          <w:p>
            <w:pPr>
              <w:pStyle w:val="HorizontalLine"/>
              <w:pBdr>
                <w:bottom w:val="double" w:sz="2" w:space="0" w:color="808080"/>
              </w:pBdr>
              <w:bidi w:val="0"/>
              <w:spacing w:before="0" w:after="283"/>
              <w:jc w:val="left"/>
              <w:rPr/>
            </w:pPr>
            <w:r>
              <w:rPr/>
            </w:r>
          </w:p>
        </w:tc>
        <w:tc>
          <w:tcPr>
            <w:tcW w:w="8682"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23" w:type="dxa"/>
            <w:gridSpan w:val="2"/>
            <w:tcBorders/>
            <w:vAlign w:val="center"/>
          </w:tcPr>
          <w:p>
            <w:pPr>
              <w:pStyle w:val="HorizontalLine"/>
              <w:pBdr>
                <w:bottom w:val="double" w:sz="2" w:space="0" w:color="808080"/>
              </w:pBdr>
              <w:bidi w:val="0"/>
              <w:spacing w:before="0" w:after="283"/>
              <w:jc w:val="left"/>
              <w:rPr/>
            </w:pPr>
            <w:r>
              <w:rPr/>
            </w:r>
          </w:p>
        </w:tc>
        <w:tc>
          <w:tcPr>
            <w:tcW w:w="8682" w:type="dxa"/>
            <w:tcBorders/>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lineRule="auto" w:line="288" w:before="0" w:after="0"/>
              <w:ind w:left="0" w:right="0" w:hanging="0"/>
              <w:jc w:val="left"/>
              <w:rPr/>
            </w:pPr>
            <w:r>
              <w:rPr>
                <w:sz w:val="15"/>
              </w:rPr>
              <w:t>9</w:t>
            </w:r>
            <w:r>
              <w:rPr/>
              <w:t xml:space="preserve"> </w:t>
            </w:r>
          </w:p>
        </w:tc>
        <w:tc>
          <w:tcPr>
            <w:tcW w:w="9977" w:type="dxa"/>
            <w:gridSpan w:val="2"/>
            <w:tcBorders/>
            <w:vAlign w:val="center"/>
          </w:tcPr>
          <w:p>
            <w:pPr>
              <w:pStyle w:val="TableContents"/>
              <w:bidi w:val="0"/>
              <w:spacing w:before="0" w:after="283"/>
              <w:jc w:val="left"/>
              <w:rPr/>
            </w:pPr>
            <w:r>
              <w:rPr/>
              <w:t xml:space="preserve">See Offering Note 1. </w:t>
            </w:r>
          </w:p>
        </w:tc>
      </w:tr>
      <w:tr>
        <w:trPr/>
        <w:tc>
          <w:tcPr>
            <w:tcW w:w="1523" w:type="dxa"/>
            <w:gridSpan w:val="2"/>
            <w:tcBorders/>
            <w:vAlign w:val="center"/>
          </w:tcPr>
          <w:p>
            <w:pPr>
              <w:pStyle w:val="HorizontalLine"/>
              <w:pBdr>
                <w:bottom w:val="double" w:sz="2" w:space="0" w:color="808080"/>
              </w:pBdr>
              <w:bidi w:val="0"/>
              <w:spacing w:before="0" w:after="283"/>
              <w:jc w:val="left"/>
              <w:rPr/>
            </w:pPr>
            <w:r>
              <w:rPr/>
            </w:r>
          </w:p>
        </w:tc>
        <w:tc>
          <w:tcPr>
            <w:tcW w:w="868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$9,982,652,500.00.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51152/000155115226000008/abbv-20251231.htm" TargetMode="External"/><Relationship Id="rId3" Type="http://schemas.openxmlformats.org/officeDocument/2006/relationships/image" Target="media/image1.jpeg"/><Relationship Id="rId4" Type="http://schemas.openxmlformats.org/officeDocument/2006/relationships/hyperlink" Target="https://www.sec.gov/ix?doc=/Archives/edgar/data/1551152/000155115226000008/abbv-20251231.htm" TargetMode="External"/><Relationship Id="rId5" Type="http://schemas.openxmlformats.org/officeDocument/2006/relationships/hyperlink" Target="https://www.sec.gov/ix?doc=/Archives/edgar/data/1551152/000155115226000017/abbv-20260331.htm" TargetMode="External"/><Relationship Id="rId6" Type="http://schemas.openxmlformats.org/officeDocument/2006/relationships/hyperlink" Target="https://www.sec.gov/ix?doc=/Archives/edgar/data/1551152/000155115226000026/abbv-20260630.htm" TargetMode="External"/><Relationship Id="rId7" Type="http://schemas.openxmlformats.org/officeDocument/2006/relationships/hyperlink" Target="https://www.sec.gov/ix?doc=/Archives/edgar/data/1551152/000110465926033387/abbv-20260508xdef14a.htm" TargetMode="External"/><Relationship Id="rId8" Type="http://schemas.openxmlformats.org/officeDocument/2006/relationships/hyperlink" Target="https://www.sec.gov/ix?doc=/Archives/edgar/data/1551152/000155115226000008/abbv-20251231.htm" TargetMode="External"/><Relationship Id="rId9" Type="http://schemas.openxmlformats.org/officeDocument/2006/relationships/hyperlink" Target="https://www.sec.gov/ix?doc=/Archives/edgar/data/1551152/000155115226000008/abbv-20251231.htm" TargetMode="External"/><Relationship Id="rId10" Type="http://schemas.openxmlformats.org/officeDocument/2006/relationships/hyperlink" Target="https://www.sec.gov/ix?doc=/Archives/edgar/data/1551152/000110465926020643/tm266774d4_8k.htm" TargetMode="External"/><Relationship Id="rId11" Type="http://schemas.openxmlformats.org/officeDocument/2006/relationships/hyperlink" Target="https://www.sec.gov/ix?doc=/Archives/edgar/data/1551152/000110465926023534/tm266774d4_8k.htm" TargetMode="External"/><Relationship Id="rId12" Type="http://schemas.openxmlformats.org/officeDocument/2006/relationships/hyperlink" Target="https://www.sec.gov/ix?doc=/Archives/edgar/data/1551152/000110465926059484/tm2614276d1_8k.htm" TargetMode="External"/><Relationship Id="rId13" Type="http://schemas.openxmlformats.org/officeDocument/2006/relationships/hyperlink" Target="https://www.sec.gov/ix?doc=/Archives/edgar/data/1551152/000155115226000008/abbv-20251231.htm" TargetMode="External"/><Relationship Id="rId14" Type="http://schemas.openxmlformats.org/officeDocument/2006/relationships/hyperlink" Target="https://www.sec.gov/ix?doc=/Archives/edgar/data/1551152/000155115226000008/abbv-20251231.htm" TargetMode="External"/><Relationship Id="rId15" Type="http://schemas.openxmlformats.org/officeDocument/2006/relationships/image" Target="media/image2.jpeg"/><Relationship Id="rId16" Type="http://schemas.openxmlformats.org/officeDocument/2006/relationships/hyperlink" Target="http://www.sec.gov/ix?doc=/Archives/edgar/data/1551152/000155115225000020/abbv-20241231.htm" TargetMode="External"/><Relationship Id="rId17" Type="http://schemas.openxmlformats.org/officeDocument/2006/relationships/hyperlink" Target="http://www.sec.gov/ix?doc=/Archives/edgar/data/1551152/000155115224000011/abbv-20231231.htm" TargetMode="External"/><Relationship Id="rId18" Type="http://schemas.openxmlformats.org/officeDocument/2006/relationships/hyperlink" Target="http://www.sec.gov/ix?doc=/Archives/edgar/data/1551152/000155837024003496/abbv-20240503xdef14a.htm" TargetMode="External"/><Relationship Id="rId19" Type="http://schemas.openxmlformats.org/officeDocument/2006/relationships/hyperlink" Target="http://www.sec.gov/ix?doc=/Archives/edgar/data/1551152/000155115225000006/abbv-20250109.htm" TargetMode="External"/><Relationship Id="rId20" Type="http://schemas.openxmlformats.org/officeDocument/2006/relationships/hyperlink" Target="http://www.sec.gov/ix?doc=/Archives/edgar/data/1551152/000110465925009673/tm255474d1_8k.htm" TargetMode="External"/><Relationship Id="rId21" Type="http://schemas.openxmlformats.org/officeDocument/2006/relationships/hyperlink" Target="https://www.sec.gov/ix?doc=/Archives/edgar/data/0001551152/000110465925013467/tm256372d1_8k.htm" TargetMode="External"/><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38757</Words>
  <Characters>204102</Characters>
  <CharactersWithSpaces>246128</CharactersWithSpaces>
  <Paragraphs>4316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