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AbbVie Inc.</w:t>
      </w:r>
    </w:p>
    <w:p>
      <w:pPr>
        <w:jc w:val="right"/>
        <w:spacing w:after="0" w:line="234" w:lineRule="auto"/>
        <w:rPr>
          <w:sz w:val="20"/>
          <w:szCs w:val="20"/>
          <w:color w:val="auto"/>
        </w:rPr>
      </w:pPr>
      <w:r>
        <w:rPr>
          <w:rFonts w:ascii="Arial" w:cs="Arial" w:eastAsia="Arial" w:hAnsi="Arial"/>
          <w:sz w:val="18"/>
          <w:szCs w:val="18"/>
          <w:color w:val="auto"/>
        </w:rPr>
        <w:t>Pursuant to Rule 425 Under the Securities Act of 1933</w:t>
      </w:r>
    </w:p>
    <w:p>
      <w:pPr>
        <w:jc w:val="right"/>
        <w:spacing w:after="0" w:line="235" w:lineRule="auto"/>
        <w:rPr>
          <w:sz w:val="20"/>
          <w:szCs w:val="20"/>
          <w:color w:val="auto"/>
        </w:rPr>
      </w:pPr>
      <w:r>
        <w:rPr>
          <w:rFonts w:ascii="Arial" w:cs="Arial" w:eastAsia="Arial" w:hAnsi="Arial"/>
          <w:sz w:val="18"/>
          <w:szCs w:val="18"/>
          <w:color w:val="auto"/>
        </w:rPr>
        <w:t>and deemed filed pursuant to Rule 14d-2 of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Pharmacyclics, Inc.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Form S-4 File No.: 333-202921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16649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PRESS RELEASE</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AbbVie Reports First-Quarter 2015 Financial Results</w:t>
      </w:r>
    </w:p>
    <w:p>
      <w:pPr>
        <w:spacing w:after="0" w:line="233" w:lineRule="exact"/>
        <w:rPr>
          <w:sz w:val="24"/>
          <w:szCs w:val="24"/>
          <w:color w:val="auto"/>
        </w:rPr>
      </w:pPr>
    </w:p>
    <w:p>
      <w:pPr>
        <w:ind w:left="660" w:right="80" w:hanging="328"/>
        <w:spacing w:after="0" w:line="267" w:lineRule="auto"/>
        <w:tabs>
          <w:tab w:leader="none" w:pos="615"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Reports First-Quarter Adjusted EPS of $0.94, Up 32.4 Percent and Exceeding Previous Guidance Range of $0.82 to $0.84 (Reports GAAP EPS of $0.63)</w:t>
      </w:r>
    </w:p>
    <w:p>
      <w:pPr>
        <w:spacing w:after="0" w:line="150" w:lineRule="exact"/>
        <w:rPr>
          <w:rFonts w:ascii="Arial" w:cs="Arial" w:eastAsia="Arial" w:hAnsi="Arial"/>
          <w:sz w:val="20"/>
          <w:szCs w:val="20"/>
          <w:color w:val="auto"/>
        </w:rPr>
      </w:pPr>
    </w:p>
    <w:p>
      <w:pPr>
        <w:ind w:left="660" w:right="280" w:hanging="328"/>
        <w:spacing w:after="0" w:line="294" w:lineRule="auto"/>
        <w:tabs>
          <w:tab w:leader="none" w:pos="615"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Delivers First-Quarter Revenue of $5.040 Billion, an Increase of 17.8 Percent Over First-Quarter 2014 on an Operational Basis (Up 10.5 Percent on a Reported Basis) Driven by Strong Growth Across the Portfolio and the Launch of Viekira</w:t>
      </w:r>
    </w:p>
    <w:p>
      <w:pPr>
        <w:spacing w:after="0" w:line="126" w:lineRule="exact"/>
        <w:rPr>
          <w:rFonts w:ascii="Arial" w:cs="Arial" w:eastAsia="Arial" w:hAnsi="Arial"/>
          <w:sz w:val="19"/>
          <w:szCs w:val="19"/>
          <w:color w:val="auto"/>
        </w:rPr>
      </w:pPr>
    </w:p>
    <w:p>
      <w:pPr>
        <w:ind w:left="660" w:right="280" w:hanging="328"/>
        <w:spacing w:after="0" w:line="267" w:lineRule="auto"/>
        <w:tabs>
          <w:tab w:leader="none" w:pos="615"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Revenue Growth Reflects 26.0 Percent Global Operational Sales Growth from HUMIRA (Up 18.0 Percent on a Reported Basis) and Double-Digit Operational Growth from Other Key Products</w:t>
      </w:r>
    </w:p>
    <w:p>
      <w:pPr>
        <w:spacing w:after="0" w:line="150" w:lineRule="exact"/>
        <w:rPr>
          <w:rFonts w:ascii="Arial" w:cs="Arial" w:eastAsia="Arial" w:hAnsi="Arial"/>
          <w:sz w:val="20"/>
          <w:szCs w:val="20"/>
          <w:color w:val="auto"/>
        </w:rPr>
      </w:pPr>
    </w:p>
    <w:p>
      <w:pPr>
        <w:ind w:left="660" w:right="140" w:hanging="328"/>
        <w:spacing w:after="0" w:line="267" w:lineRule="auto"/>
        <w:tabs>
          <w:tab w:leader="none" w:pos="615"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Delivers Adjusted Gross Margin Expansion to 82.9 Percent of Sales; Adjusted Operating Margin Improves to 40.1 Percent of Sales</w:t>
      </w:r>
    </w:p>
    <w:p>
      <w:pPr>
        <w:spacing w:after="0" w:line="150" w:lineRule="exact"/>
        <w:rPr>
          <w:rFonts w:ascii="Arial" w:cs="Arial" w:eastAsia="Arial" w:hAnsi="Arial"/>
          <w:sz w:val="20"/>
          <w:szCs w:val="20"/>
          <w:color w:val="auto"/>
        </w:rPr>
      </w:pP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Announced Strategic Agreement to Acquire Pharmacyclics; Expects to Close the Transaction in Second-Quarter 2015</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Raises 2015 Adjusted EPS Guidance Range to $4.10 to $4.30 (GAAP EPS Range is $3.57 to $3.77)</w:t>
      </w:r>
    </w:p>
    <w:p>
      <w:pPr>
        <w:spacing w:after="0" w:line="212" w:lineRule="exact"/>
        <w:rPr>
          <w:sz w:val="24"/>
          <w:szCs w:val="24"/>
          <w:color w:val="auto"/>
        </w:rPr>
      </w:pPr>
    </w:p>
    <w:p>
      <w:pPr>
        <w:ind w:right="220"/>
        <w:spacing w:after="0" w:line="258"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April 23, 2015 – AbbVie (NYSE:ABBV) announced financial results for the first quarter ended March 31,</w:t>
      </w:r>
      <w:r>
        <w:rPr>
          <w:rFonts w:ascii="Arial" w:cs="Arial" w:eastAsia="Arial" w:hAnsi="Arial"/>
          <w:sz w:val="20"/>
          <w:szCs w:val="20"/>
          <w:b w:val="1"/>
          <w:bCs w:val="1"/>
          <w:color w:val="auto"/>
        </w:rPr>
        <w:t xml:space="preserve"> </w:t>
      </w:r>
      <w:r>
        <w:rPr>
          <w:rFonts w:ascii="Arial" w:cs="Arial" w:eastAsia="Arial" w:hAnsi="Arial"/>
          <w:sz w:val="20"/>
          <w:szCs w:val="20"/>
          <w:color w:val="auto"/>
        </w:rPr>
        <w:t>2015.</w:t>
      </w:r>
    </w:p>
    <w:p>
      <w:pPr>
        <w:spacing w:after="0" w:line="178" w:lineRule="exact"/>
        <w:rPr>
          <w:sz w:val="24"/>
          <w:szCs w:val="24"/>
          <w:color w:val="auto"/>
        </w:rPr>
      </w:pPr>
    </w:p>
    <w:p>
      <w:pPr>
        <w:spacing w:after="0" w:line="229" w:lineRule="auto"/>
        <w:rPr>
          <w:sz w:val="20"/>
          <w:szCs w:val="20"/>
          <w:color w:val="auto"/>
        </w:rPr>
      </w:pPr>
      <w:r>
        <w:rPr>
          <w:rFonts w:ascii="Arial" w:cs="Arial" w:eastAsia="Arial" w:hAnsi="Arial"/>
          <w:sz w:val="20"/>
          <w:szCs w:val="20"/>
          <w:color w:val="auto"/>
        </w:rPr>
        <w:t>“AbbVie had an exceptional first quarter, delivering on our projection of top-tier EPS growth, as well as robust sales growth and significant margin expansion,” said Richard A. Gonzalez, chairman and chief executive officer, AbbVie. “We also announced the acquisition of Pharmacyclics, which will establish AbbVie as a leader in the hematologic oncology market and provide an important growth platform for the future. And, we continued to gain momentum with the launch of our HCV therapy, Viekira, and further advancement of our late stage pipeline. Certainly, 2015 is a pivotal year for AbbVie and we are off to an impressive start.”</w:t>
      </w:r>
    </w:p>
    <w:p>
      <w:pPr>
        <w:spacing w:after="0" w:line="17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First-Quarter Results</w:t>
      </w:r>
    </w:p>
    <w:p>
      <w:pPr>
        <w:spacing w:after="0" w:line="226" w:lineRule="exact"/>
        <w:rPr>
          <w:sz w:val="24"/>
          <w:szCs w:val="24"/>
          <w:color w:val="auto"/>
        </w:rPr>
      </w:pPr>
    </w:p>
    <w:p>
      <w:pPr>
        <w:ind w:left="660" w:right="420" w:hanging="328"/>
        <w:spacing w:after="0" w:line="24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20"/>
          <w:szCs w:val="20"/>
          <w:color w:val="auto"/>
        </w:rPr>
        <w:t>Worldwide sales were $5.040 billion in the first quarter, up 10.5 percent year-over-year. On an operational basis, sales increased 17.8 percent, excluding a 7.3 percent unfavorable impact from foreign exchange rate fluctuations.</w:t>
      </w:r>
    </w:p>
    <w:p>
      <w:pPr>
        <w:spacing w:after="0" w:line="188" w:lineRule="exact"/>
        <w:rPr>
          <w:rFonts w:ascii="Arial" w:cs="Arial" w:eastAsia="Arial" w:hAnsi="Arial"/>
          <w:sz w:val="18"/>
          <w:szCs w:val="18"/>
          <w:color w:val="auto"/>
        </w:rPr>
      </w:pPr>
    </w:p>
    <w:p>
      <w:pPr>
        <w:ind w:left="660" w:right="60" w:hanging="328"/>
        <w:spacing w:after="0" w:line="23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20"/>
          <w:szCs w:val="20"/>
          <w:color w:val="auto"/>
        </w:rPr>
        <w:t>First-quarter sales growth was driven by the continued strength of HUMIRA and other promoted products. Global HUMIRA sales increased 18.0 percent, or 26.0 percent on an operational basis, excluding the impact of foreign exchange rate fluctuations. Total company sales growth was also driven by the launch of Viekira, as well as strong operational growth from other key products including Synagis, Synthroid, Creon and Duodopa.</w:t>
      </w:r>
    </w:p>
    <w:p>
      <w:pPr>
        <w:spacing w:after="0" w:line="186"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116649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649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First-Quarter Results (continued)</w:t>
      </w:r>
    </w:p>
    <w:p>
      <w:pPr>
        <w:spacing w:after="0" w:line="226" w:lineRule="exact"/>
        <w:rPr>
          <w:sz w:val="24"/>
          <w:szCs w:val="24"/>
          <w:color w:val="auto"/>
        </w:rPr>
      </w:pPr>
    </w:p>
    <w:p>
      <w:pPr>
        <w:ind w:left="660" w:right="280" w:hanging="328"/>
        <w:spacing w:after="0" w:line="255" w:lineRule="auto"/>
        <w:tabs>
          <w:tab w:leader="none" w:pos="615"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adjusted gross margin ratio in the first quarter was 82.9 percent, excluding intangible asset amortization and other specified items. Gross margin expansion was driven by product mix, operating efficiencies and the impact of foreign exchange rates. The gross margin ratio under U.S. generally accepted accounting principles (GAAP) was 81.3 percent.</w:t>
      </w:r>
    </w:p>
    <w:p>
      <w:pPr>
        <w:spacing w:after="0" w:line="181" w:lineRule="exact"/>
        <w:rPr>
          <w:rFonts w:ascii="Arial" w:cs="Arial" w:eastAsia="Arial" w:hAnsi="Arial"/>
          <w:sz w:val="19"/>
          <w:szCs w:val="19"/>
          <w:color w:val="auto"/>
        </w:rPr>
      </w:pPr>
    </w:p>
    <w:p>
      <w:pPr>
        <w:ind w:left="660" w:right="360" w:hanging="328"/>
        <w:spacing w:after="0" w:line="247" w:lineRule="auto"/>
        <w:tabs>
          <w:tab w:leader="none" w:pos="615"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selling, general and administrative (SG&amp;A) expense was 26.7 percent of sales in the first quarter. On a GAAP basis, SG&amp;A was 29.2 percent of sales.</w:t>
      </w:r>
    </w:p>
    <w:p>
      <w:pPr>
        <w:spacing w:after="0" w:line="188" w:lineRule="exact"/>
        <w:rPr>
          <w:rFonts w:ascii="Arial" w:cs="Arial" w:eastAsia="Arial" w:hAnsi="Arial"/>
          <w:sz w:val="20"/>
          <w:szCs w:val="20"/>
          <w:color w:val="auto"/>
        </w:rPr>
      </w:pPr>
    </w:p>
    <w:p>
      <w:pPr>
        <w:ind w:left="660" w:right="80" w:hanging="328"/>
        <w:spacing w:after="0" w:line="247" w:lineRule="auto"/>
        <w:tabs>
          <w:tab w:leader="none" w:pos="615"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research and development (R&amp;D) was 16.1 percent of sales in the quarter, reflecting funding actions in support of our emerging mid- and late-stage pipeline assets. On a GAAP basis, R&amp;D was also 16.1 percent of sales.</w:t>
      </w:r>
    </w:p>
    <w:p>
      <w:pPr>
        <w:spacing w:after="0" w:line="188" w:lineRule="exact"/>
        <w:rPr>
          <w:rFonts w:ascii="Arial" w:cs="Arial" w:eastAsia="Arial" w:hAnsi="Arial"/>
          <w:sz w:val="20"/>
          <w:szCs w:val="20"/>
          <w:color w:val="auto"/>
        </w:rPr>
      </w:pPr>
    </w:p>
    <w:p>
      <w:pPr>
        <w:ind w:left="660" w:right="240" w:hanging="328"/>
        <w:spacing w:after="0" w:line="247" w:lineRule="auto"/>
        <w:tabs>
          <w:tab w:leader="none" w:pos="61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adjusted operating margin in the first quarter was 40.1 percent, compared to 33.9 percent in first-quarter 2014. On a GAAP basis, the operating margin was 33.5 percent.</w:t>
      </w:r>
    </w:p>
    <w:p>
      <w:pPr>
        <w:sectPr>
          <w:pgSz w:w="11900" w:h="16838" w:orient="portrait"/>
          <w:cols w:equalWidth="0" w:num="1">
            <w:col w:w="11420"/>
          </w:cols>
          <w:pgMar w:left="240" w:top="458" w:right="239" w:bottom="0" w:gutter="0" w:footer="0" w:header="0"/>
        </w:sectPr>
      </w:pPr>
    </w:p>
    <w:bookmarkStart w:id="1" w:name="page2"/>
    <w:bookmarkEnd w:id="1"/>
    <w:p>
      <w:pPr>
        <w:ind w:left="660" w:right="220" w:hanging="328"/>
        <w:spacing w:after="0" w:line="247"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interest expense was $67 million on an adjusted basis and $126 million on a GAAP basis. The adjusted tax rate was 22.3 percent in the quarter and 26.8 percent on a GAAP basis.</w:t>
      </w:r>
    </w:p>
    <w:p>
      <w:pPr>
        <w:spacing w:after="0" w:line="188" w:lineRule="exact"/>
        <w:rPr>
          <w:rFonts w:ascii="Arial" w:cs="Arial" w:eastAsia="Arial" w:hAnsi="Arial"/>
          <w:sz w:val="20"/>
          <w:szCs w:val="20"/>
          <w:color w:val="auto"/>
        </w:rPr>
      </w:pPr>
    </w:p>
    <w:p>
      <w:pPr>
        <w:ind w:left="660" w:right="40" w:hanging="328"/>
        <w:spacing w:after="0" w:line="247" w:lineRule="auto"/>
        <w:tabs>
          <w:tab w:leader="none" w:pos="615"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diluted earnings per share, excluding intangible asset amortization expense and other specified items, were $0.94 in the first quarter, up 32.4 percent. Diluted earnings per share were $0.63 on a GAAP basis.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Events from the First Quarter</w:t>
      </w:r>
    </w:p>
    <w:p>
      <w:pPr>
        <w:spacing w:after="0" w:line="226" w:lineRule="exact"/>
        <w:rPr>
          <w:sz w:val="20"/>
          <w:szCs w:val="20"/>
          <w:color w:val="auto"/>
        </w:rPr>
      </w:pPr>
    </w:p>
    <w:p>
      <w:pPr>
        <w:ind w:left="660" w:hanging="328"/>
        <w:spacing w:after="0" w:line="243" w:lineRule="auto"/>
        <w:tabs>
          <w:tab w:leader="none" w:pos="615" w:val="left"/>
        </w:tabs>
        <w:numPr>
          <w:ilvl w:val="0"/>
          <w:numId w:val="5"/>
        </w:numPr>
        <w:rPr>
          <w:rFonts w:ascii="Arial" w:cs="Arial" w:eastAsia="Arial" w:hAnsi="Arial"/>
          <w:sz w:val="19"/>
          <w:szCs w:val="19"/>
          <w:color w:val="auto"/>
        </w:rPr>
      </w:pPr>
      <w:r>
        <w:rPr>
          <w:rFonts w:ascii="Arial" w:cs="Arial" w:eastAsia="Arial" w:hAnsi="Arial"/>
          <w:sz w:val="19"/>
          <w:szCs w:val="19"/>
          <w:color w:val="auto"/>
        </w:rPr>
        <w:t>On March 4, AbbVie and Pharmacyclics, Inc. announced a definitive agreement under which AbbVie will acquire Pharmacyclics and its flagship asset IMBRUVICA (ibrutinib), a highly effective treatment for hematologic malignancies. The acquisition accelerates AbbVie’s clinical and commercial presence in oncology, strengthens its already robust pipeline, and establishes a leadership position in hematological oncology – an attractive and rapidly growing market approaching $24 billion globally. The acquisition adds to AbbVie’s complementary pipeline and strong growth prospects. Under the terms of the transaction, AbbVie will pay $261.25 per share comprised of a mix of cash and AbbVie equity. The transaction values Pharmacyclics at approximately $21 billion and was approved by the Boards of Directors of both companies.</w:t>
      </w:r>
    </w:p>
    <w:p>
      <w:pPr>
        <w:spacing w:after="0" w:line="193" w:lineRule="exact"/>
        <w:rPr>
          <w:rFonts w:ascii="Arial" w:cs="Arial" w:eastAsia="Arial" w:hAnsi="Arial"/>
          <w:sz w:val="19"/>
          <w:szCs w:val="19"/>
          <w:color w:val="auto"/>
        </w:rPr>
      </w:pPr>
    </w:p>
    <w:p>
      <w:pPr>
        <w:ind w:left="660" w:right="80" w:hanging="328"/>
        <w:spacing w:after="0" w:line="231" w:lineRule="auto"/>
        <w:tabs>
          <w:tab w:leader="none" w:pos="615" w:val="left"/>
        </w:tabs>
        <w:numPr>
          <w:ilvl w:val="0"/>
          <w:numId w:val="5"/>
        </w:numPr>
        <w:rPr>
          <w:rFonts w:ascii="Arial" w:cs="Arial" w:eastAsia="Arial" w:hAnsi="Arial"/>
          <w:sz w:val="20"/>
          <w:szCs w:val="20"/>
          <w:color w:val="auto"/>
        </w:rPr>
      </w:pPr>
      <w:r>
        <w:rPr>
          <w:rFonts w:ascii="Arial" w:cs="Arial" w:eastAsia="Arial" w:hAnsi="Arial"/>
          <w:sz w:val="20"/>
          <w:szCs w:val="20"/>
          <w:color w:val="auto"/>
        </w:rPr>
        <w:t>Biogen and AbbVie announced that the European Medicines Agency (EMA) has validated the companies’ Marketing Authorisation Application (MAA) for ZINBRYTA (daclizumab high-yield process) for the treatment of relapsing forms of multiple sclerosis (MS) in the European Union. Validation confirms that the submission is complete and signifies the initiation of the review process by the EMA’s Committee for Medicinal Products for Human Use. The MAA included results from two clinical trials, DECIDE and SELECT, in which ZINBRYTA 150 mg was administered subcutaneously every four weeks in people with relapsing-remitting MS.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15760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Events from the First Quarter (continued)</w:t>
      </w:r>
    </w:p>
    <w:p>
      <w:pPr>
        <w:spacing w:after="0" w:line="226" w:lineRule="exact"/>
        <w:rPr>
          <w:sz w:val="20"/>
          <w:szCs w:val="20"/>
          <w:color w:val="auto"/>
        </w:rPr>
      </w:pPr>
    </w:p>
    <w:p>
      <w:pPr>
        <w:ind w:left="660" w:right="60" w:hanging="328"/>
        <w:spacing w:after="0" w:line="244" w:lineRule="auto"/>
        <w:tabs>
          <w:tab w:leader="none" w:pos="615"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U.S. Food and Drug Administration (FDA) has accepted AbbVie’s New Drug Application and granted priority review for the company’s two direct-acting antiviral treatment of ombitasvir, paritaprevir, ritonavir (OBV/PTV/r) with ribavirin (RBV) for the treatment of adults with chronic genotype 4 (GT4) hepatitis C virus (HCV) infection. AbbVie’s regimen is the first all-oral, interferon-free therapy being evaluated by the FDA for patients with chronic GT4 HCV infection. The FDA granted priority review for the regimen based in part on data from the PEARL-I study, which demonstrated up to 100 percent sustained virologic response rates at 12 weeks post-treatment with no discontinuations due to adverse events.</w:t>
      </w:r>
    </w:p>
    <w:p>
      <w:pPr>
        <w:spacing w:after="0" w:line="193" w:lineRule="exact"/>
        <w:rPr>
          <w:rFonts w:ascii="Arial" w:cs="Arial" w:eastAsia="Arial" w:hAnsi="Arial"/>
          <w:sz w:val="19"/>
          <w:szCs w:val="19"/>
          <w:color w:val="auto"/>
        </w:rPr>
      </w:pPr>
    </w:p>
    <w:p>
      <w:pPr>
        <w:ind w:left="660" w:right="20" w:hanging="328"/>
        <w:spacing w:after="0" w:line="231" w:lineRule="auto"/>
        <w:tabs>
          <w:tab w:leader="none" w:pos="615"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submitted a New Drug Application to the Japanese Ministry of Health, Labour and Welfare seeking approval for the company’s investigational, all-oral, RBV and interferon-free, 12-week, two direct-acting antiviral treatment of OBV/PTV/r, dosed once daily. The submission, which has been granted priority review, is for the treatment of patients with genotype 1 (GT1) HCV infection, and is based on the Phase 3 GIFT-I study. In Japan, approximately 1.5 to 2 million people are living with HCV. GT1 is the most common HCV genotype in Japan with 60 to 70 percent of patients infected and, of those, about 95 percent are infected with the GT1b sub-type.</w:t>
      </w:r>
    </w:p>
    <w:p>
      <w:pPr>
        <w:spacing w:after="0" w:line="197" w:lineRule="exact"/>
        <w:rPr>
          <w:rFonts w:ascii="Arial" w:cs="Arial" w:eastAsia="Arial" w:hAnsi="Arial"/>
          <w:sz w:val="20"/>
          <w:szCs w:val="20"/>
          <w:color w:val="auto"/>
        </w:rPr>
      </w:pPr>
    </w:p>
    <w:p>
      <w:pPr>
        <w:ind w:left="660" w:right="100" w:hanging="328"/>
        <w:spacing w:after="0" w:line="230" w:lineRule="auto"/>
        <w:tabs>
          <w:tab w:leader="none" w:pos="615"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preliminary results from a Phase 2b study of ABT-493 and ABT-530, the company’s ongoing HCV pipeline development program which focuses on investigating a pan-genotypic, RBV-free, once-daily treatment that may also allow for treatment durations of as little as eight weeks. Results from this study in non-cirrhotic GT1 patients (n=79) receiving the RBV-free recommended regimen for 12 weeks demonstrated a sustained virologic response rate at four weeks post treatment (SVR4) of 99 percent (n=78/79). These results included both GT1a and GT1b, treatment-naïve and pegylated-interferon and RBV prior null responders. To date, the most common (&gt;5 percent) adverse reactions were fatigue, headache, nausea, diarrhea and anxiety. Data from these Phase 2b studies of ABT-493 and ABT-530 will be released at future medical congresses.</w:t>
      </w:r>
    </w:p>
    <w:p>
      <w:pPr>
        <w:spacing w:after="0" w:line="195" w:lineRule="exact"/>
        <w:rPr>
          <w:rFonts w:ascii="Arial" w:cs="Arial" w:eastAsia="Arial" w:hAnsi="Arial"/>
          <w:sz w:val="20"/>
          <w:szCs w:val="20"/>
          <w:color w:val="auto"/>
        </w:rPr>
      </w:pPr>
    </w:p>
    <w:p>
      <w:pPr>
        <w:ind w:left="660" w:right="60" w:hanging="328"/>
        <w:spacing w:after="0" w:line="234" w:lineRule="auto"/>
        <w:tabs>
          <w:tab w:leader="none" w:pos="615"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recently received a Commission Decision in Europe regarding compliance with its Pediatric Investigation Plan for HUMIRA, which ensures that necessary data are obtained through studies in children. As a result of this positive decision, the company will now seek an extension from each Member State where a Supplementary Protection Certificate is held. Once approved, this will extend the HUMIRA composition of matter patent by six months.</w:t>
      </w:r>
    </w:p>
    <w:p>
      <w:pPr>
        <w:spacing w:after="0" w:line="197" w:lineRule="exact"/>
        <w:rPr>
          <w:rFonts w:ascii="Arial" w:cs="Arial" w:eastAsia="Arial" w:hAnsi="Arial"/>
          <w:sz w:val="20"/>
          <w:szCs w:val="20"/>
          <w:color w:val="auto"/>
        </w:rPr>
      </w:pPr>
    </w:p>
    <w:p>
      <w:pPr>
        <w:ind w:left="660" w:right="60" w:hanging="328"/>
        <w:spacing w:after="0" w:line="232" w:lineRule="auto"/>
        <w:tabs>
          <w:tab w:leader="none" w:pos="615"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European Commission (EC) has granted marketing authorization for HUMIRA for the treatment of severe chronic plaque psoriasis in children and adolescents from four years of age who have had an inadequate response to or are inappropriate candidates for topical therapy and phototherapies. With the EC decision, HUMIRA now has approval for use in this indication in all member states of the European Union. The marketing authorization is based on the positive results of a Phase 3 study, which will be presented at an upcoming medical meeting.</w:t>
      </w:r>
    </w:p>
    <w:p>
      <w:pPr>
        <w:spacing w:after="0" w:line="198" w:lineRule="exact"/>
        <w:rPr>
          <w:rFonts w:ascii="Arial" w:cs="Arial" w:eastAsia="Arial" w:hAnsi="Arial"/>
          <w:sz w:val="20"/>
          <w:szCs w:val="20"/>
          <w:color w:val="auto"/>
        </w:rPr>
      </w:pPr>
    </w:p>
    <w:p>
      <w:pPr>
        <w:ind w:left="660" w:hanging="328"/>
        <w:spacing w:after="0" w:line="237" w:lineRule="auto"/>
        <w:tabs>
          <w:tab w:leader="none" w:pos="615"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entered into an exclusive worldwide license agreement with C</w:t>
      </w:r>
      <w:r>
        <w:rPr>
          <w:rFonts w:ascii="Arial" w:cs="Arial" w:eastAsia="Arial" w:hAnsi="Arial"/>
          <w:sz w:val="9"/>
          <w:szCs w:val="9"/>
          <w:color w:val="auto"/>
        </w:rPr>
        <w:t>2</w:t>
      </w:r>
      <w:r>
        <w:rPr>
          <w:rFonts w:ascii="Arial" w:cs="Arial" w:eastAsia="Arial" w:hAnsi="Arial"/>
          <w:sz w:val="20"/>
          <w:szCs w:val="20"/>
          <w:color w:val="auto"/>
        </w:rPr>
        <w:t>N Diagnostics, a privately held protein diagnostic and therapeutic discovery company, to develop and commercialize a portfolio of anti-tau antibodies for the treatment of Alzheimer’s Disease and other neurological disorders.</w:t>
      </w:r>
    </w:p>
    <w:p>
      <w:pPr>
        <w:sectPr>
          <w:pgSz w:w="11900" w:h="16838" w:orient="portrait"/>
          <w:cols w:equalWidth="0" w:num="1">
            <w:col w:w="11420"/>
          </w:cols>
          <w:pgMar w:left="240" w:top="135" w:right="239" w:bottom="165" w:gutter="0" w:footer="0" w:header="0"/>
        </w:sectPr>
      </w:pPr>
    </w:p>
    <w:p>
      <w:pPr>
        <w:spacing w:after="0" w:line="200" w:lineRule="exact"/>
        <w:rPr>
          <w:sz w:val="20"/>
          <w:szCs w:val="20"/>
          <w:color w:val="auto"/>
        </w:rPr>
      </w:pPr>
    </w:p>
    <w:p>
      <w:pPr>
        <w:spacing w:after="0" w:line="20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5" w:right="239" w:bottom="165"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11576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08610"/>
                    </a:xfrm>
                    <a:prstGeom prst="rect">
                      <a:avLst/>
                    </a:prstGeom>
                    <a:noFill/>
                  </pic:spPr>
                </pic:pic>
              </a:graphicData>
            </a:graphic>
          </wp:anchor>
        </w:drawing>
        <w:t>Key Events from the First Quarter (continued)</w:t>
      </w:r>
    </w:p>
    <w:p>
      <w:pPr>
        <w:spacing w:after="0" w:line="226" w:lineRule="exact"/>
        <w:rPr>
          <w:sz w:val="20"/>
          <w:szCs w:val="20"/>
          <w:color w:val="auto"/>
        </w:rPr>
      </w:pPr>
    </w:p>
    <w:p>
      <w:pPr>
        <w:ind w:left="660" w:right="40" w:hanging="328"/>
        <w:spacing w:after="0" w:line="246" w:lineRule="auto"/>
        <w:tabs>
          <w:tab w:leader="none" w:pos="615" w:val="left"/>
        </w:tabs>
        <w:numPr>
          <w:ilvl w:val="0"/>
          <w:numId w:val="7"/>
        </w:numPr>
        <w:rPr>
          <w:rFonts w:ascii="Arial" w:cs="Arial" w:eastAsia="Arial" w:hAnsi="Arial"/>
          <w:sz w:val="19"/>
          <w:szCs w:val="19"/>
          <w:color w:val="auto"/>
        </w:rPr>
      </w:pPr>
      <w:r>
        <w:rPr>
          <w:rFonts w:ascii="Arial" w:cs="Arial" w:eastAsia="Arial" w:hAnsi="Arial"/>
          <w:sz w:val="19"/>
          <w:szCs w:val="19"/>
          <w:color w:val="auto"/>
        </w:rPr>
        <w:t>AbbVie announced that the FDA approved DUOPA (carbidopa and levodopa) enteral suspension for the treatment of motor fluctuations for people with advanced Parkinson’s disease. DUOPA is administered using a small, portable infusion pump that delivers carbidopa and levodopa directly into the small intestine for 16 continuous hours via a procedurally-placed tube. In a clinical trial, patients treated with DUOPA experienced significantly greater improvement in “off” time (periods of poor mobility, slowness and stiffness) than patients treated with oral carbidopa-levodopa immediate release tablets.</w:t>
      </w:r>
    </w:p>
    <w:p>
      <w:pPr>
        <w:spacing w:after="0" w:line="190" w:lineRule="exact"/>
        <w:rPr>
          <w:rFonts w:ascii="Arial" w:cs="Arial" w:eastAsia="Arial" w:hAnsi="Arial"/>
          <w:sz w:val="19"/>
          <w:szCs w:val="19"/>
          <w:color w:val="auto"/>
        </w:rPr>
      </w:pPr>
    </w:p>
    <w:p>
      <w:pPr>
        <w:ind w:left="660" w:right="280" w:hanging="328"/>
        <w:spacing w:after="0" w:line="255" w:lineRule="auto"/>
        <w:tabs>
          <w:tab w:leader="none" w:pos="615" w:val="left"/>
        </w:tabs>
        <w:numPr>
          <w:ilvl w:val="0"/>
          <w:numId w:val="7"/>
        </w:numPr>
        <w:rPr>
          <w:rFonts w:ascii="Arial" w:cs="Arial" w:eastAsia="Arial" w:hAnsi="Arial"/>
          <w:sz w:val="19"/>
          <w:szCs w:val="19"/>
          <w:color w:val="auto"/>
        </w:rPr>
      </w:pPr>
      <w:r>
        <w:rPr>
          <w:rFonts w:ascii="Arial" w:cs="Arial" w:eastAsia="Arial" w:hAnsi="Arial"/>
          <w:sz w:val="19"/>
          <w:szCs w:val="19"/>
          <w:color w:val="auto"/>
        </w:rPr>
        <w:t>On February 19, the AbbVie board of directors increased the company’s quarterly cash dividend by 4 percent from $0.49 per share to $0.51 per share. The cash dividend is payable May 15, 2015 to stockholders of record at the close of business on April 15, 2015. Since the company’s inception in 2013, AbbVie has increased its dividend by 28 percent.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2015 Outlook</w:t>
      </w:r>
    </w:p>
    <w:p>
      <w:pPr>
        <w:spacing w:after="0" w:line="226" w:lineRule="exact"/>
        <w:rPr>
          <w:sz w:val="20"/>
          <w:szCs w:val="20"/>
          <w:color w:val="auto"/>
        </w:rPr>
      </w:pPr>
    </w:p>
    <w:p>
      <w:pPr>
        <w:ind w:right="300"/>
        <w:spacing w:after="0" w:line="229" w:lineRule="auto"/>
        <w:rPr>
          <w:sz w:val="20"/>
          <w:szCs w:val="20"/>
          <w:color w:val="auto"/>
        </w:rPr>
      </w:pPr>
      <w:r>
        <w:rPr>
          <w:rFonts w:ascii="Arial" w:cs="Arial" w:eastAsia="Arial" w:hAnsi="Arial"/>
          <w:sz w:val="20"/>
          <w:szCs w:val="20"/>
          <w:color w:val="auto"/>
        </w:rPr>
        <w:t>Today, AbbVie is raising its adjusted diluted earnings-per-share guidance for the full-year 2015 to $4.10 to $4.30 from $4.05 to $4.25. The company’s 2015 adjusted diluted earnings-per-share guidance excludes $0.53 per share of intangible asset amortization expense, deal costs, integration, and other specified items, and includes $0.20 of dilution related to the Pharmacyclics acquisition. AbbVie’s diluted earnings-per-share guidance is $3.57 to $3.77 on a GAAP basis, excluding certain transaction related costs to be quantified following the close of the Pharmacyclics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2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AbbVie is a global, research-based biopharmaceutical company formed in 2013 following separation from Abbott Laboratories. The company’s mission is to use its expertise, dedicated people and unique approach to innovation to develop and market advanced therapies that address some of the world’s most complex and serious diseases. AbbVie employs more than 26,000 people worldwide and markets medicines in more than 170 countries. For further information on the company and its people, portfolio and commitments, please visit </w:t>
      </w:r>
      <w:r>
        <w:rPr>
          <w:rFonts w:ascii="Arial" w:cs="Arial" w:eastAsia="Arial" w:hAnsi="Arial"/>
          <w:sz w:val="20"/>
          <w:szCs w:val="20"/>
          <w:u w:val="single" w:color="auto"/>
          <w:color w:val="auto"/>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auto"/>
        </w:rPr>
        <w:t>@abbvie</w:t>
      </w:r>
      <w:r>
        <w:rPr>
          <w:rFonts w:ascii="Arial" w:cs="Arial" w:eastAsia="Arial" w:hAnsi="Arial"/>
          <w:sz w:val="20"/>
          <w:szCs w:val="20"/>
          <w:color w:val="auto"/>
        </w:rPr>
        <w:t xml:space="preserve"> on Twitter or view careers on our </w:t>
      </w:r>
      <w:r>
        <w:rPr>
          <w:rFonts w:ascii="Arial" w:cs="Arial" w:eastAsia="Arial" w:hAnsi="Arial"/>
          <w:sz w:val="20"/>
          <w:szCs w:val="20"/>
          <w:u w:val="single" w:color="auto"/>
          <w:color w:val="auto"/>
        </w:rPr>
        <w:t>Facebook</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LinkedIn</w:t>
      </w:r>
      <w:r>
        <w:rPr>
          <w:rFonts w:ascii="Arial" w:cs="Arial" w:eastAsia="Arial" w:hAnsi="Arial"/>
          <w:sz w:val="20"/>
          <w:szCs w:val="20"/>
          <w:color w:val="auto"/>
        </w:rPr>
        <w:t xml:space="preserve"> page.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AbbVie will host an investor conference call today at 8:00 a.m. Central time to discuss our first-quarter performance. Participating on the call will be Rick Gonzalez, chairman and chief executive officer; Bill Chase, executive vice president and chief financial officer; Laura Schumacher, executive vice president, business development, external affairs and general counsel; Mike Severino, executive vice president, research and development and chief scientific officer; and Larry Peepo, vice president of investor relations. The call will be webcast through AbbVie’s Investor Relations Web site at www.abbvieinvestor.com. An archived edition of the call will be available after 11:00 a.m. Central time.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39763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20"/>
          <w:szCs w:val="20"/>
          <w:color w:val="auto"/>
        </w:rPr>
        <w:t>Financial results for 2014 and 2015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The company’s 2015 financial guidance is also being provided on both a reported and a non-GAAP basis.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6"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Some statements in this news release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w:t>
      </w:r>
      <w:r>
        <w:rPr>
          <w:rFonts w:ascii="Arial" w:cs="Arial" w:eastAsia="Arial" w:hAnsi="Arial"/>
          <w:sz w:val="20"/>
          <w:szCs w:val="20"/>
          <w:i w:val="1"/>
          <w:iCs w:val="1"/>
          <w:color w:val="auto"/>
        </w:rPr>
        <w:t>,</w:t>
      </w:r>
      <w:r>
        <w:rPr>
          <w:rFonts w:ascii="Arial" w:cs="Arial" w:eastAsia="Arial" w:hAnsi="Arial"/>
          <w:sz w:val="20"/>
          <w:szCs w:val="20"/>
          <w:color w:val="auto"/>
        </w:rPr>
        <w:t xml:space="preserve"> the likelihood that the Pharmacyclics transaction is consummated and the expected benefits of the transaction,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in AbbVie’s 2014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ectPr>
          <w:pgSz w:w="11900" w:h="16838" w:orient="portrait"/>
          <w:cols w:equalWidth="0" w:num="1">
            <w:col w:w="11420"/>
          </w:cols>
          <w:pgMar w:left="240" w:top="1233" w:right="239" w:bottom="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Media:</w:t>
      </w:r>
    </w:p>
    <w:p>
      <w:pPr>
        <w:spacing w:after="0" w:line="236" w:lineRule="auto"/>
        <w:rPr>
          <w:sz w:val="20"/>
          <w:szCs w:val="20"/>
          <w:color w:val="auto"/>
        </w:rPr>
      </w:pPr>
      <w:r>
        <w:rPr>
          <w:rFonts w:ascii="Arial" w:cs="Arial" w:eastAsia="Arial" w:hAnsi="Arial"/>
          <w:sz w:val="20"/>
          <w:szCs w:val="20"/>
          <w:color w:val="auto"/>
        </w:rPr>
        <w:t>Adelle Infante</w:t>
      </w:r>
    </w:p>
    <w:p>
      <w:pPr>
        <w:spacing w:after="0"/>
        <w:rPr>
          <w:sz w:val="20"/>
          <w:szCs w:val="20"/>
          <w:color w:val="auto"/>
        </w:rPr>
      </w:pPr>
      <w:r>
        <w:rPr>
          <w:rFonts w:ascii="Arial" w:cs="Arial" w:eastAsia="Arial" w:hAnsi="Arial"/>
          <w:sz w:val="19"/>
          <w:szCs w:val="19"/>
          <w:color w:val="auto"/>
        </w:rPr>
        <w:t>(847) 938-8745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Investors:</w:t>
      </w:r>
    </w:p>
    <w:p>
      <w:pPr>
        <w:spacing w:after="0" w:line="236" w:lineRule="auto"/>
        <w:rPr>
          <w:sz w:val="20"/>
          <w:szCs w:val="20"/>
          <w:color w:val="auto"/>
        </w:rPr>
      </w:pPr>
      <w:r>
        <w:rPr>
          <w:rFonts w:ascii="Arial" w:cs="Arial" w:eastAsia="Arial" w:hAnsi="Arial"/>
          <w:sz w:val="20"/>
          <w:szCs w:val="20"/>
          <w:color w:val="auto"/>
        </w:rPr>
        <w:t>Larry Peepo</w:t>
      </w:r>
    </w:p>
    <w:p>
      <w:pPr>
        <w:spacing w:after="0"/>
        <w:rPr>
          <w:sz w:val="20"/>
          <w:szCs w:val="20"/>
          <w:color w:val="auto"/>
        </w:rPr>
      </w:pPr>
      <w:r>
        <w:rPr>
          <w:rFonts w:ascii="Arial" w:cs="Arial" w:eastAsia="Arial" w:hAnsi="Arial"/>
          <w:sz w:val="19"/>
          <w:szCs w:val="19"/>
          <w:color w:val="auto"/>
        </w:rPr>
        <w:t>(847) 935-6722</w:t>
      </w:r>
    </w:p>
    <w:p>
      <w:pPr>
        <w:spacing w:after="0" w:line="200" w:lineRule="exact"/>
        <w:rPr>
          <w:sz w:val="20"/>
          <w:szCs w:val="20"/>
          <w:color w:val="auto"/>
        </w:rPr>
      </w:pPr>
    </w:p>
    <w:p>
      <w:pPr>
        <w:sectPr>
          <w:pgSz w:w="11900" w:h="16838" w:orient="portrait"/>
          <w:cols w:equalWidth="0" w:num="2">
            <w:col w:w="4900" w:space="720"/>
            <w:col w:w="5800"/>
          </w:cols>
          <w:pgMar w:left="240" w:top="531" w:right="239" w:bottom="0" w:gutter="0" w:footer="0" w:header="0"/>
        </w:sectPr>
      </w:pPr>
    </w:p>
    <w:p>
      <w:pPr>
        <w:ind w:left="5620"/>
        <w:spacing w:after="0"/>
        <w:rPr>
          <w:sz w:val="20"/>
          <w:szCs w:val="20"/>
          <w:color w:val="auto"/>
        </w:rPr>
      </w:pPr>
      <w:r>
        <w:rPr>
          <w:rFonts w:ascii="Arial" w:cs="Arial" w:eastAsia="Arial" w:hAnsi="Arial"/>
          <w:sz w:val="20"/>
          <w:szCs w:val="20"/>
          <w:color w:val="auto"/>
        </w:rPr>
        <w:t>Liz Shea</w:t>
      </w:r>
    </w:p>
    <w:p>
      <w:pPr>
        <w:ind w:left="5620"/>
        <w:spacing w:after="0"/>
        <w:rPr>
          <w:sz w:val="20"/>
          <w:szCs w:val="20"/>
          <w:color w:val="auto"/>
        </w:rPr>
      </w:pPr>
      <w:r>
        <w:rPr>
          <w:rFonts w:ascii="Arial" w:cs="Arial" w:eastAsia="Arial" w:hAnsi="Arial"/>
          <w:sz w:val="19"/>
          <w:szCs w:val="19"/>
          <w:color w:val="auto"/>
        </w:rPr>
        <w:t>(847) 935-2211</w:t>
      </w:r>
    </w:p>
    <w:p>
      <w:pPr>
        <w:sectPr>
          <w:pgSz w:w="11900" w:h="16838" w:orient="portrait"/>
          <w:cols w:equalWidth="0" w:num="1">
            <w:col w:w="11420"/>
          </w:cols>
          <w:pgMar w:left="240" w:top="531" w:right="239" w:bottom="0" w:gutter="0" w:footer="0" w:header="0"/>
          <w:type w:val="continuous"/>
        </w:sect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139763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6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w:t>
      </w:r>
    </w:p>
    <w:p>
      <w:pPr>
        <w:spacing w:after="0" w:line="226"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This press release does not constitute an offer to purchase, or a solicitation of an offer to sell, shares of common stock of Pharmacyclics, nor is it a substitute for the Registration Statement on Form S-4 and tender offer materials that AbbVie filed with the Securities and Exchange Commission (“SEC”) on March 23, 2015, each as amended.</w:t>
      </w:r>
    </w:p>
    <w:p>
      <w:pPr>
        <w:spacing w:after="0" w:line="197"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Investors and security holders of Pharmacyclics are urged to read the tender offer statement on Schedule TO, filed on March 23, 2015 (as amended, the “Schedule TO”), the Registration Statement on Form S-4, as filed on March 23, 2015 (as amended, the “Registration Statement”), and the solicitation/recommendation statement filed by Pharmacyclics on Schedule 14D-9, filed on March 23, 2015 (as amended, the “Schedule 14D-9”). The tender offer materials (including an offer to purchase, letter of transmittal and related tender offer documents), the Registration Statement and the Schedule 14D-9 contain important information which should be read carefully before any decisions are made with respect to the Offer.</w:t>
      </w:r>
    </w:p>
    <w:p>
      <w:pPr>
        <w:spacing w:after="0" w:line="196"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 xml:space="preserve">In addition to the Schedule TO, the Schedule 14D-9 and the Registration Statement described above, AbbVie and Pharmacyclics file annual, quarterly and current reports, proxy statements and other information with the SEC. The Schedule TO, the Schedule 14D-9, the Registration Statement and any other relevant materials, and any other documents filed with the SEC by AbbVie or Pharmacyclics, are available without charge at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xml:space="preserve">, or from the companies’ websites, at </w:t>
      </w:r>
      <w:r>
        <w:rPr>
          <w:rFonts w:ascii="Arial" w:cs="Arial" w:eastAsia="Arial" w:hAnsi="Arial"/>
          <w:sz w:val="20"/>
          <w:szCs w:val="20"/>
          <w:u w:val="single" w:color="auto"/>
          <w:color w:val="auto"/>
        </w:rPr>
        <w:t>www.abbvieinvestor.com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http://www.pharmacyclics.com</w:t>
      </w:r>
      <w:r>
        <w:rPr>
          <w:rFonts w:ascii="Arial" w:cs="Arial" w:eastAsia="Arial" w:hAnsi="Arial"/>
          <w:sz w:val="20"/>
          <w:szCs w:val="20"/>
          <w:color w:val="auto"/>
        </w:rPr>
        <w:t>, respectively.</w:t>
      </w:r>
    </w:p>
    <w:p>
      <w:pPr>
        <w:spacing w:after="0" w:line="199" w:lineRule="exact"/>
        <w:rPr>
          <w:sz w:val="20"/>
          <w:szCs w:val="20"/>
          <w:color w:val="auto"/>
        </w:rPr>
      </w:pPr>
    </w:p>
    <w:p>
      <w:pPr>
        <w:ind w:right="300"/>
        <w:spacing w:after="0" w:line="229" w:lineRule="auto"/>
        <w:rPr>
          <w:sz w:val="20"/>
          <w:szCs w:val="20"/>
          <w:color w:val="auto"/>
        </w:rPr>
      </w:pPr>
      <w:r>
        <w:rPr>
          <w:rFonts w:ascii="Arial" w:cs="Arial" w:eastAsia="Arial" w:hAnsi="Arial"/>
          <w:sz w:val="20"/>
          <w:szCs w:val="20"/>
          <w:color w:val="auto"/>
        </w:rPr>
        <w:t xml:space="preserve">Free copies of the exchange offer materials (including the Registration Statement and the Schedule TO) are also available on AbbVie’s website at </w:t>
      </w:r>
      <w:r>
        <w:rPr>
          <w:rFonts w:ascii="Arial" w:cs="Arial" w:eastAsia="Arial" w:hAnsi="Arial"/>
          <w:sz w:val="20"/>
          <w:szCs w:val="20"/>
          <w:u w:val="single" w:color="auto"/>
          <w:color w:val="auto"/>
        </w:rPr>
        <w:t>www.abbvieinvestor.com</w:t>
      </w:r>
      <w:r>
        <w:rPr>
          <w:rFonts w:ascii="Arial" w:cs="Arial" w:eastAsia="Arial" w:hAnsi="Arial"/>
          <w:sz w:val="20"/>
          <w:szCs w:val="20"/>
          <w:color w:val="auto"/>
        </w:rPr>
        <w:t xml:space="preserve"> and copies of the Schedule 14D-9 are available on Pharmacyclics’ website </w:t>
      </w:r>
      <w:r>
        <w:rPr>
          <w:rFonts w:ascii="Arial" w:cs="Arial" w:eastAsia="Arial" w:hAnsi="Arial"/>
          <w:sz w:val="20"/>
          <w:szCs w:val="20"/>
          <w:u w:val="single" w:color="auto"/>
          <w:color w:val="auto"/>
        </w:rPr>
        <w:t>http://www.pharmacyclics.com</w:t>
      </w:r>
      <w:r>
        <w:rPr>
          <w:rFonts w:ascii="Arial" w:cs="Arial" w:eastAsia="Arial" w:hAnsi="Arial"/>
          <w:sz w:val="20"/>
          <w:szCs w:val="20"/>
          <w:color w:val="auto"/>
        </w:rPr>
        <w:t xml:space="preserve">. Copies of the exchange offer materials (including the Registration Statement and the Schedule TO) may also be obtained free of charge from Georgeson Inc., the information agent for the exchange offer, by calling, toll-free, (888) 680-1528 or emailing </w:t>
      </w:r>
      <w:r>
        <w:rPr>
          <w:rFonts w:ascii="Arial" w:cs="Arial" w:eastAsia="Arial" w:hAnsi="Arial"/>
          <w:sz w:val="20"/>
          <w:szCs w:val="20"/>
          <w:u w:val="single" w:color="auto"/>
          <w:color w:val="auto"/>
        </w:rPr>
        <w:t>PCYC@georgeson.com</w:t>
      </w:r>
      <w:r>
        <w:rPr>
          <w:rFonts w:ascii="Arial" w:cs="Arial" w:eastAsia="Arial" w:hAnsi="Arial"/>
          <w:sz w:val="20"/>
          <w:szCs w:val="20"/>
          <w:color w:val="auto"/>
        </w:rPr>
        <w: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112331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331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Sales</w:t>
      </w:r>
    </w:p>
    <w:p>
      <w:pPr>
        <w:jc w:val="center"/>
        <w:spacing w:after="0" w:line="234" w:lineRule="auto"/>
        <w:rPr>
          <w:sz w:val="20"/>
          <w:szCs w:val="20"/>
          <w:color w:val="auto"/>
        </w:rPr>
      </w:pPr>
      <w:r>
        <w:rPr>
          <w:rFonts w:ascii="Arial" w:cs="Arial" w:eastAsia="Arial" w:hAnsi="Arial"/>
          <w:sz w:val="18"/>
          <w:szCs w:val="18"/>
          <w:b w:val="1"/>
          <w:bCs w:val="1"/>
          <w:color w:val="auto"/>
        </w:rPr>
        <w:t>Quarter Ended 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8"/>
            <w:vMerge w:val="restart"/>
          </w:tcPr>
          <w:p>
            <w:pPr>
              <w:jc w:val="center"/>
              <w:ind w:right="300"/>
              <w:spacing w:after="0"/>
              <w:rPr>
                <w:sz w:val="20"/>
                <w:szCs w:val="20"/>
                <w:color w:val="auto"/>
              </w:rPr>
            </w:pPr>
            <w:r>
              <w:rPr>
                <w:rFonts w:ascii="Arial" w:cs="Arial" w:eastAsia="Arial" w:hAnsi="Arial"/>
                <w:sz w:val="20"/>
                <w:szCs w:val="20"/>
                <w:b w:val="1"/>
                <w:bCs w:val="1"/>
                <w:color w:val="auto"/>
                <w:w w:val="99"/>
              </w:rPr>
              <w:t>Sales (in millions)</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center"/>
              <w:ind w:right="1320"/>
              <w:spacing w:after="0"/>
              <w:rPr>
                <w:sz w:val="20"/>
                <w:szCs w:val="20"/>
                <w:color w:val="auto"/>
              </w:rPr>
            </w:pPr>
            <w:r>
              <w:rPr>
                <w:rFonts w:ascii="Arial" w:cs="Arial" w:eastAsia="Arial" w:hAnsi="Arial"/>
                <w:sz w:val="20"/>
                <w:szCs w:val="20"/>
                <w:b w:val="1"/>
                <w:bCs w:val="1"/>
                <w:color w:val="auto"/>
                <w:w w:val="98"/>
              </w:rPr>
              <w:t>% Change vs. 1Q14</w:t>
            </w: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6"/>
              </w:rPr>
              <w:t>U.S.</w:t>
            </w: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560"/>
              <w:spacing w:after="0" w:line="223" w:lineRule="exact"/>
              <w:rPr>
                <w:sz w:val="20"/>
                <w:szCs w:val="20"/>
                <w:color w:val="auto"/>
              </w:rPr>
            </w:pPr>
            <w:r>
              <w:rPr>
                <w:rFonts w:ascii="Arial" w:cs="Arial" w:eastAsia="Arial" w:hAnsi="Arial"/>
                <w:sz w:val="20"/>
                <w:szCs w:val="20"/>
                <w:b w:val="1"/>
                <w:bCs w:val="1"/>
                <w:color w:val="auto"/>
              </w:rPr>
              <w:t>International</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800"/>
              <w:spacing w:after="0" w:line="223" w:lineRule="exact"/>
              <w:rPr>
                <w:sz w:val="20"/>
                <w:szCs w:val="20"/>
                <w:color w:val="auto"/>
              </w:rPr>
            </w:pPr>
            <w:r>
              <w:rPr>
                <w:rFonts w:ascii="Arial" w:cs="Arial" w:eastAsia="Arial" w:hAnsi="Arial"/>
                <w:sz w:val="20"/>
                <w:szCs w:val="20"/>
                <w:b w:val="1"/>
                <w:bCs w:val="1"/>
                <w:color w:val="auto"/>
              </w:rPr>
              <w:t>Total</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line="156" w:lineRule="exact"/>
              <w:rPr>
                <w:sz w:val="20"/>
                <w:szCs w:val="20"/>
                <w:color w:val="auto"/>
              </w:rPr>
            </w:pPr>
            <w:r>
              <w:rPr>
                <w:rFonts w:ascii="Arial" w:cs="Arial" w:eastAsia="Arial" w:hAnsi="Arial"/>
                <w:sz w:val="18"/>
                <w:szCs w:val="18"/>
                <w:b w:val="1"/>
                <w:bCs w:val="1"/>
                <w:color w:val="auto"/>
                <w:w w:val="96"/>
              </w:rPr>
              <w:t>U.S.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rPr>
              <w:t>Int’l.</w:t>
            </w:r>
          </w:p>
        </w:tc>
        <w:tc>
          <w:tcPr>
            <w:tcW w:w="260" w:type="dxa"/>
            <w:vAlign w:val="bottom"/>
          </w:tcPr>
          <w:p>
            <w:pPr>
              <w:spacing w:after="0"/>
              <w:rPr>
                <w:sz w:val="14"/>
                <w:szCs w:val="14"/>
                <w:color w:val="auto"/>
              </w:rPr>
            </w:pPr>
          </w:p>
        </w:tc>
        <w:tc>
          <w:tcPr>
            <w:tcW w:w="920" w:type="dxa"/>
            <w:vAlign w:val="bottom"/>
            <w:gridSpan w:val="3"/>
          </w:tcPr>
          <w:p>
            <w:pPr>
              <w:ind w:left="240"/>
              <w:spacing w:after="0" w:line="156"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40"/>
              <w:spacing w:after="0" w:line="156" w:lineRule="exact"/>
              <w:rPr>
                <w:sz w:val="20"/>
                <w:szCs w:val="20"/>
                <w:color w:val="auto"/>
              </w:rPr>
            </w:pPr>
            <w:r>
              <w:rPr>
                <w:rFonts w:ascii="Arial" w:cs="Arial" w:eastAsia="Arial" w:hAnsi="Arial"/>
                <w:sz w:val="18"/>
                <w:szCs w:val="18"/>
                <w:b w:val="1"/>
                <w:bCs w:val="1"/>
                <w:color w:val="auto"/>
                <w:w w:val="99"/>
              </w:rPr>
              <w:t>Operational</w:t>
            </w:r>
          </w:p>
        </w:tc>
        <w:tc>
          <w:tcPr>
            <w:tcW w:w="540" w:type="dxa"/>
            <w:vAlign w:val="bottom"/>
          </w:tcPr>
          <w:p>
            <w:pPr>
              <w:spacing w:after="0"/>
              <w:rPr>
                <w:sz w:val="14"/>
                <w:szCs w:val="14"/>
                <w:color w:val="auto"/>
              </w:rPr>
            </w:pPr>
          </w:p>
        </w:tc>
        <w:tc>
          <w:tcPr>
            <w:tcW w:w="1040" w:type="dxa"/>
            <w:vAlign w:val="bottom"/>
            <w:gridSpan w:val="2"/>
          </w:tcPr>
          <w:p>
            <w:pPr>
              <w:jc w:val="center"/>
              <w:ind w:right="260"/>
              <w:spacing w:after="0" w:line="156" w:lineRule="exact"/>
              <w:rPr>
                <w:sz w:val="20"/>
                <w:szCs w:val="20"/>
                <w:color w:val="auto"/>
              </w:rPr>
            </w:pPr>
            <w:r>
              <w:rPr>
                <w:rFonts w:ascii="Arial" w:cs="Arial" w:eastAsia="Arial" w:hAnsi="Arial"/>
                <w:sz w:val="18"/>
                <w:szCs w:val="18"/>
                <w:b w:val="1"/>
                <w:bCs w:val="1"/>
                <w:color w:val="auto"/>
                <w:w w:val="98"/>
              </w:rPr>
              <w:t>Reported</w:t>
            </w:r>
          </w:p>
        </w:tc>
        <w:tc>
          <w:tcPr>
            <w:tcW w:w="1600" w:type="dxa"/>
            <w:vAlign w:val="bottom"/>
            <w:gridSpan w:val="3"/>
          </w:tcPr>
          <w:p>
            <w:pPr>
              <w:jc w:val="center"/>
              <w:ind w:right="160"/>
              <w:spacing w:after="0" w:line="156" w:lineRule="exact"/>
              <w:rPr>
                <w:sz w:val="20"/>
                <w:szCs w:val="20"/>
                <w:color w:val="auto"/>
              </w:rPr>
            </w:pPr>
            <w:r>
              <w:rPr>
                <w:rFonts w:ascii="Arial" w:cs="Arial" w:eastAsia="Arial" w:hAnsi="Arial"/>
                <w:sz w:val="18"/>
                <w:szCs w:val="18"/>
                <w:b w:val="1"/>
                <w:bCs w:val="1"/>
                <w:color w:val="auto"/>
                <w:w w:val="99"/>
              </w:rPr>
              <w:t>Operational</w:t>
            </w:r>
          </w:p>
        </w:tc>
        <w:tc>
          <w:tcPr>
            <w:tcW w:w="940" w:type="dxa"/>
            <w:vAlign w:val="bottom"/>
            <w:gridSpan w:val="2"/>
          </w:tcPr>
          <w:p>
            <w:pPr>
              <w:jc w:val="center"/>
              <w:ind w:right="140"/>
              <w:spacing w:after="0" w:line="156" w:lineRule="exact"/>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900" w:type="dxa"/>
            <w:vAlign w:val="bottom"/>
            <w:vMerge w:val="restart"/>
          </w:tcPr>
          <w:p>
            <w:pPr>
              <w:spacing w:after="0"/>
              <w:rPr>
                <w:sz w:val="20"/>
                <w:szCs w:val="20"/>
                <w:color w:val="auto"/>
              </w:rPr>
            </w:pPr>
            <w:r>
              <w:rPr>
                <w:rFonts w:ascii="Arial" w:cs="Arial" w:eastAsia="Arial" w:hAnsi="Arial"/>
                <w:sz w:val="20"/>
                <w:szCs w:val="20"/>
                <w:b w:val="1"/>
                <w:bCs w:val="1"/>
                <w:color w:val="auto"/>
              </w:rPr>
              <w:t>TOTAL SALES</w:t>
            </w: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auto"/>
                <w:w w:val="98"/>
              </w:rPr>
              <w:t>$2,650</w:t>
            </w:r>
          </w:p>
        </w:tc>
        <w:tc>
          <w:tcPr>
            <w:tcW w:w="920" w:type="dxa"/>
            <w:vAlign w:val="bottom"/>
            <w:gridSpan w:val="3"/>
            <w:vMerge w:val="restart"/>
          </w:tcPr>
          <w:p>
            <w:pPr>
              <w:jc w:val="center"/>
              <w:spacing w:after="0"/>
              <w:rPr>
                <w:sz w:val="20"/>
                <w:szCs w:val="20"/>
                <w:color w:val="auto"/>
              </w:rPr>
            </w:pPr>
            <w:r>
              <w:rPr>
                <w:rFonts w:ascii="Arial" w:cs="Arial" w:eastAsia="Arial" w:hAnsi="Arial"/>
                <w:sz w:val="20"/>
                <w:szCs w:val="20"/>
                <w:b w:val="1"/>
                <w:bCs w:val="1"/>
                <w:color w:val="auto"/>
              </w:rPr>
              <w:t>$2,390</w:t>
            </w: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20"/>
                <w:szCs w:val="20"/>
                <w:b w:val="1"/>
                <w:bCs w:val="1"/>
                <w:color w:val="auto"/>
                <w:w w:val="98"/>
              </w:rPr>
              <w:t>$5,040</w:t>
            </w:r>
          </w:p>
        </w:tc>
        <w:tc>
          <w:tcPr>
            <w:tcW w:w="20" w:type="dxa"/>
            <w:vAlign w:val="bottom"/>
          </w:tcPr>
          <w:p>
            <w:pPr>
              <w:spacing w:after="0"/>
              <w:rPr>
                <w:sz w:val="8"/>
                <w:szCs w:val="8"/>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20"/>
                <w:szCs w:val="20"/>
                <w:b w:val="1"/>
                <w:bCs w:val="1"/>
                <w:color w:val="auto"/>
                <w:w w:val="98"/>
              </w:rPr>
              <w:t>19.1%</w:t>
            </w:r>
          </w:p>
        </w:tc>
        <w:tc>
          <w:tcPr>
            <w:tcW w:w="1220" w:type="dxa"/>
            <w:vAlign w:val="bottom"/>
            <w:gridSpan w:val="2"/>
            <w:vMerge w:val="restart"/>
          </w:tcPr>
          <w:p>
            <w:pPr>
              <w:jc w:val="center"/>
              <w:ind w:left="121"/>
              <w:spacing w:after="0"/>
              <w:rPr>
                <w:sz w:val="20"/>
                <w:szCs w:val="20"/>
                <w:color w:val="auto"/>
              </w:rPr>
            </w:pPr>
            <w:r>
              <w:rPr>
                <w:rFonts w:ascii="Arial" w:cs="Arial" w:eastAsia="Arial" w:hAnsi="Arial"/>
                <w:sz w:val="20"/>
                <w:szCs w:val="20"/>
                <w:b w:val="1"/>
                <w:bCs w:val="1"/>
                <w:color w:val="auto"/>
                <w:w w:val="98"/>
              </w:rPr>
              <w:t>16.5%</w:t>
            </w:r>
          </w:p>
        </w:tc>
        <w:tc>
          <w:tcPr>
            <w:tcW w:w="40" w:type="dxa"/>
            <w:vAlign w:val="bottom"/>
          </w:tcPr>
          <w:p>
            <w:pPr>
              <w:spacing w:after="0"/>
              <w:rPr>
                <w:sz w:val="8"/>
                <w:szCs w:val="8"/>
                <w:color w:val="auto"/>
              </w:rPr>
            </w:pPr>
          </w:p>
        </w:tc>
        <w:tc>
          <w:tcPr>
            <w:tcW w:w="1320" w:type="dxa"/>
            <w:vAlign w:val="bottom"/>
            <w:gridSpan w:val="2"/>
            <w:vMerge w:val="restart"/>
          </w:tcPr>
          <w:p>
            <w:pPr>
              <w:jc w:val="center"/>
              <w:ind w:left="441"/>
              <w:spacing w:after="0"/>
              <w:rPr>
                <w:sz w:val="20"/>
                <w:szCs w:val="20"/>
                <w:color w:val="auto"/>
              </w:rPr>
            </w:pPr>
            <w:r>
              <w:rPr>
                <w:rFonts w:ascii="Arial" w:cs="Arial" w:eastAsia="Arial" w:hAnsi="Arial"/>
                <w:sz w:val="20"/>
                <w:szCs w:val="20"/>
                <w:b w:val="1"/>
                <w:bCs w:val="1"/>
                <w:color w:val="auto"/>
              </w:rPr>
              <w:t>2.3%</w:t>
            </w:r>
          </w:p>
        </w:tc>
        <w:tc>
          <w:tcPr>
            <w:tcW w:w="260" w:type="dxa"/>
            <w:vAlign w:val="bottom"/>
          </w:tcPr>
          <w:p>
            <w:pPr>
              <w:spacing w:after="0"/>
              <w:rPr>
                <w:sz w:val="8"/>
                <w:szCs w:val="8"/>
                <w:color w:val="auto"/>
              </w:rPr>
            </w:pPr>
          </w:p>
        </w:tc>
        <w:tc>
          <w:tcPr>
            <w:tcW w:w="1220" w:type="dxa"/>
            <w:vAlign w:val="bottom"/>
            <w:gridSpan w:val="2"/>
            <w:vMerge w:val="restart"/>
          </w:tcPr>
          <w:p>
            <w:pPr>
              <w:jc w:val="center"/>
              <w:ind w:left="122"/>
              <w:spacing w:after="0"/>
              <w:rPr>
                <w:sz w:val="20"/>
                <w:szCs w:val="20"/>
                <w:color w:val="auto"/>
              </w:rPr>
            </w:pPr>
            <w:r>
              <w:rPr>
                <w:rFonts w:ascii="Arial" w:cs="Arial" w:eastAsia="Arial" w:hAnsi="Arial"/>
                <w:sz w:val="20"/>
                <w:szCs w:val="20"/>
                <w:b w:val="1"/>
                <w:bCs w:val="1"/>
                <w:color w:val="auto"/>
                <w:w w:val="98"/>
              </w:rPr>
              <w:t>17.8%</w:t>
            </w:r>
          </w:p>
        </w:tc>
        <w:tc>
          <w:tcPr>
            <w:tcW w:w="38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10.5%</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900" w:type="dxa"/>
            <w:vAlign w:val="bottom"/>
            <w:vMerge w:val="continue"/>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Humira</w:t>
            </w:r>
          </w:p>
        </w:tc>
        <w:tc>
          <w:tcPr>
            <w:tcW w:w="840" w:type="dxa"/>
            <w:vAlign w:val="bottom"/>
            <w:gridSpan w:val="3"/>
          </w:tcPr>
          <w:p>
            <w:pPr>
              <w:jc w:val="center"/>
              <w:ind w:right="60"/>
              <w:spacing w:after="0"/>
              <w:rPr>
                <w:sz w:val="20"/>
                <w:szCs w:val="20"/>
                <w:color w:val="auto"/>
              </w:rPr>
            </w:pPr>
            <w:r>
              <w:rPr>
                <w:rFonts w:ascii="Arial" w:cs="Arial" w:eastAsia="Arial" w:hAnsi="Arial"/>
                <w:sz w:val="20"/>
                <w:szCs w:val="20"/>
                <w:color w:val="auto"/>
                <w:w w:val="99"/>
              </w:rPr>
              <w:t>1,664</w:t>
            </w:r>
          </w:p>
        </w:tc>
        <w:tc>
          <w:tcPr>
            <w:tcW w:w="920" w:type="dxa"/>
            <w:vAlign w:val="bottom"/>
            <w:gridSpan w:val="3"/>
          </w:tcPr>
          <w:p>
            <w:pPr>
              <w:jc w:val="center"/>
              <w:spacing w:after="0"/>
              <w:rPr>
                <w:sz w:val="20"/>
                <w:szCs w:val="20"/>
                <w:color w:val="auto"/>
              </w:rPr>
            </w:pPr>
            <w:r>
              <w:rPr>
                <w:rFonts w:ascii="Arial" w:cs="Arial" w:eastAsia="Arial" w:hAnsi="Arial"/>
                <w:sz w:val="20"/>
                <w:szCs w:val="20"/>
                <w:color w:val="auto"/>
                <w:w w:val="99"/>
              </w:rPr>
              <w:t>1,447</w:t>
            </w:r>
          </w:p>
        </w:tc>
        <w:tc>
          <w:tcPr>
            <w:tcW w:w="920" w:type="dxa"/>
            <w:vAlign w:val="bottom"/>
            <w:gridSpan w:val="3"/>
          </w:tcPr>
          <w:p>
            <w:pPr>
              <w:jc w:val="center"/>
              <w:ind w:right="20"/>
              <w:spacing w:after="0"/>
              <w:rPr>
                <w:sz w:val="20"/>
                <w:szCs w:val="20"/>
                <w:color w:val="auto"/>
              </w:rPr>
            </w:pPr>
            <w:r>
              <w:rPr>
                <w:rFonts w:ascii="Arial" w:cs="Arial" w:eastAsia="Arial" w:hAnsi="Arial"/>
                <w:sz w:val="20"/>
                <w:szCs w:val="20"/>
                <w:color w:val="auto"/>
                <w:w w:val="99"/>
              </w:rPr>
              <w:t>3,111</w:t>
            </w: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20"/>
                <w:szCs w:val="20"/>
                <w:color w:val="auto"/>
                <w:w w:val="97"/>
              </w:rPr>
              <w:t>39.6</w:t>
            </w: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14.8</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rPr>
              <w:t>0.2</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42"/>
              <w:spacing w:after="0"/>
              <w:rPr>
                <w:sz w:val="20"/>
                <w:szCs w:val="20"/>
                <w:color w:val="auto"/>
              </w:rPr>
            </w:pPr>
            <w:r>
              <w:rPr>
                <w:rFonts w:ascii="Arial" w:cs="Arial" w:eastAsia="Arial" w:hAnsi="Arial"/>
                <w:sz w:val="20"/>
                <w:szCs w:val="20"/>
                <w:color w:val="auto"/>
                <w:w w:val="97"/>
              </w:rPr>
              <w:t>26.0</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rPr>
              <w:t>18.0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Synagis</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335</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335</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20"/>
                <w:szCs w:val="20"/>
                <w:color w:val="auto"/>
              </w:rPr>
              <w:t>n/a</w:t>
            </w: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w w:val="93"/>
              </w:rPr>
              <w:t>8.0</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w w:val="97"/>
              </w:rPr>
              <w:t>(5.5)</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22"/>
              <w:spacing w:after="0"/>
              <w:rPr>
                <w:sz w:val="20"/>
                <w:szCs w:val="20"/>
                <w:color w:val="auto"/>
              </w:rPr>
            </w:pPr>
            <w:r>
              <w:rPr>
                <w:rFonts w:ascii="Arial" w:cs="Arial" w:eastAsia="Arial" w:hAnsi="Arial"/>
                <w:sz w:val="20"/>
                <w:szCs w:val="20"/>
                <w:color w:val="auto"/>
              </w:rPr>
              <w:t>8.0</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w w:val="97"/>
              </w:rPr>
              <w:t>(5.5)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Viekira</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95"/>
              </w:rPr>
              <w:t>138</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w w:val="98"/>
              </w:rPr>
              <w:t>93</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231</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20"/>
                <w:szCs w:val="20"/>
                <w:color w:val="auto"/>
              </w:rPr>
              <w:t>n/m</w:t>
            </w:r>
          </w:p>
        </w:tc>
        <w:tc>
          <w:tcPr>
            <w:tcW w:w="22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20"/>
                <w:szCs w:val="20"/>
                <w:color w:val="auto"/>
              </w:rPr>
              <w:t>n/m</w:t>
            </w:r>
          </w:p>
        </w:tc>
        <w:tc>
          <w:tcPr>
            <w:tcW w:w="540" w:type="dxa"/>
            <w:vAlign w:val="bottom"/>
          </w:tcPr>
          <w:p>
            <w:pPr>
              <w:spacing w:after="0"/>
              <w:rPr>
                <w:sz w:val="24"/>
                <w:szCs w:val="24"/>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rPr>
              <w:t>n/m</w:t>
            </w:r>
          </w:p>
        </w:tc>
        <w:tc>
          <w:tcPr>
            <w:tcW w:w="2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20"/>
                <w:szCs w:val="20"/>
                <w:color w:val="auto"/>
                <w:w w:val="95"/>
              </w:rPr>
              <w:t>n/m</w:t>
            </w:r>
          </w:p>
        </w:tc>
        <w:tc>
          <w:tcPr>
            <w:tcW w:w="940" w:type="dxa"/>
            <w:vAlign w:val="bottom"/>
            <w:gridSpan w:val="2"/>
          </w:tcPr>
          <w:p>
            <w:pPr>
              <w:jc w:val="center"/>
              <w:ind w:right="140"/>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Lupron</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95"/>
              </w:rPr>
              <w:t>150</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w w:val="98"/>
              </w:rPr>
              <w:t>42</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192</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00" w:type="dxa"/>
            <w:vAlign w:val="bottom"/>
            <w:gridSpan w:val="2"/>
          </w:tcPr>
          <w:p>
            <w:pPr>
              <w:jc w:val="center"/>
              <w:ind w:left="142"/>
              <w:spacing w:after="0"/>
              <w:rPr>
                <w:sz w:val="20"/>
                <w:szCs w:val="20"/>
                <w:color w:val="auto"/>
              </w:rPr>
            </w:pPr>
            <w:r>
              <w:rPr>
                <w:rFonts w:ascii="Arial" w:cs="Arial" w:eastAsia="Arial" w:hAnsi="Arial"/>
                <w:sz w:val="20"/>
                <w:szCs w:val="20"/>
                <w:color w:val="auto"/>
              </w:rPr>
              <w:t>7.0</w:t>
            </w:r>
          </w:p>
        </w:tc>
        <w:tc>
          <w:tcPr>
            <w:tcW w:w="380" w:type="dxa"/>
            <w:vAlign w:val="bottom"/>
          </w:tcPr>
          <w:p>
            <w:pPr>
              <w:spacing w:after="0"/>
              <w:rPr>
                <w:sz w:val="24"/>
                <w:szCs w:val="24"/>
                <w:color w:val="auto"/>
              </w:rPr>
            </w:pP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rPr>
              <w:t>(5.1)</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w w:val="99"/>
              </w:rPr>
              <w:t>(14.2)</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22"/>
              <w:spacing w:after="0"/>
              <w:rPr>
                <w:sz w:val="20"/>
                <w:szCs w:val="20"/>
                <w:color w:val="auto"/>
              </w:rPr>
            </w:pPr>
            <w:r>
              <w:rPr>
                <w:rFonts w:ascii="Arial" w:cs="Arial" w:eastAsia="Arial" w:hAnsi="Arial"/>
                <w:sz w:val="20"/>
                <w:szCs w:val="20"/>
                <w:color w:val="auto"/>
              </w:rPr>
              <w:t>3.8</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rPr>
              <w:t>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Synthroid</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95"/>
              </w:rPr>
              <w:t>186</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186</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20"/>
                <w:szCs w:val="20"/>
                <w:color w:val="auto"/>
                <w:w w:val="97"/>
              </w:rPr>
              <w:t>18.8</w:t>
            </w:r>
          </w:p>
        </w:tc>
        <w:tc>
          <w:tcPr>
            <w:tcW w:w="22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20"/>
                <w:szCs w:val="20"/>
                <w:color w:val="auto"/>
                <w:w w:val="93"/>
              </w:rPr>
              <w:t>n/a</w:t>
            </w:r>
          </w:p>
        </w:tc>
        <w:tc>
          <w:tcPr>
            <w:tcW w:w="540" w:type="dxa"/>
            <w:vAlign w:val="bottom"/>
          </w:tcPr>
          <w:p>
            <w:pPr>
              <w:spacing w:after="0"/>
              <w:rPr>
                <w:sz w:val="24"/>
                <w:szCs w:val="2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20"/>
                <w:szCs w:val="20"/>
                <w:color w:val="auto"/>
              </w:rPr>
              <w:t>n/a</w:t>
            </w:r>
          </w:p>
        </w:tc>
        <w:tc>
          <w:tcPr>
            <w:tcW w:w="1220" w:type="dxa"/>
            <w:vAlign w:val="bottom"/>
            <w:gridSpan w:val="2"/>
          </w:tcPr>
          <w:p>
            <w:pPr>
              <w:jc w:val="center"/>
              <w:ind w:left="142"/>
              <w:spacing w:after="0"/>
              <w:rPr>
                <w:sz w:val="20"/>
                <w:szCs w:val="20"/>
                <w:color w:val="auto"/>
              </w:rPr>
            </w:pPr>
            <w:r>
              <w:rPr>
                <w:rFonts w:ascii="Arial" w:cs="Arial" w:eastAsia="Arial" w:hAnsi="Arial"/>
                <w:sz w:val="20"/>
                <w:szCs w:val="20"/>
                <w:color w:val="auto"/>
                <w:w w:val="97"/>
              </w:rPr>
              <w:t>18.8</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rPr>
              <w:t>18.8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Kaletra</w:t>
            </w:r>
          </w:p>
        </w:tc>
        <w:tc>
          <w:tcPr>
            <w:tcW w:w="56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41</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139</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180</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20"/>
                <w:szCs w:val="20"/>
                <w:color w:val="auto"/>
                <w:w w:val="99"/>
              </w:rPr>
              <w:t>(23.8)</w:t>
            </w: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13.1</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w w:val="97"/>
              </w:rPr>
              <w:t>(1.7)</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22"/>
              <w:spacing w:after="0"/>
              <w:rPr>
                <w:sz w:val="20"/>
                <w:szCs w:val="20"/>
                <w:color w:val="auto"/>
              </w:rPr>
            </w:pPr>
            <w:r>
              <w:rPr>
                <w:rFonts w:ascii="Arial" w:cs="Arial" w:eastAsia="Arial" w:hAnsi="Arial"/>
                <w:sz w:val="20"/>
                <w:szCs w:val="20"/>
                <w:color w:val="auto"/>
              </w:rPr>
              <w:t>3.1</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w w:val="97"/>
              </w:rPr>
              <w:t>(7.7)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AndroGel</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95"/>
              </w:rPr>
              <w:t>153</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153</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20"/>
                <w:szCs w:val="20"/>
                <w:color w:val="auto"/>
                <w:w w:val="99"/>
              </w:rPr>
              <w:t>(39.8)</w:t>
            </w:r>
          </w:p>
        </w:tc>
        <w:tc>
          <w:tcPr>
            <w:tcW w:w="22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20"/>
                <w:szCs w:val="20"/>
                <w:color w:val="auto"/>
                <w:w w:val="93"/>
              </w:rPr>
              <w:t>n/a</w:t>
            </w:r>
          </w:p>
        </w:tc>
        <w:tc>
          <w:tcPr>
            <w:tcW w:w="540" w:type="dxa"/>
            <w:vAlign w:val="bottom"/>
          </w:tcPr>
          <w:p>
            <w:pPr>
              <w:spacing w:after="0"/>
              <w:rPr>
                <w:sz w:val="24"/>
                <w:szCs w:val="2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20"/>
                <w:szCs w:val="20"/>
                <w:color w:val="auto"/>
              </w:rPr>
              <w:t>n/a</w:t>
            </w:r>
          </w:p>
        </w:tc>
        <w:tc>
          <w:tcPr>
            <w:tcW w:w="1220" w:type="dxa"/>
            <w:vAlign w:val="bottom"/>
            <w:gridSpan w:val="2"/>
          </w:tcPr>
          <w:p>
            <w:pPr>
              <w:jc w:val="center"/>
              <w:ind w:left="122"/>
              <w:spacing w:after="0"/>
              <w:rPr>
                <w:sz w:val="20"/>
                <w:szCs w:val="20"/>
                <w:color w:val="auto"/>
              </w:rPr>
            </w:pPr>
            <w:r>
              <w:rPr>
                <w:rFonts w:ascii="Arial" w:cs="Arial" w:eastAsia="Arial" w:hAnsi="Arial"/>
                <w:sz w:val="20"/>
                <w:szCs w:val="20"/>
                <w:color w:val="auto"/>
                <w:w w:val="99"/>
              </w:rPr>
              <w:t>(39.8)</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w w:val="99"/>
              </w:rPr>
              <w:t>(39.8)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Creon</w:t>
            </w:r>
          </w:p>
        </w:tc>
        <w:tc>
          <w:tcPr>
            <w:tcW w:w="560" w:type="dxa"/>
            <w:vAlign w:val="bottom"/>
            <w:gridSpan w:val="2"/>
          </w:tcPr>
          <w:p>
            <w:pPr>
              <w:jc w:val="center"/>
              <w:ind w:left="101"/>
              <w:spacing w:after="0"/>
              <w:rPr>
                <w:sz w:val="20"/>
                <w:szCs w:val="20"/>
                <w:color w:val="auto"/>
              </w:rPr>
            </w:pPr>
            <w:r>
              <w:rPr>
                <w:rFonts w:ascii="Arial" w:cs="Arial" w:eastAsia="Arial" w:hAnsi="Arial"/>
                <w:sz w:val="20"/>
                <w:szCs w:val="20"/>
                <w:color w:val="auto"/>
                <w:w w:val="95"/>
              </w:rPr>
              <w:t>127</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127</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20"/>
                <w:szCs w:val="20"/>
                <w:color w:val="auto"/>
                <w:w w:val="97"/>
              </w:rPr>
              <w:t>18.8</w:t>
            </w:r>
          </w:p>
        </w:tc>
        <w:tc>
          <w:tcPr>
            <w:tcW w:w="22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20"/>
                <w:szCs w:val="20"/>
                <w:color w:val="auto"/>
                <w:w w:val="93"/>
              </w:rPr>
              <w:t>n/a</w:t>
            </w:r>
          </w:p>
        </w:tc>
        <w:tc>
          <w:tcPr>
            <w:tcW w:w="540" w:type="dxa"/>
            <w:vAlign w:val="bottom"/>
          </w:tcPr>
          <w:p>
            <w:pPr>
              <w:spacing w:after="0"/>
              <w:rPr>
                <w:sz w:val="24"/>
                <w:szCs w:val="2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20"/>
                <w:szCs w:val="20"/>
                <w:color w:val="auto"/>
              </w:rPr>
              <w:t>n/a</w:t>
            </w:r>
          </w:p>
        </w:tc>
        <w:tc>
          <w:tcPr>
            <w:tcW w:w="1220" w:type="dxa"/>
            <w:vAlign w:val="bottom"/>
            <w:gridSpan w:val="2"/>
          </w:tcPr>
          <w:p>
            <w:pPr>
              <w:jc w:val="center"/>
              <w:ind w:left="142"/>
              <w:spacing w:after="0"/>
              <w:rPr>
                <w:sz w:val="20"/>
                <w:szCs w:val="20"/>
                <w:color w:val="auto"/>
              </w:rPr>
            </w:pPr>
            <w:r>
              <w:rPr>
                <w:rFonts w:ascii="Arial" w:cs="Arial" w:eastAsia="Arial" w:hAnsi="Arial"/>
                <w:sz w:val="20"/>
                <w:szCs w:val="20"/>
                <w:color w:val="auto"/>
                <w:w w:val="97"/>
              </w:rPr>
              <w:t>18.8</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rPr>
              <w:t>18.8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Sevoflurane</w:t>
            </w:r>
          </w:p>
        </w:tc>
        <w:tc>
          <w:tcPr>
            <w:tcW w:w="56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18</w:t>
            </w:r>
          </w:p>
        </w:tc>
        <w:tc>
          <w:tcPr>
            <w:tcW w:w="280" w:type="dxa"/>
            <w:vAlign w:val="bottom"/>
          </w:tcPr>
          <w:p>
            <w:pPr>
              <w:spacing w:after="0"/>
              <w:rPr>
                <w:sz w:val="24"/>
                <w:szCs w:val="24"/>
                <w:color w:val="auto"/>
              </w:rPr>
            </w:pP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rPr>
              <w:t>108</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rPr>
              <w:t>126</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20"/>
                <w:szCs w:val="20"/>
                <w:color w:val="auto"/>
                <w:w w:val="97"/>
              </w:rPr>
              <w:t>(2.8)</w:t>
            </w: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rPr>
              <w:t>(1.1)</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w w:val="99"/>
              </w:rPr>
              <w:t>(12.1)</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22"/>
              <w:spacing w:after="0"/>
              <w:rPr>
                <w:sz w:val="20"/>
                <w:szCs w:val="20"/>
                <w:color w:val="auto"/>
              </w:rPr>
            </w:pPr>
            <w:r>
              <w:rPr>
                <w:rFonts w:ascii="Arial" w:cs="Arial" w:eastAsia="Arial" w:hAnsi="Arial"/>
                <w:sz w:val="20"/>
                <w:szCs w:val="20"/>
                <w:color w:val="auto"/>
                <w:w w:val="97"/>
              </w:rPr>
              <w:t>(1.3)</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w w:val="99"/>
              </w:rPr>
              <w:t>(10.9)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Duodopa</w:t>
            </w:r>
          </w:p>
        </w:tc>
        <w:tc>
          <w:tcPr>
            <w:tcW w:w="2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20"/>
                <w:szCs w:val="20"/>
                <w:color w:val="auto"/>
              </w:rPr>
              <w:t>n/m</w:t>
            </w:r>
          </w:p>
        </w:tc>
        <w:tc>
          <w:tcPr>
            <w:tcW w:w="660" w:type="dxa"/>
            <w:vAlign w:val="bottom"/>
            <w:gridSpan w:val="2"/>
          </w:tcPr>
          <w:p>
            <w:pPr>
              <w:jc w:val="center"/>
              <w:ind w:left="181"/>
              <w:spacing w:after="0"/>
              <w:rPr>
                <w:sz w:val="20"/>
                <w:szCs w:val="20"/>
                <w:color w:val="auto"/>
              </w:rPr>
            </w:pPr>
            <w:r>
              <w:rPr>
                <w:rFonts w:ascii="Arial" w:cs="Arial" w:eastAsia="Arial" w:hAnsi="Arial"/>
                <w:sz w:val="20"/>
                <w:szCs w:val="20"/>
                <w:color w:val="auto"/>
                <w:w w:val="98"/>
              </w:rPr>
              <w:t>53</w:t>
            </w:r>
          </w:p>
        </w:tc>
        <w:tc>
          <w:tcPr>
            <w:tcW w:w="260" w:type="dxa"/>
            <w:vAlign w:val="bottom"/>
          </w:tcPr>
          <w:p>
            <w:pPr>
              <w:spacing w:after="0"/>
              <w:rPr>
                <w:sz w:val="24"/>
                <w:szCs w:val="24"/>
                <w:color w:val="auto"/>
              </w:rPr>
            </w:pPr>
          </w:p>
        </w:tc>
        <w:tc>
          <w:tcPr>
            <w:tcW w:w="660" w:type="dxa"/>
            <w:vAlign w:val="bottom"/>
            <w:gridSpan w:val="2"/>
          </w:tcPr>
          <w:p>
            <w:pPr>
              <w:jc w:val="center"/>
              <w:ind w:left="142"/>
              <w:spacing w:after="0"/>
              <w:rPr>
                <w:sz w:val="20"/>
                <w:szCs w:val="20"/>
                <w:color w:val="auto"/>
              </w:rPr>
            </w:pPr>
            <w:r>
              <w:rPr>
                <w:rFonts w:ascii="Arial" w:cs="Arial" w:eastAsia="Arial" w:hAnsi="Arial"/>
                <w:sz w:val="20"/>
                <w:szCs w:val="20"/>
                <w:color w:val="auto"/>
                <w:w w:val="98"/>
              </w:rPr>
              <w:t>53</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20"/>
                <w:szCs w:val="20"/>
                <w:color w:val="auto"/>
              </w:rPr>
              <w:t>n/m</w:t>
            </w:r>
          </w:p>
        </w:tc>
        <w:tc>
          <w:tcPr>
            <w:tcW w:w="1220" w:type="dxa"/>
            <w:vAlign w:val="bottom"/>
            <w:gridSpan w:val="2"/>
          </w:tcPr>
          <w:p>
            <w:pPr>
              <w:jc w:val="center"/>
              <w:ind w:left="141"/>
              <w:spacing w:after="0"/>
              <w:rPr>
                <w:sz w:val="20"/>
                <w:szCs w:val="20"/>
                <w:color w:val="auto"/>
              </w:rPr>
            </w:pPr>
            <w:r>
              <w:rPr>
                <w:rFonts w:ascii="Arial" w:cs="Arial" w:eastAsia="Arial" w:hAnsi="Arial"/>
                <w:sz w:val="20"/>
                <w:szCs w:val="20"/>
                <w:color w:val="auto"/>
                <w:w w:val="97"/>
              </w:rPr>
              <w:t>18.9</w:t>
            </w:r>
          </w:p>
        </w:tc>
        <w:tc>
          <w:tcPr>
            <w:tcW w:w="40" w:type="dxa"/>
            <w:vAlign w:val="bottom"/>
          </w:tcPr>
          <w:p>
            <w:pPr>
              <w:spacing w:after="0"/>
              <w:rPr>
                <w:sz w:val="24"/>
                <w:szCs w:val="24"/>
                <w:color w:val="auto"/>
              </w:rPr>
            </w:pPr>
          </w:p>
        </w:tc>
        <w:tc>
          <w:tcPr>
            <w:tcW w:w="1320" w:type="dxa"/>
            <w:vAlign w:val="bottom"/>
            <w:gridSpan w:val="2"/>
          </w:tcPr>
          <w:p>
            <w:pPr>
              <w:jc w:val="center"/>
              <w:ind w:left="461"/>
              <w:spacing w:after="0"/>
              <w:rPr>
                <w:sz w:val="20"/>
                <w:szCs w:val="20"/>
                <w:color w:val="auto"/>
              </w:rPr>
            </w:pPr>
            <w:r>
              <w:rPr>
                <w:rFonts w:ascii="Arial" w:cs="Arial" w:eastAsia="Arial" w:hAnsi="Arial"/>
                <w:sz w:val="20"/>
                <w:szCs w:val="20"/>
                <w:color w:val="auto"/>
              </w:rPr>
              <w:t>1.2</w:t>
            </w:r>
          </w:p>
        </w:tc>
        <w:tc>
          <w:tcPr>
            <w:tcW w:w="260" w:type="dxa"/>
            <w:vAlign w:val="bottom"/>
            <w:tcBorders>
              <w:right w:val="single" w:sz="8" w:color="auto"/>
            </w:tcBorders>
          </w:tcPr>
          <w:p>
            <w:pPr>
              <w:spacing w:after="0"/>
              <w:rPr>
                <w:sz w:val="24"/>
                <w:szCs w:val="24"/>
                <w:color w:val="auto"/>
              </w:rPr>
            </w:pPr>
          </w:p>
        </w:tc>
        <w:tc>
          <w:tcPr>
            <w:tcW w:w="1220" w:type="dxa"/>
            <w:vAlign w:val="bottom"/>
            <w:gridSpan w:val="2"/>
          </w:tcPr>
          <w:p>
            <w:pPr>
              <w:jc w:val="center"/>
              <w:ind w:left="142"/>
              <w:spacing w:after="0"/>
              <w:rPr>
                <w:sz w:val="20"/>
                <w:szCs w:val="20"/>
                <w:color w:val="auto"/>
              </w:rPr>
            </w:pPr>
            <w:r>
              <w:rPr>
                <w:rFonts w:ascii="Arial" w:cs="Arial" w:eastAsia="Arial" w:hAnsi="Arial"/>
                <w:sz w:val="20"/>
                <w:szCs w:val="20"/>
                <w:color w:val="auto"/>
                <w:w w:val="97"/>
              </w:rPr>
              <w:t>19.5</w:t>
            </w:r>
          </w:p>
        </w:tc>
        <w:tc>
          <w:tcPr>
            <w:tcW w:w="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20"/>
                <w:szCs w:val="20"/>
                <w:color w:val="auto"/>
              </w:rPr>
              <w:t>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“Operational” growth reflects the percentage change over the prior year excluding the impact of exchange rate fluctuations.</w:t>
      </w:r>
    </w:p>
    <w:p>
      <w:pPr>
        <w:sectPr>
          <w:pgSz w:w="11900" w:h="16838" w:orient="portrait"/>
          <w:cols w:equalWidth="0" w:num="1">
            <w:col w:w="11420"/>
          </w:cols>
          <w:pgMar w:left="240" w:top="531"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n/a = not applicable</w:t>
      </w: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12331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Quarter Ended March 31, 2015 and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ectPr>
          <w:pgSz w:w="11900" w:h="16838" w:orient="portrait"/>
          <w:cols w:equalWidth="0" w:num="1">
            <w:col w:w="11420"/>
          </w:cols>
          <w:pgMar w:left="240" w:top="134" w:right="239" w:bottom="0" w:gutter="0" w:footer="0" w:header="0"/>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60" w:type="dxa"/>
            <w:vAlign w:val="bottom"/>
          </w:tcPr>
          <w:p>
            <w:pPr>
              <w:spacing w:after="0"/>
              <w:rPr>
                <w:sz w:val="21"/>
                <w:szCs w:val="21"/>
                <w:color w:val="auto"/>
              </w:rPr>
            </w:pPr>
          </w:p>
        </w:tc>
        <w:tc>
          <w:tcPr>
            <w:tcW w:w="13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2015</w:t>
            </w:r>
          </w:p>
        </w:tc>
        <w:tc>
          <w:tcPr>
            <w:tcW w:w="200" w:type="dxa"/>
            <w:vAlign w:val="bottom"/>
          </w:tcPr>
          <w:p>
            <w:pPr>
              <w:spacing w:after="0"/>
              <w:rPr>
                <w:sz w:val="21"/>
                <w:szCs w:val="21"/>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2014</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Net sales</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$5,040</w:t>
            </w:r>
          </w:p>
        </w:tc>
        <w:tc>
          <w:tcPr>
            <w:tcW w:w="2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$4,563</w:t>
            </w:r>
          </w:p>
        </w:tc>
      </w:tr>
      <w:tr>
        <w:trPr>
          <w:trHeight w:val="513"/>
        </w:trPr>
        <w:tc>
          <w:tcPr>
            <w:tcW w:w="5760" w:type="dxa"/>
            <w:vAlign w:val="bottom"/>
          </w:tcPr>
          <w:p>
            <w:pPr>
              <w:spacing w:after="0"/>
              <w:rPr>
                <w:sz w:val="20"/>
                <w:szCs w:val="20"/>
                <w:color w:val="auto"/>
              </w:rPr>
            </w:pPr>
            <w:r>
              <w:rPr>
                <w:rFonts w:ascii="Arial" w:cs="Arial" w:eastAsia="Arial" w:hAnsi="Arial"/>
                <w:sz w:val="20"/>
                <w:szCs w:val="20"/>
                <w:color w:val="auto"/>
              </w:rPr>
              <w:t>Cost of products sold</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942</w:t>
            </w:r>
          </w:p>
        </w:tc>
        <w:tc>
          <w:tcPr>
            <w:tcW w:w="2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1,100</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Selling, general and administrative</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1,473</w:t>
            </w:r>
          </w:p>
        </w:tc>
        <w:tc>
          <w:tcPr>
            <w:tcW w:w="2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1,340</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811</w:t>
            </w:r>
          </w:p>
        </w:tc>
        <w:tc>
          <w:tcPr>
            <w:tcW w:w="2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772</w:t>
            </w:r>
          </w:p>
        </w:tc>
      </w:tr>
      <w:tr>
        <w:trPr>
          <w:trHeight w:val="239"/>
        </w:trPr>
        <w:tc>
          <w:tcPr>
            <w:tcW w:w="5760" w:type="dxa"/>
            <w:vAlign w:val="bottom"/>
          </w:tcPr>
          <w:p>
            <w:pPr>
              <w:spacing w:after="0"/>
              <w:rPr>
                <w:sz w:val="20"/>
                <w:szCs w:val="20"/>
                <w:color w:val="auto"/>
              </w:rPr>
            </w:pPr>
            <w:r>
              <w:rPr>
                <w:rFonts w:ascii="Arial" w:cs="Arial" w:eastAsia="Arial" w:hAnsi="Arial"/>
                <w:sz w:val="20"/>
                <w:szCs w:val="20"/>
                <w:color w:val="auto"/>
              </w:rPr>
              <w:t>Acquired in-process research and development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127</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Total operating cost and expenses</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3,353</w:t>
            </w:r>
          </w:p>
        </w:tc>
        <w:tc>
          <w:tcPr>
            <w:tcW w:w="200" w:type="dxa"/>
            <w:vAlign w:val="bottom"/>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3,212</w:t>
            </w:r>
          </w:p>
        </w:tc>
      </w:tr>
      <w:tr>
        <w:trPr>
          <w:trHeight w:val="524"/>
        </w:trPr>
        <w:tc>
          <w:tcPr>
            <w:tcW w:w="5760" w:type="dxa"/>
            <w:vAlign w:val="bottom"/>
          </w:tcPr>
          <w:p>
            <w:pPr>
              <w:spacing w:after="0"/>
              <w:rPr>
                <w:sz w:val="20"/>
                <w:szCs w:val="20"/>
                <w:color w:val="auto"/>
              </w:rPr>
            </w:pPr>
            <w:r>
              <w:rPr>
                <w:rFonts w:ascii="Arial" w:cs="Arial" w:eastAsia="Arial" w:hAnsi="Arial"/>
                <w:sz w:val="20"/>
                <w:szCs w:val="20"/>
                <w:color w:val="auto"/>
              </w:rPr>
              <w:t>Operating earnings</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1,687</w:t>
            </w:r>
          </w:p>
        </w:tc>
        <w:tc>
          <w:tcPr>
            <w:tcW w:w="2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1,351</w:t>
            </w:r>
          </w:p>
        </w:tc>
      </w:tr>
      <w:tr>
        <w:trPr>
          <w:trHeight w:val="513"/>
        </w:trPr>
        <w:tc>
          <w:tcPr>
            <w:tcW w:w="5760" w:type="dxa"/>
            <w:vAlign w:val="bottom"/>
          </w:tcPr>
          <w:p>
            <w:pPr>
              <w:spacing w:after="0"/>
              <w:rPr>
                <w:sz w:val="20"/>
                <w:szCs w:val="20"/>
                <w:color w:val="auto"/>
              </w:rPr>
            </w:pPr>
            <w:r>
              <w:rPr>
                <w:rFonts w:ascii="Arial" w:cs="Arial" w:eastAsia="Arial" w:hAnsi="Arial"/>
                <w:sz w:val="20"/>
                <w:szCs w:val="20"/>
                <w:color w:val="auto"/>
              </w:rPr>
              <w:t>Interest expense, net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126</w:t>
            </w:r>
          </w:p>
        </w:tc>
        <w:tc>
          <w:tcPr>
            <w:tcW w:w="2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65</w:t>
            </w:r>
          </w:p>
        </w:tc>
      </w:tr>
      <w:tr>
        <w:trPr>
          <w:trHeight w:val="257"/>
        </w:trPr>
        <w:tc>
          <w:tcPr>
            <w:tcW w:w="5760" w:type="dxa"/>
            <w:vAlign w:val="bottom"/>
          </w:tcPr>
          <w:p>
            <w:pPr>
              <w:spacing w:after="0"/>
              <w:rPr>
                <w:sz w:val="20"/>
                <w:szCs w:val="20"/>
                <w:color w:val="auto"/>
              </w:rPr>
            </w:pPr>
            <w:r>
              <w:rPr>
                <w:rFonts w:ascii="Arial" w:cs="Arial" w:eastAsia="Arial" w:hAnsi="Arial"/>
                <w:sz w:val="20"/>
                <w:szCs w:val="20"/>
                <w:color w:val="auto"/>
              </w:rPr>
              <w:t>Net foreign exchange loss</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164</w:t>
            </w:r>
          </w:p>
        </w:tc>
        <w:tc>
          <w:tcPr>
            <w:tcW w:w="20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3</w:t>
            </w:r>
          </w:p>
        </w:tc>
      </w:tr>
      <w:tr>
        <w:trPr>
          <w:trHeight w:val="239"/>
        </w:trPr>
        <w:tc>
          <w:tcPr>
            <w:tcW w:w="5760" w:type="dxa"/>
            <w:vAlign w:val="bottom"/>
          </w:tcPr>
          <w:p>
            <w:pPr>
              <w:spacing w:after="0"/>
              <w:rPr>
                <w:sz w:val="20"/>
                <w:szCs w:val="20"/>
                <w:color w:val="auto"/>
              </w:rPr>
            </w:pPr>
            <w:r>
              <w:rPr>
                <w:rFonts w:ascii="Arial" w:cs="Arial" w:eastAsia="Arial" w:hAnsi="Arial"/>
                <w:sz w:val="20"/>
                <w:szCs w:val="20"/>
                <w:color w:val="auto"/>
              </w:rPr>
              <w:t>Other (income) expense, net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w:t>
            </w:r>
          </w:p>
        </w:tc>
      </w:tr>
      <w:tr>
        <w:trPr>
          <w:trHeight w:val="268"/>
        </w:trPr>
        <w:tc>
          <w:tcPr>
            <w:tcW w:w="5760" w:type="dxa"/>
            <w:vAlign w:val="bottom"/>
          </w:tcPr>
          <w:p>
            <w:pPr>
              <w:spacing w:after="0"/>
              <w:rPr>
                <w:sz w:val="20"/>
                <w:szCs w:val="20"/>
                <w:color w:val="auto"/>
              </w:rPr>
            </w:pPr>
            <w:r>
              <w:rPr>
                <w:rFonts w:ascii="Arial" w:cs="Arial" w:eastAsia="Arial" w:hAnsi="Arial"/>
                <w:sz w:val="20"/>
                <w:szCs w:val="20"/>
                <w:color w:val="auto"/>
              </w:rPr>
              <w:t>Earnings before income tax expense</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1,396</w:t>
            </w:r>
          </w:p>
        </w:tc>
        <w:tc>
          <w:tcPr>
            <w:tcW w:w="20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1,286</w:t>
            </w:r>
          </w:p>
        </w:tc>
      </w:tr>
      <w:tr>
        <w:trPr>
          <w:trHeight w:val="239"/>
        </w:trPr>
        <w:tc>
          <w:tcPr>
            <w:tcW w:w="5760" w:type="dxa"/>
            <w:vAlign w:val="bottom"/>
          </w:tcPr>
          <w:p>
            <w:pPr>
              <w:spacing w:after="0"/>
              <w:rPr>
                <w:sz w:val="20"/>
                <w:szCs w:val="20"/>
                <w:color w:val="auto"/>
              </w:rPr>
            </w:pPr>
            <w:r>
              <w:rPr>
                <w:rFonts w:ascii="Arial" w:cs="Arial" w:eastAsia="Arial" w:hAnsi="Arial"/>
                <w:sz w:val="20"/>
                <w:szCs w:val="20"/>
                <w:color w:val="auto"/>
              </w:rPr>
              <w:t>Income tax expense</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374</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306</w:t>
            </w: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Net earnings</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$1,022</w:t>
            </w:r>
          </w:p>
        </w:tc>
        <w:tc>
          <w:tcPr>
            <w:tcW w:w="200" w:type="dxa"/>
            <w:vAlign w:val="bottom"/>
          </w:tcPr>
          <w:p>
            <w:pPr>
              <w:spacing w:after="0"/>
              <w:rPr>
                <w:sz w:val="21"/>
                <w:szCs w:val="21"/>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$980</w:t>
            </w: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4"/>
        </w:trPr>
        <w:tc>
          <w:tcPr>
            <w:tcW w:w="5760" w:type="dxa"/>
            <w:vAlign w:val="bottom"/>
          </w:tcPr>
          <w:p>
            <w:pPr>
              <w:spacing w:after="0"/>
              <w:rPr>
                <w:sz w:val="20"/>
                <w:szCs w:val="20"/>
                <w:color w:val="auto"/>
              </w:rPr>
            </w:pPr>
            <w:r>
              <w:rPr>
                <w:rFonts w:ascii="Arial" w:cs="Arial" w:eastAsia="Arial" w:hAnsi="Arial"/>
                <w:sz w:val="20"/>
                <w:szCs w:val="20"/>
                <w:color w:val="auto"/>
              </w:rPr>
              <w:t>Diluted earnings per share</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$0.63</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$0.61</w:t>
            </w: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20"/>
                <w:szCs w:val="20"/>
                <w:color w:val="auto"/>
              </w:rPr>
              <w:t>Diluted earnings per share, excluding specified items</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$0.94</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$0.71</w:t>
            </w:r>
          </w:p>
        </w:tc>
      </w:tr>
      <w:tr>
        <w:trPr>
          <w:trHeight w:val="20"/>
        </w:trPr>
        <w:tc>
          <w:tcPr>
            <w:tcW w:w="5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11"/>
        </w:trPr>
        <w:tc>
          <w:tcPr>
            <w:tcW w:w="5760" w:type="dxa"/>
            <w:vAlign w:val="bottom"/>
          </w:tcPr>
          <w:p>
            <w:pPr>
              <w:spacing w:after="0"/>
              <w:rPr>
                <w:sz w:val="20"/>
                <w:szCs w:val="20"/>
                <w:color w:val="auto"/>
              </w:rPr>
            </w:pPr>
            <w:r>
              <w:rPr>
                <w:rFonts w:ascii="Arial" w:cs="Arial" w:eastAsia="Arial" w:hAnsi="Arial"/>
                <w:sz w:val="20"/>
                <w:szCs w:val="20"/>
                <w:color w:val="auto"/>
              </w:rPr>
              <w:t>Average diluted shares outstanding</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1,608</w:t>
            </w:r>
          </w:p>
        </w:tc>
        <w:tc>
          <w:tcPr>
            <w:tcW w:w="200" w:type="dxa"/>
            <w:vAlign w:val="bottom"/>
          </w:tcPr>
          <w:p>
            <w:pPr>
              <w:spacing w:after="0"/>
              <w:rPr>
                <w:sz w:val="24"/>
                <w:szCs w:val="24"/>
                <w:color w:val="auto"/>
              </w:rPr>
            </w:pP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1,609</w:t>
            </w:r>
          </w:p>
        </w:tc>
      </w:tr>
    </w:tbl>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Refer to the Reconciliation of GAAP Reported to Non-GAAP Adjusted Information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115760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ectPr>
          <w:pgSz w:w="11900" w:h="16838" w:orient="portrait"/>
          <w:cols w:equalWidth="0" w:num="2">
            <w:col w:w="8700" w:space="140"/>
            <w:col w:w="2580"/>
          </w:cols>
          <w:pgMar w:left="240" w:top="13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Reported to Non-GAAP Adjusted Information</w:t>
      </w:r>
    </w:p>
    <w:p>
      <w:pPr>
        <w:jc w:val="center"/>
        <w:spacing w:after="0" w:line="234" w:lineRule="auto"/>
        <w:rPr>
          <w:sz w:val="20"/>
          <w:szCs w:val="20"/>
          <w:color w:val="auto"/>
        </w:rPr>
      </w:pPr>
      <w:r>
        <w:rPr>
          <w:rFonts w:ascii="Arial" w:cs="Arial" w:eastAsia="Arial" w:hAnsi="Arial"/>
          <w:sz w:val="18"/>
          <w:szCs w:val="18"/>
          <w:b w:val="1"/>
          <w:bCs w:val="1"/>
          <w:color w:val="auto"/>
        </w:rPr>
        <w:t>Quarter Ended March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20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Specified items impacted results as follows:</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18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w w:val="98"/>
              </w:rPr>
              <w:t>1Q15</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7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Earnings</w:t>
            </w:r>
          </w:p>
        </w:tc>
        <w:tc>
          <w:tcPr>
            <w:tcW w:w="920" w:type="dxa"/>
            <w:vAlign w:val="bottom"/>
            <w:tcBorders>
              <w:bottom w:val="single" w:sz="8" w:color="auto"/>
            </w:tcBorders>
          </w:tcPr>
          <w:p>
            <w:pPr>
              <w:spacing w:after="0"/>
              <w:rPr>
                <w:sz w:val="18"/>
                <w:szCs w:val="18"/>
                <w:color w:val="auto"/>
              </w:rPr>
            </w:pPr>
          </w:p>
        </w:tc>
        <w:tc>
          <w:tcPr>
            <w:tcW w:w="1300" w:type="dxa"/>
            <w:vAlign w:val="bottom"/>
          </w:tcPr>
          <w:p>
            <w:pPr>
              <w:jc w:val="right"/>
              <w:ind w:right="101"/>
              <w:spacing w:after="0" w:line="209" w:lineRule="exact"/>
              <w:rPr>
                <w:sz w:val="20"/>
                <w:szCs w:val="20"/>
                <w:color w:val="auto"/>
              </w:rPr>
            </w:pPr>
            <w:r>
              <w:rPr>
                <w:rFonts w:ascii="Arial" w:cs="Arial" w:eastAsia="Arial" w:hAnsi="Arial"/>
                <w:sz w:val="20"/>
                <w:szCs w:val="20"/>
                <w:color w:val="auto"/>
              </w:rPr>
              <w:t>Diluted</w:t>
            </w:r>
          </w:p>
        </w:tc>
        <w:tc>
          <w:tcPr>
            <w:tcW w:w="0" w:type="dxa"/>
            <w:vAlign w:val="bottom"/>
          </w:tcPr>
          <w:p>
            <w:pPr>
              <w:spacing w:after="0"/>
              <w:rPr>
                <w:sz w:val="1"/>
                <w:szCs w:val="1"/>
                <w:color w:val="auto"/>
              </w:rPr>
            </w:pPr>
          </w:p>
        </w:tc>
      </w:tr>
      <w:tr>
        <w:trPr>
          <w:trHeight w:val="21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700" w:type="dxa"/>
            <w:vAlign w:val="bottom"/>
            <w:tcBorders>
              <w:bottom w:val="single" w:sz="8" w:color="auto"/>
            </w:tcBorders>
          </w:tcPr>
          <w:p>
            <w:pPr>
              <w:jc w:val="right"/>
              <w:ind w:right="601"/>
              <w:spacing w:after="0" w:line="209" w:lineRule="exact"/>
              <w:rPr>
                <w:sz w:val="20"/>
                <w:szCs w:val="20"/>
                <w:color w:val="auto"/>
              </w:rPr>
            </w:pPr>
            <w:r>
              <w:rPr>
                <w:rFonts w:ascii="Arial" w:cs="Arial" w:eastAsia="Arial" w:hAnsi="Arial"/>
                <w:sz w:val="20"/>
                <w:szCs w:val="20"/>
                <w:color w:val="auto"/>
              </w:rPr>
              <w:t>Pre-tax</w:t>
            </w:r>
          </w:p>
        </w:tc>
        <w:tc>
          <w:tcPr>
            <w:tcW w:w="92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After-tax</w:t>
            </w:r>
          </w:p>
        </w:tc>
        <w:tc>
          <w:tcPr>
            <w:tcW w:w="1300" w:type="dxa"/>
            <w:vAlign w:val="bottom"/>
            <w:tcBorders>
              <w:bottom w:val="single" w:sz="8" w:color="auto"/>
            </w:tcBorders>
          </w:tcPr>
          <w:p>
            <w:pPr>
              <w:jc w:val="right"/>
              <w:ind w:right="221"/>
              <w:spacing w:after="0" w:line="209" w:lineRule="exact"/>
              <w:rPr>
                <w:sz w:val="20"/>
                <w:szCs w:val="20"/>
                <w:color w:val="auto"/>
              </w:rPr>
            </w:pPr>
            <w:r>
              <w:rPr>
                <w:rFonts w:ascii="Arial" w:cs="Arial" w:eastAsia="Arial" w:hAnsi="Arial"/>
                <w:sz w:val="20"/>
                <w:szCs w:val="20"/>
                <w:color w:val="auto"/>
              </w:rPr>
              <w:t>EPS</w:t>
            </w:r>
          </w:p>
        </w:tc>
        <w:tc>
          <w:tcPr>
            <w:tcW w:w="0" w:type="dxa"/>
            <w:vAlign w:val="bottom"/>
          </w:tcPr>
          <w:p>
            <w:pPr>
              <w:spacing w:after="0"/>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700" w:type="dxa"/>
            <w:vAlign w:val="bottom"/>
          </w:tcPr>
          <w:p>
            <w:pPr>
              <w:jc w:val="right"/>
              <w:ind w:right="381"/>
              <w:spacing w:after="0" w:line="206" w:lineRule="exact"/>
              <w:rPr>
                <w:sz w:val="20"/>
                <w:szCs w:val="20"/>
                <w:color w:val="auto"/>
              </w:rPr>
            </w:pPr>
            <w:r>
              <w:rPr>
                <w:rFonts w:ascii="Arial" w:cs="Arial" w:eastAsia="Arial" w:hAnsi="Arial"/>
                <w:sz w:val="20"/>
                <w:szCs w:val="20"/>
                <w:b w:val="1"/>
                <w:bCs w:val="1"/>
                <w:color w:val="auto"/>
              </w:rPr>
              <w:t>$1,396</w:t>
            </w:r>
          </w:p>
        </w:tc>
        <w:tc>
          <w:tcPr>
            <w:tcW w:w="920" w:type="dxa"/>
            <w:vAlign w:val="bottom"/>
          </w:tcPr>
          <w:p>
            <w:pPr>
              <w:jc w:val="right"/>
              <w:ind w:right="41"/>
              <w:spacing w:after="0" w:line="206" w:lineRule="exact"/>
              <w:rPr>
                <w:sz w:val="20"/>
                <w:szCs w:val="20"/>
                <w:color w:val="auto"/>
              </w:rPr>
            </w:pPr>
            <w:r>
              <w:rPr>
                <w:rFonts w:ascii="Arial" w:cs="Arial" w:eastAsia="Arial" w:hAnsi="Arial"/>
                <w:sz w:val="20"/>
                <w:szCs w:val="20"/>
                <w:b w:val="1"/>
                <w:bCs w:val="1"/>
                <w:color w:val="auto"/>
              </w:rPr>
              <w:t>$1,022</w:t>
            </w:r>
          </w:p>
        </w:tc>
        <w:tc>
          <w:tcPr>
            <w:tcW w:w="1300" w:type="dxa"/>
            <w:vAlign w:val="bottom"/>
          </w:tcPr>
          <w:p>
            <w:pPr>
              <w:jc w:val="right"/>
              <w:ind w:right="21"/>
              <w:spacing w:after="0" w:line="206" w:lineRule="exact"/>
              <w:rPr>
                <w:sz w:val="20"/>
                <w:szCs w:val="20"/>
                <w:color w:val="auto"/>
              </w:rPr>
            </w:pPr>
            <w:r>
              <w:rPr>
                <w:rFonts w:ascii="Arial" w:cs="Arial" w:eastAsia="Arial" w:hAnsi="Arial"/>
                <w:sz w:val="20"/>
                <w:szCs w:val="20"/>
                <w:b w:val="1"/>
                <w:bCs w:val="1"/>
                <w:color w:val="auto"/>
              </w:rPr>
              <w:t>$0.63</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20"/>
                <w:szCs w:val="20"/>
                <w:color w:val="auto"/>
              </w:rPr>
              <w:t>Adjusted for specified items:</w:t>
            </w: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Intangible asset amortization</w:t>
            </w:r>
          </w:p>
        </w:tc>
        <w:tc>
          <w:tcPr>
            <w:tcW w:w="170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68</w:t>
            </w:r>
          </w:p>
        </w:tc>
        <w:tc>
          <w:tcPr>
            <w:tcW w:w="920" w:type="dxa"/>
            <w:vAlign w:val="bottom"/>
          </w:tcPr>
          <w:p>
            <w:pPr>
              <w:jc w:val="right"/>
              <w:ind w:right="41"/>
              <w:spacing w:after="0" w:line="216" w:lineRule="exact"/>
              <w:rPr>
                <w:sz w:val="20"/>
                <w:szCs w:val="20"/>
                <w:color w:val="auto"/>
              </w:rPr>
            </w:pPr>
            <w:r>
              <w:rPr>
                <w:rFonts w:ascii="Arial" w:cs="Arial" w:eastAsia="Arial" w:hAnsi="Arial"/>
                <w:sz w:val="20"/>
                <w:szCs w:val="20"/>
                <w:color w:val="auto"/>
              </w:rPr>
              <w:t>52</w:t>
            </w:r>
          </w:p>
        </w:tc>
        <w:tc>
          <w:tcPr>
            <w:tcW w:w="13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Separation costs</w:t>
            </w:r>
          </w:p>
        </w:tc>
        <w:tc>
          <w:tcPr>
            <w:tcW w:w="170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104</w:t>
            </w:r>
          </w:p>
        </w:tc>
        <w:tc>
          <w:tcPr>
            <w:tcW w:w="920" w:type="dxa"/>
            <w:vAlign w:val="bottom"/>
          </w:tcPr>
          <w:p>
            <w:pPr>
              <w:jc w:val="right"/>
              <w:ind w:right="41"/>
              <w:spacing w:after="0" w:line="216" w:lineRule="exact"/>
              <w:rPr>
                <w:sz w:val="20"/>
                <w:szCs w:val="20"/>
                <w:color w:val="auto"/>
              </w:rPr>
            </w:pPr>
            <w:r>
              <w:rPr>
                <w:rFonts w:ascii="Arial" w:cs="Arial" w:eastAsia="Arial" w:hAnsi="Arial"/>
                <w:sz w:val="20"/>
                <w:szCs w:val="20"/>
                <w:color w:val="auto"/>
              </w:rPr>
              <w:t>89</w:t>
            </w:r>
          </w:p>
        </w:tc>
        <w:tc>
          <w:tcPr>
            <w:tcW w:w="13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Acquired IPR&amp;D</w:t>
            </w:r>
          </w:p>
        </w:tc>
        <w:tc>
          <w:tcPr>
            <w:tcW w:w="170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127</w:t>
            </w:r>
          </w:p>
        </w:tc>
        <w:tc>
          <w:tcPr>
            <w:tcW w:w="92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127</w:t>
            </w:r>
          </w:p>
        </w:tc>
        <w:tc>
          <w:tcPr>
            <w:tcW w:w="13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0.08</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Shire termination</w:t>
            </w:r>
          </w:p>
        </w:tc>
        <w:tc>
          <w:tcPr>
            <w:tcW w:w="1700" w:type="dxa"/>
            <w:vAlign w:val="bottom"/>
          </w:tcPr>
          <w:p>
            <w:pPr>
              <w:jc w:val="right"/>
              <w:ind w:right="381"/>
              <w:spacing w:after="0" w:line="216" w:lineRule="exact"/>
              <w:rPr>
                <w:sz w:val="20"/>
                <w:szCs w:val="20"/>
                <w:color w:val="auto"/>
              </w:rPr>
            </w:pPr>
            <w:r>
              <w:rPr>
                <w:rFonts w:ascii="Arial" w:cs="Arial" w:eastAsia="Arial" w:hAnsi="Arial"/>
                <w:sz w:val="20"/>
                <w:szCs w:val="20"/>
                <w:color w:val="auto"/>
              </w:rPr>
              <w:t>170</w:t>
            </w:r>
          </w:p>
        </w:tc>
        <w:tc>
          <w:tcPr>
            <w:tcW w:w="92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170</w:t>
            </w:r>
          </w:p>
        </w:tc>
        <w:tc>
          <w:tcPr>
            <w:tcW w:w="13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0.11</w:t>
            </w:r>
          </w:p>
        </w:tc>
        <w:tc>
          <w:tcPr>
            <w:tcW w:w="0" w:type="dxa"/>
            <w:vAlign w:val="bottom"/>
          </w:tcPr>
          <w:p>
            <w:pPr>
              <w:spacing w:after="0"/>
              <w:rPr>
                <w:sz w:val="1"/>
                <w:szCs w:val="1"/>
                <w:color w:val="auto"/>
              </w:rPr>
            </w:pPr>
          </w:p>
        </w:tc>
      </w:tr>
      <w:tr>
        <w:trPr>
          <w:trHeight w:val="220"/>
        </w:trPr>
        <w:tc>
          <w:tcPr>
            <w:tcW w:w="4180" w:type="dxa"/>
            <w:vAlign w:val="bottom"/>
          </w:tcPr>
          <w:p>
            <w:pPr>
              <w:ind w:left="180"/>
              <w:spacing w:after="0" w:line="220" w:lineRule="exact"/>
              <w:rPr>
                <w:sz w:val="20"/>
                <w:szCs w:val="20"/>
                <w:color w:val="auto"/>
              </w:rPr>
            </w:pPr>
            <w:r>
              <w:rPr>
                <w:rFonts w:ascii="Arial" w:cs="Arial" w:eastAsia="Arial" w:hAnsi="Arial"/>
                <w:sz w:val="20"/>
                <w:szCs w:val="20"/>
                <w:color w:val="auto"/>
              </w:rPr>
              <w:t>Other</w:t>
            </w:r>
          </w:p>
        </w:tc>
        <w:tc>
          <w:tcPr>
            <w:tcW w:w="1700" w:type="dxa"/>
            <w:vAlign w:val="bottom"/>
            <w:tcBorders>
              <w:bottom w:val="single" w:sz="8" w:color="auto"/>
            </w:tcBorders>
          </w:tcPr>
          <w:p>
            <w:pPr>
              <w:jc w:val="right"/>
              <w:ind w:right="381"/>
              <w:spacing w:after="0" w:line="220" w:lineRule="exact"/>
              <w:rPr>
                <w:sz w:val="20"/>
                <w:szCs w:val="20"/>
                <w:color w:val="auto"/>
              </w:rPr>
            </w:pPr>
            <w:r>
              <w:rPr>
                <w:rFonts w:ascii="Arial" w:cs="Arial" w:eastAsia="Arial" w:hAnsi="Arial"/>
                <w:sz w:val="20"/>
                <w:szCs w:val="20"/>
                <w:color w:val="auto"/>
              </w:rPr>
              <w:t>95</w:t>
            </w:r>
          </w:p>
        </w:tc>
        <w:tc>
          <w:tcPr>
            <w:tcW w:w="920" w:type="dxa"/>
            <w:vAlign w:val="bottom"/>
            <w:tcBorders>
              <w:bottom w:val="single" w:sz="8" w:color="auto"/>
            </w:tcBorders>
          </w:tcPr>
          <w:p>
            <w:pPr>
              <w:jc w:val="right"/>
              <w:ind w:right="41"/>
              <w:spacing w:after="0" w:line="220" w:lineRule="exact"/>
              <w:rPr>
                <w:sz w:val="20"/>
                <w:szCs w:val="20"/>
                <w:color w:val="auto"/>
              </w:rPr>
            </w:pPr>
            <w:r>
              <w:rPr>
                <w:rFonts w:ascii="Arial" w:cs="Arial" w:eastAsia="Arial" w:hAnsi="Arial"/>
                <w:sz w:val="20"/>
                <w:szCs w:val="20"/>
                <w:color w:val="auto"/>
              </w:rPr>
              <w:t>63</w:t>
            </w:r>
          </w:p>
        </w:tc>
        <w:tc>
          <w:tcPr>
            <w:tcW w:w="1300" w:type="dxa"/>
            <w:vAlign w:val="bottom"/>
            <w:tcBorders>
              <w:bottom w:val="single" w:sz="8" w:color="auto"/>
            </w:tcBorders>
          </w:tcPr>
          <w:p>
            <w:pPr>
              <w:jc w:val="right"/>
              <w:ind w:right="21"/>
              <w:spacing w:after="0" w:line="220" w:lineRule="exact"/>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0"/>
                <w:szCs w:val="20"/>
                <w:color w:val="auto"/>
              </w:rPr>
            </w:pPr>
            <w:r>
              <w:rPr>
                <w:rFonts w:ascii="Arial" w:cs="Arial" w:eastAsia="Arial" w:hAnsi="Arial"/>
                <w:sz w:val="20"/>
                <w:szCs w:val="20"/>
                <w:b w:val="1"/>
                <w:bCs w:val="1"/>
                <w:color w:val="auto"/>
              </w:rPr>
              <w:t>As adjusted (non-GAAP)</w:t>
            </w:r>
          </w:p>
        </w:tc>
        <w:tc>
          <w:tcPr>
            <w:tcW w:w="1700" w:type="dxa"/>
            <w:vAlign w:val="bottom"/>
          </w:tcPr>
          <w:p>
            <w:pPr>
              <w:jc w:val="right"/>
              <w:ind w:right="381"/>
              <w:spacing w:after="0"/>
              <w:rPr>
                <w:sz w:val="20"/>
                <w:szCs w:val="20"/>
                <w:color w:val="auto"/>
              </w:rPr>
            </w:pPr>
            <w:r>
              <w:rPr>
                <w:rFonts w:ascii="Arial" w:cs="Arial" w:eastAsia="Arial" w:hAnsi="Arial"/>
                <w:sz w:val="20"/>
                <w:szCs w:val="20"/>
                <w:b w:val="1"/>
                <w:bCs w:val="1"/>
                <w:color w:val="auto"/>
              </w:rPr>
              <w:t>$1,960</w:t>
            </w: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rPr>
              <w:t>$1,523</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auto"/>
              </w:rPr>
              <w:t>$0.94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right="80"/>
        <w:spacing w:after="0" w:line="232" w:lineRule="auto"/>
        <w:rPr>
          <w:sz w:val="20"/>
          <w:szCs w:val="20"/>
          <w:color w:val="auto"/>
        </w:rPr>
      </w:pPr>
      <w:r>
        <w:rPr>
          <w:rFonts w:ascii="Arial" w:cs="Arial" w:eastAsia="Arial" w:hAnsi="Arial"/>
          <w:sz w:val="20"/>
          <w:szCs w:val="20"/>
          <w:color w:val="auto"/>
        </w:rPr>
        <w:t>Intangible asset amortization reflects costs recognized as a result of licensing and acquisition activities. Separation costs are expenses related to the separation of AbbVie from Abbott. Acquired IPR&amp;D primarily reflects the C</w:t>
      </w:r>
      <w:r>
        <w:rPr>
          <w:rFonts w:ascii="Arial" w:cs="Arial" w:eastAsia="Arial" w:hAnsi="Arial"/>
          <w:sz w:val="9"/>
          <w:szCs w:val="9"/>
          <w:color w:val="auto"/>
        </w:rPr>
        <w:t>2</w:t>
      </w:r>
      <w:r>
        <w:rPr>
          <w:rFonts w:ascii="Arial" w:cs="Arial" w:eastAsia="Arial" w:hAnsi="Arial"/>
          <w:sz w:val="20"/>
          <w:szCs w:val="20"/>
          <w:color w:val="auto"/>
        </w:rPr>
        <w:t>N collaboration. Shire termination reflects the completed liquidation of remaining foreign currency positions related to the terminated Shire</w:t>
      </w:r>
    </w:p>
    <w:p>
      <w:pPr>
        <w:sectPr>
          <w:pgSz w:w="11900" w:h="16838" w:orient="portrait"/>
          <w:cols w:equalWidth="0" w:num="1">
            <w:col w:w="11420"/>
          </w:cols>
          <w:pgMar w:left="240" w:top="134" w:right="239" w:bottom="0" w:gutter="0" w:footer="0" w:header="0"/>
          <w:type w:val="continuous"/>
        </w:sectPr>
      </w:pPr>
    </w:p>
    <w:bookmarkStart w:id="5" w:name="page6"/>
    <w:bookmarkEnd w:id="5"/>
    <w:p>
      <w:pPr>
        <w:ind w:left="420" w:right="480"/>
        <w:spacing w:after="0" w:line="236" w:lineRule="auto"/>
        <w:rPr>
          <w:sz w:val="20"/>
          <w:szCs w:val="20"/>
          <w:color w:val="auto"/>
        </w:rPr>
      </w:pPr>
      <w:r>
        <w:rPr>
          <w:rFonts w:ascii="Arial" w:cs="Arial" w:eastAsia="Arial" w:hAnsi="Arial"/>
          <w:sz w:val="20"/>
          <w:szCs w:val="20"/>
          <w:color w:val="auto"/>
        </w:rPr>
        <w:t>transaction, as communicated in the fourth quarter. Other is primarily associated with restructuring activities and interest expense for the Pharmacyclics acquisition.</w:t>
      </w:r>
    </w:p>
    <w:p>
      <w:pPr>
        <w:spacing w:after="0" w:line="19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9"/>
          <w:szCs w:val="19"/>
          <w:color w:val="auto"/>
        </w:rPr>
        <w:t>The impact of the specified items by line item was as follows:</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18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1Q15</w:t>
            </w:r>
          </w:p>
        </w:tc>
        <w:tc>
          <w:tcPr>
            <w:tcW w:w="1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1540" w:type="dxa"/>
            <w:vAlign w:val="bottom"/>
          </w:tcPr>
          <w:p>
            <w:pPr>
              <w:jc w:val="center"/>
              <w:ind w:right="81"/>
              <w:spacing w:after="0" w:line="206" w:lineRule="exact"/>
              <w:rPr>
                <w:sz w:val="20"/>
                <w:szCs w:val="20"/>
                <w:color w:val="auto"/>
              </w:rPr>
            </w:pPr>
            <w:r>
              <w:rPr>
                <w:rFonts w:ascii="Arial" w:cs="Arial" w:eastAsia="Arial" w:hAnsi="Arial"/>
                <w:sz w:val="20"/>
                <w:szCs w:val="20"/>
                <w:color w:val="auto"/>
              </w:rPr>
              <w:t>Cost of</w:t>
            </w: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jc w:val="center"/>
              <w:spacing w:after="0" w:line="206" w:lineRule="exact"/>
              <w:rPr>
                <w:sz w:val="20"/>
                <w:szCs w:val="20"/>
                <w:color w:val="auto"/>
              </w:rPr>
            </w:pPr>
            <w:r>
              <w:rPr>
                <w:rFonts w:ascii="Arial" w:cs="Arial" w:eastAsia="Arial" w:hAnsi="Arial"/>
                <w:sz w:val="20"/>
                <w:szCs w:val="20"/>
                <w:color w:val="auto"/>
              </w:rPr>
              <w:t>Foreign</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540" w:type="dxa"/>
            <w:vAlign w:val="bottom"/>
          </w:tcPr>
          <w:p>
            <w:pPr>
              <w:jc w:val="center"/>
              <w:ind w:right="81"/>
              <w:spacing w:after="0" w:line="216" w:lineRule="exact"/>
              <w:rPr>
                <w:sz w:val="20"/>
                <w:szCs w:val="20"/>
                <w:color w:val="auto"/>
              </w:rPr>
            </w:pPr>
            <w:r>
              <w:rPr>
                <w:rFonts w:ascii="Arial" w:cs="Arial" w:eastAsia="Arial" w:hAnsi="Arial"/>
                <w:sz w:val="20"/>
                <w:szCs w:val="20"/>
                <w:color w:val="auto"/>
                <w:w w:val="99"/>
              </w:rPr>
              <w:t>products</w:t>
            </w: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20"/>
                <w:szCs w:val="20"/>
                <w:color w:val="auto"/>
                <w:w w:val="99"/>
              </w:rPr>
              <w:t>exchange</w:t>
            </w:r>
          </w:p>
        </w:tc>
        <w:tc>
          <w:tcPr>
            <w:tcW w:w="130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Interest</w:t>
            </w:r>
          </w:p>
        </w:tc>
        <w:tc>
          <w:tcPr>
            <w:tcW w:w="0" w:type="dxa"/>
            <w:vAlign w:val="bottom"/>
          </w:tcPr>
          <w:p>
            <w:pPr>
              <w:spacing w:after="0"/>
              <w:rPr>
                <w:sz w:val="1"/>
                <w:szCs w:val="1"/>
                <w:color w:val="auto"/>
              </w:rPr>
            </w:pPr>
          </w:p>
        </w:tc>
      </w:tr>
      <w:tr>
        <w:trPr>
          <w:trHeight w:val="22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540" w:type="dxa"/>
            <w:vAlign w:val="bottom"/>
            <w:tcBorders>
              <w:bottom w:val="single" w:sz="8" w:color="auto"/>
            </w:tcBorders>
          </w:tcPr>
          <w:p>
            <w:pPr>
              <w:jc w:val="center"/>
              <w:ind w:right="81"/>
              <w:spacing w:after="0" w:line="220" w:lineRule="exact"/>
              <w:rPr>
                <w:sz w:val="20"/>
                <w:szCs w:val="20"/>
                <w:color w:val="auto"/>
              </w:rPr>
            </w:pPr>
            <w:r>
              <w:rPr>
                <w:rFonts w:ascii="Arial" w:cs="Arial" w:eastAsia="Arial" w:hAnsi="Arial"/>
                <w:sz w:val="20"/>
                <w:szCs w:val="20"/>
                <w:color w:val="auto"/>
                <w:w w:val="98"/>
              </w:rPr>
              <w:t>sold</w:t>
            </w:r>
          </w:p>
        </w:tc>
        <w:tc>
          <w:tcPr>
            <w:tcW w:w="1260" w:type="dxa"/>
            <w:vAlign w:val="bottom"/>
            <w:tcBorders>
              <w:bottom w:val="single" w:sz="8" w:color="auto"/>
            </w:tcBorders>
          </w:tcPr>
          <w:p>
            <w:pPr>
              <w:jc w:val="right"/>
              <w:ind w:right="301"/>
              <w:spacing w:after="0" w:line="220" w:lineRule="exact"/>
              <w:rPr>
                <w:sz w:val="20"/>
                <w:szCs w:val="20"/>
                <w:color w:val="auto"/>
              </w:rPr>
            </w:pPr>
            <w:r>
              <w:rPr>
                <w:rFonts w:ascii="Arial" w:cs="Arial" w:eastAsia="Arial" w:hAnsi="Arial"/>
                <w:sz w:val="20"/>
                <w:szCs w:val="20"/>
                <w:color w:val="auto"/>
              </w:rPr>
              <w:t>SG&amp;A</w:t>
            </w:r>
          </w:p>
        </w:tc>
        <w:tc>
          <w:tcPr>
            <w:tcW w:w="1240" w:type="dxa"/>
            <w:vAlign w:val="bottom"/>
            <w:tcBorders>
              <w:bottom w:val="single" w:sz="8" w:color="auto"/>
            </w:tcBorders>
          </w:tcPr>
          <w:p>
            <w:pPr>
              <w:jc w:val="right"/>
              <w:ind w:right="241"/>
              <w:spacing w:after="0" w:line="220" w:lineRule="exact"/>
              <w:rPr>
                <w:sz w:val="20"/>
                <w:szCs w:val="20"/>
                <w:color w:val="auto"/>
              </w:rPr>
            </w:pPr>
            <w:r>
              <w:rPr>
                <w:rFonts w:ascii="Arial" w:cs="Arial" w:eastAsia="Arial" w:hAnsi="Arial"/>
                <w:sz w:val="20"/>
                <w:szCs w:val="20"/>
                <w:color w:val="auto"/>
              </w:rPr>
              <w:t>IPR&amp;D</w:t>
            </w:r>
          </w:p>
        </w:tc>
        <w:tc>
          <w:tcPr>
            <w:tcW w:w="144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20"/>
                <w:szCs w:val="20"/>
                <w:color w:val="auto"/>
                <w:w w:val="99"/>
              </w:rPr>
              <w:t>(gain)/loss</w:t>
            </w:r>
          </w:p>
        </w:tc>
        <w:tc>
          <w:tcPr>
            <w:tcW w:w="1300" w:type="dxa"/>
            <w:vAlign w:val="bottom"/>
            <w:tcBorders>
              <w:bottom w:val="single" w:sz="8" w:color="auto"/>
            </w:tcBorders>
          </w:tcPr>
          <w:p>
            <w:pPr>
              <w:jc w:val="right"/>
              <w:ind w:right="201"/>
              <w:spacing w:after="0" w:line="220" w:lineRule="exact"/>
              <w:rPr>
                <w:sz w:val="20"/>
                <w:szCs w:val="20"/>
                <w:color w:val="auto"/>
              </w:rPr>
            </w:pPr>
            <w:r>
              <w:rPr>
                <w:rFonts w:ascii="Arial" w:cs="Arial" w:eastAsia="Arial" w:hAnsi="Arial"/>
                <w:sz w:val="20"/>
                <w:szCs w:val="20"/>
                <w:color w:val="auto"/>
              </w:rPr>
              <w:t>expense</w:t>
            </w:r>
          </w:p>
        </w:tc>
        <w:tc>
          <w:tcPr>
            <w:tcW w:w="0" w:type="dxa"/>
            <w:vAlign w:val="bottom"/>
          </w:tcPr>
          <w:p>
            <w:pPr>
              <w:spacing w:after="0"/>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540" w:type="dxa"/>
            <w:vAlign w:val="bottom"/>
          </w:tcPr>
          <w:p>
            <w:pPr>
              <w:jc w:val="right"/>
              <w:ind w:right="221"/>
              <w:spacing w:after="0" w:line="206" w:lineRule="exact"/>
              <w:rPr>
                <w:sz w:val="20"/>
                <w:szCs w:val="20"/>
                <w:color w:val="auto"/>
              </w:rPr>
            </w:pPr>
            <w:r>
              <w:rPr>
                <w:rFonts w:ascii="Arial" w:cs="Arial" w:eastAsia="Arial" w:hAnsi="Arial"/>
                <w:sz w:val="20"/>
                <w:szCs w:val="20"/>
                <w:b w:val="1"/>
                <w:bCs w:val="1"/>
                <w:color w:val="auto"/>
              </w:rPr>
              <w:t>$942</w:t>
            </w:r>
          </w:p>
        </w:tc>
        <w:tc>
          <w:tcPr>
            <w:tcW w:w="1260" w:type="dxa"/>
            <w:vAlign w:val="bottom"/>
          </w:tcPr>
          <w:p>
            <w:pPr>
              <w:jc w:val="right"/>
              <w:ind w:right="221"/>
              <w:spacing w:after="0" w:line="206" w:lineRule="exact"/>
              <w:rPr>
                <w:sz w:val="20"/>
                <w:szCs w:val="20"/>
                <w:color w:val="auto"/>
              </w:rPr>
            </w:pPr>
            <w:r>
              <w:rPr>
                <w:rFonts w:ascii="Arial" w:cs="Arial" w:eastAsia="Arial" w:hAnsi="Arial"/>
                <w:sz w:val="20"/>
                <w:szCs w:val="20"/>
                <w:b w:val="1"/>
                <w:bCs w:val="1"/>
                <w:color w:val="auto"/>
              </w:rPr>
              <w:t>$1,473</w:t>
            </w:r>
          </w:p>
        </w:tc>
        <w:tc>
          <w:tcPr>
            <w:tcW w:w="1240" w:type="dxa"/>
            <w:vAlign w:val="bottom"/>
          </w:tcPr>
          <w:p>
            <w:pPr>
              <w:jc w:val="right"/>
              <w:ind w:right="141"/>
              <w:spacing w:after="0" w:line="206" w:lineRule="exact"/>
              <w:rPr>
                <w:sz w:val="20"/>
                <w:szCs w:val="20"/>
                <w:color w:val="auto"/>
              </w:rPr>
            </w:pPr>
            <w:r>
              <w:rPr>
                <w:rFonts w:ascii="Arial" w:cs="Arial" w:eastAsia="Arial" w:hAnsi="Arial"/>
                <w:sz w:val="20"/>
                <w:szCs w:val="20"/>
                <w:b w:val="1"/>
                <w:bCs w:val="1"/>
                <w:color w:val="auto"/>
              </w:rPr>
              <w:t>$127</w:t>
            </w:r>
          </w:p>
        </w:tc>
        <w:tc>
          <w:tcPr>
            <w:tcW w:w="1440" w:type="dxa"/>
            <w:vAlign w:val="bottom"/>
          </w:tcPr>
          <w:p>
            <w:pPr>
              <w:jc w:val="right"/>
              <w:ind w:right="201"/>
              <w:spacing w:after="0" w:line="206" w:lineRule="exact"/>
              <w:rPr>
                <w:sz w:val="20"/>
                <w:szCs w:val="20"/>
                <w:color w:val="auto"/>
              </w:rPr>
            </w:pPr>
            <w:r>
              <w:rPr>
                <w:rFonts w:ascii="Arial" w:cs="Arial" w:eastAsia="Arial" w:hAnsi="Arial"/>
                <w:sz w:val="20"/>
                <w:szCs w:val="20"/>
                <w:b w:val="1"/>
                <w:bCs w:val="1"/>
                <w:color w:val="auto"/>
              </w:rPr>
              <w:t>$164</w:t>
            </w:r>
          </w:p>
        </w:tc>
        <w:tc>
          <w:tcPr>
            <w:tcW w:w="1300" w:type="dxa"/>
            <w:vAlign w:val="bottom"/>
          </w:tcPr>
          <w:p>
            <w:pPr>
              <w:jc w:val="right"/>
              <w:ind w:right="41"/>
              <w:spacing w:after="0" w:line="206" w:lineRule="exact"/>
              <w:rPr>
                <w:sz w:val="20"/>
                <w:szCs w:val="20"/>
                <w:color w:val="auto"/>
              </w:rPr>
            </w:pPr>
            <w:r>
              <w:rPr>
                <w:rFonts w:ascii="Arial" w:cs="Arial" w:eastAsia="Arial" w:hAnsi="Arial"/>
                <w:sz w:val="20"/>
                <w:szCs w:val="20"/>
                <w:b w:val="1"/>
                <w:bCs w:val="1"/>
                <w:color w:val="auto"/>
              </w:rPr>
              <w:t>$126</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20"/>
                <w:szCs w:val="20"/>
                <w:color w:val="auto"/>
              </w:rPr>
              <w:t>Adjusted for specified items:</w:t>
            </w: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Intangible asset amortization</w:t>
            </w:r>
          </w:p>
        </w:tc>
        <w:tc>
          <w:tcPr>
            <w:tcW w:w="1540" w:type="dxa"/>
            <w:vAlign w:val="bottom"/>
          </w:tcPr>
          <w:p>
            <w:pPr>
              <w:jc w:val="right"/>
              <w:ind w:right="221"/>
              <w:spacing w:after="0" w:line="216" w:lineRule="exact"/>
              <w:rPr>
                <w:sz w:val="20"/>
                <w:szCs w:val="20"/>
                <w:color w:val="auto"/>
              </w:rPr>
            </w:pPr>
            <w:r>
              <w:rPr>
                <w:rFonts w:ascii="Arial" w:cs="Arial" w:eastAsia="Arial" w:hAnsi="Arial"/>
                <w:sz w:val="20"/>
                <w:szCs w:val="20"/>
                <w:color w:val="auto"/>
              </w:rPr>
              <w:t>(68)</w:t>
            </w:r>
          </w:p>
        </w:tc>
        <w:tc>
          <w:tcPr>
            <w:tcW w:w="126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Separation costs</w:t>
            </w:r>
          </w:p>
        </w:tc>
        <w:tc>
          <w:tcPr>
            <w:tcW w:w="1540" w:type="dxa"/>
            <w:vAlign w:val="bottom"/>
          </w:tcPr>
          <w:p>
            <w:pPr>
              <w:jc w:val="right"/>
              <w:ind w:right="221"/>
              <w:spacing w:after="0" w:line="216" w:lineRule="exact"/>
              <w:rPr>
                <w:sz w:val="20"/>
                <w:szCs w:val="20"/>
                <w:color w:val="auto"/>
              </w:rPr>
            </w:pPr>
            <w:r>
              <w:rPr>
                <w:rFonts w:ascii="Arial" w:cs="Arial" w:eastAsia="Arial" w:hAnsi="Arial"/>
                <w:sz w:val="20"/>
                <w:szCs w:val="20"/>
                <w:color w:val="auto"/>
              </w:rPr>
              <w:t>(3)</w:t>
            </w:r>
          </w:p>
        </w:tc>
        <w:tc>
          <w:tcPr>
            <w:tcW w:w="1260" w:type="dxa"/>
            <w:vAlign w:val="bottom"/>
          </w:tcPr>
          <w:p>
            <w:pPr>
              <w:jc w:val="right"/>
              <w:ind w:right="221"/>
              <w:spacing w:after="0" w:line="216" w:lineRule="exact"/>
              <w:rPr>
                <w:sz w:val="20"/>
                <w:szCs w:val="20"/>
                <w:color w:val="auto"/>
              </w:rPr>
            </w:pPr>
            <w:r>
              <w:rPr>
                <w:rFonts w:ascii="Arial" w:cs="Arial" w:eastAsia="Arial" w:hAnsi="Arial"/>
                <w:sz w:val="20"/>
                <w:szCs w:val="20"/>
                <w:color w:val="auto"/>
              </w:rPr>
              <w:t>(101)</w:t>
            </w:r>
          </w:p>
        </w:tc>
        <w:tc>
          <w:tcPr>
            <w:tcW w:w="124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Acquired IPR&amp;D</w:t>
            </w:r>
          </w:p>
        </w:tc>
        <w:tc>
          <w:tcPr>
            <w:tcW w:w="154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(127)</w:t>
            </w:r>
          </w:p>
        </w:tc>
        <w:tc>
          <w:tcPr>
            <w:tcW w:w="1440" w:type="dxa"/>
            <w:vAlign w:val="bottom"/>
          </w:tcPr>
          <w:p>
            <w:pPr>
              <w:jc w:val="right"/>
              <w:ind w:right="261"/>
              <w:spacing w:after="0" w:line="216"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line="216" w:lineRule="exact"/>
              <w:rPr>
                <w:sz w:val="20"/>
                <w:szCs w:val="20"/>
                <w:color w:val="auto"/>
              </w:rPr>
            </w:pPr>
            <w:r>
              <w:rPr>
                <w:rFonts w:ascii="Arial" w:cs="Arial" w:eastAsia="Arial" w:hAnsi="Arial"/>
                <w:sz w:val="20"/>
                <w:szCs w:val="20"/>
                <w:color w:val="auto"/>
              </w:rPr>
              <w:t>Shire termination</w:t>
            </w:r>
          </w:p>
        </w:tc>
        <w:tc>
          <w:tcPr>
            <w:tcW w:w="154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81"/>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(170)</w:t>
            </w:r>
          </w:p>
        </w:tc>
        <w:tc>
          <w:tcPr>
            <w:tcW w:w="13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2"/>
        </w:trPr>
        <w:tc>
          <w:tcPr>
            <w:tcW w:w="4180" w:type="dxa"/>
            <w:vAlign w:val="bottom"/>
          </w:tcPr>
          <w:p>
            <w:pPr>
              <w:ind w:left="180"/>
              <w:spacing w:after="0" w:line="192" w:lineRule="exact"/>
              <w:rPr>
                <w:sz w:val="20"/>
                <w:szCs w:val="20"/>
                <w:color w:val="auto"/>
              </w:rPr>
            </w:pPr>
            <w:r>
              <w:rPr>
                <w:rFonts w:ascii="Arial" w:cs="Arial" w:eastAsia="Arial" w:hAnsi="Arial"/>
                <w:sz w:val="20"/>
                <w:szCs w:val="20"/>
                <w:color w:val="auto"/>
              </w:rPr>
              <w:t>Other</w:t>
            </w:r>
          </w:p>
        </w:tc>
        <w:tc>
          <w:tcPr>
            <w:tcW w:w="1540" w:type="dxa"/>
            <w:vAlign w:val="bottom"/>
          </w:tcPr>
          <w:p>
            <w:pPr>
              <w:jc w:val="right"/>
              <w:ind w:right="221"/>
              <w:spacing w:after="0" w:line="192" w:lineRule="exact"/>
              <w:rPr>
                <w:sz w:val="20"/>
                <w:szCs w:val="20"/>
                <w:color w:val="auto"/>
              </w:rPr>
            </w:pPr>
            <w:r>
              <w:rPr>
                <w:rFonts w:ascii="Arial" w:cs="Arial" w:eastAsia="Arial" w:hAnsi="Arial"/>
                <w:sz w:val="20"/>
                <w:szCs w:val="20"/>
                <w:color w:val="auto"/>
              </w:rPr>
              <w:t>(9)</w:t>
            </w:r>
          </w:p>
        </w:tc>
        <w:tc>
          <w:tcPr>
            <w:tcW w:w="1260" w:type="dxa"/>
            <w:vAlign w:val="bottom"/>
          </w:tcPr>
          <w:p>
            <w:pPr>
              <w:jc w:val="right"/>
              <w:ind w:right="221"/>
              <w:spacing w:after="0" w:line="192" w:lineRule="exact"/>
              <w:rPr>
                <w:sz w:val="20"/>
                <w:szCs w:val="20"/>
                <w:color w:val="auto"/>
              </w:rPr>
            </w:pPr>
            <w:r>
              <w:rPr>
                <w:rFonts w:ascii="Arial" w:cs="Arial" w:eastAsia="Arial" w:hAnsi="Arial"/>
                <w:sz w:val="20"/>
                <w:szCs w:val="20"/>
                <w:color w:val="auto"/>
              </w:rPr>
              <w:t>(27)</w:t>
            </w:r>
          </w:p>
        </w:tc>
        <w:tc>
          <w:tcPr>
            <w:tcW w:w="1240" w:type="dxa"/>
            <w:vAlign w:val="bottom"/>
          </w:tcPr>
          <w:p>
            <w:pPr>
              <w:jc w:val="right"/>
              <w:ind w:right="201"/>
              <w:spacing w:after="0" w:line="192"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261"/>
              <w:spacing w:after="0" w:line="192"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41"/>
              <w:spacing w:after="0" w:line="192" w:lineRule="exact"/>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8"/>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As adjusted (non-GAAP)</w:t>
            </w:r>
          </w:p>
        </w:tc>
        <w:tc>
          <w:tcPr>
            <w:tcW w:w="1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80" w:type="dxa"/>
            <w:vAlign w:val="bottom"/>
            <w:vMerge w:val="continue"/>
          </w:tcPr>
          <w:p>
            <w:pPr>
              <w:spacing w:after="0"/>
              <w:rPr>
                <w:sz w:val="22"/>
                <w:szCs w:val="22"/>
                <w:color w:val="auto"/>
              </w:rPr>
            </w:pPr>
          </w:p>
        </w:tc>
        <w:tc>
          <w:tcPr>
            <w:tcW w:w="1540" w:type="dxa"/>
            <w:vAlign w:val="bottom"/>
          </w:tcPr>
          <w:p>
            <w:pPr>
              <w:jc w:val="right"/>
              <w:ind w:right="221"/>
              <w:spacing w:after="0"/>
              <w:rPr>
                <w:sz w:val="20"/>
                <w:szCs w:val="20"/>
                <w:color w:val="auto"/>
              </w:rPr>
            </w:pPr>
            <w:r>
              <w:rPr>
                <w:rFonts w:ascii="Arial" w:cs="Arial" w:eastAsia="Arial" w:hAnsi="Arial"/>
                <w:sz w:val="20"/>
                <w:szCs w:val="20"/>
                <w:b w:val="1"/>
                <w:bCs w:val="1"/>
                <w:color w:val="auto"/>
              </w:rPr>
              <w:t>$862</w:t>
            </w:r>
          </w:p>
        </w:tc>
        <w:tc>
          <w:tcPr>
            <w:tcW w:w="1260" w:type="dxa"/>
            <w:vAlign w:val="bottom"/>
          </w:tcPr>
          <w:p>
            <w:pPr>
              <w:jc w:val="right"/>
              <w:ind w:right="221"/>
              <w:spacing w:after="0"/>
              <w:rPr>
                <w:sz w:val="20"/>
                <w:szCs w:val="20"/>
                <w:color w:val="auto"/>
              </w:rPr>
            </w:pPr>
            <w:r>
              <w:rPr>
                <w:rFonts w:ascii="Arial" w:cs="Arial" w:eastAsia="Arial" w:hAnsi="Arial"/>
                <w:sz w:val="20"/>
                <w:szCs w:val="20"/>
                <w:b w:val="1"/>
                <w:bCs w:val="1"/>
                <w:color w:val="auto"/>
              </w:rPr>
              <w:t>$1,345</w:t>
            </w:r>
          </w:p>
        </w:tc>
        <w:tc>
          <w:tcPr>
            <w:tcW w:w="1240" w:type="dxa"/>
            <w:vAlign w:val="bottom"/>
          </w:tcPr>
          <w:p>
            <w:pPr>
              <w:jc w:val="right"/>
              <w:ind w:right="201"/>
              <w:spacing w:after="0"/>
              <w:rPr>
                <w:sz w:val="20"/>
                <w:szCs w:val="20"/>
                <w:color w:val="auto"/>
              </w:rPr>
            </w:pPr>
            <w:r>
              <w:rPr>
                <w:rFonts w:ascii="Arial" w:cs="Arial" w:eastAsia="Arial" w:hAnsi="Arial"/>
                <w:sz w:val="20"/>
                <w:szCs w:val="20"/>
                <w:b w:val="1"/>
                <w:bCs w:val="1"/>
                <w:color w:val="auto"/>
              </w:rPr>
              <w:t>--</w:t>
            </w:r>
          </w:p>
        </w:tc>
        <w:tc>
          <w:tcPr>
            <w:tcW w:w="1440" w:type="dxa"/>
            <w:vAlign w:val="bottom"/>
          </w:tcPr>
          <w:p>
            <w:pPr>
              <w:jc w:val="right"/>
              <w:ind w:right="201"/>
              <w:spacing w:after="0"/>
              <w:rPr>
                <w:sz w:val="20"/>
                <w:szCs w:val="20"/>
                <w:color w:val="auto"/>
              </w:rPr>
            </w:pPr>
            <w:r>
              <w:rPr>
                <w:rFonts w:ascii="Arial" w:cs="Arial" w:eastAsia="Arial" w:hAnsi="Arial"/>
                <w:sz w:val="20"/>
                <w:szCs w:val="20"/>
                <w:b w:val="1"/>
                <w:bCs w:val="1"/>
                <w:color w:val="auto"/>
              </w:rPr>
              <w:t>($6)</w:t>
            </w:r>
          </w:p>
        </w:tc>
        <w:tc>
          <w:tcPr>
            <w:tcW w:w="1300" w:type="dxa"/>
            <w:vAlign w:val="bottom"/>
          </w:tcPr>
          <w:p>
            <w:pPr>
              <w:jc w:val="right"/>
              <w:ind w:right="41"/>
              <w:spacing w:after="0"/>
              <w:rPr>
                <w:sz w:val="20"/>
                <w:szCs w:val="20"/>
                <w:color w:val="auto"/>
              </w:rPr>
            </w:pPr>
            <w:r>
              <w:rPr>
                <w:rFonts w:ascii="Arial" w:cs="Arial" w:eastAsia="Arial" w:hAnsi="Arial"/>
                <w:sz w:val="20"/>
                <w:szCs w:val="20"/>
                <w:b w:val="1"/>
                <w:bCs w:val="1"/>
                <w:color w:val="auto"/>
              </w:rPr>
              <w:t>$67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adjusted tax rate for the first quarter of 2015 was 22.3 percent, as detailed below:</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18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1Q15</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1500" w:type="dxa"/>
            <w:vAlign w:val="bottom"/>
          </w:tcPr>
          <w:p>
            <w:pPr>
              <w:jc w:val="right"/>
              <w:ind w:right="401"/>
              <w:spacing w:after="0" w:line="206" w:lineRule="exact"/>
              <w:rPr>
                <w:sz w:val="20"/>
                <w:szCs w:val="20"/>
                <w:color w:val="auto"/>
              </w:rPr>
            </w:pPr>
            <w:r>
              <w:rPr>
                <w:rFonts w:ascii="Arial" w:cs="Arial" w:eastAsia="Arial" w:hAnsi="Arial"/>
                <w:sz w:val="20"/>
                <w:szCs w:val="20"/>
                <w:color w:val="auto"/>
              </w:rPr>
              <w:t>Pre-tax</w:t>
            </w:r>
          </w:p>
        </w:tc>
        <w:tc>
          <w:tcPr>
            <w:tcW w:w="1300" w:type="dxa"/>
            <w:vAlign w:val="bottom"/>
          </w:tcPr>
          <w:p>
            <w:pPr>
              <w:jc w:val="right"/>
              <w:ind w:right="241"/>
              <w:spacing w:after="0" w:line="206" w:lineRule="exact"/>
              <w:rPr>
                <w:sz w:val="20"/>
                <w:szCs w:val="20"/>
                <w:color w:val="auto"/>
              </w:rPr>
            </w:pPr>
            <w:r>
              <w:rPr>
                <w:rFonts w:ascii="Arial" w:cs="Arial" w:eastAsia="Arial" w:hAnsi="Arial"/>
                <w:sz w:val="20"/>
                <w:szCs w:val="20"/>
                <w:color w:val="auto"/>
              </w:rPr>
              <w:t>Income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500" w:type="dxa"/>
            <w:vAlign w:val="bottom"/>
            <w:tcBorders>
              <w:bottom w:val="single" w:sz="8" w:color="auto"/>
            </w:tcBorders>
          </w:tcPr>
          <w:p>
            <w:pPr>
              <w:jc w:val="right"/>
              <w:ind w:right="401"/>
              <w:spacing w:after="0" w:line="220" w:lineRule="exact"/>
              <w:rPr>
                <w:sz w:val="20"/>
                <w:szCs w:val="20"/>
                <w:color w:val="auto"/>
              </w:rPr>
            </w:pPr>
            <w:r>
              <w:rPr>
                <w:rFonts w:ascii="Arial" w:cs="Arial" w:eastAsia="Arial" w:hAnsi="Arial"/>
                <w:sz w:val="20"/>
                <w:szCs w:val="20"/>
                <w:color w:val="auto"/>
              </w:rPr>
              <w:t>income</w:t>
            </w:r>
          </w:p>
        </w:tc>
        <w:tc>
          <w:tcPr>
            <w:tcW w:w="1300" w:type="dxa"/>
            <w:vAlign w:val="bottom"/>
            <w:tcBorders>
              <w:bottom w:val="single" w:sz="8" w:color="auto"/>
            </w:tcBorders>
          </w:tcPr>
          <w:p>
            <w:pPr>
              <w:jc w:val="right"/>
              <w:ind w:right="341"/>
              <w:spacing w:after="0" w:line="220" w:lineRule="exact"/>
              <w:rPr>
                <w:sz w:val="20"/>
                <w:szCs w:val="20"/>
                <w:color w:val="auto"/>
              </w:rPr>
            </w:pPr>
            <w:r>
              <w:rPr>
                <w:rFonts w:ascii="Arial" w:cs="Arial" w:eastAsia="Arial" w:hAnsi="Arial"/>
                <w:sz w:val="20"/>
                <w:szCs w:val="20"/>
                <w:color w:val="auto"/>
              </w:rPr>
              <w:t>taxes</w:t>
            </w:r>
          </w:p>
        </w:tc>
        <w:tc>
          <w:tcPr>
            <w:tcW w:w="1120" w:type="dxa"/>
            <w:vAlign w:val="bottom"/>
            <w:tcBorders>
              <w:bottom w:val="single" w:sz="8" w:color="auto"/>
            </w:tcBorders>
          </w:tcPr>
          <w:p>
            <w:pPr>
              <w:jc w:val="right"/>
              <w:ind w:right="61"/>
              <w:spacing w:after="0" w:line="220" w:lineRule="exact"/>
              <w:rPr>
                <w:sz w:val="20"/>
                <w:szCs w:val="20"/>
                <w:color w:val="auto"/>
              </w:rPr>
            </w:pPr>
            <w:r>
              <w:rPr>
                <w:rFonts w:ascii="Arial" w:cs="Arial" w:eastAsia="Arial" w:hAnsi="Arial"/>
                <w:sz w:val="20"/>
                <w:szCs w:val="20"/>
                <w:color w:val="auto"/>
              </w:rPr>
              <w:t>Tax rate</w:t>
            </w:r>
          </w:p>
        </w:tc>
        <w:tc>
          <w:tcPr>
            <w:tcW w:w="0" w:type="dxa"/>
            <w:vAlign w:val="bottom"/>
          </w:tcPr>
          <w:p>
            <w:pPr>
              <w:spacing w:after="0"/>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500" w:type="dxa"/>
            <w:vAlign w:val="bottom"/>
          </w:tcPr>
          <w:p>
            <w:pPr>
              <w:jc w:val="right"/>
              <w:ind w:right="121"/>
              <w:spacing w:after="0" w:line="206" w:lineRule="exact"/>
              <w:rPr>
                <w:sz w:val="20"/>
                <w:szCs w:val="20"/>
                <w:color w:val="auto"/>
              </w:rPr>
            </w:pPr>
            <w:r>
              <w:rPr>
                <w:rFonts w:ascii="Arial" w:cs="Arial" w:eastAsia="Arial" w:hAnsi="Arial"/>
                <w:sz w:val="20"/>
                <w:szCs w:val="20"/>
                <w:b w:val="1"/>
                <w:bCs w:val="1"/>
                <w:color w:val="auto"/>
              </w:rPr>
              <w:t>$1,396</w:t>
            </w:r>
          </w:p>
        </w:tc>
        <w:tc>
          <w:tcPr>
            <w:tcW w:w="1300" w:type="dxa"/>
            <w:vAlign w:val="bottom"/>
          </w:tcPr>
          <w:p>
            <w:pPr>
              <w:jc w:val="right"/>
              <w:ind w:right="161"/>
              <w:spacing w:after="0" w:line="206" w:lineRule="exact"/>
              <w:rPr>
                <w:sz w:val="20"/>
                <w:szCs w:val="20"/>
                <w:color w:val="auto"/>
              </w:rPr>
            </w:pPr>
            <w:r>
              <w:rPr>
                <w:rFonts w:ascii="Arial" w:cs="Arial" w:eastAsia="Arial" w:hAnsi="Arial"/>
                <w:sz w:val="20"/>
                <w:szCs w:val="20"/>
                <w:b w:val="1"/>
                <w:bCs w:val="1"/>
                <w:color w:val="auto"/>
              </w:rPr>
              <w:t>$374</w:t>
            </w:r>
          </w:p>
        </w:tc>
        <w:tc>
          <w:tcPr>
            <w:tcW w:w="1120" w:type="dxa"/>
            <w:vAlign w:val="bottom"/>
          </w:tcPr>
          <w:p>
            <w:pPr>
              <w:jc w:val="right"/>
              <w:spacing w:after="0" w:line="206" w:lineRule="exact"/>
              <w:rPr>
                <w:sz w:val="20"/>
                <w:szCs w:val="20"/>
                <w:color w:val="auto"/>
              </w:rPr>
            </w:pPr>
            <w:r>
              <w:rPr>
                <w:rFonts w:ascii="Arial" w:cs="Arial" w:eastAsia="Arial" w:hAnsi="Arial"/>
                <w:sz w:val="20"/>
                <w:szCs w:val="20"/>
                <w:b w:val="1"/>
                <w:bCs w:val="1"/>
                <w:color w:val="auto"/>
              </w:rPr>
              <w:t>26.8%</w:t>
            </w:r>
          </w:p>
        </w:tc>
        <w:tc>
          <w:tcPr>
            <w:tcW w:w="0" w:type="dxa"/>
            <w:vAlign w:val="bottom"/>
          </w:tcPr>
          <w:p>
            <w:pPr>
              <w:spacing w:after="0"/>
              <w:rPr>
                <w:sz w:val="1"/>
                <w:szCs w:val="1"/>
                <w:color w:val="auto"/>
              </w:rPr>
            </w:pPr>
          </w:p>
        </w:tc>
      </w:tr>
      <w:tr>
        <w:trPr>
          <w:trHeight w:val="192"/>
        </w:trPr>
        <w:tc>
          <w:tcPr>
            <w:tcW w:w="4180" w:type="dxa"/>
            <w:vAlign w:val="bottom"/>
          </w:tcPr>
          <w:p>
            <w:pPr>
              <w:spacing w:after="0" w:line="192" w:lineRule="exact"/>
              <w:rPr>
                <w:sz w:val="20"/>
                <w:szCs w:val="20"/>
                <w:color w:val="auto"/>
              </w:rPr>
            </w:pPr>
            <w:r>
              <w:rPr>
                <w:rFonts w:ascii="Arial" w:cs="Arial" w:eastAsia="Arial" w:hAnsi="Arial"/>
                <w:sz w:val="20"/>
                <w:szCs w:val="20"/>
                <w:color w:val="auto"/>
              </w:rPr>
              <w:t>Specified items</w:t>
            </w:r>
          </w:p>
        </w:tc>
        <w:tc>
          <w:tcPr>
            <w:tcW w:w="1500" w:type="dxa"/>
            <w:vAlign w:val="bottom"/>
          </w:tcPr>
          <w:p>
            <w:pPr>
              <w:jc w:val="right"/>
              <w:ind w:right="121"/>
              <w:spacing w:after="0" w:line="192" w:lineRule="exact"/>
              <w:rPr>
                <w:sz w:val="20"/>
                <w:szCs w:val="20"/>
                <w:color w:val="auto"/>
              </w:rPr>
            </w:pPr>
            <w:r>
              <w:rPr>
                <w:rFonts w:ascii="Arial" w:cs="Arial" w:eastAsia="Arial" w:hAnsi="Arial"/>
                <w:sz w:val="20"/>
                <w:szCs w:val="20"/>
                <w:color w:val="auto"/>
              </w:rPr>
              <w:t>564</w:t>
            </w:r>
          </w:p>
        </w:tc>
        <w:tc>
          <w:tcPr>
            <w:tcW w:w="1300" w:type="dxa"/>
            <w:vAlign w:val="bottom"/>
          </w:tcPr>
          <w:p>
            <w:pPr>
              <w:jc w:val="right"/>
              <w:ind w:right="161"/>
              <w:spacing w:after="0" w:line="192" w:lineRule="exact"/>
              <w:rPr>
                <w:sz w:val="20"/>
                <w:szCs w:val="20"/>
                <w:color w:val="auto"/>
              </w:rPr>
            </w:pPr>
            <w:r>
              <w:rPr>
                <w:rFonts w:ascii="Arial" w:cs="Arial" w:eastAsia="Arial" w:hAnsi="Arial"/>
                <w:sz w:val="20"/>
                <w:szCs w:val="20"/>
                <w:color w:val="auto"/>
              </w:rPr>
              <w:t>63</w:t>
            </w:r>
          </w:p>
        </w:tc>
        <w:tc>
          <w:tcPr>
            <w:tcW w:w="1120" w:type="dxa"/>
            <w:vAlign w:val="bottom"/>
          </w:tcPr>
          <w:p>
            <w:pPr>
              <w:jc w:val="right"/>
              <w:spacing w:after="0" w:line="192" w:lineRule="exact"/>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8"/>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As adjusted (non-GAAP)</w:t>
            </w: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80" w:type="dxa"/>
            <w:vAlign w:val="bottom"/>
            <w:vMerge w:val="continue"/>
          </w:tcPr>
          <w:p>
            <w:pPr>
              <w:spacing w:after="0"/>
              <w:rPr>
                <w:sz w:val="22"/>
                <w:szCs w:val="22"/>
                <w:color w:val="auto"/>
              </w:rPr>
            </w:pPr>
          </w:p>
        </w:tc>
        <w:tc>
          <w:tcPr>
            <w:tcW w:w="1500" w:type="dxa"/>
            <w:vAlign w:val="bottom"/>
          </w:tcPr>
          <w:p>
            <w:pPr>
              <w:jc w:val="right"/>
              <w:ind w:right="121"/>
              <w:spacing w:after="0"/>
              <w:rPr>
                <w:sz w:val="20"/>
                <w:szCs w:val="20"/>
                <w:color w:val="auto"/>
              </w:rPr>
            </w:pPr>
            <w:r>
              <w:rPr>
                <w:rFonts w:ascii="Arial" w:cs="Arial" w:eastAsia="Arial" w:hAnsi="Arial"/>
                <w:sz w:val="20"/>
                <w:szCs w:val="20"/>
                <w:b w:val="1"/>
                <w:bCs w:val="1"/>
                <w:color w:val="auto"/>
              </w:rPr>
              <w:t>$1,960</w:t>
            </w:r>
          </w:p>
        </w:tc>
        <w:tc>
          <w:tcPr>
            <w:tcW w:w="1300" w:type="dxa"/>
            <w:vAlign w:val="bottom"/>
          </w:tcPr>
          <w:p>
            <w:pPr>
              <w:jc w:val="right"/>
              <w:ind w:right="161"/>
              <w:spacing w:after="0"/>
              <w:rPr>
                <w:sz w:val="20"/>
                <w:szCs w:val="20"/>
                <w:color w:val="auto"/>
              </w:rPr>
            </w:pPr>
            <w:r>
              <w:rPr>
                <w:rFonts w:ascii="Arial" w:cs="Arial" w:eastAsia="Arial" w:hAnsi="Arial"/>
                <w:sz w:val="20"/>
                <w:szCs w:val="20"/>
                <w:b w:val="1"/>
                <w:bCs w:val="1"/>
                <w:color w:val="auto"/>
              </w:rPr>
              <w:t>$437</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22.3%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115760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AbbVie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Reported to Non-GAAP Adjusted Information</w:t>
      </w:r>
    </w:p>
    <w:p>
      <w:pPr>
        <w:jc w:val="center"/>
        <w:spacing w:after="0" w:line="234" w:lineRule="auto"/>
        <w:rPr>
          <w:sz w:val="20"/>
          <w:szCs w:val="20"/>
          <w:color w:val="auto"/>
        </w:rPr>
      </w:pPr>
      <w:r>
        <w:rPr>
          <w:rFonts w:ascii="Arial" w:cs="Arial" w:eastAsia="Arial" w:hAnsi="Arial"/>
          <w:sz w:val="18"/>
          <w:szCs w:val="18"/>
          <w:b w:val="1"/>
          <w:bCs w:val="1"/>
          <w:color w:val="auto"/>
        </w:rPr>
        <w:t>Quarter Ended March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9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Specified items impacted results as follows:</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498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1Q14</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820" w:type="dxa"/>
            <w:vAlign w:val="bottom"/>
            <w:tcBorders>
              <w:bottom w:val="single" w:sz="8" w:color="auto"/>
            </w:tcBorders>
            <w:gridSpan w:val="2"/>
          </w:tcPr>
          <w:p>
            <w:pPr>
              <w:jc w:val="right"/>
              <w:ind w:right="981"/>
              <w:spacing w:after="0" w:line="209" w:lineRule="exact"/>
              <w:rPr>
                <w:sz w:val="20"/>
                <w:szCs w:val="20"/>
                <w:color w:val="auto"/>
              </w:rPr>
            </w:pPr>
            <w:r>
              <w:rPr>
                <w:rFonts w:ascii="Arial" w:cs="Arial" w:eastAsia="Arial" w:hAnsi="Arial"/>
                <w:sz w:val="20"/>
                <w:szCs w:val="20"/>
                <w:color w:val="auto"/>
              </w:rPr>
              <w:t>Earnings</w:t>
            </w:r>
          </w:p>
        </w:tc>
        <w:tc>
          <w:tcPr>
            <w:tcW w:w="1240" w:type="dxa"/>
            <w:vAlign w:val="bottom"/>
            <w:tcBorders>
              <w:bottom w:val="single" w:sz="8" w:color="auto"/>
            </w:tcBorders>
          </w:tcPr>
          <w:p>
            <w:pPr>
              <w:jc w:val="right"/>
              <w:ind w:right="261"/>
              <w:spacing w:after="0" w:line="209" w:lineRule="exact"/>
              <w:rPr>
                <w:sz w:val="20"/>
                <w:szCs w:val="20"/>
                <w:color w:val="auto"/>
              </w:rPr>
            </w:pPr>
            <w:r>
              <w:rPr>
                <w:rFonts w:ascii="Arial" w:cs="Arial" w:eastAsia="Arial" w:hAnsi="Arial"/>
                <w:sz w:val="20"/>
                <w:szCs w:val="20"/>
                <w:color w:val="auto"/>
              </w:rPr>
              <w:t>Diluted</w:t>
            </w:r>
          </w:p>
        </w:tc>
        <w:tc>
          <w:tcPr>
            <w:tcW w:w="0" w:type="dxa"/>
            <w:vAlign w:val="bottom"/>
          </w:tcPr>
          <w:p>
            <w:pPr>
              <w:spacing w:after="0"/>
              <w:rPr>
                <w:sz w:val="1"/>
                <w:szCs w:val="1"/>
                <w:color w:val="auto"/>
              </w:rPr>
            </w:pPr>
          </w:p>
        </w:tc>
      </w:tr>
      <w:tr>
        <w:trPr>
          <w:trHeight w:val="210"/>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440" w:type="dxa"/>
            <w:vAlign w:val="bottom"/>
            <w:tcBorders>
              <w:bottom w:val="single" w:sz="8" w:color="auto"/>
            </w:tcBorders>
          </w:tcPr>
          <w:p>
            <w:pPr>
              <w:jc w:val="right"/>
              <w:ind w:right="341"/>
              <w:spacing w:after="0" w:line="209" w:lineRule="exact"/>
              <w:rPr>
                <w:sz w:val="20"/>
                <w:szCs w:val="20"/>
                <w:color w:val="auto"/>
              </w:rPr>
            </w:pPr>
            <w:r>
              <w:rPr>
                <w:rFonts w:ascii="Arial" w:cs="Arial" w:eastAsia="Arial" w:hAnsi="Arial"/>
                <w:sz w:val="20"/>
                <w:szCs w:val="20"/>
                <w:color w:val="auto"/>
              </w:rPr>
              <w:t>Pre-tax</w:t>
            </w:r>
          </w:p>
        </w:tc>
        <w:tc>
          <w:tcPr>
            <w:tcW w:w="1380" w:type="dxa"/>
            <w:vAlign w:val="bottom"/>
            <w:tcBorders>
              <w:bottom w:val="single" w:sz="8" w:color="auto"/>
            </w:tcBorders>
          </w:tcPr>
          <w:p>
            <w:pPr>
              <w:jc w:val="right"/>
              <w:ind w:right="321"/>
              <w:spacing w:after="0" w:line="209" w:lineRule="exact"/>
              <w:rPr>
                <w:sz w:val="20"/>
                <w:szCs w:val="20"/>
                <w:color w:val="auto"/>
              </w:rPr>
            </w:pPr>
            <w:r>
              <w:rPr>
                <w:rFonts w:ascii="Arial" w:cs="Arial" w:eastAsia="Arial" w:hAnsi="Arial"/>
                <w:sz w:val="20"/>
                <w:szCs w:val="20"/>
                <w:color w:val="auto"/>
              </w:rPr>
              <w:t>After-tax</w:t>
            </w:r>
          </w:p>
        </w:tc>
        <w:tc>
          <w:tcPr>
            <w:tcW w:w="1240" w:type="dxa"/>
            <w:vAlign w:val="bottom"/>
            <w:tcBorders>
              <w:bottom w:val="single" w:sz="8" w:color="auto"/>
            </w:tcBorders>
          </w:tcPr>
          <w:p>
            <w:pPr>
              <w:jc w:val="right"/>
              <w:ind w:right="381"/>
              <w:spacing w:after="0" w:line="209" w:lineRule="exact"/>
              <w:rPr>
                <w:sz w:val="20"/>
                <w:szCs w:val="20"/>
                <w:color w:val="auto"/>
              </w:rPr>
            </w:pPr>
            <w:r>
              <w:rPr>
                <w:rFonts w:ascii="Arial" w:cs="Arial" w:eastAsia="Arial" w:hAnsi="Arial"/>
                <w:sz w:val="20"/>
                <w:szCs w:val="20"/>
                <w:color w:val="auto"/>
              </w:rPr>
              <w:t>EPS</w:t>
            </w:r>
          </w:p>
        </w:tc>
        <w:tc>
          <w:tcPr>
            <w:tcW w:w="0" w:type="dxa"/>
            <w:vAlign w:val="bottom"/>
          </w:tcPr>
          <w:p>
            <w:pPr>
              <w:spacing w:after="0"/>
              <w:rPr>
                <w:sz w:val="1"/>
                <w:szCs w:val="1"/>
                <w:color w:val="auto"/>
              </w:rPr>
            </w:pPr>
          </w:p>
        </w:tc>
      </w:tr>
      <w:tr>
        <w:trPr>
          <w:trHeight w:val="268"/>
        </w:trPr>
        <w:tc>
          <w:tcPr>
            <w:tcW w:w="4980" w:type="dxa"/>
            <w:vAlign w:val="bottom"/>
            <w:vMerge w:val="continue"/>
          </w:tcPr>
          <w:p>
            <w:pPr>
              <w:spacing w:after="0"/>
              <w:rPr>
                <w:sz w:val="23"/>
                <w:szCs w:val="23"/>
                <w:color w:val="auto"/>
              </w:rPr>
            </w:pPr>
          </w:p>
        </w:tc>
        <w:tc>
          <w:tcPr>
            <w:tcW w:w="1440" w:type="dxa"/>
            <w:vAlign w:val="bottom"/>
          </w:tcPr>
          <w:p>
            <w:pPr>
              <w:jc w:val="right"/>
              <w:ind w:right="121"/>
              <w:spacing w:after="0"/>
              <w:rPr>
                <w:sz w:val="20"/>
                <w:szCs w:val="20"/>
                <w:color w:val="auto"/>
              </w:rPr>
            </w:pPr>
            <w:r>
              <w:rPr>
                <w:rFonts w:ascii="Arial" w:cs="Arial" w:eastAsia="Arial" w:hAnsi="Arial"/>
                <w:sz w:val="20"/>
                <w:szCs w:val="20"/>
                <w:b w:val="1"/>
                <w:bCs w:val="1"/>
                <w:color w:val="auto"/>
              </w:rPr>
              <w:t>$1,286</w:t>
            </w:r>
          </w:p>
        </w:tc>
        <w:tc>
          <w:tcPr>
            <w:tcW w:w="1380" w:type="dxa"/>
            <w:vAlign w:val="bottom"/>
          </w:tcPr>
          <w:p>
            <w:pPr>
              <w:jc w:val="right"/>
              <w:ind w:right="141"/>
              <w:spacing w:after="0"/>
              <w:rPr>
                <w:sz w:val="20"/>
                <w:szCs w:val="20"/>
                <w:color w:val="auto"/>
              </w:rPr>
            </w:pPr>
            <w:r>
              <w:rPr>
                <w:rFonts w:ascii="Arial" w:cs="Arial" w:eastAsia="Arial" w:hAnsi="Arial"/>
                <w:sz w:val="20"/>
                <w:szCs w:val="20"/>
                <w:b w:val="1"/>
                <w:bCs w:val="1"/>
                <w:color w:val="auto"/>
              </w:rPr>
              <w:t>$980</w:t>
            </w: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$0.61</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20"/>
                <w:szCs w:val="20"/>
                <w:color w:val="auto"/>
              </w:rPr>
              <w:t>Adjusted for specified items:</w:t>
            </w: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180"/>
              <w:spacing w:after="0"/>
              <w:rPr>
                <w:sz w:val="20"/>
                <w:szCs w:val="20"/>
                <w:color w:val="auto"/>
              </w:rPr>
            </w:pPr>
            <w:r>
              <w:rPr>
                <w:rFonts w:ascii="Arial" w:cs="Arial" w:eastAsia="Arial" w:hAnsi="Arial"/>
                <w:sz w:val="20"/>
                <w:szCs w:val="20"/>
                <w:color w:val="auto"/>
              </w:rPr>
              <w:t>Intangible asset amortization</w:t>
            </w:r>
          </w:p>
        </w:tc>
        <w:tc>
          <w:tcPr>
            <w:tcW w:w="1440" w:type="dxa"/>
            <w:vAlign w:val="bottom"/>
          </w:tcPr>
          <w:p>
            <w:pPr>
              <w:jc w:val="right"/>
              <w:ind w:right="121"/>
              <w:spacing w:after="0"/>
              <w:rPr>
                <w:sz w:val="20"/>
                <w:szCs w:val="20"/>
                <w:color w:val="auto"/>
              </w:rPr>
            </w:pPr>
            <w:r>
              <w:rPr>
                <w:rFonts w:ascii="Arial" w:cs="Arial" w:eastAsia="Arial" w:hAnsi="Arial"/>
                <w:sz w:val="20"/>
                <w:szCs w:val="20"/>
                <w:color w:val="auto"/>
              </w:rPr>
              <w:t>110</w:t>
            </w:r>
          </w:p>
        </w:tc>
        <w:tc>
          <w:tcPr>
            <w:tcW w:w="1380" w:type="dxa"/>
            <w:vAlign w:val="bottom"/>
          </w:tcPr>
          <w:p>
            <w:pPr>
              <w:jc w:val="right"/>
              <w:ind w:right="141"/>
              <w:spacing w:after="0"/>
              <w:rPr>
                <w:sz w:val="20"/>
                <w:szCs w:val="20"/>
                <w:color w:val="auto"/>
              </w:rPr>
            </w:pPr>
            <w:r>
              <w:rPr>
                <w:rFonts w:ascii="Arial" w:cs="Arial" w:eastAsia="Arial" w:hAnsi="Arial"/>
                <w:sz w:val="20"/>
                <w:szCs w:val="20"/>
                <w:color w:val="auto"/>
              </w:rPr>
              <w:t>80</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r>
        <w:trPr>
          <w:trHeight w:val="257"/>
        </w:trPr>
        <w:tc>
          <w:tcPr>
            <w:tcW w:w="4980" w:type="dxa"/>
            <w:vAlign w:val="bottom"/>
          </w:tcPr>
          <w:p>
            <w:pPr>
              <w:ind w:left="180"/>
              <w:spacing w:after="0"/>
              <w:rPr>
                <w:sz w:val="20"/>
                <w:szCs w:val="20"/>
                <w:color w:val="auto"/>
              </w:rPr>
            </w:pPr>
            <w:r>
              <w:rPr>
                <w:rFonts w:ascii="Arial" w:cs="Arial" w:eastAsia="Arial" w:hAnsi="Arial"/>
                <w:sz w:val="20"/>
                <w:szCs w:val="20"/>
                <w:color w:val="auto"/>
              </w:rPr>
              <w:t>Separation costs</w:t>
            </w:r>
          </w:p>
        </w:tc>
        <w:tc>
          <w:tcPr>
            <w:tcW w:w="1440" w:type="dxa"/>
            <w:vAlign w:val="bottom"/>
          </w:tcPr>
          <w:p>
            <w:pPr>
              <w:jc w:val="right"/>
              <w:ind w:right="121"/>
              <w:spacing w:after="0"/>
              <w:rPr>
                <w:sz w:val="20"/>
                <w:szCs w:val="20"/>
                <w:color w:val="auto"/>
              </w:rPr>
            </w:pPr>
            <w:r>
              <w:rPr>
                <w:rFonts w:ascii="Arial" w:cs="Arial" w:eastAsia="Arial" w:hAnsi="Arial"/>
                <w:sz w:val="20"/>
                <w:szCs w:val="20"/>
                <w:color w:val="auto"/>
              </w:rPr>
              <w:t>80</w:t>
            </w:r>
          </w:p>
        </w:tc>
        <w:tc>
          <w:tcPr>
            <w:tcW w:w="1380" w:type="dxa"/>
            <w:vAlign w:val="bottom"/>
          </w:tcPr>
          <w:p>
            <w:pPr>
              <w:jc w:val="right"/>
              <w:ind w:right="141"/>
              <w:spacing w:after="0"/>
              <w:rPr>
                <w:sz w:val="20"/>
                <w:szCs w:val="20"/>
                <w:color w:val="auto"/>
              </w:rPr>
            </w:pPr>
            <w:r>
              <w:rPr>
                <w:rFonts w:ascii="Arial" w:cs="Arial" w:eastAsia="Arial" w:hAnsi="Arial"/>
                <w:sz w:val="20"/>
                <w:szCs w:val="20"/>
                <w:color w:val="auto"/>
              </w:rPr>
              <w:t>88</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r>
        <w:trPr>
          <w:trHeight w:val="239"/>
        </w:trPr>
        <w:tc>
          <w:tcPr>
            <w:tcW w:w="4980" w:type="dxa"/>
            <w:vAlign w:val="bottom"/>
          </w:tcPr>
          <w:p>
            <w:pPr>
              <w:ind w:left="180"/>
              <w:spacing w:after="0"/>
              <w:rPr>
                <w:sz w:val="20"/>
                <w:szCs w:val="20"/>
                <w:color w:val="auto"/>
              </w:rPr>
            </w:pPr>
            <w:r>
              <w:rPr>
                <w:rFonts w:ascii="Arial" w:cs="Arial" w:eastAsia="Arial" w:hAnsi="Arial"/>
                <w:sz w:val="20"/>
                <w:szCs w:val="20"/>
                <w:color w:val="auto"/>
              </w:rPr>
              <w:t>Restructuring/Other</w:t>
            </w: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4</w:t>
            </w: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2</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68"/>
        </w:trPr>
        <w:tc>
          <w:tcPr>
            <w:tcW w:w="4980" w:type="dxa"/>
            <w:vAlign w:val="bottom"/>
          </w:tcPr>
          <w:p>
            <w:pPr>
              <w:spacing w:after="0"/>
              <w:rPr>
                <w:sz w:val="20"/>
                <w:szCs w:val="20"/>
                <w:color w:val="auto"/>
              </w:rPr>
            </w:pPr>
            <w:r>
              <w:rPr>
                <w:rFonts w:ascii="Arial" w:cs="Arial" w:eastAsia="Arial" w:hAnsi="Arial"/>
                <w:sz w:val="20"/>
                <w:szCs w:val="20"/>
                <w:b w:val="1"/>
                <w:bCs w:val="1"/>
                <w:color w:val="auto"/>
              </w:rPr>
              <w:t>As adjusted (non-GAAP)</w:t>
            </w:r>
          </w:p>
        </w:tc>
        <w:tc>
          <w:tcPr>
            <w:tcW w:w="1440" w:type="dxa"/>
            <w:vAlign w:val="bottom"/>
          </w:tcPr>
          <w:p>
            <w:pPr>
              <w:jc w:val="right"/>
              <w:ind w:right="121"/>
              <w:spacing w:after="0"/>
              <w:rPr>
                <w:sz w:val="20"/>
                <w:szCs w:val="20"/>
                <w:color w:val="auto"/>
              </w:rPr>
            </w:pPr>
            <w:r>
              <w:rPr>
                <w:rFonts w:ascii="Arial" w:cs="Arial" w:eastAsia="Arial" w:hAnsi="Arial"/>
                <w:sz w:val="20"/>
                <w:szCs w:val="20"/>
                <w:b w:val="1"/>
                <w:bCs w:val="1"/>
                <w:color w:val="auto"/>
              </w:rPr>
              <w:t>$1,480</w:t>
            </w:r>
          </w:p>
        </w:tc>
        <w:tc>
          <w:tcPr>
            <w:tcW w:w="1380" w:type="dxa"/>
            <w:vAlign w:val="bottom"/>
          </w:tcPr>
          <w:p>
            <w:pPr>
              <w:jc w:val="right"/>
              <w:ind w:right="141"/>
              <w:spacing w:after="0"/>
              <w:rPr>
                <w:sz w:val="20"/>
                <w:szCs w:val="20"/>
                <w:color w:val="auto"/>
              </w:rPr>
            </w:pPr>
            <w:r>
              <w:rPr>
                <w:rFonts w:ascii="Arial" w:cs="Arial" w:eastAsia="Arial" w:hAnsi="Arial"/>
                <w:sz w:val="20"/>
                <w:szCs w:val="20"/>
                <w:b w:val="1"/>
                <w:bCs w:val="1"/>
                <w:color w:val="auto"/>
              </w:rPr>
              <w:t>$1,150</w:t>
            </w: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$0.71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20" w:right="80"/>
        <w:spacing w:after="0" w:line="232" w:lineRule="auto"/>
        <w:rPr>
          <w:sz w:val="20"/>
          <w:szCs w:val="20"/>
          <w:color w:val="auto"/>
        </w:rPr>
      </w:pPr>
      <w:r>
        <w:rPr>
          <w:rFonts w:ascii="Arial" w:cs="Arial" w:eastAsia="Arial" w:hAnsi="Arial"/>
          <w:sz w:val="20"/>
          <w:szCs w:val="20"/>
          <w:color w:val="auto"/>
        </w:rPr>
        <w:t>Intangible asset amortization reflects costs recognized as a result of licensing and acquisition activities. Separation costs are expenses related to the separation of AbbVie from Abbott. Restructuring/Other is primarily associated with previously announced restructuring activities.</w:t>
      </w:r>
    </w:p>
    <w:p>
      <w:pPr>
        <w:spacing w:after="0" w:line="200" w:lineRule="exact"/>
        <w:rPr>
          <w:sz w:val="20"/>
          <w:szCs w:val="20"/>
          <w:color w:val="auto"/>
        </w:rPr>
      </w:pPr>
    </w:p>
    <w:p>
      <w:pPr>
        <w:spacing w:after="0" w:line="21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9"/>
          <w:szCs w:val="19"/>
          <w:color w:val="auto"/>
        </w:rPr>
        <w:t>The impact of the specified items by line item was as follows:</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500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1Q14</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1480" w:type="dxa"/>
            <w:vAlign w:val="bottom"/>
          </w:tcPr>
          <w:p>
            <w:pPr>
              <w:jc w:val="center"/>
              <w:ind w:right="41"/>
              <w:spacing w:after="0" w:line="206" w:lineRule="exact"/>
              <w:rPr>
                <w:sz w:val="20"/>
                <w:szCs w:val="20"/>
                <w:color w:val="auto"/>
              </w:rPr>
            </w:pPr>
            <w:r>
              <w:rPr>
                <w:rFonts w:ascii="Arial" w:cs="Arial" w:eastAsia="Arial" w:hAnsi="Arial"/>
                <w:sz w:val="20"/>
                <w:szCs w:val="20"/>
                <w:color w:val="auto"/>
                <w:w w:val="97"/>
              </w:rPr>
              <w:t>Cost of</w:t>
            </w: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80" w:type="dxa"/>
            <w:vAlign w:val="bottom"/>
          </w:tcPr>
          <w:p>
            <w:pPr>
              <w:jc w:val="center"/>
              <w:ind w:right="61"/>
              <w:spacing w:after="0" w:line="216" w:lineRule="exact"/>
              <w:rPr>
                <w:sz w:val="20"/>
                <w:szCs w:val="20"/>
                <w:color w:val="auto"/>
              </w:rPr>
            </w:pPr>
            <w:r>
              <w:rPr>
                <w:rFonts w:ascii="Arial" w:cs="Arial" w:eastAsia="Arial" w:hAnsi="Arial"/>
                <w:sz w:val="20"/>
                <w:szCs w:val="20"/>
                <w:color w:val="auto"/>
                <w:w w:val="99"/>
              </w:rPr>
              <w:t>products</w:t>
            </w: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480" w:type="dxa"/>
            <w:vAlign w:val="bottom"/>
            <w:tcBorders>
              <w:bottom w:val="single" w:sz="8" w:color="auto"/>
            </w:tcBorders>
          </w:tcPr>
          <w:p>
            <w:pPr>
              <w:jc w:val="center"/>
              <w:ind w:right="61"/>
              <w:spacing w:after="0" w:line="220" w:lineRule="exact"/>
              <w:rPr>
                <w:sz w:val="20"/>
                <w:szCs w:val="20"/>
                <w:color w:val="auto"/>
              </w:rPr>
            </w:pPr>
            <w:r>
              <w:rPr>
                <w:rFonts w:ascii="Arial" w:cs="Arial" w:eastAsia="Arial" w:hAnsi="Arial"/>
                <w:sz w:val="20"/>
                <w:szCs w:val="20"/>
                <w:color w:val="auto"/>
                <w:w w:val="98"/>
              </w:rPr>
              <w:t>sold</w:t>
            </w:r>
          </w:p>
        </w:tc>
        <w:tc>
          <w:tcPr>
            <w:tcW w:w="1380" w:type="dxa"/>
            <w:vAlign w:val="bottom"/>
            <w:tcBorders>
              <w:bottom w:val="single" w:sz="8" w:color="auto"/>
            </w:tcBorders>
          </w:tcPr>
          <w:p>
            <w:pPr>
              <w:jc w:val="right"/>
              <w:ind w:right="461"/>
              <w:spacing w:after="0" w:line="220" w:lineRule="exact"/>
              <w:rPr>
                <w:sz w:val="20"/>
                <w:szCs w:val="20"/>
                <w:color w:val="auto"/>
              </w:rPr>
            </w:pPr>
            <w:r>
              <w:rPr>
                <w:rFonts w:ascii="Arial" w:cs="Arial" w:eastAsia="Arial" w:hAnsi="Arial"/>
                <w:sz w:val="20"/>
                <w:szCs w:val="20"/>
                <w:color w:val="auto"/>
              </w:rPr>
              <w:t>SG&amp;A</w:t>
            </w:r>
          </w:p>
        </w:tc>
        <w:tc>
          <w:tcPr>
            <w:tcW w:w="1180" w:type="dxa"/>
            <w:vAlign w:val="bottom"/>
            <w:tcBorders>
              <w:bottom w:val="single" w:sz="8" w:color="auto"/>
            </w:tcBorders>
          </w:tcPr>
          <w:p>
            <w:pPr>
              <w:jc w:val="right"/>
              <w:ind w:right="361"/>
              <w:spacing w:after="0" w:line="220" w:lineRule="exact"/>
              <w:rPr>
                <w:sz w:val="20"/>
                <w:szCs w:val="20"/>
                <w:color w:val="auto"/>
              </w:rPr>
            </w:pPr>
            <w:r>
              <w:rPr>
                <w:rFonts w:ascii="Arial" w:cs="Arial" w:eastAsia="Arial" w:hAnsi="Arial"/>
                <w:sz w:val="20"/>
                <w:szCs w:val="20"/>
                <w:color w:val="auto"/>
              </w:rPr>
              <w:t>R&amp;D</w:t>
            </w:r>
          </w:p>
        </w:tc>
        <w:tc>
          <w:tcPr>
            <w:tcW w:w="0" w:type="dxa"/>
            <w:vAlign w:val="bottom"/>
          </w:tcPr>
          <w:p>
            <w:pPr>
              <w:spacing w:after="0"/>
              <w:rPr>
                <w:sz w:val="1"/>
                <w:szCs w:val="1"/>
                <w:color w:val="auto"/>
              </w:rPr>
            </w:pPr>
          </w:p>
        </w:tc>
      </w:tr>
      <w:tr>
        <w:trPr>
          <w:trHeight w:val="268"/>
        </w:trPr>
        <w:tc>
          <w:tcPr>
            <w:tcW w:w="5000" w:type="dxa"/>
            <w:vAlign w:val="bottom"/>
            <w:vMerge w:val="continue"/>
          </w:tcPr>
          <w:p>
            <w:pPr>
              <w:spacing w:after="0"/>
              <w:rPr>
                <w:sz w:val="23"/>
                <w:szCs w:val="23"/>
                <w:color w:val="auto"/>
              </w:rPr>
            </w:pPr>
          </w:p>
        </w:tc>
        <w:tc>
          <w:tcPr>
            <w:tcW w:w="1480" w:type="dxa"/>
            <w:vAlign w:val="bottom"/>
          </w:tcPr>
          <w:p>
            <w:pPr>
              <w:jc w:val="right"/>
              <w:ind w:right="161"/>
              <w:spacing w:after="0"/>
              <w:rPr>
                <w:sz w:val="20"/>
                <w:szCs w:val="20"/>
                <w:color w:val="auto"/>
              </w:rPr>
            </w:pPr>
            <w:r>
              <w:rPr>
                <w:rFonts w:ascii="Arial" w:cs="Arial" w:eastAsia="Arial" w:hAnsi="Arial"/>
                <w:sz w:val="20"/>
                <w:szCs w:val="20"/>
                <w:b w:val="1"/>
                <w:bCs w:val="1"/>
                <w:color w:val="auto"/>
              </w:rPr>
              <w:t>$1,100</w:t>
            </w:r>
          </w:p>
        </w:tc>
        <w:tc>
          <w:tcPr>
            <w:tcW w:w="1380" w:type="dxa"/>
            <w:vAlign w:val="bottom"/>
          </w:tcPr>
          <w:p>
            <w:pPr>
              <w:jc w:val="right"/>
              <w:ind w:right="201"/>
              <w:spacing w:after="0"/>
              <w:rPr>
                <w:sz w:val="20"/>
                <w:szCs w:val="20"/>
                <w:color w:val="auto"/>
              </w:rPr>
            </w:pPr>
            <w:r>
              <w:rPr>
                <w:rFonts w:ascii="Arial" w:cs="Arial" w:eastAsia="Arial" w:hAnsi="Arial"/>
                <w:sz w:val="20"/>
                <w:szCs w:val="20"/>
                <w:b w:val="1"/>
                <w:bCs w:val="1"/>
                <w:color w:val="auto"/>
              </w:rPr>
              <w:t>$1,340</w:t>
            </w:r>
          </w:p>
        </w:tc>
        <w:tc>
          <w:tcPr>
            <w:tcW w:w="1180" w:type="dxa"/>
            <w:vAlign w:val="bottom"/>
          </w:tcPr>
          <w:p>
            <w:pPr>
              <w:jc w:val="right"/>
              <w:ind w:right="21"/>
              <w:spacing w:after="0"/>
              <w:rPr>
                <w:sz w:val="20"/>
                <w:szCs w:val="20"/>
                <w:color w:val="auto"/>
              </w:rPr>
            </w:pPr>
            <w:r>
              <w:rPr>
                <w:rFonts w:ascii="Arial" w:cs="Arial" w:eastAsia="Arial" w:hAnsi="Arial"/>
                <w:sz w:val="20"/>
                <w:szCs w:val="20"/>
                <w:b w:val="1"/>
                <w:bCs w:val="1"/>
                <w:color w:val="auto"/>
              </w:rPr>
              <w:t>$772</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20"/>
                <w:szCs w:val="20"/>
                <w:color w:val="auto"/>
              </w:rPr>
              <w:t>Adjusted for specified items:</w:t>
            </w:r>
          </w:p>
        </w:tc>
        <w:tc>
          <w:tcPr>
            <w:tcW w:w="1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20"/>
                <w:szCs w:val="20"/>
                <w:color w:val="auto"/>
              </w:rPr>
              <w:t>Intangible asset amortization</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(110)</w:t>
            </w:r>
          </w:p>
        </w:tc>
        <w:tc>
          <w:tcPr>
            <w:tcW w:w="138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20"/>
                <w:szCs w:val="20"/>
                <w:color w:val="auto"/>
              </w:rPr>
              <w:t>Separation costs</w:t>
            </w:r>
          </w:p>
        </w:tc>
        <w:tc>
          <w:tcPr>
            <w:tcW w:w="1480" w:type="dxa"/>
            <w:vAlign w:val="bottom"/>
          </w:tcPr>
          <w:p>
            <w:pPr>
              <w:jc w:val="right"/>
              <w:ind w:right="161"/>
              <w:spacing w:after="0"/>
              <w:rPr>
                <w:sz w:val="20"/>
                <w:szCs w:val="20"/>
                <w:color w:val="auto"/>
              </w:rPr>
            </w:pPr>
            <w:r>
              <w:rPr>
                <w:rFonts w:ascii="Arial" w:cs="Arial" w:eastAsia="Arial" w:hAnsi="Arial"/>
                <w:sz w:val="20"/>
                <w:szCs w:val="20"/>
                <w:color w:val="auto"/>
              </w:rPr>
              <w:t>(2)</w:t>
            </w:r>
          </w:p>
        </w:tc>
        <w:tc>
          <w:tcPr>
            <w:tcW w:w="1380" w:type="dxa"/>
            <w:vAlign w:val="bottom"/>
          </w:tcPr>
          <w:p>
            <w:pPr>
              <w:jc w:val="right"/>
              <w:ind w:right="201"/>
              <w:spacing w:after="0"/>
              <w:rPr>
                <w:sz w:val="20"/>
                <w:szCs w:val="20"/>
                <w:color w:val="auto"/>
              </w:rPr>
            </w:pPr>
            <w:r>
              <w:rPr>
                <w:rFonts w:ascii="Arial" w:cs="Arial" w:eastAsia="Arial" w:hAnsi="Arial"/>
                <w:sz w:val="20"/>
                <w:szCs w:val="20"/>
                <w:color w:val="auto"/>
              </w:rPr>
              <w:t>(77)</w:t>
            </w: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9"/>
        </w:trPr>
        <w:tc>
          <w:tcPr>
            <w:tcW w:w="5000" w:type="dxa"/>
            <w:vAlign w:val="bottom"/>
          </w:tcPr>
          <w:p>
            <w:pPr>
              <w:ind w:left="180"/>
              <w:spacing w:after="0"/>
              <w:rPr>
                <w:sz w:val="20"/>
                <w:szCs w:val="20"/>
                <w:color w:val="auto"/>
              </w:rPr>
            </w:pPr>
            <w:r>
              <w:rPr>
                <w:rFonts w:ascii="Arial" w:cs="Arial" w:eastAsia="Arial" w:hAnsi="Arial"/>
                <w:sz w:val="20"/>
                <w:szCs w:val="20"/>
                <w:color w:val="auto"/>
              </w:rPr>
              <w:t>Restructuring/Other</w:t>
            </w:r>
          </w:p>
        </w:tc>
        <w:tc>
          <w:tcPr>
            <w:tcW w:w="14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(2)</w:t>
            </w: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5000" w:type="dxa"/>
            <w:vAlign w:val="bottom"/>
          </w:tcPr>
          <w:p>
            <w:pPr>
              <w:spacing w:after="0"/>
              <w:rPr>
                <w:sz w:val="20"/>
                <w:szCs w:val="20"/>
                <w:color w:val="auto"/>
              </w:rPr>
            </w:pPr>
            <w:r>
              <w:rPr>
                <w:rFonts w:ascii="Arial" w:cs="Arial" w:eastAsia="Arial" w:hAnsi="Arial"/>
                <w:sz w:val="20"/>
                <w:szCs w:val="20"/>
                <w:b w:val="1"/>
                <w:bCs w:val="1"/>
                <w:color w:val="auto"/>
              </w:rPr>
              <w:t>As adjusted (non-GAAP)</w:t>
            </w:r>
          </w:p>
        </w:tc>
        <w:tc>
          <w:tcPr>
            <w:tcW w:w="1480" w:type="dxa"/>
            <w:vAlign w:val="bottom"/>
          </w:tcPr>
          <w:p>
            <w:pPr>
              <w:jc w:val="right"/>
              <w:ind w:right="161"/>
              <w:spacing w:after="0"/>
              <w:rPr>
                <w:sz w:val="20"/>
                <w:szCs w:val="20"/>
                <w:color w:val="auto"/>
              </w:rPr>
            </w:pPr>
            <w:r>
              <w:rPr>
                <w:rFonts w:ascii="Arial" w:cs="Arial" w:eastAsia="Arial" w:hAnsi="Arial"/>
                <w:sz w:val="20"/>
                <w:szCs w:val="20"/>
                <w:b w:val="1"/>
                <w:bCs w:val="1"/>
                <w:color w:val="auto"/>
              </w:rPr>
              <w:t>$986</w:t>
            </w:r>
          </w:p>
        </w:tc>
        <w:tc>
          <w:tcPr>
            <w:tcW w:w="1380" w:type="dxa"/>
            <w:vAlign w:val="bottom"/>
          </w:tcPr>
          <w:p>
            <w:pPr>
              <w:jc w:val="right"/>
              <w:ind w:right="201"/>
              <w:spacing w:after="0"/>
              <w:rPr>
                <w:sz w:val="20"/>
                <w:szCs w:val="20"/>
                <w:color w:val="auto"/>
              </w:rPr>
            </w:pPr>
            <w:r>
              <w:rPr>
                <w:rFonts w:ascii="Arial" w:cs="Arial" w:eastAsia="Arial" w:hAnsi="Arial"/>
                <w:sz w:val="20"/>
                <w:szCs w:val="20"/>
                <w:b w:val="1"/>
                <w:bCs w:val="1"/>
                <w:color w:val="auto"/>
              </w:rPr>
              <w:t>$1,261</w:t>
            </w:r>
          </w:p>
        </w:tc>
        <w:tc>
          <w:tcPr>
            <w:tcW w:w="1180" w:type="dxa"/>
            <w:vAlign w:val="bottom"/>
          </w:tcPr>
          <w:p>
            <w:pPr>
              <w:jc w:val="right"/>
              <w:ind w:right="21"/>
              <w:spacing w:after="0"/>
              <w:rPr>
                <w:sz w:val="20"/>
                <w:szCs w:val="20"/>
                <w:color w:val="auto"/>
              </w:rPr>
            </w:pPr>
            <w:r>
              <w:rPr>
                <w:rFonts w:ascii="Arial" w:cs="Arial" w:eastAsia="Arial" w:hAnsi="Arial"/>
                <w:sz w:val="20"/>
                <w:szCs w:val="20"/>
                <w:b w:val="1"/>
                <w:bCs w:val="1"/>
                <w:color w:val="auto"/>
              </w:rPr>
              <w:t>$771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adjusted tax rate for the first quarter of 2014 was 22.3 percent, as detailed below:</w:t>
      </w:r>
    </w:p>
    <w:p>
      <w:pPr>
        <w:sectPr>
          <w:pgSz w:w="11900" w:h="16838" w:orient="portrait"/>
          <w:cols w:equalWidth="0" w:num="1">
            <w:col w:w="11420"/>
          </w:cols>
          <w:pgMar w:left="240" w:top="135"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4"/>
        </w:trPr>
        <w:tc>
          <w:tcPr>
            <w:tcW w:w="50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1Q14</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1460" w:type="dxa"/>
            <w:vAlign w:val="bottom"/>
          </w:tcPr>
          <w:p>
            <w:pPr>
              <w:jc w:val="right"/>
              <w:ind w:right="381"/>
              <w:spacing w:after="0" w:line="206" w:lineRule="exact"/>
              <w:rPr>
                <w:sz w:val="20"/>
                <w:szCs w:val="20"/>
                <w:color w:val="auto"/>
              </w:rPr>
            </w:pPr>
            <w:r>
              <w:rPr>
                <w:rFonts w:ascii="Arial" w:cs="Arial" w:eastAsia="Arial" w:hAnsi="Arial"/>
                <w:sz w:val="20"/>
                <w:szCs w:val="20"/>
                <w:color w:val="auto"/>
              </w:rPr>
              <w:t>Pre-tax</w:t>
            </w:r>
          </w:p>
        </w:tc>
        <w:tc>
          <w:tcPr>
            <w:tcW w:w="1340" w:type="dxa"/>
            <w:vAlign w:val="bottom"/>
          </w:tcPr>
          <w:p>
            <w:pPr>
              <w:jc w:val="right"/>
              <w:ind w:right="361"/>
              <w:spacing w:after="0" w:line="206" w:lineRule="exact"/>
              <w:rPr>
                <w:sz w:val="20"/>
                <w:szCs w:val="20"/>
                <w:color w:val="auto"/>
              </w:rPr>
            </w:pPr>
            <w:r>
              <w:rPr>
                <w:rFonts w:ascii="Arial" w:cs="Arial" w:eastAsia="Arial" w:hAnsi="Arial"/>
                <w:sz w:val="20"/>
                <w:szCs w:val="20"/>
                <w:color w:val="auto"/>
              </w:rPr>
              <w:t>Income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As reported (GAAP)</w:t>
            </w:r>
          </w:p>
        </w:tc>
        <w:tc>
          <w:tcPr>
            <w:tcW w:w="1460" w:type="dxa"/>
            <w:vAlign w:val="bottom"/>
            <w:tcBorders>
              <w:bottom w:val="single" w:sz="8" w:color="auto"/>
            </w:tcBorders>
          </w:tcPr>
          <w:p>
            <w:pPr>
              <w:jc w:val="right"/>
              <w:ind w:right="381"/>
              <w:spacing w:after="0" w:line="220" w:lineRule="exact"/>
              <w:rPr>
                <w:sz w:val="20"/>
                <w:szCs w:val="20"/>
                <w:color w:val="auto"/>
              </w:rPr>
            </w:pPr>
            <w:r>
              <w:rPr>
                <w:rFonts w:ascii="Arial" w:cs="Arial" w:eastAsia="Arial" w:hAnsi="Arial"/>
                <w:sz w:val="20"/>
                <w:szCs w:val="20"/>
                <w:color w:val="auto"/>
              </w:rPr>
              <w:t>income</w:t>
            </w:r>
          </w:p>
        </w:tc>
        <w:tc>
          <w:tcPr>
            <w:tcW w:w="1340" w:type="dxa"/>
            <w:vAlign w:val="bottom"/>
            <w:tcBorders>
              <w:bottom w:val="single" w:sz="8" w:color="auto"/>
            </w:tcBorders>
          </w:tcPr>
          <w:p>
            <w:pPr>
              <w:jc w:val="right"/>
              <w:ind w:right="441"/>
              <w:spacing w:after="0" w:line="220" w:lineRule="exact"/>
              <w:rPr>
                <w:sz w:val="20"/>
                <w:szCs w:val="20"/>
                <w:color w:val="auto"/>
              </w:rPr>
            </w:pPr>
            <w:r>
              <w:rPr>
                <w:rFonts w:ascii="Arial" w:cs="Arial" w:eastAsia="Arial" w:hAnsi="Arial"/>
                <w:sz w:val="20"/>
                <w:szCs w:val="20"/>
                <w:color w:val="auto"/>
              </w:rPr>
              <w:t>taxes</w:t>
            </w:r>
          </w:p>
        </w:tc>
        <w:tc>
          <w:tcPr>
            <w:tcW w:w="1240" w:type="dxa"/>
            <w:vAlign w:val="bottom"/>
            <w:tcBorders>
              <w:bottom w:val="single" w:sz="8" w:color="auto"/>
            </w:tcBorders>
          </w:tcPr>
          <w:p>
            <w:pPr>
              <w:jc w:val="right"/>
              <w:ind w:right="221"/>
              <w:spacing w:after="0" w:line="220" w:lineRule="exact"/>
              <w:rPr>
                <w:sz w:val="20"/>
                <w:szCs w:val="20"/>
                <w:color w:val="auto"/>
              </w:rPr>
            </w:pPr>
            <w:r>
              <w:rPr>
                <w:rFonts w:ascii="Arial" w:cs="Arial" w:eastAsia="Arial" w:hAnsi="Arial"/>
                <w:sz w:val="20"/>
                <w:szCs w:val="20"/>
                <w:color w:val="auto"/>
              </w:rPr>
              <w:t>Tax rate</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1460" w:type="dxa"/>
            <w:vAlign w:val="bottom"/>
          </w:tcPr>
          <w:p>
            <w:pPr>
              <w:jc w:val="right"/>
              <w:ind w:right="141"/>
              <w:spacing w:after="0" w:line="206" w:lineRule="exact"/>
              <w:rPr>
                <w:sz w:val="20"/>
                <w:szCs w:val="20"/>
                <w:color w:val="auto"/>
              </w:rPr>
            </w:pPr>
            <w:r>
              <w:rPr>
                <w:rFonts w:ascii="Arial" w:cs="Arial" w:eastAsia="Arial" w:hAnsi="Arial"/>
                <w:sz w:val="20"/>
                <w:szCs w:val="20"/>
                <w:b w:val="1"/>
                <w:bCs w:val="1"/>
                <w:color w:val="auto"/>
              </w:rPr>
              <w:t>$1,286</w:t>
            </w:r>
          </w:p>
        </w:tc>
        <w:tc>
          <w:tcPr>
            <w:tcW w:w="1340" w:type="dxa"/>
            <w:vAlign w:val="bottom"/>
          </w:tcPr>
          <w:p>
            <w:pPr>
              <w:jc w:val="right"/>
              <w:ind w:right="141"/>
              <w:spacing w:after="0" w:line="206" w:lineRule="exact"/>
              <w:rPr>
                <w:sz w:val="20"/>
                <w:szCs w:val="20"/>
                <w:color w:val="auto"/>
              </w:rPr>
            </w:pPr>
            <w:r>
              <w:rPr>
                <w:rFonts w:ascii="Arial" w:cs="Arial" w:eastAsia="Arial" w:hAnsi="Arial"/>
                <w:sz w:val="20"/>
                <w:szCs w:val="20"/>
                <w:b w:val="1"/>
                <w:bCs w:val="1"/>
                <w:color w:val="auto"/>
              </w:rPr>
              <w:t>$306</w:t>
            </w:r>
          </w:p>
        </w:tc>
        <w:tc>
          <w:tcPr>
            <w:tcW w:w="1240" w:type="dxa"/>
            <w:vAlign w:val="bottom"/>
          </w:tcPr>
          <w:p>
            <w:pPr>
              <w:jc w:val="right"/>
              <w:ind w:right="21"/>
              <w:spacing w:after="0" w:line="206" w:lineRule="exact"/>
              <w:rPr>
                <w:sz w:val="20"/>
                <w:szCs w:val="20"/>
                <w:color w:val="auto"/>
              </w:rPr>
            </w:pPr>
            <w:r>
              <w:rPr>
                <w:rFonts w:ascii="Arial" w:cs="Arial" w:eastAsia="Arial" w:hAnsi="Arial"/>
                <w:sz w:val="20"/>
                <w:szCs w:val="20"/>
                <w:b w:val="1"/>
                <w:bCs w:val="1"/>
                <w:color w:val="auto"/>
              </w:rPr>
              <w:t>23.8%</w:t>
            </w:r>
          </w:p>
        </w:tc>
        <w:tc>
          <w:tcPr>
            <w:tcW w:w="0" w:type="dxa"/>
            <w:vAlign w:val="bottom"/>
          </w:tcPr>
          <w:p>
            <w:pPr>
              <w:spacing w:after="0"/>
              <w:rPr>
                <w:sz w:val="1"/>
                <w:szCs w:val="1"/>
                <w:color w:val="auto"/>
              </w:rPr>
            </w:pPr>
          </w:p>
        </w:tc>
      </w:tr>
      <w:tr>
        <w:trPr>
          <w:trHeight w:val="192"/>
        </w:trPr>
        <w:tc>
          <w:tcPr>
            <w:tcW w:w="5000" w:type="dxa"/>
            <w:vAlign w:val="bottom"/>
          </w:tcPr>
          <w:p>
            <w:pPr>
              <w:spacing w:after="0" w:line="192" w:lineRule="exact"/>
              <w:rPr>
                <w:sz w:val="20"/>
                <w:szCs w:val="20"/>
                <w:color w:val="auto"/>
              </w:rPr>
            </w:pPr>
            <w:r>
              <w:rPr>
                <w:rFonts w:ascii="Arial" w:cs="Arial" w:eastAsia="Arial" w:hAnsi="Arial"/>
                <w:sz w:val="20"/>
                <w:szCs w:val="20"/>
                <w:color w:val="auto"/>
              </w:rPr>
              <w:t>Specified items</w:t>
            </w:r>
          </w:p>
        </w:tc>
        <w:tc>
          <w:tcPr>
            <w:tcW w:w="1460" w:type="dxa"/>
            <w:vAlign w:val="bottom"/>
          </w:tcPr>
          <w:p>
            <w:pPr>
              <w:jc w:val="right"/>
              <w:ind w:right="141"/>
              <w:spacing w:after="0" w:line="192" w:lineRule="exact"/>
              <w:rPr>
                <w:sz w:val="20"/>
                <w:szCs w:val="20"/>
                <w:color w:val="auto"/>
              </w:rPr>
            </w:pPr>
            <w:r>
              <w:rPr>
                <w:rFonts w:ascii="Arial" w:cs="Arial" w:eastAsia="Arial" w:hAnsi="Arial"/>
                <w:sz w:val="20"/>
                <w:szCs w:val="20"/>
                <w:color w:val="auto"/>
              </w:rPr>
              <w:t>194</w:t>
            </w:r>
          </w:p>
        </w:tc>
        <w:tc>
          <w:tcPr>
            <w:tcW w:w="1340" w:type="dxa"/>
            <w:vAlign w:val="bottom"/>
          </w:tcPr>
          <w:p>
            <w:pPr>
              <w:jc w:val="right"/>
              <w:ind w:right="141"/>
              <w:spacing w:after="0" w:line="192" w:lineRule="exact"/>
              <w:rPr>
                <w:sz w:val="20"/>
                <w:szCs w:val="20"/>
                <w:color w:val="auto"/>
              </w:rPr>
            </w:pPr>
            <w:r>
              <w:rPr>
                <w:rFonts w:ascii="Arial" w:cs="Arial" w:eastAsia="Arial" w:hAnsi="Arial"/>
                <w:sz w:val="20"/>
                <w:szCs w:val="20"/>
                <w:color w:val="auto"/>
              </w:rPr>
              <w:t>24</w:t>
            </w:r>
          </w:p>
        </w:tc>
        <w:tc>
          <w:tcPr>
            <w:tcW w:w="1240" w:type="dxa"/>
            <w:vAlign w:val="bottom"/>
          </w:tcPr>
          <w:p>
            <w:pPr>
              <w:jc w:val="right"/>
              <w:ind w:right="21"/>
              <w:spacing w:after="0" w:line="192" w:lineRule="exact"/>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8"/>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As adjusted (non-GAAP)</w:t>
            </w:r>
          </w:p>
        </w:tc>
        <w:tc>
          <w:tcPr>
            <w:tcW w:w="1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1460" w:type="dxa"/>
            <w:vAlign w:val="bottom"/>
          </w:tcPr>
          <w:p>
            <w:pPr>
              <w:jc w:val="right"/>
              <w:ind w:right="141"/>
              <w:spacing w:after="0"/>
              <w:rPr>
                <w:sz w:val="20"/>
                <w:szCs w:val="20"/>
                <w:color w:val="auto"/>
              </w:rPr>
            </w:pPr>
            <w:r>
              <w:rPr>
                <w:rFonts w:ascii="Arial" w:cs="Arial" w:eastAsia="Arial" w:hAnsi="Arial"/>
                <w:sz w:val="20"/>
                <w:szCs w:val="20"/>
                <w:b w:val="1"/>
                <w:bCs w:val="1"/>
                <w:color w:val="auto"/>
              </w:rPr>
              <w:t>$1,480</w:t>
            </w:r>
          </w:p>
        </w:tc>
        <w:tc>
          <w:tcPr>
            <w:tcW w:w="1340" w:type="dxa"/>
            <w:vAlign w:val="bottom"/>
          </w:tcPr>
          <w:p>
            <w:pPr>
              <w:jc w:val="right"/>
              <w:ind w:right="141"/>
              <w:spacing w:after="0"/>
              <w:rPr>
                <w:sz w:val="20"/>
                <w:szCs w:val="20"/>
                <w:color w:val="auto"/>
              </w:rPr>
            </w:pPr>
            <w:r>
              <w:rPr>
                <w:rFonts w:ascii="Arial" w:cs="Arial" w:eastAsia="Arial" w:hAnsi="Arial"/>
                <w:sz w:val="20"/>
                <w:szCs w:val="20"/>
                <w:b w:val="1"/>
                <w:bCs w:val="1"/>
                <w:color w:val="auto"/>
              </w:rPr>
              <w:t>$330</w:t>
            </w:r>
          </w:p>
        </w:tc>
        <w:tc>
          <w:tcPr>
            <w:tcW w:w="1240" w:type="dxa"/>
            <w:vAlign w:val="bottom"/>
          </w:tcPr>
          <w:p>
            <w:pPr>
              <w:jc w:val="right"/>
              <w:ind w:right="21"/>
              <w:spacing w:after="0"/>
              <w:rPr>
                <w:sz w:val="20"/>
                <w:szCs w:val="20"/>
                <w:color w:val="auto"/>
              </w:rPr>
            </w:pPr>
            <w:r>
              <w:rPr>
                <w:rFonts w:ascii="Arial" w:cs="Arial" w:eastAsia="Arial" w:hAnsi="Arial"/>
                <w:sz w:val="20"/>
                <w:szCs w:val="20"/>
                <w:b w:val="1"/>
                <w:bCs w:val="1"/>
                <w:color w:val="auto"/>
              </w:rPr>
              <w:t>22.3%</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20"/>
      </w:cols>
      <w:pgMar w:left="6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2019-12-09T02:39:06Z</dcterms:created>
  <dcterms:modified xsi:type="dcterms:W3CDTF">2019-12-09T02:39:06Z</dcterms:modified>
</cp:coreProperties>
</file>