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4782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782820"/>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LIDDY EDWARD M</w:t>
              </w:r>
            </w:hyperlink>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20" w:type="dxa"/>
            <w:vAlign w:val="bottom"/>
            <w:gridSpan w:val="6"/>
          </w:tcPr>
          <w:p>
            <w:pPr>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AbbVie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ABBV</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2"/>
                <w:szCs w:val="2"/>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0"/>
                <w:szCs w:val="10"/>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ind w:left="160"/>
              <w:spacing w:after="0" w:line="123"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40"/>
              <w:spacing w:after="0" w:line="12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gridSpan w:val="5"/>
            <w:vMerge w:val="restart"/>
          </w:tcPr>
          <w:p>
            <w:pPr>
              <w:ind w:left="160"/>
              <w:spacing w:after="0"/>
              <w:rPr>
                <w:sz w:val="20"/>
                <w:szCs w:val="20"/>
                <w:color w:val="auto"/>
              </w:rPr>
            </w:pPr>
            <w:r>
              <w:rPr>
                <w:rFonts w:ascii="Arial" w:cs="Arial" w:eastAsia="Arial" w:hAnsi="Arial"/>
                <w:sz w:val="17"/>
                <w:szCs w:val="17"/>
                <w:color w:val="0000FF"/>
              </w:rPr>
              <w:t>12/31/2021</w:t>
            </w: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1 N. WAUKEGAN ROAD</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gridSpan w:val="3"/>
          </w:tcPr>
          <w:p>
            <w:pPr>
              <w:spacing w:after="0"/>
              <w:rPr>
                <w:sz w:val="12"/>
                <w:szCs w:val="12"/>
                <w:color w:val="auto"/>
              </w:rPr>
            </w:pPr>
          </w:p>
        </w:tc>
        <w:tc>
          <w:tcPr>
            <w:tcW w:w="480" w:type="dxa"/>
            <w:vAlign w:val="bottom"/>
            <w:tcBorders>
              <w:bottom w:val="single" w:sz="8" w:color="2C2C2C"/>
            </w:tcBorders>
            <w:gridSpan w:val="2"/>
          </w:tcPr>
          <w:p>
            <w:pPr>
              <w:spacing w:after="0"/>
              <w:rPr>
                <w:sz w:val="12"/>
                <w:szCs w:val="12"/>
                <w:color w:val="auto"/>
              </w:rPr>
            </w:pPr>
          </w:p>
        </w:tc>
        <w:tc>
          <w:tcPr>
            <w:tcW w:w="2000" w:type="dxa"/>
            <w:vAlign w:val="bottom"/>
            <w:tcBorders>
              <w:bottom w:val="single" w:sz="8" w:color="2C2C2C"/>
            </w:tcBorders>
            <w:gridSpan w:val="4"/>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2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3"/>
                <w:szCs w:val="3"/>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9"/>
            <w:vMerge w:val="continue"/>
          </w:tcPr>
          <w:p>
            <w:pPr>
              <w:spacing w:after="0"/>
              <w:rPr>
                <w:sz w:val="11"/>
                <w:szCs w:val="11"/>
                <w:color w:val="auto"/>
              </w:rPr>
            </w:pPr>
          </w:p>
        </w:tc>
        <w:tc>
          <w:tcPr>
            <w:tcW w:w="260" w:type="dxa"/>
            <w:vAlign w:val="bottom"/>
          </w:tcPr>
          <w:p>
            <w:pPr>
              <w:spacing w:after="0"/>
              <w:rPr>
                <w:sz w:val="11"/>
                <w:szCs w:val="11"/>
                <w:color w:val="auto"/>
              </w:rPr>
            </w:pPr>
          </w:p>
        </w:tc>
        <w:tc>
          <w:tcPr>
            <w:tcW w:w="34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ind w:left="60"/>
              <w:spacing w:after="0" w:line="149" w:lineRule="exact"/>
              <w:rPr>
                <w:sz w:val="20"/>
                <w:szCs w:val="20"/>
                <w:color w:val="auto"/>
              </w:rPr>
            </w:pPr>
            <w:r>
              <w:rPr>
                <w:rFonts w:ascii="Arial" w:cs="Arial" w:eastAsia="Arial" w:hAnsi="Arial"/>
                <w:sz w:val="13"/>
                <w:szCs w:val="13"/>
                <w:color w:val="auto"/>
              </w:rPr>
              <w:t>Line)</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w w:val="99"/>
              </w:rPr>
              <w:t>NORTH</w:t>
            </w:r>
          </w:p>
        </w:tc>
        <w:tc>
          <w:tcPr>
            <w:tcW w:w="580" w:type="dxa"/>
            <w:vAlign w:val="bottom"/>
          </w:tcPr>
          <w:p>
            <w:pPr>
              <w:spacing w:after="0"/>
              <w:rPr>
                <w:sz w:val="18"/>
                <w:szCs w:val="18"/>
                <w:color w:val="auto"/>
              </w:rPr>
            </w:pP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rPr>
              <w:t>IL</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60064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CHICAGO</w:t>
            </w:r>
          </w:p>
        </w:tc>
        <w:tc>
          <w:tcPr>
            <w:tcW w:w="2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80"/>
              <w:spacing w:after="0" w:line="131"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740" w:type="dxa"/>
            <w:vAlign w:val="bottom"/>
            <w:tcBorders>
              <w:top w:val="single" w:sz="8" w:color="2C2C2C"/>
            </w:tcBorders>
            <w:gridSpan w:val="18"/>
          </w:tcPr>
          <w:p>
            <w:pPr>
              <w:ind w:left="3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2"/>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020" w:type="dxa"/>
            <w:vAlign w:val="bottom"/>
            <w:tcBorders>
              <w:bottom w:val="single" w:sz="8" w:color="2C2C2C"/>
            </w:tcBorders>
            <w:gridSpan w:val="3"/>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6740" w:type="dxa"/>
            <w:vAlign w:val="bottom"/>
            <w:tcBorders>
              <w:top w:val="single" w:sz="8" w:color="2C2C2C"/>
            </w:tcBorders>
            <w:gridSpan w:val="18"/>
          </w:tcPr>
          <w:p>
            <w:pPr>
              <w:ind w:left="5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56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212</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28,024</w:t>
            </w:r>
            <w:r>
              <w:rPr>
                <w:rFonts w:ascii="Arial" w:cs="Arial" w:eastAsia="Arial" w:hAnsi="Arial"/>
                <w:sz w:val="21"/>
                <w:szCs w:val="21"/>
                <w:color w:val="008000"/>
                <w:vertAlign w:val="superscript"/>
              </w:rPr>
              <w:t>(2)</w:t>
            </w: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Equivalent</w:t>
            </w:r>
          </w:p>
        </w:tc>
        <w:tc>
          <w:tcPr>
            <w:tcW w:w="580" w:type="dxa"/>
            <w:vAlign w:val="bottom"/>
            <w:vMerge w:val="restart"/>
          </w:tcPr>
          <w:p>
            <w:pPr>
              <w:ind w:left="200"/>
              <w:spacing w:after="0" w:line="144"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135.4</w:t>
            </w:r>
          </w:p>
        </w:tc>
        <w:tc>
          <w:tcPr>
            <w:tcW w:w="220" w:type="dxa"/>
            <w:vAlign w:val="bottom"/>
          </w:tcPr>
          <w:p>
            <w:pPr>
              <w:spacing w:after="0"/>
              <w:rPr>
                <w:sz w:val="5"/>
                <w:szCs w:val="5"/>
                <w:color w:val="auto"/>
              </w:rPr>
            </w:pPr>
          </w:p>
        </w:tc>
        <w:tc>
          <w:tcPr>
            <w:tcW w:w="1000" w:type="dxa"/>
            <w:vAlign w:val="bottom"/>
            <w:gridSpan w:val="2"/>
            <w:vMerge w:val="restart"/>
          </w:tcPr>
          <w:p>
            <w:pPr>
              <w:jc w:val="right"/>
              <w:ind w:right="115"/>
              <w:spacing w:after="0" w:line="144" w:lineRule="exact"/>
              <w:rPr>
                <w:sz w:val="20"/>
                <w:szCs w:val="20"/>
                <w:color w:val="auto"/>
              </w:rPr>
            </w:pPr>
            <w:r>
              <w:rPr>
                <w:rFonts w:ascii="Arial" w:cs="Arial" w:eastAsia="Arial" w:hAnsi="Arial"/>
                <w:sz w:val="13"/>
                <w:szCs w:val="13"/>
                <w:color w:val="0000FF"/>
              </w:rPr>
              <w:t>12/31/2021</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ind w:left="2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44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212</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135.4</w:t>
            </w:r>
          </w:p>
        </w:tc>
        <w:tc>
          <w:tcPr>
            <w:tcW w:w="880" w:type="dxa"/>
            <w:vAlign w:val="bottom"/>
            <w:gridSpan w:val="2"/>
            <w:vMerge w:val="continue"/>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jc w:val="both"/>
        <w:ind w:left="40" w:right="3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Director fees credited to stock equivalent unit accounts under grantor trusts established by the director at Abbott Laboratories and AbbVie. The stock equivalent units in the Abbott account will be paid, in cash, generally at age 65 or upon retirement from Abbott's board, and the stock equivalent units in the AbbVie account will be paid, in cash, generally at age 65 or upon retirement from AbbVie's board. The stock equivalent units in each account earn the same return as if the fees were invested in AbbVie stock.</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Balance includes stock equivalent units acquired pursuant to a dividend reinvestment feature.</w:t>
      </w:r>
    </w:p>
    <w:p>
      <w:pPr>
        <w:ind w:left="6600"/>
        <w:spacing w:after="0" w:line="186" w:lineRule="auto"/>
        <w:rPr>
          <w:sz w:val="20"/>
          <w:szCs w:val="20"/>
          <w:color w:val="auto"/>
        </w:rPr>
      </w:pPr>
      <w:r>
        <w:rPr>
          <w:rFonts w:ascii="Arial" w:cs="Arial" w:eastAsia="Arial" w:hAnsi="Arial"/>
          <w:sz w:val="17"/>
          <w:szCs w:val="17"/>
          <w:color w:val="0000FF"/>
        </w:rPr>
        <w:t xml:space="preserve">Steven L. Scrogham, attorney-  </w:t>
      </w:r>
      <w:r>
        <w:rPr>
          <w:rFonts w:ascii="Arial" w:cs="Arial" w:eastAsia="Arial" w:hAnsi="Arial"/>
          <w:sz w:val="33"/>
          <w:szCs w:val="33"/>
          <w:color w:val="0000FF"/>
          <w:vertAlign w:val="subscript"/>
        </w:rPr>
        <w:t>01/04/2022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16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Edward M. Liddy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27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745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8983" TargetMode="External"/><Relationship Id="rId13"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2022-01-04T16:18:09Z</dcterms:created>
  <dcterms:modified xsi:type="dcterms:W3CDTF">2022-01-04T16:18:09Z</dcterms:modified>
</cp:coreProperties>
</file>