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ABBVIE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900" w:type="dxa"/>
        <w:tblCellMar>
          <w:top w:w="0" w:type="dxa"/>
          <w:left w:w="0" w:type="dxa"/>
          <w:bottom w:w="0" w:type="dxa"/>
          <w:right w:w="0" w:type="dxa"/>
        </w:tblCellMar>
      </w:tblPr>
      <w:tr>
        <w:trPr>
          <w:trHeight w:val="216"/>
        </w:trPr>
        <w:tc>
          <w:tcPr>
            <w:tcW w:w="332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0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001-35565</w:t>
            </w:r>
          </w:p>
        </w:tc>
        <w:tc>
          <w:tcPr>
            <w:tcW w:w="3320" w:type="dxa"/>
            <w:vAlign w:val="bottom"/>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rPr>
              <w:t>32-0375147</w:t>
            </w:r>
          </w:p>
        </w:tc>
      </w:tr>
      <w:tr>
        <w:trPr>
          <w:trHeight w:val="216"/>
        </w:trPr>
        <w:tc>
          <w:tcPr>
            <w:tcW w:w="332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9"/>
              </w:rPr>
              <w:t>(State of Incorporation)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3320" w:type="dxa"/>
            <w:vAlign w:val="bottom"/>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3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32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270"/>
        </w:trPr>
        <w:tc>
          <w:tcPr>
            <w:tcW w:w="3320" w:type="dxa"/>
            <w:vAlign w:val="bottom"/>
          </w:tcPr>
          <w:p>
            <w:pPr>
              <w:spacing w:after="0"/>
              <w:rPr>
                <w:sz w:val="23"/>
                <w:szCs w:val="23"/>
                <w:color w:val="auto"/>
              </w:rPr>
            </w:pPr>
          </w:p>
        </w:tc>
        <w:tc>
          <w:tcPr>
            <w:tcW w:w="2800" w:type="dxa"/>
            <w:vAlign w:val="bottom"/>
            <w:tcBorders>
              <w:bottom w:val="single" w:sz="8" w:color="auto"/>
            </w:tcBorders>
          </w:tcPr>
          <w:p>
            <w:pPr>
              <w:spacing w:after="0"/>
              <w:rPr>
                <w:sz w:val="23"/>
                <w:szCs w:val="23"/>
                <w:color w:val="auto"/>
              </w:rPr>
            </w:pPr>
          </w:p>
        </w:tc>
        <w:tc>
          <w:tcPr>
            <w:tcW w:w="3320" w:type="dxa"/>
            <w:vAlign w:val="bottom"/>
          </w:tcPr>
          <w:p>
            <w:pPr>
              <w:spacing w:after="0"/>
              <w:rPr>
                <w:sz w:val="23"/>
                <w:szCs w:val="23"/>
                <w:color w:val="auto"/>
              </w:rPr>
            </w:pPr>
          </w:p>
        </w:tc>
      </w:tr>
    </w:tbl>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North Waukegan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North Chicago, Illinois 60064-6400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(847) 932-7900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Registrant’s telephone number, including area code</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9" w:lineRule="exact"/>
        <w:rPr>
          <w:sz w:val="24"/>
          <w:szCs w:val="24"/>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8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w:t>
            </w:r>
          </w:p>
        </w:tc>
      </w:tr>
      <w:tr>
        <w:trPr>
          <w:trHeight w:val="212"/>
        </w:trPr>
        <w:tc>
          <w:tcPr>
            <w:tcW w:w="3840" w:type="dxa"/>
            <w:vAlign w:val="bottom"/>
            <w:gridSpan w:val="2"/>
          </w:tcPr>
          <w:p>
            <w:pPr>
              <w:ind w:left="12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registered</w:t>
            </w:r>
          </w:p>
        </w:tc>
      </w:tr>
      <w:tr>
        <w:trPr>
          <w:trHeight w:val="202"/>
        </w:trPr>
        <w:tc>
          <w:tcPr>
            <w:tcW w:w="362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rPr>
              <w:t>ABBV</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03"/>
        </w:trPr>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Chicago Stock Exchange</w:t>
            </w:r>
          </w:p>
        </w:tc>
      </w:tr>
      <w:tr>
        <w:trPr>
          <w:trHeight w:val="203"/>
        </w:trPr>
        <w:tc>
          <w:tcPr>
            <w:tcW w:w="38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0.750% Senior Notes due 2027</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ABBV27</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03"/>
        </w:trPr>
        <w:tc>
          <w:tcPr>
            <w:tcW w:w="384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2.125% Senior Notes Due 2028</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ABBV28</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03"/>
        </w:trPr>
        <w:tc>
          <w:tcPr>
            <w:tcW w:w="384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2.625% Senior Notes Due 2028</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ABBV28B</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02"/>
        </w:trPr>
        <w:tc>
          <w:tcPr>
            <w:tcW w:w="38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2.125% Senior Notes due 2029</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ABBV29</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0"/>
        </w:trPr>
        <w:tc>
          <w:tcPr>
            <w:tcW w:w="38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1.250% Senior Notes due 2031</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ABBV31</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22"/>
        </w:trPr>
        <w:tc>
          <w:tcPr>
            <w:tcW w:w="36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spacing w:after="0"/>
              <w:rPr>
                <w:sz w:val="19"/>
                <w:szCs w:val="19"/>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432"/>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2" w:right="339" w:bottom="1014"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On February 18, 2025, AbbVie Inc. (“</w:t>
      </w:r>
      <w:r>
        <w:rPr>
          <w:rFonts w:ascii="Times New Roman" w:cs="Times New Roman" w:eastAsia="Times New Roman" w:hAnsi="Times New Roman"/>
          <w:sz w:val="18"/>
          <w:szCs w:val="18"/>
          <w:u w:val="single" w:color="auto"/>
          <w:color w:val="auto"/>
        </w:rPr>
        <w:t>AbbVie</w:t>
      </w:r>
      <w:r>
        <w:rPr>
          <w:rFonts w:ascii="Times New Roman" w:cs="Times New Roman" w:eastAsia="Times New Roman" w:hAnsi="Times New Roman"/>
          <w:sz w:val="18"/>
          <w:szCs w:val="18"/>
          <w:color w:val="auto"/>
        </w:rPr>
        <w:t>”) entered into an underwriting agreement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with BofA Securities, Inc., J.P. Morgan Securities LLC, Morgan Stanley &amp; Co. LLC, Barclays Capital Inc. and Mizuho Securities USA LLC, acting for themselves and as representatives of the several underwriters named in Schedule II therein (collectively,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pursuant to which AbbVie agreed to issue and sell to the Underwriters $1,250,000,000 in aggregate principal amount of its 4.650% senior notes due 2028 (the “</w:t>
      </w:r>
      <w:r>
        <w:rPr>
          <w:rFonts w:ascii="Times New Roman" w:cs="Times New Roman" w:eastAsia="Times New Roman" w:hAnsi="Times New Roman"/>
          <w:sz w:val="18"/>
          <w:szCs w:val="18"/>
          <w:u w:val="single" w:color="auto"/>
          <w:color w:val="auto"/>
        </w:rPr>
        <w:t>2028 Notes</w:t>
      </w:r>
      <w:r>
        <w:rPr>
          <w:rFonts w:ascii="Times New Roman" w:cs="Times New Roman" w:eastAsia="Times New Roman" w:hAnsi="Times New Roman"/>
          <w:sz w:val="18"/>
          <w:szCs w:val="18"/>
          <w:color w:val="auto"/>
        </w:rPr>
        <w:t>”), $1,000,000,000 in aggregate principal amount of its 4.875% senior notes due 2030 (the “</w:t>
      </w:r>
      <w:r>
        <w:rPr>
          <w:rFonts w:ascii="Times New Roman" w:cs="Times New Roman" w:eastAsia="Times New Roman" w:hAnsi="Times New Roman"/>
          <w:sz w:val="18"/>
          <w:szCs w:val="18"/>
          <w:u w:val="single" w:color="auto"/>
          <w:color w:val="auto"/>
        </w:rPr>
        <w:t>2030 Notes</w:t>
      </w:r>
      <w:r>
        <w:rPr>
          <w:rFonts w:ascii="Times New Roman" w:cs="Times New Roman" w:eastAsia="Times New Roman" w:hAnsi="Times New Roman"/>
          <w:sz w:val="18"/>
          <w:szCs w:val="18"/>
          <w:color w:val="auto"/>
        </w:rPr>
        <w:t>”), $1,000,000,000 in aggregate principal amount of its 5.2000% senior notes due 2035 (the “</w:t>
      </w:r>
      <w:r>
        <w:rPr>
          <w:rFonts w:ascii="Times New Roman" w:cs="Times New Roman" w:eastAsia="Times New Roman" w:hAnsi="Times New Roman"/>
          <w:sz w:val="18"/>
          <w:szCs w:val="18"/>
          <w:u w:val="single" w:color="auto"/>
          <w:color w:val="auto"/>
        </w:rPr>
        <w:t>2035 Notes</w:t>
      </w:r>
      <w:r>
        <w:rPr>
          <w:rFonts w:ascii="Times New Roman" w:cs="Times New Roman" w:eastAsia="Times New Roman" w:hAnsi="Times New Roman"/>
          <w:sz w:val="18"/>
          <w:szCs w:val="18"/>
          <w:color w:val="auto"/>
        </w:rPr>
        <w:t>”) and $750,000,000 in aggregate principal amount of its 5.600% senior notes due 2055 (the “</w:t>
      </w:r>
      <w:r>
        <w:rPr>
          <w:rFonts w:ascii="Times New Roman" w:cs="Times New Roman" w:eastAsia="Times New Roman" w:hAnsi="Times New Roman"/>
          <w:sz w:val="18"/>
          <w:szCs w:val="18"/>
          <w:u w:val="single" w:color="auto"/>
          <w:color w:val="auto"/>
        </w:rPr>
        <w:t>2055 Notes</w:t>
      </w:r>
      <w:r>
        <w:rPr>
          <w:rFonts w:ascii="Times New Roman" w:cs="Times New Roman" w:eastAsia="Times New Roman" w:hAnsi="Times New Roman"/>
          <w:sz w:val="18"/>
          <w:szCs w:val="18"/>
          <w:color w:val="auto"/>
        </w:rPr>
        <w:t>” and, together with the 2028 Notes, the 2030 Notes and the 2035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price to the public was 99.867% of the principal amount for the 2028 Notes, 99.908% of the principal amount for the 2030 Notes, 99.857% of the principal amount for the 2035 Notes and 99.750% of the principal amount for the 2055 Notes.</w:t>
      </w:r>
    </w:p>
    <w:p>
      <w:pPr>
        <w:spacing w:after="0" w:line="162"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The offering of each series of Notes has been registered under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pursuant to AbbVie’s registration statement on Form S-3ASR (File No. 333-284980)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dated as of February 14, 2025. The terms of the Notes are further described in AbbVie’s preliminary prospectus supplement dated February 18, 2025, as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February 18, 2025 and final prospectus supplement dated February 18, 2025, to be filed with the SEC on or prior to February 20, 2025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The closing of the sale of the Notes is expected to occur on February 26, 2025, subject to customary closing conditions.</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net proceeds from the sale of the Notes, after deducting the underwriting discounts and before estimated offering expenses, are expected to be approximately $3.98 billion. AbbVie intends to use these net proceeds, together with cash on hand, (a) to repurchase, redeem, satisfy and discharge, defease, make a tender offer for, or otherwise repay at maturity (i) all of its 3.600% senior notes due 2025, which have a stated maturity date of May 14, 2025, in an aggregate outstanding principal amount of $3.750 billion, and/or (ii) all of its 3.800% senior notes due 2025, which have a stated maturity date of March 15, 2025, in an aggregate outstanding principal amount of $2.890 billion, and/or (iii) all of the 3.800% senior notes due 2025 of Allergan Funding SCS (formerly known as Actavis Funding SCS), which have a stated maturity date of March 15, 2025, in an aggregate principal amount of $130.225 million, and, in each case, to pay any premium and accrued and unpaid interest in respect thereof, and/or (b) for general corporate purposes.</w:t>
      </w:r>
    </w:p>
    <w:p>
      <w:pPr>
        <w:spacing w:after="0" w:line="18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Underwriting Agreement includes customary representations, warranties and covenants by AbbVie. It also provides for customary indemnification by each of AbbVie and the respective Underwriters against certain liabilities arising out of or in connection with sale of the Notes and for customary contribution provisions in respect of those liabilities.</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As more fully described under the caption “Underwriting” in the Prospectus Supplement, some of the underwriters in respect of the Underwriting Agreement and/or their affiliates have in the past performed, and may in the future from time to time perform, investment banking, financial advisory, lending and/or commercial banking services, or other services for AbbVie and its subsidiaries, for which they have received, and may in the future receive, customary compensation and expense reimbursement.</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Please refer to the Prospectus Supplement for additional information regarding the offering of the Notes and the terms and conditions of the Notes. The foregoing summary of the Notes does not purport to be complete and is qualified in its entirety by reference to the full text of the Underwriting Agreement, which is attached as Exhibit 1.1 hereto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The following exhibit is provided as part of this Form 8-K:</w:t>
      </w:r>
    </w:p>
    <w:p>
      <w:pPr>
        <w:spacing w:after="0" w:line="225"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u w:val="single" w:color="auto"/>
          <w:color w:val="0000EE"/>
        </w:rPr>
        <w:t>1.1</w:t>
      </w:r>
      <w:r>
        <w:rPr>
          <w:sz w:val="20"/>
          <w:szCs w:val="20"/>
          <w:color w:val="auto"/>
        </w:rPr>
        <w:tab/>
      </w:r>
      <w:r>
        <w:rPr>
          <w:rFonts w:ascii="Times New Roman" w:cs="Times New Roman" w:eastAsia="Times New Roman" w:hAnsi="Times New Roman"/>
          <w:sz w:val="17"/>
          <w:szCs w:val="17"/>
          <w:u w:val="single" w:color="auto"/>
          <w:color w:val="0000EE"/>
        </w:rPr>
        <w:t>Underwriting Agreement, dated February 18, 2025, by and among AbbVie Inc., BofA Securities, Inc., J.P. Morgan Securities LLC, Morgan Stanley</w:t>
      </w:r>
    </w:p>
    <w:p>
      <w:pPr>
        <w:spacing w:after="0" w:line="27" w:lineRule="exact"/>
        <w:rPr>
          <w:sz w:val="20"/>
          <w:szCs w:val="20"/>
          <w:color w:val="auto"/>
        </w:rPr>
      </w:pPr>
    </w:p>
    <w:p>
      <w:pPr>
        <w:ind w:left="480" w:right="100" w:hanging="9"/>
        <w:spacing w:after="0" w:line="260" w:lineRule="auto"/>
        <w:tabs>
          <w:tab w:leader="none" w:pos="665"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Co. LLC, Barclays Capital Inc. and Mizuho Securities USA LLC (acting for themselves and as representatives of the several underwriters named therein).</w:t>
      </w:r>
    </w:p>
    <w:p>
      <w:pPr>
        <w:spacing w:after="0" w:line="181"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Some statements in this Current Report on Form 8-K and the documents incorporated by reference into this Current Report on Form 8-K are, or may be considered, forward-looking statements for purposes of the Private Securities Litigation Reform Act of 1995 (“</w:t>
      </w:r>
      <w:r>
        <w:rPr>
          <w:rFonts w:ascii="Times New Roman" w:cs="Times New Roman" w:eastAsia="Times New Roman" w:hAnsi="Times New Roman"/>
          <w:sz w:val="18"/>
          <w:szCs w:val="18"/>
          <w:u w:val="single" w:color="auto"/>
          <w:color w:val="auto"/>
        </w:rPr>
        <w:t>PSLRA</w:t>
      </w:r>
      <w:r>
        <w:rPr>
          <w:rFonts w:ascii="Times New Roman" w:cs="Times New Roman" w:eastAsia="Times New Roman" w:hAnsi="Times New Roman"/>
          <w:sz w:val="18"/>
          <w:szCs w:val="18"/>
          <w:color w:val="auto"/>
        </w:rPr>
        <w:t>”). The words “believe,” “expect,” “anticipate,” “project” and similar expressions and uses of future or conditional verbs, generally identify “forward looking statements,” which speak only as of the date the statements were made. The matters discussed in these forward-looking statements are subject to risks, uncertainties and other factors that could cause actual results to differ materially from those expressed or implied in the forward-looking statements. Where, in any forward looking statement, an expectation or belief as to future results or events is expressed or implied, such expectation or belief is based on the current plans and expectations of AbbVie management and expressed in good faith and believed to have a reasonable basis, but there can be no assurance that the expectation or belief will result or be achieved or accomplished. Factors that could cause actual results or events to differ materially from those anticipated include, but are not limited to, the matters described under Item 1A, “Risk Factors,” and Item 7, “Management’s Discussion and Analysis of Financial Condition and Results of Operations,” in AbbVie’s Annual Report on Form 10-K for the year ended December 31, 2024, which has been filed with the SEC. AbbVie notes these factors for investors as permitted by the PSLRA. AbbVie does not undertake, and specifically declines, any obligation to update the forward-looking statements included in this Current Report on Form 8-K to reflect events or circumstances after the date hereof, unless AbbVie is required by applicable securities law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ABBVIE INC.</w:t>
            </w:r>
          </w:p>
        </w:tc>
      </w:tr>
      <w:tr>
        <w:trPr>
          <w:trHeight w:val="41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19, 2025</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T. Reents</w:t>
            </w:r>
          </w:p>
        </w:tc>
      </w:tr>
      <w:tr>
        <w:trPr>
          <w:trHeight w:val="191"/>
        </w:trPr>
        <w:tc>
          <w:tcPr>
            <w:tcW w:w="37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T. Reents</w:t>
            </w:r>
          </w:p>
        </w:tc>
      </w:tr>
      <w:tr>
        <w:trPr>
          <w:trHeight w:val="234"/>
        </w:trPr>
        <w:tc>
          <w:tcPr>
            <w:tcW w:w="3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675"/>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ABBVIE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$1,250,000,000 4.650% Senior Notes due 2028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$1,000,000,000 4.875% Senior Notes due 2030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$1,000,000,000 5.200% Senior Notes due 2035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$750,000,000 5.600% Senior Notes due 2055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UNDERWRITING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18,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 in Schedule II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7"/>
          <w:szCs w:val="17"/>
          <w:color w:val="auto"/>
        </w:rPr>
        <w:t>AbbVie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proposes to issue and sell to BofA Securities, Inc., J.P. Morgan Securities LLC, Morgan Stanley &amp; Co. LLC, Barclays Capital Inc. and Mizuho Securities USA LLC (together, the “</w:t>
      </w:r>
      <w:r>
        <w:rPr>
          <w:rFonts w:ascii="Times New Roman" w:cs="Times New Roman" w:eastAsia="Times New Roman" w:hAnsi="Times New Roman"/>
          <w:sz w:val="17"/>
          <w:szCs w:val="17"/>
          <w:b w:val="1"/>
          <w:bCs w:val="1"/>
          <w:color w:val="auto"/>
        </w:rPr>
        <w:t>Representatives</w:t>
      </w:r>
      <w:r>
        <w:rPr>
          <w:rFonts w:ascii="Times New Roman" w:cs="Times New Roman" w:eastAsia="Times New Roman" w:hAnsi="Times New Roman"/>
          <w:sz w:val="17"/>
          <w:szCs w:val="17"/>
          <w:color w:val="auto"/>
        </w:rPr>
        <w:t>”) and the other several underwriters named in Schedule</w:t>
      </w:r>
    </w:p>
    <w:p>
      <w:pPr>
        <w:spacing w:after="0" w:line="1" w:lineRule="exact"/>
        <w:rPr>
          <w:sz w:val="20"/>
          <w:szCs w:val="20"/>
          <w:color w:val="auto"/>
        </w:rPr>
      </w:pPr>
    </w:p>
    <w:p>
      <w:pPr>
        <w:ind w:right="60" w:firstLine="8"/>
        <w:spacing w:after="0" w:line="253" w:lineRule="auto"/>
        <w:tabs>
          <w:tab w:leader="none" w:pos="1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hereto (together with the Representatives,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pursuant to this Underwriting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principal amount of its debt securities identified in Schedule I hereto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to be issued pursuant to the indenture dated as of November 8, 2012 (the “</w:t>
      </w:r>
      <w:r>
        <w:rPr>
          <w:rFonts w:ascii="Times New Roman" w:cs="Times New Roman" w:eastAsia="Times New Roman" w:hAnsi="Times New Roman"/>
          <w:sz w:val="18"/>
          <w:szCs w:val="18"/>
          <w:b w:val="1"/>
          <w:bCs w:val="1"/>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U.S. Bank Trust Company, National Association (successor to U.S. Bank National Association), as Trustee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supplemented by Supplemental Indenture No. 11 to be dated as of February 26, 2025 between the Company and the Trustee (the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and the Base Indenture as supplemented by the Supplemental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color w:val="auto"/>
        </w:rPr>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including a prospectus,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number of which is set forth in Schedule I hereto) on Form S-3, relating to securities (the “</w:t>
      </w:r>
      <w:r>
        <w:rPr>
          <w:rFonts w:ascii="Times New Roman" w:cs="Times New Roman" w:eastAsia="Times New Roman" w:hAnsi="Times New Roman"/>
          <w:sz w:val="18"/>
          <w:szCs w:val="18"/>
          <w:b w:val="1"/>
          <w:bCs w:val="1"/>
          <w:color w:val="auto"/>
        </w:rPr>
        <w:t>Shelf Securities</w:t>
      </w:r>
      <w:r>
        <w:rPr>
          <w:rFonts w:ascii="Times New Roman" w:cs="Times New Roman" w:eastAsia="Times New Roman" w:hAnsi="Times New Roman"/>
          <w:sz w:val="18"/>
          <w:szCs w:val="18"/>
          <w:color w:val="auto"/>
        </w:rPr>
        <w:t>”), including the Securities, to be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by the Company. The registration statement as amended to the date of this Agreement, including the information (if any) deemed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of the registration statement at the time of effectiveness pursuant to Rule 430A or Rule 430B under the Securities Act of 1933, as amended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including all exhibits thereto (but excluding Form T-1), is hereinafter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covering the Shelf Securities dated February 14, 2025 is hereinafter referred to as the “</w:t>
      </w:r>
      <w:r>
        <w:rPr>
          <w:rFonts w:ascii="Times New Roman" w:cs="Times New Roman" w:eastAsia="Times New Roman" w:hAnsi="Times New Roman"/>
          <w:sz w:val="18"/>
          <w:szCs w:val="18"/>
          <w:b w:val="1"/>
          <w:bCs w:val="1"/>
          <w:color w:val="auto"/>
        </w:rPr>
        <w:t>Basic Prospectus</w:t>
      </w:r>
      <w:r>
        <w:rPr>
          <w:rFonts w:ascii="Times New Roman" w:cs="Times New Roman" w:eastAsia="Times New Roman" w:hAnsi="Times New Roman"/>
          <w:sz w:val="18"/>
          <w:szCs w:val="18"/>
          <w:color w:val="auto"/>
        </w:rPr>
        <w:t>.” The Basic Prospectus,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supplemented by the prospectus supplement specifically relating to the Securities in the form first used to confirm sales of the Securities (or in the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made available to the Underwriters by the Company to meet requests of purchasers pursuant to Rule 173 under the Securities Act) is hereinafter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referred to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and the term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means any preliminary form of the Prospectus. For purposes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and relating to the offering of the Securities, “</w:t>
      </w:r>
      <w:r>
        <w:rPr>
          <w:rFonts w:ascii="Times New Roman" w:cs="Times New Roman" w:eastAsia="Times New Roman" w:hAnsi="Times New Roman"/>
          <w:sz w:val="18"/>
          <w:szCs w:val="18"/>
          <w:b w:val="1"/>
          <w:bCs w:val="1"/>
          <w:color w:val="auto"/>
        </w:rPr>
        <w:t>Time of Sale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documents and pricing information set forth opposite the caption “Time of Sale Prospectus” in Schedule I hereto, and “</w:t>
      </w:r>
      <w:r>
        <w:rPr>
          <w:rFonts w:ascii="Times New Roman" w:cs="Times New Roman" w:eastAsia="Times New Roman" w:hAnsi="Times New Roman"/>
          <w:sz w:val="18"/>
          <w:szCs w:val="18"/>
          <w:b w:val="1"/>
          <w:bCs w:val="1"/>
          <w:color w:val="auto"/>
        </w:rPr>
        <w:t>broadly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road show</w:t>
      </w:r>
      <w:r>
        <w:rPr>
          <w:rFonts w:ascii="Times New Roman" w:cs="Times New Roman" w:eastAsia="Times New Roman" w:hAnsi="Times New Roman"/>
          <w:sz w:val="18"/>
          <w:szCs w:val="18"/>
          <w:color w:val="auto"/>
        </w:rPr>
        <w:t>” means a “bona fide electronic road show” as defined in Rule 433(h)(5) under the Securities Act that has been made available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 to any person. As used herein, the terms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Basic Prospectus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Time of Sale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include the documents, if any, incorporated by reference therein as of the date hereof. The terms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amend</w:t>
      </w:r>
      <w:r>
        <w:rPr>
          <w:rFonts w:ascii="Times New Roman" w:cs="Times New Roman" w:eastAsia="Times New Roman" w:hAnsi="Times New Roman"/>
          <w:sz w:val="18"/>
          <w:szCs w:val="18"/>
          <w:color w:val="auto"/>
        </w:rPr>
        <w:t>” as used herein with respect to the Registration Statement, the Basic Prospectus, the Time of Sale Prospectus, any preliminary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or the Prospectus shall include all documents subsequently filed by the Company with the Commission pursuant to the Securities Exchange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are deemed to be incorporated by reference therein.</w:t>
      </w:r>
    </w:p>
    <w:p>
      <w:pPr>
        <w:spacing w:after="0" w:line="20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Company understands that the Underwriters propose, subject to the provisions hereof and the selling restrictions disclosed in the Prospectus, to make a public offering of the Securities as soon as the Representatives deem advisable after this Agreement has been executed and delivered.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i w:val="1"/>
          <w:iCs w:val="1"/>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each of the Representatives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207" w:lineRule="exact"/>
        <w:rPr>
          <w:sz w:val="20"/>
          <w:szCs w:val="20"/>
          <w:color w:val="auto"/>
        </w:rPr>
      </w:pPr>
    </w:p>
    <w:p>
      <w:pPr>
        <w:ind w:left="660" w:firstLine="972"/>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No Stop Order; Status as a Well-Known Seasoned Issuer</w:t>
      </w:r>
      <w:r>
        <w:rPr>
          <w:rFonts w:ascii="Times New Roman" w:cs="Times New Roman" w:eastAsia="Times New Roman" w:hAnsi="Times New Roman"/>
          <w:sz w:val="18"/>
          <w:szCs w:val="18"/>
          <w:color w:val="auto"/>
        </w:rPr>
        <w:t>. The Registration Statement has become effective; no stop order suspending the effectiveness of the Registration Statement is in effect, and no proceedings for such purpose or pursuant to Section 8A under the Securities Act are pending before or, to the knowledge of the Company, threatened by the Commission. If the Registration Statement is an automatic shelf registration statement as defined in Rule 405 under the Securities Act,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right="20" w:firstLine="972"/>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Registration Statement, Prospectus and Disclosure at Time of Sale</w:t>
      </w:r>
      <w:r>
        <w:rPr>
          <w:rFonts w:ascii="Times New Roman" w:cs="Times New Roman" w:eastAsia="Times New Roman" w:hAnsi="Times New Roman"/>
          <w:sz w:val="18"/>
          <w:szCs w:val="18"/>
          <w:color w:val="auto"/>
        </w:rPr>
        <w:t>. (i)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in order to make the statements therein not misleading, (iii) the Registration Statement as of the date hereof does not contain any untrue statement of a material fact or omit to state a material fact required to be stated therein or necessary in order to make the statements therein not misleading, (iv) the Registration Statement and the Prospectus comply, and as amended or supplemented, if applicable, will comply in all material respects with the Securities Act and the applicable rules and regulations of the Commission thereunder, (v) each broadly available road show, if any, when considered together with the Time of Sale Prospectus, does not contain any untrue statement of a material fact or omit to state a material fact necessary in order to make the statements therein, in the light of the circumstances under which they were made, not misleading, (vi) the Time of Sale Prospectus does not, and at the time of each sale of the Securities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in order to make the statements therein, in the light of the circumstances under which they were made, not misleading, and (vii) the Prospectus does not contain and, as amended or supplemented, if applicable, will not contain any untrue statement of a material fact or omit to state a material fact necessary in order to make the statements therein, in the light of the circumstances under which they were made, not misleading, except that the representations and warranties set forth in this paragraph do not apply to (A) statements or omissions in the Registration Statement, the Time of Sale Prospectus or the Prospectus based upon the Underwriters’ Information (as defined in Section 8(b) below) relating to any Underwriter furnished to the Company in writing by such Underwriter through the Representatives expressly for use therein or (B) that part of the Registration Statement that constitutes the Statement of Eligibility (Form T-1) under the Trust Indenture Act of 1939, as amended (the “</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of the Trustee;</w:t>
      </w:r>
    </w:p>
    <w:p>
      <w:pPr>
        <w:spacing w:after="0" w:line="188" w:lineRule="exact"/>
        <w:rPr>
          <w:sz w:val="20"/>
          <w:szCs w:val="20"/>
          <w:color w:val="auto"/>
        </w:rPr>
      </w:pPr>
    </w:p>
    <w:p>
      <w:pPr>
        <w:ind w:firstLine="972"/>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Ineligible Issuer</w:t>
      </w:r>
      <w:r>
        <w:rPr>
          <w:rFonts w:ascii="Times New Roman" w:cs="Times New Roman" w:eastAsia="Times New Roman" w:hAnsi="Times New Roman"/>
          <w:sz w:val="18"/>
          <w:szCs w:val="18"/>
          <w:color w:val="auto"/>
        </w:rPr>
        <w:t>. The Company is not an “ineligible issuer” in connection with the offering pursuant to Rules 164, 405 and 433 under the Securities Act. Any free writing prospectus that the Company is required to file pursuant to Rule 433(d) under the Securities Act in connection with the offering of the Securities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as of its date and at all times through the completion of the offering of the Securities complies or will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you before first use, the Company has not prepared, used or referred to, and will not, without your prior consent, prepare, use or refer to, any free writing prospectus in connection with the offering of the Securities;</w:t>
      </w:r>
    </w:p>
    <w:p>
      <w:pPr>
        <w:spacing w:after="0" w:line="200" w:lineRule="exact"/>
        <w:rPr>
          <w:sz w:val="20"/>
          <w:szCs w:val="20"/>
          <w:color w:val="auto"/>
        </w:rPr>
      </w:pPr>
    </w:p>
    <w:p>
      <w:pPr>
        <w:spacing w:after="0" w:line="23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 w:name="page8"/>
    <w:bookmarkEnd w:id="7"/>
    <w:p>
      <w:pPr>
        <w:ind w:right="80" w:firstLine="972"/>
        <w:spacing w:after="0" w:line="255"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Incorporated Documents</w:t>
      </w:r>
      <w:r>
        <w:rPr>
          <w:rFonts w:ascii="Times New Roman" w:cs="Times New Roman" w:eastAsia="Times New Roman" w:hAnsi="Times New Roman"/>
          <w:sz w:val="18"/>
          <w:szCs w:val="18"/>
          <w:color w:val="auto"/>
        </w:rPr>
        <w:t>. The documents incorporated or deemed to be incorporated by reference in the Registration Statement and the Prospectus, at the time they were or hereafter are filed with the Commission, complied and will comply in all material respects with the requirements of the Securities Act and the Exchange Act and the rules and regulations of the Commission thereunder, as applicable, and, when read together with the other information in the Prospectus, (a) at the time the Registration Statement became effective, (b) at the Applicable Time and (c) at the Closing Date (as defined below) did not contain an untrue statement of a material fact or omit to state a material fact required to be stated therein or necessary in order to make the statements therein, in light of the circumstances under which they were made, not misleading. As used in this Agreement,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3:45 P.M. (New York City time) on February 18, 2025;</w:t>
      </w:r>
    </w:p>
    <w:p>
      <w:pPr>
        <w:spacing w:after="0" w:line="189" w:lineRule="exact"/>
        <w:rPr>
          <w:sz w:val="20"/>
          <w:szCs w:val="20"/>
          <w:color w:val="auto"/>
        </w:rPr>
      </w:pPr>
    </w:p>
    <w:p>
      <w:pPr>
        <w:ind w:right="20" w:firstLine="972"/>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No Material Adverse Change in Company Business</w:t>
      </w:r>
      <w:r>
        <w:rPr>
          <w:rFonts w:ascii="Times New Roman" w:cs="Times New Roman" w:eastAsia="Times New Roman" w:hAnsi="Times New Roman"/>
          <w:sz w:val="18"/>
          <w:szCs w:val="18"/>
          <w:color w:val="auto"/>
        </w:rPr>
        <w:t>. Neither the Company nor any of its subsidiaries has sustained since the date of the latest audited financial statements included or incorporated by reference in the Registration Statement, Time of Sale Prospectus and the Prospectus any loss or interference with its business from fire, explosion, flood or other calamity, whether or not covered by insurance, or from any labor dispute or court or governmental action, order or decree, in each case which is material to the Company and its subsidiaries taken as a whole, otherwise than as set forth or contemplated in the Registration Statement, the Time of Sale Prospectus or the Prospectus; and, since the respective dates as of which information is given in the Registration Statement, the Time of Sale Prospectus and the Prospectus, there has not been any material change in the consolidated capital stock or any material increase in the consolidated long-term debt of the Company and its subsidiaries, taken as a whole, or any material adverse change, or any development involving a prospective material adverse change, in or affecting the business, financial position, shareholders’ equity or results of operations of the Company and its subsidiaries, taken as a whole, otherwise than as set forth or contemplated in the Time of Sale Prospectus;</w:t>
      </w:r>
    </w:p>
    <w:p>
      <w:pPr>
        <w:spacing w:after="0" w:line="194" w:lineRule="exact"/>
        <w:rPr>
          <w:sz w:val="20"/>
          <w:szCs w:val="20"/>
          <w:color w:val="auto"/>
        </w:rPr>
      </w:pPr>
    </w:p>
    <w:p>
      <w:pPr>
        <w:ind w:firstLine="972"/>
        <w:spacing w:after="0" w:line="25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Good Standing of the Company</w:t>
      </w:r>
      <w:r>
        <w:rPr>
          <w:rFonts w:ascii="Times New Roman" w:cs="Times New Roman" w:eastAsia="Times New Roman" w:hAnsi="Times New Roman"/>
          <w:sz w:val="18"/>
          <w:szCs w:val="18"/>
          <w:color w:val="auto"/>
        </w:rPr>
        <w:t>. The Company has been duly incorporated and is validly existing as a corporation in good standing under the laws of the State of Delaware, has the corporate power and authority to own or lease its properties and conduct its business as described in each of the Registration Statement, the Time of Sale Prospectus and the Prospectus, and is duly qualified to transact business and is in good standing in each jurisdiction in which the conduct of its business or the ownership or leasing of its property requires such qualification, except where failure to be so qualified or in good standing would not, in the aggregate, have a material adverse effect upon the Company and its subsidiaries, taken as a whole;</w:t>
      </w:r>
    </w:p>
    <w:p>
      <w:pPr>
        <w:spacing w:after="0" w:line="187" w:lineRule="exact"/>
        <w:rPr>
          <w:sz w:val="20"/>
          <w:szCs w:val="20"/>
          <w:color w:val="auto"/>
        </w:rPr>
      </w:pPr>
    </w:p>
    <w:p>
      <w:pPr>
        <w:ind w:right="120" w:firstLine="972"/>
        <w:spacing w:after="0" w:line="25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Good Standing of Subsidiaries</w:t>
      </w:r>
      <w:r>
        <w:rPr>
          <w:rFonts w:ascii="Times New Roman" w:cs="Times New Roman" w:eastAsia="Times New Roman" w:hAnsi="Times New Roman"/>
          <w:sz w:val="18"/>
          <w:szCs w:val="18"/>
          <w:color w:val="auto"/>
        </w:rPr>
        <w:t>. Each of the “significant subsidiaries” of the Company (as such term is defined in Rule 1-02(w) of Regulation S-X promulgated under the Securities Act) has been duly incorporated, organized or formed, is validly existing as a corporation or business entity in good standing under the laws of the jurisdiction of its incorporation, organization or formation, is duly qualified to transact business and is in good standing in each jurisdiction in which the conduct of its business or the ownership or leasing of its property requires such qualification, except where failure to be so qualified or in good standing would not, in the aggregate, have a material adverse effect upon the Company and its subsidiaries, taken as a whole;</w:t>
      </w:r>
    </w:p>
    <w:p>
      <w:pPr>
        <w:spacing w:after="0" w:line="200" w:lineRule="exact"/>
        <w:rPr>
          <w:sz w:val="20"/>
          <w:szCs w:val="20"/>
          <w:color w:val="auto"/>
        </w:rPr>
      </w:pPr>
    </w:p>
    <w:p>
      <w:pPr>
        <w:spacing w:after="0" w:line="23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8" w:name="page9"/>
    <w:bookmarkEnd w:id="8"/>
    <w:p>
      <w:pPr>
        <w:ind w:left="964"/>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Authorization of this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225" w:lineRule="exact"/>
        <w:rPr>
          <w:sz w:val="20"/>
          <w:szCs w:val="20"/>
          <w:color w:val="auto"/>
        </w:rPr>
      </w:pPr>
    </w:p>
    <w:p>
      <w:pPr>
        <w:ind w:left="4" w:right="20" w:firstLine="972"/>
        <w:spacing w:after="0" w:line="255"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Authorization of the Securities</w:t>
      </w:r>
      <w:r>
        <w:rPr>
          <w:rFonts w:ascii="Times New Roman" w:cs="Times New Roman" w:eastAsia="Times New Roman" w:hAnsi="Times New Roman"/>
          <w:sz w:val="18"/>
          <w:szCs w:val="18"/>
          <w:color w:val="auto"/>
        </w:rPr>
        <w:t>. The Securities have been duly authorized and, when executed and authenticated and registered in the name of the holders thereof in the register of holders maintained for such purposes, in each case, in accordance with the provisions of the Indenture, and delivered to and paid for by the Underwriters, in accordance with the terms of this Agreement, will be valid and binding obligations of the Company, enforceable in accordance with their terms, subject to applicable bankruptcy, insolvency, fraudulent transfer, reorganization, moratorium and similar laws relating to or affecting creditors’ rights generally and general principles of equity (collectively, the “</w:t>
      </w:r>
      <w:r>
        <w:rPr>
          <w:rFonts w:ascii="Times New Roman" w:cs="Times New Roman" w:eastAsia="Times New Roman" w:hAnsi="Times New Roman"/>
          <w:sz w:val="18"/>
          <w:szCs w:val="18"/>
          <w:b w:val="1"/>
          <w:bCs w:val="1"/>
          <w:color w:val="auto"/>
        </w:rPr>
        <w:t>Enforceability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Exceptions</w:t>
      </w:r>
      <w:r>
        <w:rPr>
          <w:rFonts w:ascii="Times New Roman" w:cs="Times New Roman" w:eastAsia="Times New Roman" w:hAnsi="Times New Roman"/>
          <w:sz w:val="18"/>
          <w:szCs w:val="18"/>
          <w:color w:val="auto"/>
        </w:rPr>
        <w:t>”), and will be entitled to the benefits of the Indenture, subject to the Enforceability Exceptions and except as rights to 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contribution may be limited under applicable law;</w:t>
      </w:r>
    </w:p>
    <w:p>
      <w:pPr>
        <w:spacing w:after="0" w:line="189" w:lineRule="exact"/>
        <w:rPr>
          <w:sz w:val="20"/>
          <w:szCs w:val="20"/>
          <w:color w:val="auto"/>
        </w:rPr>
      </w:pPr>
    </w:p>
    <w:p>
      <w:pPr>
        <w:ind w:left="4" w:right="80" w:firstLine="972"/>
        <w:spacing w:after="0" w:line="261"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Authorization of the Indenture</w:t>
      </w:r>
      <w:r>
        <w:rPr>
          <w:rFonts w:ascii="Times New Roman" w:cs="Times New Roman" w:eastAsia="Times New Roman" w:hAnsi="Times New Roman"/>
          <w:sz w:val="18"/>
          <w:szCs w:val="18"/>
          <w:color w:val="auto"/>
        </w:rPr>
        <w:t>. The Indenture has been duly authorized and, assuming due execution and delivery by the Trustee, when executed and delivered by the Company, will be a valid and binding agreement of the Company, enforceable in accordance with its terms, subject to the Enforceability Exceptions. The Indenture and the Securities will conform to the descriptions thereof contained in the Time of Sale Prospectus as amended or supplemented with respect to such Securities;</w:t>
      </w:r>
    </w:p>
    <w:p>
      <w:pPr>
        <w:spacing w:after="0" w:line="180" w:lineRule="exact"/>
        <w:rPr>
          <w:sz w:val="20"/>
          <w:szCs w:val="20"/>
          <w:color w:val="auto"/>
        </w:rPr>
      </w:pPr>
    </w:p>
    <w:p>
      <w:pPr>
        <w:ind w:left="4" w:right="40" w:firstLine="972"/>
        <w:spacing w:after="0" w:line="276" w:lineRule="auto"/>
        <w:rPr>
          <w:sz w:val="20"/>
          <w:szCs w:val="20"/>
          <w:color w:val="auto"/>
        </w:rPr>
      </w:pPr>
      <w:r>
        <w:rPr>
          <w:rFonts w:ascii="Times New Roman" w:cs="Times New Roman" w:eastAsia="Times New Roman" w:hAnsi="Times New Roman"/>
          <w:sz w:val="17"/>
          <w:szCs w:val="17"/>
          <w:color w:val="auto"/>
        </w:rPr>
        <w:t>(k)          </w:t>
      </w:r>
      <w:r>
        <w:rPr>
          <w:rFonts w:ascii="Times New Roman" w:cs="Times New Roman" w:eastAsia="Times New Roman" w:hAnsi="Times New Roman"/>
          <w:sz w:val="17"/>
          <w:szCs w:val="17"/>
          <w:u w:val="single" w:color="auto"/>
          <w:color w:val="auto"/>
        </w:rPr>
        <w:t>  Absence of Defaults and Conflicts</w:t>
      </w:r>
      <w:r>
        <w:rPr>
          <w:rFonts w:ascii="Times New Roman" w:cs="Times New Roman" w:eastAsia="Times New Roman" w:hAnsi="Times New Roman"/>
          <w:sz w:val="17"/>
          <w:szCs w:val="17"/>
          <w:color w:val="auto"/>
        </w:rPr>
        <w:t>. The issue and sale of the Securities and the compliance by the Company with all of the provisions of the Securities, the Indenture and this Agreement, and the consummation of the transactions herein and therein contemplated, will not</w:t>
      </w:r>
    </w:p>
    <w:p>
      <w:pPr>
        <w:spacing w:after="0" w:line="1" w:lineRule="exact"/>
        <w:rPr>
          <w:sz w:val="20"/>
          <w:szCs w:val="20"/>
          <w:color w:val="auto"/>
        </w:rPr>
      </w:pPr>
    </w:p>
    <w:p>
      <w:pPr>
        <w:ind w:left="4" w:right="40" w:hanging="4"/>
        <w:spacing w:after="0" w:line="265" w:lineRule="auto"/>
        <w:tabs>
          <w:tab w:leader="none" w:pos="21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conflict with or result in a breach or violation of any of the terms or provisions of, or constitute a default under, or result in the creation or imposition of any lien, charge or encumbrance upon any of the property or assets of the Company or any of its subsidiaries pursuant to the terms of,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articles of incorporation or by-laws, each as amended, of the Company or</w:t>
      </w:r>
    </w:p>
    <w:p>
      <w:pPr>
        <w:ind w:left="4" w:right="260" w:hanging="4"/>
        <w:spacing w:after="0" w:line="255" w:lineRule="auto"/>
        <w:tabs>
          <w:tab w:leader="none" w:pos="3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violation of any applicable law, statute or any order, rule or regulation of any court or governmental agency or body having jurisdiction over the Company or any of its subsidiaries, or any of their respective properties, in any such case described in clause (i) or (iii) the effects of which would, individually or in the aggregate, be materially adverse to the Company and its subsidiaries, taken as a whole;</w:t>
      </w:r>
    </w:p>
    <w:p>
      <w:pPr>
        <w:spacing w:after="0" w:line="186" w:lineRule="exact"/>
        <w:rPr>
          <w:sz w:val="20"/>
          <w:szCs w:val="20"/>
          <w:color w:val="auto"/>
        </w:rPr>
      </w:pPr>
    </w:p>
    <w:p>
      <w:pPr>
        <w:jc w:val="both"/>
        <w:ind w:left="4" w:firstLine="972"/>
        <w:spacing w:after="0" w:line="256"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Absence of Further Requirements</w:t>
      </w:r>
      <w:r>
        <w:rPr>
          <w:rFonts w:ascii="Times New Roman" w:cs="Times New Roman" w:eastAsia="Times New Roman" w:hAnsi="Times New Roman"/>
          <w:sz w:val="18"/>
          <w:szCs w:val="18"/>
          <w:color w:val="auto"/>
        </w:rPr>
        <w:t>. No consent, approval, authorization, order, registration or qualification of or with any such court or governmental agency or body is required for the issue and sale of the Securities or the consummation by the Company of the transactions contemplated by this Agreement, the Securities or the Indenture except such as have already been obtained or may be required by the securities or Blue Sky laws of the various states in connection with the offer and sale of the Securities and except as would not, individually or in the aggregate, be materially adverse to the Company’s ability to consummate the transactions contemplated by this Agreement, the Securities or the Indenture or perform its obligations thereunder, as applicable;</w:t>
      </w:r>
    </w:p>
    <w:p>
      <w:pPr>
        <w:spacing w:after="0" w:line="200" w:lineRule="exact"/>
        <w:rPr>
          <w:sz w:val="20"/>
          <w:szCs w:val="20"/>
          <w:color w:val="auto"/>
        </w:rPr>
      </w:pPr>
    </w:p>
    <w:p>
      <w:pPr>
        <w:spacing w:after="0" w:line="230"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9" w:name="page10"/>
    <w:bookmarkEnd w:id="9"/>
    <w:p>
      <w:pPr>
        <w:ind w:right="20" w:firstLine="972"/>
        <w:spacing w:after="0" w:line="256"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Absence of Proceedings</w:t>
      </w:r>
      <w:r>
        <w:rPr>
          <w:rFonts w:ascii="Times New Roman" w:cs="Times New Roman" w:eastAsia="Times New Roman" w:hAnsi="Times New Roman"/>
          <w:sz w:val="18"/>
          <w:szCs w:val="18"/>
          <w:color w:val="auto"/>
        </w:rPr>
        <w:t>. Other than as set forth in the Time of Sale Prospectus, there are no legal or governmental proceedings pending to which the Company or any of its subsidiaries is a party or of which any property of the Company or any of its subsidiaries is the subject (including, without limitation, any proceedings before the United States Food and Drug Administration or comparable Federal, state, local or foreign governmental bodies) that, individually or in the aggregate, would reasonably be expected to have a material adverse effect on the business, financial position, shareholders’ equity or results of operations of the Company and its subsidiaries, taken as a whole; and, to the Company’s knowledge, no such proceedings are threatened or contemplated by governmental authorities or threatened by others;</w:t>
      </w:r>
    </w:p>
    <w:p>
      <w:pPr>
        <w:spacing w:after="0" w:line="187" w:lineRule="exact"/>
        <w:rPr>
          <w:sz w:val="20"/>
          <w:szCs w:val="20"/>
          <w:color w:val="auto"/>
        </w:rPr>
      </w:pPr>
    </w:p>
    <w:p>
      <w:pPr>
        <w:ind w:right="120" w:firstLine="972"/>
        <w:spacing w:after="0" w:line="266"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eXtensible Business Reporting Language</w:t>
      </w:r>
      <w:r>
        <w:rPr>
          <w:rFonts w:ascii="Times New Roman" w:cs="Times New Roman" w:eastAsia="Times New Roman" w:hAnsi="Times New Roman"/>
          <w:sz w:val="18"/>
          <w:szCs w:val="18"/>
          <w:color w:val="auto"/>
        </w:rPr>
        <w:t>.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76" w:lineRule="exact"/>
        <w:rPr>
          <w:sz w:val="20"/>
          <w:szCs w:val="20"/>
          <w:color w:val="auto"/>
        </w:rPr>
      </w:pPr>
    </w:p>
    <w:p>
      <w:pPr>
        <w:ind w:firstLine="972"/>
        <w:spacing w:after="0" w:line="253"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Company Financial Statements</w:t>
      </w:r>
      <w:r>
        <w:rPr>
          <w:rFonts w:ascii="Times New Roman" w:cs="Times New Roman" w:eastAsia="Times New Roman" w:hAnsi="Times New Roman"/>
          <w:sz w:val="18"/>
          <w:szCs w:val="18"/>
          <w:color w:val="auto"/>
        </w:rPr>
        <w:t>. Except as noted therein, (i) the consolidated financial statements of the Company, and the related notes thereto, contained in the Registration Statement, the Time of Sale Prospectus and the Prospectus present fairly in all material respects the consolidated financial position of the Company and its consolidated subsidiaries as of the dates indicated and the results of their operations and changes in their combined cash flows for the periods specified; (ii) such financial statements have been prepared in conformity with accounting principles generally accepted in the United States applied on a consistent basis; and (iii) the selected financial data of the Company and its subsidiaries contained in the Time of Sale Prospectus present fairly the information shown therein and have been compiled on a basis consistent with that of the financial statements of the Company contained in the Time of Sale Prospectus. The statistical, industry-related and market-related data included in each of the Registration Statement, the Time of Sale Prospectus and the Prospectus are based on or derived from sources which the Company reasonably and in good faith believes are reliable and accurate and such data is consistent with the sources from which they are derived, in each case in all material respects;</w:t>
      </w:r>
    </w:p>
    <w:p>
      <w:pPr>
        <w:spacing w:after="0" w:line="194" w:lineRule="exact"/>
        <w:rPr>
          <w:sz w:val="20"/>
          <w:szCs w:val="20"/>
          <w:color w:val="auto"/>
        </w:rPr>
      </w:pPr>
    </w:p>
    <w:p>
      <w:pPr>
        <w:ind w:right="160" w:firstLine="972"/>
        <w:spacing w:after="0" w:line="261"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Compliance with the Sarbanes-Oxley Act</w:t>
      </w:r>
      <w:r>
        <w:rPr>
          <w:rFonts w:ascii="Times New Roman" w:cs="Times New Roman" w:eastAsia="Times New Roman" w:hAnsi="Times New Roman"/>
          <w:sz w:val="18"/>
          <w:szCs w:val="18"/>
          <w:color w:val="auto"/>
        </w:rPr>
        <w:t>. There is and has been no failure on the part of the Company or any of the Company’s directors or officers, in their capacities as such, to comply in all material respects with any provision of the Sarbanes-Oxley Act of 2002 and the rules and regulations promulgated in connection therewith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including Section 402 related to loans and Sections 302 and 906 related to certifications;</w:t>
      </w:r>
    </w:p>
    <w:p>
      <w:pPr>
        <w:spacing w:after="0" w:line="180" w:lineRule="exact"/>
        <w:rPr>
          <w:sz w:val="20"/>
          <w:szCs w:val="20"/>
          <w:color w:val="auto"/>
        </w:rPr>
      </w:pPr>
    </w:p>
    <w:p>
      <w:pPr>
        <w:ind w:right="80" w:firstLine="972"/>
        <w:spacing w:after="0" w:line="256"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Accounting Controls</w:t>
      </w:r>
      <w:r>
        <w:rPr>
          <w:rFonts w:ascii="Times New Roman" w:cs="Times New Roman" w:eastAsia="Times New Roman" w:hAnsi="Times New Roman"/>
          <w:sz w:val="18"/>
          <w:szCs w:val="18"/>
          <w:color w:val="auto"/>
        </w:rPr>
        <w:t>. The Company and its subsidiaries (i) make and keep accurate books and records in all material respects and (ii) maintain internal accounting controls which provide reasonable assurance that (A) transactions are executed in accordance with management’s authorization, (B) transactions are recorded as necessary to permit preparation of their financial statements and to maintain accountability for their assets, (C) access to their assets is permitted only in accordance with management’s authorization and (D) the reported accountability for their assets is compared with existing assets at reasonable intervals and appropriate action is taken with respect to any difference;</w:t>
      </w:r>
    </w:p>
    <w:p>
      <w:pPr>
        <w:spacing w:after="0" w:line="200" w:lineRule="exact"/>
        <w:rPr>
          <w:sz w:val="20"/>
          <w:szCs w:val="20"/>
          <w:color w:val="auto"/>
        </w:rPr>
      </w:pPr>
    </w:p>
    <w:p>
      <w:pPr>
        <w:spacing w:after="0" w:line="23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10" w:name="page11"/>
    <w:bookmarkEnd w:id="10"/>
    <w:p>
      <w:pPr>
        <w:ind w:right="40" w:firstLine="972"/>
        <w:spacing w:after="0" w:line="256"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  Disclosure Controls</w:t>
      </w:r>
      <w:r>
        <w:rPr>
          <w:rFonts w:ascii="Times New Roman" w:cs="Times New Roman" w:eastAsia="Times New Roman" w:hAnsi="Times New Roman"/>
          <w:sz w:val="18"/>
          <w:szCs w:val="18"/>
          <w:color w:val="auto"/>
        </w:rPr>
        <w:t>. The Company has established, maintains and will maintain disclosure controls and procedures (as defined in Rule 13a-15(e) of the Exchange Act) which are designed to ensure that information required to be disclosed by the Company in the reports that it files or submits under the Exchange Act is recorded, processed, summarized and reported in accordance with the Exchange Act and the rules and regulations thereunder. The Company has carried out evaluations, and the Company will carry out evaluations, under the supervision and with the participation of the Company’s management, of the effectiveness of the design and operation of the Company’s disclosure controls and procedures in accordance with Rule 13a-15 of the Exchange Act;</w:t>
      </w:r>
    </w:p>
    <w:p>
      <w:pPr>
        <w:spacing w:after="0" w:line="187" w:lineRule="exact"/>
        <w:rPr>
          <w:sz w:val="20"/>
          <w:szCs w:val="20"/>
          <w:color w:val="auto"/>
        </w:rPr>
      </w:pPr>
    </w:p>
    <w:p>
      <w:pPr>
        <w:ind w:firstLine="972"/>
        <w:spacing w:after="0" w:line="261"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  Independent Registered Public Accounting Firm</w:t>
      </w:r>
      <w:r>
        <w:rPr>
          <w:rFonts w:ascii="Times New Roman" w:cs="Times New Roman" w:eastAsia="Times New Roman" w:hAnsi="Times New Roman"/>
          <w:sz w:val="18"/>
          <w:szCs w:val="18"/>
          <w:color w:val="auto"/>
        </w:rPr>
        <w:t>. Ernst &amp; Young LLP, which has audited and reported on certain financial statements of the Company and its subsidiaries for the years ended December 31, 2022 and December 31, 2023 is an independent registered public accounting firm with respect to the Company and its subsidiaries as required by the Securities Act and the Exchange Act and the rules and regulations of the Commission and the PCAOB;</w:t>
      </w:r>
    </w:p>
    <w:p>
      <w:pPr>
        <w:spacing w:after="0" w:line="180" w:lineRule="exact"/>
        <w:rPr>
          <w:sz w:val="20"/>
          <w:szCs w:val="20"/>
          <w:color w:val="auto"/>
        </w:rPr>
      </w:pPr>
    </w:p>
    <w:p>
      <w:pPr>
        <w:ind w:right="100" w:firstLine="972"/>
        <w:spacing w:after="0" w:line="266"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  Filing of Prospectus</w:t>
      </w:r>
      <w:r>
        <w:rPr>
          <w:rFonts w:ascii="Times New Roman" w:cs="Times New Roman" w:eastAsia="Times New Roman" w:hAnsi="Times New Roman"/>
          <w:sz w:val="18"/>
          <w:szCs w:val="18"/>
          <w:color w:val="auto"/>
        </w:rPr>
        <w:t>. 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176" w:lineRule="exact"/>
        <w:rPr>
          <w:sz w:val="20"/>
          <w:szCs w:val="20"/>
          <w:color w:val="auto"/>
        </w:rPr>
      </w:pPr>
    </w:p>
    <w:p>
      <w:pPr>
        <w:ind w:right="20" w:firstLine="972"/>
        <w:spacing w:after="0" w:line="266"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  Pending Proceedings and Examinations</w:t>
      </w:r>
      <w:r>
        <w:rPr>
          <w:rFonts w:ascii="Times New Roman" w:cs="Times New Roman" w:eastAsia="Times New Roman" w:hAnsi="Times New Roman"/>
          <w:sz w:val="18"/>
          <w:szCs w:val="18"/>
          <w:color w:val="auto"/>
        </w:rPr>
        <w:t>. The Registration Statement is not the subject of a pending proceeding or examination under Section 8(d) or 8(e) of the Securities Act, and the Company is not the subject of a pending proceeding under Section 8A of the Securities Act in connection with the offering of the Securities;</w:t>
      </w:r>
    </w:p>
    <w:p>
      <w:pPr>
        <w:spacing w:after="0" w:line="176" w:lineRule="exact"/>
        <w:rPr>
          <w:sz w:val="20"/>
          <w:szCs w:val="20"/>
          <w:color w:val="auto"/>
        </w:rPr>
      </w:pPr>
    </w:p>
    <w:p>
      <w:pPr>
        <w:ind w:right="20" w:firstLine="972"/>
        <w:spacing w:after="0" w:line="253"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Anti-Corruption</w:t>
      </w:r>
      <w:r>
        <w:rPr>
          <w:rFonts w:ascii="Times New Roman" w:cs="Times New Roman" w:eastAsia="Times New Roman" w:hAnsi="Times New Roman"/>
          <w:sz w:val="18"/>
          <w:szCs w:val="18"/>
          <w:color w:val="auto"/>
        </w:rPr>
        <w:t>. None of the Company, its subsidiaries, affiliates, directors or officers has taken any action in furtherance of an offer, payment, promise to pay, or authorization or approval of the payment or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improperly influence official action or secure an improper advantage or to any person in violation of any applicable anti-corruption laws; the Company and its subsidiaries and affiliates have conducted their businesses in compliance with applicable anti-corruption laws and have instituted and maintained policies and procedures designed to promote and achieve compliance with such laws and with the representation and warranties contained in this paragraph, and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200" w:lineRule="exact"/>
        <w:rPr>
          <w:sz w:val="20"/>
          <w:szCs w:val="20"/>
          <w:color w:val="auto"/>
        </w:rPr>
      </w:pPr>
    </w:p>
    <w:p>
      <w:pPr>
        <w:spacing w:after="0" w:line="23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11" w:name="page12"/>
    <w:bookmarkEnd w:id="11"/>
    <w:p>
      <w:pPr>
        <w:ind w:right="100" w:firstLine="972"/>
        <w:spacing w:after="0" w:line="266"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  Investment Company</w:t>
      </w:r>
      <w:r>
        <w:rPr>
          <w:rFonts w:ascii="Times New Roman" w:cs="Times New Roman" w:eastAsia="Times New Roman" w:hAnsi="Times New Roman"/>
          <w:sz w:val="18"/>
          <w:szCs w:val="18"/>
          <w:color w:val="auto"/>
        </w:rPr>
        <w:t>. The Company is not, and after giving effect to the offering and sale of the Securities and the application of the proceeds thereof as described in each of the Registration Statement, the Time of Sale Prospectus and the Prospectus will not be, required to register as an “investment company” as such term is defined in the Investment Company Act of 1940, as amended;</w:t>
      </w:r>
    </w:p>
    <w:p>
      <w:pPr>
        <w:spacing w:after="0" w:line="176" w:lineRule="exact"/>
        <w:rPr>
          <w:sz w:val="20"/>
          <w:szCs w:val="20"/>
          <w:color w:val="auto"/>
        </w:rPr>
      </w:pPr>
    </w:p>
    <w:p>
      <w:pPr>
        <w:ind w:firstLine="972"/>
        <w:spacing w:after="0" w:line="254"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Anti-Money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with all applicable financial recordkeeping and reporting requirements, including those of the Bank Secrecy Act, as amended by Title III of the Uniting and Strengthening America by Providing Appropriate Tools Required to Intercept and Obstruct Terrorism Act of 2001 (“</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 except for any such action, suit or proceeding, individually or in the aggregate, as would not have a material adverse effect on the Company and its subsidiaries, taken as a whole;</w:t>
      </w:r>
    </w:p>
    <w:p>
      <w:pPr>
        <w:spacing w:after="0" w:line="188" w:lineRule="exact"/>
        <w:rPr>
          <w:sz w:val="20"/>
          <w:szCs w:val="20"/>
          <w:color w:val="auto"/>
        </w:rPr>
      </w:pPr>
    </w:p>
    <w:p>
      <w:pPr>
        <w:ind w:right="60" w:firstLine="972"/>
        <w:spacing w:after="0" w:line="273" w:lineRule="auto"/>
        <w:rPr>
          <w:sz w:val="20"/>
          <w:szCs w:val="20"/>
          <w:color w:val="auto"/>
        </w:rPr>
      </w:pPr>
      <w:r>
        <w:rPr>
          <w:rFonts w:ascii="Times New Roman" w:cs="Times New Roman" w:eastAsia="Times New Roman" w:hAnsi="Times New Roman"/>
          <w:sz w:val="17"/>
          <w:szCs w:val="17"/>
          <w:color w:val="auto"/>
        </w:rPr>
        <w:t>(y)          </w:t>
      </w:r>
      <w:r>
        <w:rPr>
          <w:rFonts w:ascii="Times New Roman" w:cs="Times New Roman" w:eastAsia="Times New Roman" w:hAnsi="Times New Roman"/>
          <w:sz w:val="17"/>
          <w:szCs w:val="17"/>
          <w:u w:val="single" w:color="auto"/>
          <w:color w:val="auto"/>
        </w:rPr>
        <w:t>  OFAC</w:t>
      </w:r>
      <w:r>
        <w:rPr>
          <w:rFonts w:ascii="Times New Roman" w:cs="Times New Roman" w:eastAsia="Times New Roman" w:hAnsi="Times New Roman"/>
          <w:sz w:val="17"/>
          <w:szCs w:val="17"/>
          <w:color w:val="auto"/>
        </w:rPr>
        <w:t>. (i) None of the Company, its subsidiaries or, to the Company’s knowledge, any of their respective officers or directors is an individual or entity (“</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xml:space="preserve">”) that is an Embargoed Person;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any subsidiary of the Company becomes an Embargoed Person pursuant to clause (B)(3) of the definition thereof as a result of a country or territory becoming subject to any applicable Sanctions program after the Closing Date, such Person shall not be an Embargoed Person so long as the Company is taking reasonable steps to either obtain an appropriate license for transacting business in such country or territory or to cause such Person to no longer reside, be organized or chartered or have a place of business in such country or territory and such Person’s residing, being organized or chartered or having a place of business in such country or territory would not be reasonably expected to have a material adverse effect on the Company and its subsidiaries, taken as a whole;</w:t>
      </w:r>
    </w:p>
    <w:p>
      <w:pPr>
        <w:spacing w:after="0" w:line="167" w:lineRule="exact"/>
        <w:rPr>
          <w:sz w:val="20"/>
          <w:szCs w:val="20"/>
          <w:color w:val="auto"/>
        </w:rPr>
      </w:pPr>
    </w:p>
    <w:p>
      <w:pPr>
        <w:ind w:left="960" w:right="40" w:firstLine="972"/>
        <w:spacing w:after="0" w:line="254"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b w:val="1"/>
          <w:bCs w:val="1"/>
          <w:color w:val="auto"/>
        </w:rPr>
        <w:t>Embargoed Person</w:t>
      </w:r>
      <w:r>
        <w:rPr>
          <w:rFonts w:ascii="Times New Roman" w:cs="Times New Roman" w:eastAsia="Times New Roman" w:hAnsi="Times New Roman"/>
          <w:sz w:val="18"/>
          <w:szCs w:val="18"/>
          <w:color w:val="auto"/>
        </w:rPr>
        <w:t>” means (A) any country or territory that is the target of a sanctions program administered by U.S. Department of Treasury’s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(B) any Person that (1) is or is owned or controlled by one or more Persons publicly identified on the most current list of “Specially Designated Nationals and Blocked Persons” published by OFAC, (2) is the target of a sanctions program or sanctions list administered by OFAC, the State Department of the United States, the European Union or His Majesty’s Treasury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 (3) resides, is organized or chartered, or has a place of business in a country or territory that is the subject of a Sanctions program administered by OFAC that prohibits dealing with the government of such country or territory (unless such Person has an appropriate license to transact business in such country or territory or otherwise is permitted to reside, be organized or chartered or maintain a place of business in such country or territory without violating any Sanctions); and</w:t>
      </w:r>
    </w:p>
    <w:p>
      <w:pPr>
        <w:spacing w:after="0" w:line="200" w:lineRule="exact"/>
        <w:rPr>
          <w:sz w:val="20"/>
          <w:szCs w:val="20"/>
          <w:color w:val="auto"/>
        </w:rPr>
      </w:pPr>
    </w:p>
    <w:p>
      <w:pPr>
        <w:spacing w:after="0" w:line="23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 w:name="page13"/>
    <w:bookmarkEnd w:id="12"/>
    <w:p>
      <w:pPr>
        <w:ind w:left="1620" w:right="120" w:firstLine="972"/>
        <w:spacing w:after="0" w:line="282" w:lineRule="auto"/>
        <w:rPr>
          <w:sz w:val="20"/>
          <w:szCs w:val="20"/>
          <w:color w:val="auto"/>
        </w:rPr>
      </w:pPr>
      <w:r>
        <w:rPr>
          <w:rFonts w:ascii="Times New Roman" w:cs="Times New Roman" w:eastAsia="Times New Roman" w:hAnsi="Times New Roman"/>
          <w:sz w:val="18"/>
          <w:szCs w:val="18"/>
          <w:color w:val="auto"/>
        </w:rPr>
        <w:t>(iii)          Except as permitted by Sanctions, the Company will not, directly or indirectly, use the proceeds of the offering, or lend, contribute or otherwise make available such proceeds to any subsidiary, joint venture partner or other Person:</w:t>
      </w:r>
    </w:p>
    <w:p>
      <w:pPr>
        <w:spacing w:after="0" w:line="162" w:lineRule="exact"/>
        <w:rPr>
          <w:sz w:val="20"/>
          <w:szCs w:val="20"/>
          <w:color w:val="auto"/>
        </w:rPr>
      </w:pPr>
    </w:p>
    <w:p>
      <w:pPr>
        <w:ind w:left="2340" w:right="120" w:firstLine="1296"/>
        <w:spacing w:after="0" w:line="282" w:lineRule="auto"/>
        <w:rPr>
          <w:sz w:val="20"/>
          <w:szCs w:val="20"/>
          <w:color w:val="auto"/>
        </w:rPr>
      </w:pPr>
      <w:r>
        <w:rPr>
          <w:rFonts w:ascii="Times New Roman" w:cs="Times New Roman" w:eastAsia="Times New Roman" w:hAnsi="Times New Roman"/>
          <w:sz w:val="18"/>
          <w:szCs w:val="18"/>
          <w:color w:val="auto"/>
        </w:rPr>
        <w:t>(A)            to fund or facilitate any activities or business of or with any Person or in any country or territory that, at the time of such funding or facilitation, is the subject of Sanctions; or</w:t>
      </w:r>
    </w:p>
    <w:p>
      <w:pPr>
        <w:spacing w:after="0" w:line="162" w:lineRule="exact"/>
        <w:rPr>
          <w:sz w:val="20"/>
          <w:szCs w:val="20"/>
          <w:color w:val="auto"/>
        </w:rPr>
      </w:pPr>
    </w:p>
    <w:p>
      <w:pPr>
        <w:ind w:left="2340" w:right="440" w:firstLine="1296"/>
        <w:spacing w:after="0" w:line="282" w:lineRule="auto"/>
        <w:rPr>
          <w:sz w:val="20"/>
          <w:szCs w:val="20"/>
          <w:color w:val="auto"/>
        </w:rPr>
      </w:pPr>
      <w:r>
        <w:rPr>
          <w:rFonts w:ascii="Times New Roman" w:cs="Times New Roman" w:eastAsia="Times New Roman" w:hAnsi="Times New Roman"/>
          <w:sz w:val="18"/>
          <w:szCs w:val="18"/>
          <w:color w:val="auto"/>
        </w:rPr>
        <w:t>(B)             in any other manner that will result in a violation of Sanctions by any Person (including any Person participating in the offering, whether as underwriter, advisor, investor or otherwise); and</w:t>
      </w:r>
    </w:p>
    <w:p>
      <w:pPr>
        <w:spacing w:after="0" w:line="160" w:lineRule="exact"/>
        <w:rPr>
          <w:sz w:val="20"/>
          <w:szCs w:val="20"/>
          <w:color w:val="auto"/>
        </w:rPr>
      </w:pPr>
    </w:p>
    <w:p>
      <w:pPr>
        <w:ind w:left="660" w:right="60" w:firstLine="972"/>
        <w:spacing w:after="0" w:line="254"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i w:val="1"/>
          <w:iCs w:val="1"/>
          <w:color w:val="auto"/>
        </w:rPr>
        <w:t>Cybersecurity; Data Protection</w:t>
      </w:r>
      <w:r>
        <w:rPr>
          <w:rFonts w:ascii="Times New Roman" w:cs="Times New Roman" w:eastAsia="Times New Roman" w:hAnsi="Times New Roman"/>
          <w:sz w:val="18"/>
          <w:szCs w:val="18"/>
          <w:color w:val="auto"/>
        </w:rPr>
        <w:t>. Except as otherwise disclosed in the Time of Sale Prospectus and the Prospectus, (i) the Company has not been notified of, and has no knowledge of any security breach or other compromise of or relating to any of the Company’s information technology and computer systems, networks, hardware, software, data (including the data of its customers, employees, suppliers, vendors and any third party data maintained by or on behalf of the Company), equipment or technology (collectively, “</w:t>
      </w:r>
      <w:r>
        <w:rPr>
          <w:rFonts w:ascii="Times New Roman" w:cs="Times New Roman" w:eastAsia="Times New Roman" w:hAnsi="Times New Roman"/>
          <w:sz w:val="18"/>
          <w:szCs w:val="18"/>
          <w:b w:val="1"/>
          <w:bCs w:val="1"/>
          <w:color w:val="auto"/>
        </w:rPr>
        <w:t>IT Systems and Data</w:t>
      </w:r>
      <w:r>
        <w:rPr>
          <w:rFonts w:ascii="Times New Roman" w:cs="Times New Roman" w:eastAsia="Times New Roman" w:hAnsi="Times New Roman"/>
          <w:sz w:val="18"/>
          <w:szCs w:val="18"/>
          <w:color w:val="auto"/>
        </w:rPr>
        <w:t>”), except in the case of this clause (i) as would not, individually or in the aggregate, result in a material adverse effect on the current or future consolidated financial position, stockholders’ equity or results of operations of the Company; (ii) the Company is presently in compliance with applicable laws or statutes relating to the privacy and security of IT Systems and Data and to the protection of such IT Systems and Data from unauthorized use, access, misappropriation or modification, except as would not, individually or in the aggregate, result in a material adverse effect on the current or future consolidated financial position, stockholders’ equity or results of operations of the Company; and (iii) the Company has implemented backup and disaster recovery technology consistent with industry standards and practices.</w:t>
      </w:r>
    </w:p>
    <w:p>
      <w:pPr>
        <w:spacing w:after="0" w:line="185" w:lineRule="exact"/>
        <w:rPr>
          <w:sz w:val="20"/>
          <w:szCs w:val="20"/>
          <w:color w:val="auto"/>
        </w:rPr>
      </w:pPr>
    </w:p>
    <w:p>
      <w:pPr>
        <w:ind w:left="660" w:right="180" w:firstLine="972"/>
        <w:spacing w:after="0" w:line="261"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Except as would not, individually or in the aggregate, have a material adverse effect on the Company and its subsidiaries, taken as a whole, each of the Company and its subsidiaries has (i) filed all tax returns that are required to be filed by it or has requested extensions thereof and (ii) paid all taxes required to be paid by it and any other assessment, fine or penalty levied against it, except for any such tax, assessment, fine or penalty that is currently being contested in good faith.</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Agreements to Sell and Purchase</w:t>
      </w:r>
      <w:r>
        <w:rPr>
          <w:rFonts w:ascii="Times New Roman" w:cs="Times New Roman" w:eastAsia="Times New Roman" w:hAnsi="Times New Roman"/>
          <w:sz w:val="18"/>
          <w:szCs w:val="18"/>
          <w:color w:val="auto"/>
        </w:rPr>
        <w:t>. The Company hereby agrees to sell to the several Underwriters, and each Underwriter, upon the basis of the representations and warranties herein contained, but subject to the terms and conditions hereinafter stated, agrees, severally and not jointly, to purchase from the Company, at purchase prices as set forth on Schedule I, in the respective principal amounts of Securities as set forth opposite its name in Schedule II hereto.</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i w:val="1"/>
          <w:iCs w:val="1"/>
          <w:color w:val="auto"/>
        </w:rPr>
        <w:t>Terms of Offering</w:t>
      </w:r>
      <w:r>
        <w:rPr>
          <w:rFonts w:ascii="Times New Roman" w:cs="Times New Roman" w:eastAsia="Times New Roman" w:hAnsi="Times New Roman"/>
          <w:sz w:val="18"/>
          <w:szCs w:val="18"/>
          <w:color w:val="auto"/>
        </w:rPr>
        <w:t>. The Representatives have advised the Company that the Underwriters will, subject to the provisions hereof and the selling restrictions disclosed in the Prospectus, make a public offering of their respective proportions of the Securities purchased by the Underwriters hereunder as soon after the Registration Statement and this Agreement have become effective as in the judgment of the Representatives is advisable. The Company is further advised by you that the Securities are to be offered to the public upon the terms set forth in the Prospectus (including the selling and transfer restrictions contained therein).</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 w:name="page14"/>
    <w:bookmarkEnd w:id="13"/>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i w:val="1"/>
          <w:iCs w:val="1"/>
          <w:color w:val="auto"/>
        </w:rPr>
        <w:t>             Payment and Delivery</w:t>
      </w:r>
      <w:r>
        <w:rPr>
          <w:rFonts w:ascii="Times New Roman" w:cs="Times New Roman" w:eastAsia="Times New Roman" w:hAnsi="Times New Roman"/>
          <w:sz w:val="18"/>
          <w:szCs w:val="18"/>
          <w:color w:val="auto"/>
        </w:rPr>
        <w:t>. Payment for the Securities shall be made to the Company in Federal or other funds immediately available in New York City against delivery of such Securities for the respective accounts of the several Underwriters at 10:00 a.m., New York City time, on February 26, 2025, or at such other time on the same or such other date as shall be designated in writing by the Representatives. The time and date of such payment are hereinafter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Payment for the Securities shall be made against delivery, and the Securities shall be registered in such names and in such denominations as the Representatives shall request in writing not later than one full business day prior to the Closing Date. The Securities shall be delivered to the Representatives on the Closing Date for the respective accounts of the several Underwriters, with any transfer taxes payable in connection with the transfer of the Securities to the Underwriters duly paid, against payment of the purchase price therefor plus accrued interest, if any, to the date of payment and delivery.</w:t>
      </w:r>
    </w:p>
    <w:p>
      <w:pPr>
        <w:spacing w:after="0" w:line="181"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i w:val="1"/>
          <w:iCs w:val="1"/>
          <w:color w:val="auto"/>
        </w:rPr>
        <w:t>Conditions to the Underwriters’ Obligations</w:t>
      </w:r>
      <w:r>
        <w:rPr>
          <w:rFonts w:ascii="Times New Roman" w:cs="Times New Roman" w:eastAsia="Times New Roman" w:hAnsi="Times New Roman"/>
          <w:sz w:val="18"/>
          <w:szCs w:val="18"/>
          <w:color w:val="auto"/>
        </w:rPr>
        <w:t>. The several obligations of the Underwriters to purchase and pay for the Securities on the Closing Date are subject, in the discretion of the Representatives, to the condition that all representations and warranties and other statements of the Company in this Agreement are, at and as of the Closing Date, true and correct, the condition that each of them shall have performed in all material respects all of their respective obligations hereunder theretofore to be performed and to the following additional conditions:</w:t>
      </w:r>
    </w:p>
    <w:p>
      <w:pPr>
        <w:spacing w:after="0" w:line="180" w:lineRule="exact"/>
        <w:rPr>
          <w:sz w:val="20"/>
          <w:szCs w:val="20"/>
          <w:color w:val="auto"/>
        </w:rPr>
      </w:pPr>
    </w:p>
    <w:p>
      <w:pPr>
        <w:ind w:left="660" w:right="40" w:firstLine="972"/>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Effectiveness of Registration Statement; Filing of Prospectus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Registration Statement has become effective and at the Closing Date and no stop order suspending the effectiveness of the Registration Statement shall have been issued under the Securities Act or proceedings therefor or pursuant to Section 8A under the Securities Act initiated or, to the knowledge of the Company, threatened by the Commission, and any request on the part of the Commission for additional information shall have been complied with to the reasonable satisfaction of counsel to the Underwriters. The filings required under Rule 424(b) shall have been filed with the Commission in the manner and within the time period required by Rule 424(b) (or a post-effective amendment providing such information shall have been filed and become effective in accordance with the requirements of Rule 430B). The Final Term Sheet (as defined herein) and any other material required to be filed by the Company pursuant to Rule 433(d) under the rules and regulations under the Securities Act shall have been timely filed;</w:t>
      </w:r>
    </w:p>
    <w:p>
      <w:pPr>
        <w:spacing w:after="0" w:line="187" w:lineRule="exact"/>
        <w:rPr>
          <w:sz w:val="20"/>
          <w:szCs w:val="20"/>
          <w:color w:val="auto"/>
        </w:rPr>
      </w:pPr>
    </w:p>
    <w:p>
      <w:pPr>
        <w:ind w:left="660" w:right="60" w:firstLine="972"/>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Opinion and Negative Assurance Letters of Counsel for the Underwriters</w:t>
      </w:r>
      <w:r>
        <w:rPr>
          <w:rFonts w:ascii="Times New Roman" w:cs="Times New Roman" w:eastAsia="Times New Roman" w:hAnsi="Times New Roman"/>
          <w:sz w:val="18"/>
          <w:szCs w:val="18"/>
          <w:color w:val="auto"/>
        </w:rPr>
        <w:t>. The Underwriters shall have received on the Closing Date an opinion and negative assurance letter of Davis Polk &amp; Wardwell LLP, counsel for the Underwriters, dated the Closing Date, with respect to such matters as may be reasonably requested by the Underwriters;</w:t>
      </w:r>
    </w:p>
    <w:p>
      <w:pPr>
        <w:spacing w:after="0" w:line="176" w:lineRule="exact"/>
        <w:rPr>
          <w:sz w:val="20"/>
          <w:szCs w:val="20"/>
          <w:color w:val="auto"/>
        </w:rPr>
      </w:pPr>
    </w:p>
    <w:p>
      <w:pPr>
        <w:ind w:left="660" w:right="20" w:firstLine="972"/>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Opinion of the Company’s Internal Counsel</w:t>
      </w:r>
      <w:r>
        <w:rPr>
          <w:rFonts w:ascii="Times New Roman" w:cs="Times New Roman" w:eastAsia="Times New Roman" w:hAnsi="Times New Roman"/>
          <w:sz w:val="18"/>
          <w:szCs w:val="18"/>
          <w:color w:val="auto"/>
        </w:rPr>
        <w:t>. The Underwriters shall have received on the Closing Date an opinion letter of Emily A. Weith, Vice President, Corporate Legal, Governance, and Assistant Secretary (or such other person who shall be a senior legal officer of the Company on the Closing Date), dated the Closing Date, in form and substance satisfactory to the Underwriters;</w:t>
      </w:r>
    </w:p>
    <w:p>
      <w:pPr>
        <w:spacing w:after="0" w:line="176" w:lineRule="exact"/>
        <w:rPr>
          <w:sz w:val="20"/>
          <w:szCs w:val="20"/>
          <w:color w:val="auto"/>
        </w:rPr>
      </w:pPr>
    </w:p>
    <w:p>
      <w:pPr>
        <w:ind w:left="660" w:right="160" w:firstLine="972"/>
        <w:spacing w:after="0" w:line="289" w:lineRule="auto"/>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Opinion and Negative Assurance Letters of Counsel for the Company</w:t>
      </w:r>
      <w:r>
        <w:rPr>
          <w:rFonts w:ascii="Times New Roman" w:cs="Times New Roman" w:eastAsia="Times New Roman" w:hAnsi="Times New Roman"/>
          <w:sz w:val="17"/>
          <w:szCs w:val="17"/>
          <w:color w:val="auto"/>
        </w:rPr>
        <w:t>. The Underwriters shall have received on the Closing Date an opinion letter of Wachtell, Lipton, Rosen &amp; Katz, outside counsel for the Company, dated the Closing Date, in form and substance satisfactory to the Underwriters, and a negative assurance letter, dated the Closing Date, in form and substance satisfactory to the Underwriters;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2" w:right="399" w:bottom="1440" w:gutter="0" w:footer="0" w:header="0"/>
        </w:sectPr>
      </w:pPr>
    </w:p>
    <w:bookmarkStart w:id="14" w:name="page15"/>
    <w:bookmarkEnd w:id="14"/>
    <w:p>
      <w:pPr>
        <w:ind w:firstLine="972"/>
        <w:spacing w:after="0" w:line="25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Accountant’s Comfort Letters</w:t>
      </w:r>
      <w:r>
        <w:rPr>
          <w:rFonts w:ascii="Times New Roman" w:cs="Times New Roman" w:eastAsia="Times New Roman" w:hAnsi="Times New Roman"/>
          <w:sz w:val="18"/>
          <w:szCs w:val="18"/>
          <w:color w:val="auto"/>
        </w:rPr>
        <w:t xml:space="preserve">. The Underwriters shall have received on each of the date hereof and the Closing Date a letter, dated the date hereof or the Closing Date, as applicable, in form and substance satisfactory to the Underwriters, from Ernst &amp; Young LLP, independent public accountants with respect to the Company’s consolidated financial statements and certain financial information for the years ended December 31, 2022 and December 31, 2023, containing statements and information of the type ordinarily included in accountants’ “comfort letters” to underwriters with respect to the financial statements and certain financial information contained in the Time of Sale Prospectus and the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letter delivered on the Closing Date shall use a “cut-off date” not earlier than the date hereof;</w:t>
      </w:r>
    </w:p>
    <w:p>
      <w:pPr>
        <w:spacing w:after="0" w:line="185" w:lineRule="exact"/>
        <w:rPr>
          <w:sz w:val="20"/>
          <w:szCs w:val="20"/>
          <w:color w:val="auto"/>
        </w:rPr>
      </w:pPr>
    </w:p>
    <w:p>
      <w:pPr>
        <w:ind w:right="20" w:firstLine="972"/>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No Material Adverse Change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 Neither the Company nor any of its subsidiaries shall have sustained since the date of the latest financial statements included in the Time of Sale Prospectus any loss or interference with its business from fire, explosion, flood or other calamity, whether or not covered by insurance, or from any labor dispute or court or governmental action, order or decree, otherwise than as set forth or contemplated in the Registration Statement, the Time of Sale Prospectus and the Prospectus, and (ii) since the respective dates as of which information is given in the Registration Statement, the Time of Sale Prospectus and the Prospectus, there shall not have been any change in the consolidated capital stock or any increase in the consolidated long-term debt of the Company and its subsidiaries, taken as a whole, or any change, or any development involving a prospective change, in or affecting the business, financial position, shareholders’ equity or results of operations of the Company and its subsidiaries, taken as a whole, otherwise than as set forth or contemplated in the Registration Statement, the Time of Sale Prospectus and the Prospectus, the effect of which, in any such case described in clause (i)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is in the reasonable judgment of the Representatives so material and adverse as to make it impracticable or inadvisable to proceed with the offering or the delivery of the Securities on the terms and in the manner contemplated in the Registration Statement, the Time of Sale Prospectus and the Prospectus;</w:t>
      </w:r>
    </w:p>
    <w:p>
      <w:pPr>
        <w:spacing w:after="0" w:line="194" w:lineRule="exact"/>
        <w:rPr>
          <w:sz w:val="20"/>
          <w:szCs w:val="20"/>
          <w:color w:val="auto"/>
        </w:rPr>
      </w:pPr>
    </w:p>
    <w:p>
      <w:pPr>
        <w:jc w:val="both"/>
        <w:ind w:right="20" w:firstLine="972"/>
        <w:spacing w:after="0" w:line="261"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No Downgrade</w:t>
      </w:r>
      <w:r>
        <w:rPr>
          <w:rFonts w:ascii="Times New Roman" w:cs="Times New Roman" w:eastAsia="Times New Roman" w:hAnsi="Times New Roman"/>
          <w:sz w:val="18"/>
          <w:szCs w:val="18"/>
          <w:color w:val="auto"/>
        </w:rPr>
        <w:t>. On or after the date of this Agreement (i) no downgrading shall have occurred, nor shall any notice have been given of any intended or potential downgrading, in the rating accorded the Company (if any) or any of the securities of the Company or any of its subsidiaries by Moody’s Investor Services or Standard &amp; Poor’s Ratings Service and (ii) neither organization shall have publicly announced that it has under surveillance or review, with possible negative implications, its rating of any of the Company’s debt securities;</w:t>
      </w:r>
    </w:p>
    <w:p>
      <w:pPr>
        <w:spacing w:after="0" w:line="178" w:lineRule="exact"/>
        <w:rPr>
          <w:sz w:val="20"/>
          <w:szCs w:val="20"/>
          <w:color w:val="auto"/>
        </w:rPr>
      </w:pPr>
    </w:p>
    <w:p>
      <w:pPr>
        <w:ind w:right="80" w:firstLine="972"/>
        <w:spacing w:after="0" w:line="261"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Officers’ Certificate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shall have furnished or caused to be furnished to the Representatives on the Closing Date a certificate of two officers of the Company, satisfactory to the Representatives as to the accuracy of the representations and warranties of the Company herein at and as of the Closing Date, as to the performance by the Company of all of its respective obligations hereunder to be performed at or prior to the Closing Date and as to the matters set forth in 5(f)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5(g);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w:t>
      </w:r>
    </w:p>
    <w:p>
      <w:pPr>
        <w:spacing w:after="0" w:line="200" w:lineRule="exact"/>
        <w:rPr>
          <w:sz w:val="20"/>
          <w:szCs w:val="20"/>
          <w:color w:val="auto"/>
        </w:rPr>
      </w:pP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15" w:name="page16"/>
    <w:bookmarkEnd w:id="15"/>
    <w:p>
      <w:pPr>
        <w:ind w:firstLine="972"/>
        <w:spacing w:after="0" w:line="26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Chief Financial Officer’s Certificate</w:t>
      </w:r>
      <w:r>
        <w:rPr>
          <w:rFonts w:ascii="Times New Roman" w:cs="Times New Roman" w:eastAsia="Times New Roman" w:hAnsi="Times New Roman"/>
          <w:sz w:val="18"/>
          <w:szCs w:val="18"/>
          <w:color w:val="auto"/>
        </w:rPr>
        <w:t>. On the date hereof and on the Closing Date, the Company shall have furnished to the Representatives a certificate, dated the respective date of delivery thereof, of Scott T. Reents, Chief Financial Officer of the Company, in form and substance satisfactory to the Representatives and covering such matters as the Representatives may reasonably request.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i w:val="1"/>
          <w:iCs w:val="1"/>
          <w:color w:val="auto"/>
        </w:rPr>
        <w:t>Covenants of the Company</w:t>
      </w:r>
      <w:r>
        <w:rPr>
          <w:rFonts w:ascii="Times New Roman" w:cs="Times New Roman" w:eastAsia="Times New Roman" w:hAnsi="Times New Roman"/>
          <w:sz w:val="18"/>
          <w:szCs w:val="18"/>
          <w:color w:val="auto"/>
        </w:rPr>
        <w:t>. The Company covenants to each Underwriter as follows:</w:t>
      </w:r>
    </w:p>
    <w:p>
      <w:pPr>
        <w:spacing w:after="0" w:line="227" w:lineRule="exact"/>
        <w:rPr>
          <w:sz w:val="20"/>
          <w:szCs w:val="20"/>
          <w:color w:val="auto"/>
        </w:rPr>
      </w:pPr>
    </w:p>
    <w:p>
      <w:pPr>
        <w:ind w:firstLine="972"/>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Compliance with Securities Regulations and Commission Requests</w:t>
      </w:r>
      <w:r>
        <w:rPr>
          <w:rFonts w:ascii="Times New Roman" w:cs="Times New Roman" w:eastAsia="Times New Roman" w:hAnsi="Times New Roman"/>
          <w:sz w:val="18"/>
          <w:szCs w:val="18"/>
          <w:color w:val="auto"/>
        </w:rPr>
        <w:t>. The Company will comply with the requirements of Rule 430B and will notify the Representatives immediately, and confirm the notice in writing, (i) when any post-effective amendment to the Registration Statement or new registration statement relating to the Securities shall become effective, or any supplement to the Prospectus or any amended Prospectus shall have been filed, (ii) of the receipt of any comments from the Commission, (iii) of any request by the Commission for any amendment to the Registration Statement or the filing of a new registration statement or any amendment or supplement to the Prospectus or any document incorporated by reference therein or otherwise deemed to be a part thereof or for additional information relating to the Registration Statement or the Prospectus, (iv) of the issuance by the Commission of any stop order suspending the effectiveness of the Registration Statement or such new registration statement or of any order preventing or suspending the use of any preliminary prospectus, or of the suspension of the qualification of the Securities for offering or sale in any jurisdiction, or of the initiation or threatening of any proceedings for any of such purposes or of any examination pursuant to Section 8(e) of the Securities Act concerning the Registration Statement and (v) if the Company becomes the subject of a proceeding under Section 8A of the Securities Act in connection with the offering of the Securities. The Company will effect the filings required under Rule 424(b), in the manner and within the time period required by Rule 424(b),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w:t>
      </w:r>
    </w:p>
    <w:p>
      <w:pPr>
        <w:spacing w:after="0" w:line="196" w:lineRule="exact"/>
        <w:rPr>
          <w:sz w:val="20"/>
          <w:szCs w:val="20"/>
          <w:color w:val="auto"/>
        </w:rPr>
      </w:pPr>
    </w:p>
    <w:p>
      <w:pPr>
        <w:ind w:right="120" w:firstLine="972"/>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Delivery of Prospectus</w:t>
      </w:r>
      <w:r>
        <w:rPr>
          <w:rFonts w:ascii="Times New Roman" w:cs="Times New Roman" w:eastAsia="Times New Roman" w:hAnsi="Times New Roman"/>
          <w:sz w:val="18"/>
          <w:szCs w:val="18"/>
          <w:color w:val="auto"/>
        </w:rPr>
        <w:t>. To furnish to the Representatives in New York City, without charge, prior to 10:00 a.m. New York City time on the second business day next succeeding the date of this Agreement and during the period mentioned in Section 6(e) or (f), as many copies of the Time of Sale Prospectus, the Prospectus, any documents incorporated by reference therein and any supplements and amendments thereto as the Representatives may reasonably request;</w:t>
      </w:r>
    </w:p>
    <w:p>
      <w:pPr>
        <w:spacing w:after="0" w:line="180" w:lineRule="exact"/>
        <w:rPr>
          <w:sz w:val="20"/>
          <w:szCs w:val="20"/>
          <w:color w:val="auto"/>
        </w:rPr>
      </w:pPr>
    </w:p>
    <w:p>
      <w:pPr>
        <w:ind w:right="60" w:firstLine="972"/>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Delivery of Registration Statement</w:t>
      </w:r>
      <w:r>
        <w:rPr>
          <w:rFonts w:ascii="Times New Roman" w:cs="Times New Roman" w:eastAsia="Times New Roman" w:hAnsi="Times New Roman"/>
          <w:sz w:val="18"/>
          <w:szCs w:val="18"/>
          <w:color w:val="auto"/>
        </w:rPr>
        <w:t>. Before amending or supplementing the Registration Statement, the Time of Sale Prospectus or the Prospectus during any period when a prospectus relating to the Securities is required to be delivered under the Securities Act, to furnish to the Representatives a copy of each such proposed amendment or supplement and not to file any such proposed amendment or supplement to which the Representatives reasonably object, except as may be required by applicable law;</w:t>
      </w:r>
    </w:p>
    <w:p>
      <w:pPr>
        <w:spacing w:after="0" w:line="200" w:lineRule="exact"/>
        <w:rPr>
          <w:sz w:val="20"/>
          <w:szCs w:val="20"/>
          <w:color w:val="auto"/>
        </w:rPr>
      </w:pPr>
    </w:p>
    <w:p>
      <w:pPr>
        <w:spacing w:after="0" w:line="2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0"/>
          </w:cols>
          <w:pgMar w:left="980" w:top="904" w:right="379" w:bottom="1440" w:gutter="0" w:footer="0" w:header="0"/>
        </w:sectPr>
      </w:pPr>
    </w:p>
    <w:bookmarkStart w:id="16" w:name="page17"/>
    <w:bookmarkEnd w:id="16"/>
    <w:p>
      <w:pPr>
        <w:ind w:right="240" w:firstLine="972"/>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Issuer Free Writing Prospectuses</w:t>
      </w:r>
      <w:r>
        <w:rPr>
          <w:rFonts w:ascii="Times New Roman" w:cs="Times New Roman" w:eastAsia="Times New Roman" w:hAnsi="Times New Roman"/>
          <w:sz w:val="18"/>
          <w:szCs w:val="18"/>
          <w:color w:val="auto"/>
        </w:rPr>
        <w:t>. To furnish to the Representatives a copy of each proposed free writing prospectus to be prepared by or on behalf of, used by, or referred to by the Company and not to use or refer to any proposed free writing prospectus to which the Representatives reasonably object; 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83" w:lineRule="exact"/>
        <w:rPr>
          <w:sz w:val="20"/>
          <w:szCs w:val="20"/>
          <w:color w:val="auto"/>
        </w:rPr>
      </w:pPr>
    </w:p>
    <w:p>
      <w:pPr>
        <w:ind w:firstLine="972"/>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Continued Compliance with Securities Laws</w:t>
      </w:r>
      <w:r>
        <w:rPr>
          <w:rFonts w:ascii="Times New Roman" w:cs="Times New Roman" w:eastAsia="Times New Roman" w:hAnsi="Times New Roman"/>
          <w:sz w:val="18"/>
          <w:szCs w:val="18"/>
          <w:color w:val="auto"/>
        </w:rPr>
        <w:t xml:space="preserve">. If the Time of Sale Prospectus is being used to solicit offers to buy the Securities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such amendments or supplements comply with Section 6(c) hereof;</w:t>
      </w:r>
    </w:p>
    <w:p>
      <w:pPr>
        <w:spacing w:after="0" w:line="192" w:lineRule="exact"/>
        <w:rPr>
          <w:sz w:val="20"/>
          <w:szCs w:val="20"/>
          <w:color w:val="auto"/>
        </w:rPr>
      </w:pPr>
    </w:p>
    <w:p>
      <w:pPr>
        <w:ind w:right="60" w:firstLine="972"/>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Filing of Amendments</w:t>
      </w:r>
      <w:r>
        <w:rPr>
          <w:rFonts w:ascii="Times New Roman" w:cs="Times New Roman" w:eastAsia="Times New Roman" w:hAnsi="Times New Roman"/>
          <w:sz w:val="18"/>
          <w:szCs w:val="18"/>
          <w:color w:val="auto"/>
        </w:rPr>
        <w:t xml:space="preserve">. If, during such period after the first date of the public offering of the Securities as in the opinion of counsel for the Underwriters the Prospectus (or in lieu thereof the notice referred to in Rule 173(a) of the Securities Act) is required by law to be delivered in connection with sales by an Underwriters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(unless such amendment or supplement shall be made more than six months after the date of this Agreement, in which case at the sole expense of the Underwriters), to the Underwriters and to the dealers (whose names and addresses you will furnish to the Company) to which Securities may have been sold by you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such amendments or supplements comply with Section 6(c) hereof;</w:t>
      </w:r>
    </w:p>
    <w:p>
      <w:pPr>
        <w:spacing w:after="0" w:line="200" w:lineRule="exact"/>
        <w:rPr>
          <w:sz w:val="20"/>
          <w:szCs w:val="20"/>
          <w:color w:val="auto"/>
        </w:rPr>
      </w:pPr>
    </w:p>
    <w:p>
      <w:pPr>
        <w:spacing w:after="0" w:line="23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17" w:name="page18"/>
    <w:bookmarkEnd w:id="17"/>
    <w:p>
      <w:pPr>
        <w:ind w:right="100" w:firstLine="972"/>
        <w:spacing w:after="0" w:line="261"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Blue Sky Qualifications</w:t>
      </w:r>
      <w:r>
        <w:rPr>
          <w:rFonts w:ascii="Times New Roman" w:cs="Times New Roman" w:eastAsia="Times New Roman" w:hAnsi="Times New Roman"/>
          <w:sz w:val="18"/>
          <w:szCs w:val="18"/>
          <w:color w:val="auto"/>
        </w:rPr>
        <w:t xml:space="preserve">. To endeavor to qualify the Securities for offer and sale under the securities or Blue Sky laws of such jurisdictions as the Representatives shall reasonably request and to continue such qualifications, if any, in effect so long as required for the underwriting of the Securities by the Underwriters;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not be required to qualify as a foreign corporation or to file a general consent to service of process in any jurisdiction or subject itself to taxation in a jurisdiction in which it is not otherwise subject;</w:t>
      </w:r>
    </w:p>
    <w:p>
      <w:pPr>
        <w:spacing w:after="0" w:line="180" w:lineRule="exact"/>
        <w:rPr>
          <w:sz w:val="20"/>
          <w:szCs w:val="20"/>
          <w:color w:val="auto"/>
        </w:rPr>
      </w:pPr>
    </w:p>
    <w:p>
      <w:pPr>
        <w:ind w:right="260" w:firstLine="972"/>
        <w:spacing w:after="0" w:line="261"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Earnings Statement</w:t>
      </w:r>
      <w:r>
        <w:rPr>
          <w:rFonts w:ascii="Times New Roman" w:cs="Times New Roman" w:eastAsia="Times New Roman" w:hAnsi="Times New Roman"/>
          <w:sz w:val="18"/>
          <w:szCs w:val="18"/>
          <w:color w:val="auto"/>
        </w:rPr>
        <w:t>. To make generally available to the Company’s security holders and to you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180" w:lineRule="exact"/>
        <w:rPr>
          <w:sz w:val="20"/>
          <w:szCs w:val="20"/>
          <w:color w:val="auto"/>
        </w:rPr>
      </w:pPr>
    </w:p>
    <w:p>
      <w:pPr>
        <w:ind w:firstLine="972"/>
        <w:spacing w:after="0" w:line="25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Fees and Expenses</w:t>
      </w:r>
      <w:r>
        <w:rPr>
          <w:rFonts w:ascii="Times New Roman" w:cs="Times New Roman" w:eastAsia="Times New Roman" w:hAnsi="Times New Roman"/>
          <w:sz w:val="18"/>
          <w:szCs w:val="18"/>
          <w:color w:val="auto"/>
        </w:rPr>
        <w:t>. Whether or not the transactions contemplated in this Agreement are consummated or this Agreement is terminated, to pay or cause to be paid the following: (i) the fees, disbursements and expenses of the counsel and accountants for the Company in connection with the registration and delivery of the Securities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the filing fees payable to the Commission relating to the Securities (within the time required by Rule 456 (b)(1), if applicable), amendments and supplements thereto and the mailing and delivering of copies thereof to the Underwriters and dealers along with all necessary issue, transfer, stamp, and other similar taxes in connection therewith and or otherwise in connection with the issuance and sale of the Securities to the Underwriters; (ii) the cost of printing or producing this Agreement, the Indenture, any Blue Sky survey and any other documents in connection with the offering, purchase, sale and delivery of the Securities; (iii) all expenses in connection with the qualification of the Securities for offering and sale under state securities laws as provided in Section 8(g) hereof, including the reasonable fees and disbursements of counsel for the Underwriters in connection with such qualification and in connection with the Blue Sky or legal investment memorandum; (iv) any reasonable fees charged by securities rating services for rating the Securities; (v) the fees and expenses of the Trustee and any agent of the Trustee and the fees and disbursements of counsel for any Trustee in connection with the Indenture and the Securities; and (vi) all filing fees and the reasonable fees and disbursements of counsel to the Underwriters incurred in connection with the review and qualification of the offering of the Securities by the Financial Industry Regulatory Authority, and all other costs and expenses incident to the performance of their obligations hereunder which are not otherwise specifically provided for in this Section 6. It is understood, however, that, except as provided in this Section 6, Section 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Section 10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hereof, the Underwriters will pay all of their own costs and expenses, including the fees of their counsel, transfer taxes on the transfer of any of the Securities by them, and any advertising expenses connected with any offers they may make; each Underwriter agrees to pay the portion of such expenses represented by such Underwriter’s pro rata share (based on the proportion that the principal amount of Securities set forth opposite each Underwriter’s name in Schedule II bears to the aggregate principal amount of Securities set forth opposite the names of all Underwriters) of the Securities;</w:t>
      </w:r>
    </w:p>
    <w:p>
      <w:pPr>
        <w:spacing w:after="0" w:line="200" w:lineRule="exact"/>
        <w:rPr>
          <w:sz w:val="20"/>
          <w:szCs w:val="20"/>
          <w:color w:val="auto"/>
        </w:rPr>
      </w:pPr>
    </w:p>
    <w:p>
      <w:pPr>
        <w:spacing w:after="0" w:line="24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8" w:name="page19"/>
    <w:bookmarkEnd w:id="18"/>
    <w:p>
      <w:pPr>
        <w:ind w:left="660" w:right="100" w:firstLine="972"/>
        <w:spacing w:after="0" w:line="282"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Regulation M</w:t>
      </w:r>
      <w:r>
        <w:rPr>
          <w:rFonts w:ascii="Times New Roman" w:cs="Times New Roman" w:eastAsia="Times New Roman" w:hAnsi="Times New Roman"/>
          <w:sz w:val="18"/>
          <w:szCs w:val="18"/>
          <w:color w:val="auto"/>
        </w:rPr>
        <w:t>. Not to take any action prohibited by Regulation M under the Exchange Act in connection with the distribution of the Securities contemplated hereby;</w:t>
      </w:r>
    </w:p>
    <w:p>
      <w:pPr>
        <w:spacing w:after="0" w:line="162" w:lineRule="exact"/>
        <w:rPr>
          <w:sz w:val="20"/>
          <w:szCs w:val="20"/>
          <w:color w:val="auto"/>
        </w:rPr>
      </w:pPr>
    </w:p>
    <w:p>
      <w:pPr>
        <w:ind w:left="660" w:right="220" w:firstLine="972"/>
        <w:spacing w:after="0" w:line="282"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Use of Proceeds</w:t>
      </w:r>
      <w:r>
        <w:rPr>
          <w:rFonts w:ascii="Times New Roman" w:cs="Times New Roman" w:eastAsia="Times New Roman" w:hAnsi="Times New Roman"/>
          <w:sz w:val="18"/>
          <w:szCs w:val="18"/>
          <w:color w:val="auto"/>
        </w:rPr>
        <w:t>. To use the proceeds from the sale of the Securities in the manner described in the Time of Sale Prospectus and the Prospectus;</w:t>
      </w:r>
    </w:p>
    <w:p>
      <w:pPr>
        <w:spacing w:after="0" w:line="162" w:lineRule="exact"/>
        <w:rPr>
          <w:sz w:val="20"/>
          <w:szCs w:val="20"/>
          <w:color w:val="auto"/>
        </w:rPr>
      </w:pPr>
    </w:p>
    <w:p>
      <w:pPr>
        <w:ind w:left="660" w:right="180" w:firstLine="972"/>
        <w:spacing w:after="0" w:line="266"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Delivery of Documents</w:t>
      </w:r>
      <w:r>
        <w:rPr>
          <w:rFonts w:ascii="Times New Roman" w:cs="Times New Roman" w:eastAsia="Times New Roman" w:hAnsi="Times New Roman"/>
          <w:sz w:val="18"/>
          <w:szCs w:val="18"/>
          <w:color w:val="auto"/>
        </w:rPr>
        <w:t>. During the period of one year hereafter, the Company will furnish to the Underwriters, as soon as available, a copy of each of the reports, notices or communications sent to securityholders, if not available on the Commission’s Electronic Data Gathering, Analysis and Retrieval system;</w:t>
      </w:r>
    </w:p>
    <w:p>
      <w:pPr>
        <w:spacing w:after="0" w:line="176" w:lineRule="exact"/>
        <w:rPr>
          <w:sz w:val="20"/>
          <w:szCs w:val="20"/>
          <w:color w:val="auto"/>
        </w:rPr>
      </w:pPr>
    </w:p>
    <w:p>
      <w:pPr>
        <w:ind w:left="660" w:right="160" w:firstLine="972"/>
        <w:spacing w:after="0" w:line="261"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Compliance with the Securities Act</w:t>
      </w:r>
      <w:r>
        <w:rPr>
          <w:rFonts w:ascii="Times New Roman" w:cs="Times New Roman" w:eastAsia="Times New Roman" w:hAnsi="Times New Roman"/>
          <w:sz w:val="18"/>
          <w:szCs w:val="18"/>
          <w:color w:val="auto"/>
        </w:rPr>
        <w:t>. The Company has not distributed and, prior to the later to occur of (i) the Closing Date and (ii) the completion of the distribution of the Securities, will not distribute any material in connection with the offering and sale of the Securities, other than the Time of Sale Prospectus and the Prospectus or other materials, if any, permitted by the Securities Act, or regulations promulgated pursuant to the Securities Act, and approved by the parties to this Agreement;</w:t>
      </w:r>
    </w:p>
    <w:p>
      <w:pPr>
        <w:spacing w:after="0" w:line="176" w:lineRule="exact"/>
        <w:rPr>
          <w:sz w:val="20"/>
          <w:szCs w:val="20"/>
          <w:color w:val="auto"/>
        </w:rPr>
      </w:pPr>
    </w:p>
    <w:p>
      <w:pPr>
        <w:ind w:left="660" w:firstLine="972"/>
        <w:spacing w:after="0" w:line="262"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Preparation of a Final Term Sheet</w:t>
      </w:r>
      <w:r>
        <w:rPr>
          <w:rFonts w:ascii="Times New Roman" w:cs="Times New Roman" w:eastAsia="Times New Roman" w:hAnsi="Times New Roman"/>
          <w:sz w:val="18"/>
          <w:szCs w:val="18"/>
          <w:color w:val="auto"/>
        </w:rPr>
        <w:t>. To prepare a final term sheet relating to the offering of the Securities (a “</w:t>
      </w:r>
      <w:r>
        <w:rPr>
          <w:rFonts w:ascii="Times New Roman" w:cs="Times New Roman" w:eastAsia="Times New Roman" w:hAnsi="Times New Roman"/>
          <w:sz w:val="18"/>
          <w:szCs w:val="18"/>
          <w:b w:val="1"/>
          <w:bCs w:val="1"/>
          <w:color w:val="auto"/>
        </w:rPr>
        <w:t>Final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Sheet</w:t>
      </w:r>
      <w:r>
        <w:rPr>
          <w:rFonts w:ascii="Times New Roman" w:cs="Times New Roman" w:eastAsia="Times New Roman" w:hAnsi="Times New Roman"/>
          <w:sz w:val="18"/>
          <w:szCs w:val="18"/>
          <w:color w:val="auto"/>
        </w:rPr>
        <w:t>”), containing only information that describes the final terms of the Securities or the offering in a form consented to by the Underwriters,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file such final term sheet within the period required by Rule 433(d)(5)(ii) under the Securities Act following the date the final terms have been established for the offering of the Securities; and</w:t>
      </w:r>
    </w:p>
    <w:p>
      <w:pPr>
        <w:spacing w:after="0" w:line="180" w:lineRule="exact"/>
        <w:rPr>
          <w:sz w:val="20"/>
          <w:szCs w:val="20"/>
          <w:color w:val="auto"/>
        </w:rPr>
      </w:pPr>
    </w:p>
    <w:p>
      <w:pPr>
        <w:ind w:left="660" w:right="40" w:firstLine="972"/>
        <w:spacing w:after="0" w:line="258"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Restriction on Sale of Securities</w:t>
      </w:r>
      <w:r>
        <w:rPr>
          <w:rFonts w:ascii="Times New Roman" w:cs="Times New Roman" w:eastAsia="Times New Roman" w:hAnsi="Times New Roman"/>
          <w:sz w:val="18"/>
          <w:szCs w:val="18"/>
          <w:color w:val="auto"/>
        </w:rPr>
        <w:t>. The Company also agrees that, without the prior written consent of the Representatives on behalf of the Underwriters, it will not, during the period beginning on the date hereof and continuing to and including the Closing Date, offer, sell, contract to sell or otherwise dispose of any debt securities of the Company or warrants to purchase debt securities of the Company substantially similar to the Securities (other than the sale of the Securities under this Agreement or securities or warrants permitted with the prior written consent of the Representatives identified in Schedule I with the authorization to release this lock-up on behalf of the Underwriters).</w:t>
      </w:r>
    </w:p>
    <w:p>
      <w:pPr>
        <w:spacing w:after="0" w:line="181" w:lineRule="exact"/>
        <w:rPr>
          <w:sz w:val="20"/>
          <w:szCs w:val="20"/>
          <w:color w:val="auto"/>
        </w:rPr>
      </w:pPr>
    </w:p>
    <w:p>
      <w:pPr>
        <w:ind w:right="440" w:firstLine="648"/>
        <w:spacing w:after="0" w:line="267"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i w:val="1"/>
          <w:iCs w:val="1"/>
          <w:color w:val="auto"/>
        </w:rPr>
        <w:t>Covenants of the Underwriters</w:t>
      </w:r>
      <w:r>
        <w:rPr>
          <w:rFonts w:ascii="Times New Roman" w:cs="Times New Roman" w:eastAsia="Times New Roman" w:hAnsi="Times New Roman"/>
          <w:sz w:val="18"/>
          <w:szCs w:val="18"/>
          <w:color w:val="auto"/>
        </w:rPr>
        <w:t>. Each Underwriter severally covenants with the Company 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i w:val="1"/>
          <w:iCs w:val="1"/>
          <w:color w:val="auto"/>
        </w:rPr>
        <w:t>Indemnity and Contribution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972"/>
        <w:spacing w:after="0" w:line="251" w:lineRule="auto"/>
        <w:rPr>
          <w:sz w:val="20"/>
          <w:szCs w:val="20"/>
          <w:color w:val="auto"/>
        </w:rPr>
      </w:pPr>
      <w:r>
        <w:rPr>
          <w:rFonts w:ascii="Times New Roman" w:cs="Times New Roman" w:eastAsia="Times New Roman" w:hAnsi="Times New Roman"/>
          <w:sz w:val="18"/>
          <w:szCs w:val="18"/>
          <w:color w:val="auto"/>
        </w:rPr>
        <w:t>(a)             The Company will indemnify and hold harmless each Underwriter, its directors, officers and employees,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joint or several, to which such Underwriter, director, officer, employee, controlling person or affiliate may become subject under such Securities Act or otherwise, insofar as such losses, claims, damages or liabilities (or actions in respect thereof) arise out of or are based upon an untrue statement or alleged untrue statement of a material fact contained in the Registration Statement, the Time of Sale Prospectus or any amendment or supplement thereto, any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Times New Roman" w:cs="Times New Roman" w:eastAsia="Times New Roman" w:hAnsi="Times New Roman"/>
          <w:sz w:val="18"/>
          <w:szCs w:val="18"/>
          <w:b w:val="1"/>
          <w:bCs w:val="1"/>
          <w:color w:val="auto"/>
        </w:rPr>
        <w:t>road show</w:t>
      </w:r>
      <w:r>
        <w:rPr>
          <w:rFonts w:ascii="Times New Roman" w:cs="Times New Roman" w:eastAsia="Times New Roman" w:hAnsi="Times New Roman"/>
          <w:sz w:val="18"/>
          <w:szCs w:val="18"/>
          <w:color w:val="auto"/>
        </w:rPr>
        <w:t xml:space="preserve">”), the Prospectus or any amendment or supplement thereto, or arise out of or are based upon the omission or alleged omission to state therein a material fact necessary in order to make the statements therein in the light of the circumstances under which they were made not misleading, and will reimburse each Underwriter, director, officer, employee, controlling person or affiliate for any legal or other expenses reasonably incurred by such Underwriter, director, officer, employee or controlling person in connection with investigating or defending any such loss, damage, liability, action or claim as such expenses are incurred;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the Company shall not be liable in any such case to the extent that any such loss, harm, damage or liability arises out of or is based upon an untrue statement or alleged untrue statement or omission or alleged omission made in the Prospectus or any free writing prospectus or any amendment or supplement thereto in reliance upon and in conformity with the Underwriters’ Information (as defined in Section 8(b) below) relating to any Underwriter furnished to the Company in writing by such Underwriter through the Representatives expressly for use therein, and provided further, that the foregoing indemnity agreement shall not inure to the benefit of any Underwriter from whom the person asserting any such loss, liability, claim, damage or expense purchased Securities, or any person controlling such Underwriter, if the Company provides a copy of an amendment or supplement to the Prospectus or any free writing prospectus as theretofore provided to such Underwriter by the Company (with notice that such amendment or supplement contains additional or different material information from that previously provided) sufficiently far enough in advance of the time of sale in order to enable such Underwriter to convey such amendment or supplement to the purchaser of the Securities, and such amendment or supplement (x) was not conveyed by or on behalf of such Underwriter to such person at or prior to the entry into the contract of sale of the Securities by such person, and (y) would have cured the defect giving rise to such loss, liability, claim, damage or expense.</w:t>
      </w:r>
    </w:p>
    <w:p>
      <w:pPr>
        <w:spacing w:after="0" w:line="205" w:lineRule="exact"/>
        <w:rPr>
          <w:sz w:val="20"/>
          <w:szCs w:val="20"/>
          <w:color w:val="auto"/>
        </w:rPr>
      </w:pPr>
    </w:p>
    <w:p>
      <w:pPr>
        <w:ind w:right="20" w:firstLine="972"/>
        <w:spacing w:after="0" w:line="267" w:lineRule="auto"/>
        <w:rPr>
          <w:sz w:val="20"/>
          <w:szCs w:val="20"/>
          <w:color w:val="auto"/>
        </w:rPr>
      </w:pPr>
      <w:r>
        <w:rPr>
          <w:rFonts w:ascii="Times New Roman" w:cs="Times New Roman" w:eastAsia="Times New Roman" w:hAnsi="Times New Roman"/>
          <w:sz w:val="17"/>
          <w:szCs w:val="17"/>
          <w:color w:val="auto"/>
        </w:rPr>
        <w:t>(b)             Each Underwriter will, severally and not jointly, indemnify and hold harmless the Company and its respective directors, officers and employees and each person, if any, who controls the Company within the meaning of either Section 15 of the Securities Act or Section 20 of the Exchange Act against any losses, claims, damages or liabilities to which the Company or any of its respective directors, officers, employees or controlling persons may become subject, under the Securities Act or otherwise, insofar as such losses, claims, damages or liability (or actions in respect thereof) arise out of or are based upon an untrue statement or alleged untrue statement of a material fact contained in any Registration Statement, the Time of Sale Prospectus, any preliminary prospectus, free writing prospectus, road show or the Prospectus, or any amendment or supplement thereto, or arise out of or are based upon the omission or alleged omission to state therein a material fact necessary in order to make the statements therein not misleading, in each case to the extent, but only to the extent, that such untrue statement or alleged untrue statement, or omission or alleged omission was made in any Registration Statement, the Time of Sale Prospectus, any preliminary prospectus, free writing prospectus or the Prospectus, or any such amendment or supplement, in reliance upon and conformity with written information furnished to the Company by such Underwriter through the Representatives expressly for use therein; and each Underwriter will reimburse the Company, or any director, officer, employee or controlling person of the Company, for any legal or other expenses reasonably incurred by the Company, or any such director, officer, employee or controlling person in connection with investigating, or defending any such loss, damage, liability, action or claim as such expenses are incurred, but only with reference to the Underwriters’ Information (defined below) relating to such Underwriter furnished to the Company in writing by such Underwriter through you expressly for use in the Registration Statement, the Time of Sale Prospectus, any free writing prospectus or the Prospectus or any amendment or supplement thereto. The Company hereby acknowledges that the only such information are the statements set forth in the first and second paragraphs under the sub-heading “Stabilization and Short Positions,” in each case under the caption “Underwriting” in the Time of Sale Prospectus and the Prospectus (collectively, the “</w:t>
      </w:r>
      <w:r>
        <w:rPr>
          <w:rFonts w:ascii="Times New Roman" w:cs="Times New Roman" w:eastAsia="Times New Roman" w:hAnsi="Times New Roman"/>
          <w:sz w:val="17"/>
          <w:szCs w:val="17"/>
          <w:b w:val="1"/>
          <w:bCs w:val="1"/>
          <w:color w:val="auto"/>
        </w:rPr>
        <w:t>Underwriters’ Information</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3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902" w:right="359" w:bottom="1440" w:gutter="0" w:footer="0" w:header="0"/>
        </w:sectPr>
      </w:pPr>
    </w:p>
    <w:bookmarkStart w:id="20" w:name="page21"/>
    <w:bookmarkEnd w:id="20"/>
    <w:p>
      <w:pPr>
        <w:ind w:firstLine="972"/>
        <w:spacing w:after="0" w:line="254" w:lineRule="auto"/>
        <w:rPr>
          <w:sz w:val="20"/>
          <w:szCs w:val="20"/>
          <w:color w:val="auto"/>
        </w:rPr>
      </w:pPr>
      <w:r>
        <w:rPr>
          <w:rFonts w:ascii="Times New Roman" w:cs="Times New Roman" w:eastAsia="Times New Roman" w:hAnsi="Times New Roman"/>
          <w:sz w:val="18"/>
          <w:szCs w:val="18"/>
          <w:color w:val="auto"/>
        </w:rPr>
        <w:t>(c)             Promptly after receipt by an indemnified party under Sections 8(a)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8(b)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except to the extent such omission materially prejudices the indemnifying party. In case any such action shall be brought against any indemnified party,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w:t>
      </w:r>
    </w:p>
    <w:p>
      <w:pPr>
        <w:spacing w:after="0" w:line="185" w:lineRule="exact"/>
        <w:rPr>
          <w:sz w:val="20"/>
          <w:szCs w:val="20"/>
          <w:color w:val="auto"/>
        </w:rPr>
      </w:pPr>
    </w:p>
    <w:p>
      <w:pPr>
        <w:ind w:right="60" w:firstLine="972"/>
        <w:spacing w:after="0" w:line="252" w:lineRule="auto"/>
        <w:rPr>
          <w:sz w:val="20"/>
          <w:szCs w:val="20"/>
          <w:color w:val="auto"/>
        </w:rPr>
      </w:pPr>
      <w:r>
        <w:rPr>
          <w:rFonts w:ascii="Times New Roman" w:cs="Times New Roman" w:eastAsia="Times New Roman" w:hAnsi="Times New Roman"/>
          <w:sz w:val="18"/>
          <w:szCs w:val="18"/>
          <w:color w:val="auto"/>
        </w:rPr>
        <w:t>(d)             To the extent the indemnification provided for in Sections 8(a)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8(b)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is unavailable to an indemnified party or insufficient in respect of any losses, claims, damages or liabilities referred to therein (or actions in respect thereof),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Securities or (ii) if the allocation provided by clause 8(d)(i) above is not permitted by applicable law or if the indemnified party failed to give notice required under Section 8(c)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above, in such proportion as is appropriate to reflect not only the relative benefits referred to in clause (i) above but also the relative fault of the Company on the one hand and of the Underwriters on the second hand in connection with the statements or omissions that resulted in such losses, claims, damages or liabilities (or actions in respect thereof), as well as any other relevant equitable considerations. The relative benefits received by the Company on the one hand and the Underwriters on the other hand in connection with the offering of the Securities shall be deemed to be in the same respective proportions as the net proceeds from the offering of the Securities (before deducting expenses) received by the Company and the total discounts and commissions received by the Underwriters bear to the aggregate offering price of the Securities. The relative fault of the Company on the one hand and of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are several in proportion to the respective principal amount of Securities they have purchased hereunder, and not joint.</w:t>
      </w:r>
    </w:p>
    <w:p>
      <w:pPr>
        <w:spacing w:after="0" w:line="200" w:lineRule="exact"/>
        <w:rPr>
          <w:sz w:val="20"/>
          <w:szCs w:val="20"/>
          <w:color w:val="auto"/>
        </w:rPr>
      </w:pPr>
    </w:p>
    <w:p>
      <w:pPr>
        <w:spacing w:after="0" w:line="24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900" w:right="359" w:bottom="1440" w:gutter="0" w:footer="0" w:header="0"/>
        </w:sectPr>
      </w:pPr>
    </w:p>
    <w:bookmarkStart w:id="21" w:name="page22"/>
    <w:bookmarkEnd w:id="21"/>
    <w:p>
      <w:pPr>
        <w:ind w:firstLine="972"/>
        <w:spacing w:after="0" w:line="253" w:lineRule="auto"/>
        <w:rPr>
          <w:sz w:val="20"/>
          <w:szCs w:val="20"/>
          <w:color w:val="auto"/>
        </w:rPr>
      </w:pPr>
      <w:r>
        <w:rPr>
          <w:rFonts w:ascii="Times New Roman" w:cs="Times New Roman" w:eastAsia="Times New Roman" w:hAnsi="Times New Roman"/>
          <w:sz w:val="18"/>
          <w:szCs w:val="18"/>
          <w:color w:val="auto"/>
        </w:rPr>
        <w:t>(e)             The Company and the Underwriters agree that it would not be just or equitable if contribution pursuant to this Section 8 were determined by pro rata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Securities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192" w:lineRule="exact"/>
        <w:rPr>
          <w:sz w:val="20"/>
          <w:szCs w:val="20"/>
          <w:color w:val="auto"/>
        </w:rPr>
      </w:pPr>
    </w:p>
    <w:p>
      <w:pPr>
        <w:ind w:right="40" w:firstLine="972"/>
        <w:spacing w:after="0" w:line="253" w:lineRule="auto"/>
        <w:rPr>
          <w:sz w:val="20"/>
          <w:szCs w:val="20"/>
          <w:color w:val="auto"/>
        </w:rPr>
      </w:pPr>
      <w:r>
        <w:rPr>
          <w:rFonts w:ascii="Times New Roman" w:cs="Times New Roman" w:eastAsia="Times New Roman" w:hAnsi="Times New Roman"/>
          <w:sz w:val="18"/>
          <w:szCs w:val="18"/>
          <w:color w:val="auto"/>
        </w:rPr>
        <w:t>(f)             The indemnifying party under this Section 8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final judgment. Notwithstanding the foregoing sentence, if at any time an indemnified party shall have requested an indemnifying party to reimburse the indemnified party for fees and expenses of counsel as contemplated by this Section 8,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or disputed in good faith the indemnified party’s entitlement to such reimbursement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 includes an unconditional release of such indemnified party from all liability on claims that are the subject matter of such action, suit or proceeding and (ii) does not include any statements as to or any findings of fault, culpability or failure to act by or on behalf of any indemnified party.</w:t>
      </w:r>
    </w:p>
    <w:p>
      <w:pPr>
        <w:spacing w:after="0" w:line="200" w:lineRule="exact"/>
        <w:rPr>
          <w:sz w:val="20"/>
          <w:szCs w:val="20"/>
          <w:color w:val="auto"/>
        </w:rPr>
      </w:pPr>
    </w:p>
    <w:p>
      <w:pPr>
        <w:spacing w:after="0" w:line="23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2" w:name="page23"/>
    <w:bookmarkEnd w:id="22"/>
    <w:p>
      <w:pPr>
        <w:jc w:val="both"/>
        <w:ind w:left="660" w:firstLine="972"/>
        <w:spacing w:after="0" w:line="276" w:lineRule="auto"/>
        <w:rPr>
          <w:sz w:val="20"/>
          <w:szCs w:val="20"/>
          <w:color w:val="auto"/>
        </w:rPr>
      </w:pPr>
      <w:r>
        <w:rPr>
          <w:rFonts w:ascii="Times New Roman" w:cs="Times New Roman" w:eastAsia="Times New Roman" w:hAnsi="Times New Roman"/>
          <w:sz w:val="17"/>
          <w:szCs w:val="17"/>
          <w:color w:val="auto"/>
        </w:rPr>
        <w:t>(g)            The indemnity and contribution provisions contained in this Section 8 and the representations, warranties and other statements of the Company contained in this Agreement shall remain operative and in full force and effect regardless of (i) any termination of this Agreement,</w:t>
      </w:r>
    </w:p>
    <w:p>
      <w:pPr>
        <w:spacing w:after="0" w:line="1" w:lineRule="exact"/>
        <w:rPr>
          <w:sz w:val="20"/>
          <w:szCs w:val="20"/>
          <w:color w:val="auto"/>
        </w:rPr>
      </w:pPr>
    </w:p>
    <w:p>
      <w:pPr>
        <w:ind w:left="660" w:right="20" w:hanging="4"/>
        <w:spacing w:after="0" w:line="255" w:lineRule="auto"/>
        <w:tabs>
          <w:tab w:leader="none" w:pos="9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Securities.</w:t>
      </w:r>
    </w:p>
    <w:p>
      <w:pPr>
        <w:spacing w:after="0" w:line="18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Underwriters may terminate this Agreement by notice given by Representatives to the Company, if after the execution and delivery of this Agreement and prior to the Closing Date there shall have occurred (i) a suspension of trading of the Company’s common shares by the Commission or the New York Stock Exchange; (ii) a suspension or material limitation in trading in securities generally on the New York Stock Exchange;</w:t>
      </w:r>
    </w:p>
    <w:p>
      <w:pPr>
        <w:spacing w:after="0" w:line="1" w:lineRule="exact"/>
        <w:rPr>
          <w:sz w:val="20"/>
          <w:szCs w:val="20"/>
          <w:color w:val="auto"/>
        </w:rPr>
      </w:pPr>
    </w:p>
    <w:p>
      <w:pPr>
        <w:ind w:right="40" w:firstLine="8"/>
        <w:spacing w:after="0" w:line="250"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moratorium on commercial banking activities in New York declared by either Federal or New York State authorities; (iv) a material disruption in commercial banking or securities settlement, payment or clearance services in the United States; or (v) the outbreak or escalation of hostilities or the occurrence of any other calamity or crisis or any material adverse change in financial markets, if the effect of any such event specified in this clause</w:t>
      </w:r>
    </w:p>
    <w:p>
      <w:pPr>
        <w:spacing w:after="0" w:line="1" w:lineRule="exact"/>
        <w:rPr>
          <w:rFonts w:ascii="Times New Roman" w:cs="Times New Roman" w:eastAsia="Times New Roman" w:hAnsi="Times New Roman"/>
          <w:sz w:val="18"/>
          <w:szCs w:val="18"/>
          <w:color w:val="auto"/>
        </w:rPr>
      </w:pPr>
    </w:p>
    <w:p>
      <w:pPr>
        <w:ind w:right="140" w:firstLine="8"/>
        <w:spacing w:after="0" w:line="260"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it, in the Representatives’ judgment, impracticable or inadvisable to proceed with the offer, sale or delivery of the Securities on the terms and in the manner contemplated in the Time of Sale Prospectus or the Prospectus.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i w:val="1"/>
          <w:iCs w:val="1"/>
          <w:color w:val="auto"/>
        </w:rPr>
        <w:t>Effectiveness; Defaulting Underwriters</w:t>
      </w:r>
      <w:r>
        <w:rPr>
          <w:rFonts w:ascii="Times New Roman" w:cs="Times New Roman" w:eastAsia="Times New Roman" w:hAnsi="Times New Roman"/>
          <w:sz w:val="18"/>
          <w:szCs w:val="18"/>
          <w:color w:val="auto"/>
        </w:rPr>
        <w:t>. This Agreement shall become effective upon the execution and delivery hereof by the parties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If, on the Closing Date, any one or more of the Underwriters shall fail or refuse to purchase the Securities that it has or they have agreed to purchase hereunder on such date, and the aggregate principal amount of the Securities which such defaulting Underwriter or Underwriters agreed but failed or refused to purchase is not more than one-tenth of the aggregate principal amount of the Securities to be purchased on such date, the other Underwriters shall be obligated severally in the proportions that the principal amount of the Securities set forth opposite their respective names in Schedule II bears to the aggregate principal amount of the Securities set forth opposite the names of all such non-defaulting Underwriters, or in such other proportions as the Representatives may specify, to purchase the portion of such Underwriters’ Securities which such defaulting Underwriter or Underwriters agreed but failed or refused to purchase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principal amount of the Securities that any Underwriter has agreed to purchase pursuant to this Agreement be increased pursuant to this Section 10‎ by an amount in excess of one-ninth of such principal amount of the Securities without the written consent of such Underwriter. If, on the Closing Date any Underwriter or Underwriters shall fail or refuse to purchase Securities and the aggregate principal amount of the Securities with respect to which such default occurs is more than one-tenth of the aggregate principal amount of the Securities to be purchased on such date, and arrangements satisfactory to the Representatives, the Company, for the purchase of such Securities are not made within 36 hours after such default, this Agreement shall terminate without liability on the part of any non-defaulting Underwriter and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200" w:lineRule="exact"/>
        <w:rPr>
          <w:sz w:val="20"/>
          <w:szCs w:val="20"/>
          <w:color w:val="auto"/>
        </w:rPr>
      </w:pPr>
    </w:p>
    <w:p>
      <w:pPr>
        <w:spacing w:after="0" w:line="23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 but the Company shall then be under no further liability to any Underwriter with respect this Agreement except as provided in Section 6(i) and Section 8 hereof.</w:t>
      </w:r>
    </w:p>
    <w:p>
      <w:pPr>
        <w:spacing w:after="0" w:line="18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This Agreement, together with any contemporaneous written agreements and any prior written agreements (to the extent not superseded by this Agreement) that relate to the offering of the Securities, represents the entire agreement between the Company and the Underwriters with respect to the preparation of any preliminary prospectus, the Time of Sale Prospectus, the Prospectus, the conduct of the offering, and the purchase and sale of the Securities.</w:t>
      </w:r>
    </w:p>
    <w:p>
      <w:pPr>
        <w:spacing w:after="0" w:line="18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executed in two or more counterparts, each of which shall be an original, with the same effect as if the signatures thereto and hereto were upon the same instrument, and shall become effective when one or more counterparts have been signed by each of the parties and delivered (by telecopy, electronic delivery or otherwise) to the other parties. Signatures to this Agreement transmitted by facsimile transmission, by electronic mail (including any electronic signature complying with the U.S. federal ESIGN Act of 2000, Uniform Electronic Transactions Act or other applicable law, e.g., www. Docusign.com) in “</w:t>
      </w:r>
      <w:r>
        <w:rPr>
          <w:rFonts w:ascii="Times New Roman" w:cs="Times New Roman" w:eastAsia="Times New Roman" w:hAnsi="Times New Roman"/>
          <w:sz w:val="18"/>
          <w:szCs w:val="18"/>
          <w:b w:val="1"/>
          <w:bCs w:val="1"/>
          <w:color w:val="auto"/>
        </w:rPr>
        <w:t>portable document format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.pdf</w:t>
      </w:r>
      <w:r>
        <w:rPr>
          <w:rFonts w:ascii="Times New Roman" w:cs="Times New Roman" w:eastAsia="Times New Roman" w:hAnsi="Times New Roman"/>
          <w:sz w:val="18"/>
          <w:szCs w:val="18"/>
          <w:color w:val="auto"/>
        </w:rPr>
        <w:t>”) form, or by any other electronic means intended to preserve the original graphic and pictorial appearance of a document, will have the same effect as physical delivery of the paper document bearing the original signature.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 This Agreement shall be governed by and construed in accordance with the internal laws of the State of New York.</w:t>
      </w:r>
    </w:p>
    <w:p>
      <w:pPr>
        <w:spacing w:after="0" w:line="225"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of the sections of this Agreement have been inserted for convenience of reference only and shall not be deemed a part of this Agreement.</w:t>
      </w:r>
    </w:p>
    <w:p>
      <w:pPr>
        <w:spacing w:after="0" w:line="158"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7"/>
          <w:szCs w:val="17"/>
          <w:color w:val="auto"/>
        </w:rPr>
        <w:t>15.           </w:t>
      </w:r>
      <w:r>
        <w:rPr>
          <w:rFonts w:ascii="Times New Roman" w:cs="Times New Roman" w:eastAsia="Times New Roman" w:hAnsi="Times New Roman"/>
          <w:sz w:val="17"/>
          <w:szCs w:val="17"/>
          <w:i w:val="1"/>
          <w:iCs w:val="1"/>
          <w:color w:val="auto"/>
        </w:rPr>
        <w:t>Notices</w:t>
      </w:r>
      <w:r>
        <w:rPr>
          <w:rFonts w:ascii="Times New Roman" w:cs="Times New Roman" w:eastAsia="Times New Roman" w:hAnsi="Times New Roman"/>
          <w:sz w:val="17"/>
          <w:szCs w:val="17"/>
          <w:color w:val="auto"/>
        </w:rPr>
        <w:t>. All communications hereunder shall be in writing and effective only upon receipt and if to the Underwriters shall be delivered, mailed or sent to the Representatives in care of BofA Securities, Inc., 114 West 47th Street, NY8-114-07-01, New York, New York 10036, Attention: High Grade Debt Capital Markets Transaction Management/Legal, Fax: 212-901-7881; J.P. Morgan Securities LLC, 383 Madison Avenue, New York, New York 10179, Attention: Investment Grade Syndicate Desk –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xml:space="preserve"> Floor, Fax: 212-834-6081; Morgan Stanley &amp; Co. LLC, 1585 Broadway, 29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New York,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10036, Attention: Investment Banking Division, Fax: 212-507-8999; Barclays Capital Inc., 745 Seventh Avenue, New York, New York 10019,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Syndicate Registration, Fax: 646-834-8133; Mizuho Securities USA LLC, 1271 Avenue of the Americas, New York, New York 10020,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Debt Capital Markets, Email: legalnotices@mizuhogroup.com; and if to the Company, shall be delivered, mailed or sent to AbbVie Inc., 1 North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Waukegan Road, North Chicago, Illinois 60064, Attention: Treasurer.</w:t>
      </w:r>
    </w:p>
    <w:p>
      <w:pPr>
        <w:spacing w:after="0" w:line="200" w:lineRule="exact"/>
        <w:rPr>
          <w:sz w:val="20"/>
          <w:szCs w:val="20"/>
          <w:color w:val="auto"/>
        </w:rPr>
      </w:pPr>
    </w:p>
    <w:p>
      <w:pPr>
        <w:spacing w:after="0" w:line="2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4" w:name="page25"/>
    <w:bookmarkEnd w:id="24"/>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 (a)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2" w:lineRule="exact"/>
        <w:rPr>
          <w:sz w:val="20"/>
          <w:szCs w:val="20"/>
          <w:color w:val="auto"/>
        </w:rPr>
      </w:pPr>
    </w:p>
    <w:p>
      <w:pPr>
        <w:ind w:left="1620" w:right="280" w:firstLine="8"/>
        <w:spacing w:after="0" w:line="261" w:lineRule="auto"/>
        <w:tabs>
          <w:tab w:leader="none" w:pos="18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ind w:left="1620"/>
        <w:spacing w:after="0" w:line="270" w:lineRule="auto"/>
        <w:rPr>
          <w:sz w:val="20"/>
          <w:szCs w:val="20"/>
          <w:color w:val="auto"/>
        </w:rPr>
      </w:pPr>
      <w:r>
        <w:rPr>
          <w:rFonts w:ascii="Times New Roman" w:cs="Times New Roman" w:eastAsia="Times New Roman" w:hAnsi="Times New Roman"/>
          <w:sz w:val="17"/>
          <w:szCs w:val="17"/>
          <w:color w:val="auto"/>
        </w:rPr>
        <w:t>For purposes of this Section 16, “</w:t>
      </w:r>
      <w:r>
        <w:rPr>
          <w:rFonts w:ascii="Times New Roman" w:cs="Times New Roman" w:eastAsia="Times New Roman" w:hAnsi="Times New Roman"/>
          <w:sz w:val="17"/>
          <w:szCs w:val="17"/>
          <w:b w:val="1"/>
          <w:bCs w:val="1"/>
          <w:color w:val="auto"/>
        </w:rPr>
        <w:t>BHC Act Affiliate</w:t>
      </w:r>
      <w:r>
        <w:rPr>
          <w:rFonts w:ascii="Times New Roman" w:cs="Times New Roman" w:eastAsia="Times New Roman" w:hAnsi="Times New Roman"/>
          <w:sz w:val="17"/>
          <w:szCs w:val="17"/>
          <w:color w:val="auto"/>
        </w:rPr>
        <w:t>” has the meaning assigned to the term “affiliate” in, and shall be interpreted in accordance with, 12 U.S.C. § 1841(k). “</w:t>
      </w:r>
      <w:r>
        <w:rPr>
          <w:rFonts w:ascii="Times New Roman" w:cs="Times New Roman" w:eastAsia="Times New Roman" w:hAnsi="Times New Roman"/>
          <w:sz w:val="17"/>
          <w:szCs w:val="17"/>
          <w:b w:val="1"/>
          <w:bCs w:val="1"/>
          <w:color w:val="auto"/>
        </w:rPr>
        <w:t>Covered Entity</w:t>
      </w:r>
      <w:r>
        <w:rPr>
          <w:rFonts w:ascii="Times New Roman" w:cs="Times New Roman" w:eastAsia="Times New Roman" w:hAnsi="Times New Roman"/>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7"/>
          <w:szCs w:val="17"/>
          <w:b w:val="1"/>
          <w:bCs w:val="1"/>
          <w:color w:val="auto"/>
        </w:rPr>
        <w:t>Default Right</w:t>
      </w:r>
      <w:r>
        <w:rPr>
          <w:rFonts w:ascii="Times New Roman" w:cs="Times New Roman" w:eastAsia="Times New Roman" w:hAnsi="Times New Roman"/>
          <w:sz w:val="17"/>
          <w:szCs w:val="17"/>
          <w:color w:val="auto"/>
        </w:rPr>
        <w:t>” has the meaning assigned to that term in, and shall be interpreted in accordance with, 12 C.F.R. §§</w:t>
      </w:r>
    </w:p>
    <w:p>
      <w:pPr>
        <w:spacing w:after="0" w:line="3" w:lineRule="exact"/>
        <w:rPr>
          <w:sz w:val="20"/>
          <w:szCs w:val="20"/>
          <w:color w:val="auto"/>
        </w:rPr>
      </w:pPr>
    </w:p>
    <w:p>
      <w:pPr>
        <w:ind w:left="1620"/>
        <w:spacing w:after="0" w:line="255" w:lineRule="auto"/>
        <w:rPr>
          <w:sz w:val="20"/>
          <w:szCs w:val="20"/>
          <w:color w:val="auto"/>
        </w:rPr>
      </w:pPr>
      <w:r>
        <w:rPr>
          <w:rFonts w:ascii="Times New Roman" w:cs="Times New Roman" w:eastAsia="Times New Roman" w:hAnsi="Times New Roman"/>
          <w:sz w:val="18"/>
          <w:szCs w:val="18"/>
          <w:color w:val="auto"/>
        </w:rPr>
        <w:t>252.81, 47.2 or 382.1, as applicable.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ABBVIE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Stefan Geldmeyer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Stefan Geldmeyer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Title: Vice President and Corporate Treasurer</w:t>
      </w:r>
    </w:p>
    <w:p>
      <w:pPr>
        <w:spacing w:after="0" w:line="21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Signature page to the Underwriting Agreement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severally on behalf of themselves and the several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named in Schedule II hereto.</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Douglas Muller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Douglas Muller</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Som Bhattacharyya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jc w:val="right"/>
        <w:ind w:right="2239"/>
        <w:spacing w:after="0"/>
        <w:rPr>
          <w:sz w:val="20"/>
          <w:szCs w:val="20"/>
          <w:color w:val="auto"/>
        </w:rPr>
      </w:pPr>
      <w:r>
        <w:rPr>
          <w:rFonts w:ascii="Times New Roman" w:cs="Times New Roman" w:eastAsia="Times New Roman" w:hAnsi="Times New Roman"/>
          <w:sz w:val="18"/>
          <w:szCs w:val="18"/>
          <w:color w:val="auto"/>
        </w:rPr>
        <w:t>Name: Som Bhattacharyya</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Thomas Hadley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Thomas Hadley</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James Gutow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James Gutow</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Signature page to the Underwriting Agreement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294005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27" w:name="page28"/>
    <w:bookmarkEnd w:id="27"/>
    <w:p>
      <w:pPr>
        <w:ind w:left="4520"/>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Joseph Santaniello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jc w:val="right"/>
        <w:ind w:right="2299"/>
        <w:spacing w:after="0"/>
        <w:rPr>
          <w:sz w:val="20"/>
          <w:szCs w:val="20"/>
          <w:color w:val="auto"/>
        </w:rPr>
      </w:pPr>
      <w:r>
        <w:rPr>
          <w:rFonts w:ascii="Times New Roman" w:cs="Times New Roman" w:eastAsia="Times New Roman" w:hAnsi="Times New Roman"/>
          <w:sz w:val="18"/>
          <w:szCs w:val="18"/>
          <w:color w:val="auto"/>
        </w:rPr>
        <w:t>Name: Joseph Santaniello</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Signature page to the Underwriting Agreement</w:t>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8" w:name="page29"/>
    <w:bookmarkEnd w:id="28"/>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Representatives to release lock-up under Section 6(n):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Representatives authorized to appoint counsel under Section 8(c):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File No.: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of Sale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to be 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1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166" w:lineRule="exact"/>
        <w:rPr>
          <w:sz w:val="20"/>
          <w:szCs w:val="20"/>
          <w:color w:val="auto"/>
        </w:rPr>
      </w:pPr>
    </w:p>
    <w:p>
      <w:pPr>
        <w:ind w:left="220" w:right="160"/>
        <w:spacing w:after="0" w:line="266" w:lineRule="auto"/>
        <w:rPr>
          <w:sz w:val="20"/>
          <w:szCs w:val="20"/>
          <w:color w:val="auto"/>
        </w:rPr>
      </w:pPr>
      <w:r>
        <w:rPr>
          <w:rFonts w:ascii="Times New Roman" w:cs="Times New Roman" w:eastAsia="Times New Roman" w:hAnsi="Times New Roman"/>
          <w:sz w:val="18"/>
          <w:szCs w:val="18"/>
          <w:color w:val="auto"/>
        </w:rPr>
        <w:t>Indenture dated as of November 8, 2012, as supplemented by Supplemental Indenture No. 11 to be dated February 26, 2025 in each case between the Company and the Trustee</w:t>
      </w:r>
    </w:p>
    <w:p>
      <w:pPr>
        <w:spacing w:after="0" w:line="1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333-284980</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     Basic Prospectus dated February 14, 2025 relating to the Shelf Securities</w:t>
      </w:r>
    </w:p>
    <w:p>
      <w:pPr>
        <w:spacing w:after="0" w:line="225" w:lineRule="exact"/>
        <w:rPr>
          <w:sz w:val="20"/>
          <w:szCs w:val="20"/>
          <w:color w:val="auto"/>
        </w:rPr>
      </w:pPr>
    </w:p>
    <w:p>
      <w:pPr>
        <w:ind w:left="520" w:right="120" w:hanging="300"/>
        <w:spacing w:after="0" w:line="282" w:lineRule="auto"/>
        <w:rPr>
          <w:sz w:val="20"/>
          <w:szCs w:val="20"/>
          <w:color w:val="auto"/>
        </w:rPr>
      </w:pPr>
      <w:r>
        <w:rPr>
          <w:rFonts w:ascii="Times New Roman" w:cs="Times New Roman" w:eastAsia="Times New Roman" w:hAnsi="Times New Roman"/>
          <w:sz w:val="18"/>
          <w:szCs w:val="18"/>
          <w:color w:val="auto"/>
        </w:rPr>
        <w:t>2.     The preliminary prospectus supplement dated February 18, 2025 relating to the Securities</w:t>
      </w:r>
    </w:p>
    <w:p>
      <w:pPr>
        <w:spacing w:after="0" w:line="162" w:lineRule="exact"/>
        <w:rPr>
          <w:sz w:val="20"/>
          <w:szCs w:val="20"/>
          <w:color w:val="auto"/>
        </w:rPr>
      </w:pPr>
    </w:p>
    <w:p>
      <w:pPr>
        <w:ind w:left="520" w:right="180" w:hanging="300"/>
        <w:spacing w:after="0" w:line="266" w:lineRule="auto"/>
        <w:rPr>
          <w:sz w:val="20"/>
          <w:szCs w:val="20"/>
          <w:color w:val="auto"/>
        </w:rPr>
      </w:pPr>
      <w:r>
        <w:rPr>
          <w:rFonts w:ascii="Times New Roman" w:cs="Times New Roman" w:eastAsia="Times New Roman" w:hAnsi="Times New Roman"/>
          <w:sz w:val="18"/>
          <w:szCs w:val="18"/>
          <w:color w:val="auto"/>
        </w:rPr>
        <w:t>3.     Free writing prospectus dated February 18, 2025, containing a description of certain terms filed by the Company under Rule 433(d) of the Securities Act</w:t>
      </w:r>
    </w:p>
    <w:p>
      <w:pPr>
        <w:spacing w:after="0" w:line="1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4.650% Senior Notes due 2028</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4.875% Senior Notes due 2030</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5.200% Senior Notes due 2035</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5.600% Senior Notes due 2055</w:t>
      </w:r>
    </w:p>
    <w:p>
      <w:pPr>
        <w:spacing w:after="0" w:line="166" w:lineRule="exact"/>
        <w:rPr>
          <w:sz w:val="20"/>
          <w:szCs w:val="20"/>
          <w:color w:val="auto"/>
        </w:rPr>
      </w:pPr>
    </w:p>
    <w:p>
      <w:pPr>
        <w:jc w:val="both"/>
        <w:ind w:left="220" w:right="2200"/>
        <w:spacing w:after="0" w:line="261" w:lineRule="auto"/>
        <w:rPr>
          <w:sz w:val="20"/>
          <w:szCs w:val="20"/>
          <w:color w:val="auto"/>
        </w:rPr>
      </w:pPr>
      <w:r>
        <w:rPr>
          <w:rFonts w:ascii="Times New Roman" w:cs="Times New Roman" w:eastAsia="Times New Roman" w:hAnsi="Times New Roman"/>
          <w:sz w:val="18"/>
          <w:szCs w:val="18"/>
          <w:color w:val="auto"/>
        </w:rPr>
        <w:t>$1,250,000,000 4.650% Senior Notes due 2028 $1,000,000,000 4.875% Senior Notes due 2030 $1,000,000,000 5.200% Senior Notes due 2035 $750,000,000 5.600% Senior Notes due 2055</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900" w:space="500"/>
            <w:col w:w="5840"/>
          </w:cols>
          <w:pgMar w:left="320" w:top="90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Purchase Price: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99.617% of the principal amount of the 4.650% Senior Notes due 2028</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99.558% of the principal amount of the 4.875% Senior Notes due 2030</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99.407% of the principal amount of the 5.200% Senior Notes due 2035</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98.875% of the principal amount of the 5.600% Senior Notes due 2055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Maturity:</w:t>
            </w:r>
          </w:p>
        </w:tc>
        <w:tc>
          <w:tcPr>
            <w:tcW w:w="438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4.650% Senior Notes due 2028:</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15, 2028</w:t>
            </w:r>
          </w:p>
        </w:tc>
      </w:tr>
      <w:tr>
        <w:trPr>
          <w:trHeight w:val="216"/>
        </w:trPr>
        <w:tc>
          <w:tcPr>
            <w:tcW w:w="3560" w:type="dxa"/>
            <w:vAlign w:val="bottom"/>
          </w:tcPr>
          <w:p>
            <w:pPr>
              <w:spacing w:after="0"/>
              <w:rPr>
                <w:sz w:val="18"/>
                <w:szCs w:val="18"/>
                <w:color w:val="auto"/>
              </w:rPr>
            </w:pPr>
          </w:p>
        </w:tc>
        <w:tc>
          <w:tcPr>
            <w:tcW w:w="26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4.875%</w:t>
            </w:r>
          </w:p>
        </w:tc>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2030:</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15, 2030</w:t>
            </w:r>
          </w:p>
        </w:tc>
      </w:tr>
      <w:tr>
        <w:trPr>
          <w:trHeight w:val="216"/>
        </w:trPr>
        <w:tc>
          <w:tcPr>
            <w:tcW w:w="3560" w:type="dxa"/>
            <w:vAlign w:val="bottom"/>
          </w:tcPr>
          <w:p>
            <w:pPr>
              <w:spacing w:after="0"/>
              <w:rPr>
                <w:sz w:val="18"/>
                <w:szCs w:val="18"/>
                <w:color w:val="auto"/>
              </w:rPr>
            </w:pPr>
          </w:p>
        </w:tc>
        <w:tc>
          <w:tcPr>
            <w:tcW w:w="26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5.200%</w:t>
            </w:r>
          </w:p>
        </w:tc>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2035:</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15, 2035</w:t>
            </w:r>
          </w:p>
        </w:tc>
      </w:tr>
      <w:tr>
        <w:trPr>
          <w:trHeight w:val="234"/>
        </w:trPr>
        <w:tc>
          <w:tcPr>
            <w:tcW w:w="3560" w:type="dxa"/>
            <w:vAlign w:val="bottom"/>
          </w:tcPr>
          <w:p>
            <w:pPr>
              <w:spacing w:after="0"/>
              <w:rPr>
                <w:sz w:val="20"/>
                <w:szCs w:val="20"/>
                <w:color w:val="auto"/>
              </w:rPr>
            </w:pPr>
          </w:p>
        </w:tc>
        <w:tc>
          <w:tcPr>
            <w:tcW w:w="26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5.600%</w:t>
            </w:r>
          </w:p>
        </w:tc>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2055:</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15, 2055</w:t>
            </w:r>
          </w:p>
        </w:tc>
      </w:tr>
      <w:tr>
        <w:trPr>
          <w:trHeight w:val="37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438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4.650% Senior Notes due 2028:</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4.650% per annum, accruing from February</w:t>
            </w:r>
          </w:p>
        </w:tc>
      </w:tr>
      <w:tr>
        <w:trPr>
          <w:trHeight w:val="216"/>
        </w:trPr>
        <w:tc>
          <w:tcPr>
            <w:tcW w:w="3560" w:type="dxa"/>
            <w:vAlign w:val="bottom"/>
          </w:tcPr>
          <w:p>
            <w:pPr>
              <w:spacing w:after="0"/>
              <w:rPr>
                <w:sz w:val="18"/>
                <w:szCs w:val="18"/>
                <w:color w:val="auto"/>
              </w:rPr>
            </w:pPr>
          </w:p>
        </w:tc>
        <w:tc>
          <w:tcPr>
            <w:tcW w:w="438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26, 2025</w:t>
            </w:r>
          </w:p>
        </w:tc>
        <w:tc>
          <w:tcPr>
            <w:tcW w:w="330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26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4.875%</w:t>
            </w:r>
          </w:p>
        </w:tc>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2030:</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4.875% per annum, accruing from February</w:t>
            </w:r>
          </w:p>
        </w:tc>
      </w:tr>
      <w:tr>
        <w:trPr>
          <w:trHeight w:val="216"/>
        </w:trPr>
        <w:tc>
          <w:tcPr>
            <w:tcW w:w="3560" w:type="dxa"/>
            <w:vAlign w:val="bottom"/>
          </w:tcPr>
          <w:p>
            <w:pPr>
              <w:spacing w:after="0"/>
              <w:rPr>
                <w:sz w:val="18"/>
                <w:szCs w:val="18"/>
                <w:color w:val="auto"/>
              </w:rPr>
            </w:pPr>
          </w:p>
        </w:tc>
        <w:tc>
          <w:tcPr>
            <w:tcW w:w="438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26, 2025</w:t>
            </w:r>
          </w:p>
        </w:tc>
        <w:tc>
          <w:tcPr>
            <w:tcW w:w="330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26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5.200%</w:t>
            </w:r>
          </w:p>
        </w:tc>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2035:</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5.200% per annum, accruing from February</w:t>
            </w:r>
          </w:p>
        </w:tc>
      </w:tr>
      <w:tr>
        <w:trPr>
          <w:trHeight w:val="216"/>
        </w:trPr>
        <w:tc>
          <w:tcPr>
            <w:tcW w:w="3560" w:type="dxa"/>
            <w:vAlign w:val="bottom"/>
          </w:tcPr>
          <w:p>
            <w:pPr>
              <w:spacing w:after="0"/>
              <w:rPr>
                <w:sz w:val="18"/>
                <w:szCs w:val="18"/>
                <w:color w:val="auto"/>
              </w:rPr>
            </w:pPr>
          </w:p>
        </w:tc>
        <w:tc>
          <w:tcPr>
            <w:tcW w:w="438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26, 2025</w:t>
            </w:r>
          </w:p>
        </w:tc>
        <w:tc>
          <w:tcPr>
            <w:tcW w:w="330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26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5.600%</w:t>
            </w:r>
          </w:p>
        </w:tc>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2055:</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5.600% per annum, accruing from February</w:t>
            </w:r>
          </w:p>
        </w:tc>
      </w:tr>
      <w:tr>
        <w:trPr>
          <w:trHeight w:val="234"/>
        </w:trPr>
        <w:tc>
          <w:tcPr>
            <w:tcW w:w="3560" w:type="dxa"/>
            <w:vAlign w:val="bottom"/>
          </w:tcPr>
          <w:p>
            <w:pPr>
              <w:spacing w:after="0"/>
              <w:rPr>
                <w:sz w:val="20"/>
                <w:szCs w:val="20"/>
                <w:color w:val="auto"/>
              </w:rPr>
            </w:pPr>
          </w:p>
        </w:tc>
        <w:tc>
          <w:tcPr>
            <w:tcW w:w="438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26, 2025</w:t>
            </w:r>
          </w:p>
        </w:tc>
        <w:tc>
          <w:tcPr>
            <w:tcW w:w="3300" w:type="dxa"/>
            <w:vAlign w:val="bottom"/>
          </w:tcPr>
          <w:p>
            <w:pPr>
              <w:spacing w:after="0"/>
              <w:rPr>
                <w:sz w:val="20"/>
                <w:szCs w:val="20"/>
                <w:color w:val="auto"/>
              </w:rPr>
            </w:pPr>
          </w:p>
        </w:tc>
      </w:tr>
      <w:tr>
        <w:trPr>
          <w:trHeight w:val="37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768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4.650% Senior Notes due 2028: March 15 and September 15, commencing</w:t>
            </w:r>
          </w:p>
        </w:tc>
      </w:tr>
      <w:tr>
        <w:trPr>
          <w:trHeight w:val="216"/>
        </w:trPr>
        <w:tc>
          <w:tcPr>
            <w:tcW w:w="3560" w:type="dxa"/>
            <w:vAlign w:val="bottom"/>
          </w:tcPr>
          <w:p>
            <w:pPr>
              <w:spacing w:after="0"/>
              <w:rPr>
                <w:sz w:val="18"/>
                <w:szCs w:val="18"/>
                <w:color w:val="auto"/>
              </w:rPr>
            </w:pPr>
          </w:p>
        </w:tc>
        <w:tc>
          <w:tcPr>
            <w:tcW w:w="438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September 15, 2025</w:t>
            </w:r>
          </w:p>
        </w:tc>
        <w:tc>
          <w:tcPr>
            <w:tcW w:w="330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26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4.875%</w:t>
            </w: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Notes due 2030: March 15 and September 15, commencing</w:t>
            </w:r>
          </w:p>
        </w:tc>
      </w:tr>
      <w:tr>
        <w:trPr>
          <w:trHeight w:val="216"/>
        </w:trPr>
        <w:tc>
          <w:tcPr>
            <w:tcW w:w="3560" w:type="dxa"/>
            <w:vAlign w:val="bottom"/>
          </w:tcPr>
          <w:p>
            <w:pPr>
              <w:spacing w:after="0"/>
              <w:rPr>
                <w:sz w:val="18"/>
                <w:szCs w:val="18"/>
                <w:color w:val="auto"/>
              </w:rPr>
            </w:pPr>
          </w:p>
        </w:tc>
        <w:tc>
          <w:tcPr>
            <w:tcW w:w="438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September 15, 2025</w:t>
            </w:r>
          </w:p>
        </w:tc>
        <w:tc>
          <w:tcPr>
            <w:tcW w:w="330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26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5.200%</w:t>
            </w: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Notes due 2035: March 15 and September 15, commencing</w:t>
            </w:r>
          </w:p>
        </w:tc>
      </w:tr>
      <w:tr>
        <w:trPr>
          <w:trHeight w:val="216"/>
        </w:trPr>
        <w:tc>
          <w:tcPr>
            <w:tcW w:w="3560" w:type="dxa"/>
            <w:vAlign w:val="bottom"/>
          </w:tcPr>
          <w:p>
            <w:pPr>
              <w:spacing w:after="0"/>
              <w:rPr>
                <w:sz w:val="18"/>
                <w:szCs w:val="18"/>
                <w:color w:val="auto"/>
              </w:rPr>
            </w:pPr>
          </w:p>
        </w:tc>
        <w:tc>
          <w:tcPr>
            <w:tcW w:w="438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September 15, 2025</w:t>
            </w:r>
          </w:p>
        </w:tc>
        <w:tc>
          <w:tcPr>
            <w:tcW w:w="330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26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5.600%</w:t>
            </w: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Notes due 2055: March 15 and September 15, commencing</w:t>
            </w:r>
          </w:p>
        </w:tc>
      </w:tr>
      <w:tr>
        <w:trPr>
          <w:trHeight w:val="234"/>
        </w:trPr>
        <w:tc>
          <w:tcPr>
            <w:tcW w:w="3560" w:type="dxa"/>
            <w:vAlign w:val="bottom"/>
          </w:tcPr>
          <w:p>
            <w:pPr>
              <w:spacing w:after="0"/>
              <w:rPr>
                <w:sz w:val="20"/>
                <w:szCs w:val="20"/>
                <w:color w:val="auto"/>
              </w:rPr>
            </w:pPr>
          </w:p>
        </w:tc>
        <w:tc>
          <w:tcPr>
            <w:tcW w:w="438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September 15, 2025</w:t>
            </w:r>
          </w:p>
        </w:tc>
        <w:tc>
          <w:tcPr>
            <w:tcW w:w="3300" w:type="dxa"/>
            <w:vAlign w:val="bottom"/>
          </w:tcPr>
          <w:p>
            <w:pPr>
              <w:spacing w:after="0"/>
              <w:rPr>
                <w:sz w:val="20"/>
                <w:szCs w:val="20"/>
                <w:color w:val="auto"/>
              </w:rPr>
            </w:pPr>
          </w:p>
        </w:tc>
      </w:tr>
      <w:tr>
        <w:trPr>
          <w:trHeight w:val="634"/>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S-1-2</w:t>
            </w:r>
          </w:p>
        </w:tc>
        <w:tc>
          <w:tcPr>
            <w:tcW w:w="17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Closing Date and Time:</w:t>
            </w: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February 26, 2025, 10:00 a.m.</w:t>
            </w:r>
          </w:p>
        </w:tc>
      </w:tr>
      <w:tr>
        <w:trPr>
          <w:trHeight w:val="41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Closing Location:</w:t>
            </w: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Davis Polk &amp; Wardwell LLP</w:t>
            </w:r>
          </w:p>
        </w:tc>
      </w:tr>
      <w:tr>
        <w:trPr>
          <w:trHeight w:val="216"/>
        </w:trPr>
        <w:tc>
          <w:tcPr>
            <w:tcW w:w="4040" w:type="dxa"/>
            <w:vAlign w:val="bottom"/>
          </w:tcPr>
          <w:p>
            <w:pPr>
              <w:spacing w:after="0"/>
              <w:rPr>
                <w:sz w:val="18"/>
                <w:szCs w:val="18"/>
                <w:color w:val="auto"/>
              </w:rPr>
            </w:pP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450 Lexington Avenue</w:t>
            </w:r>
          </w:p>
        </w:tc>
      </w:tr>
      <w:tr>
        <w:trPr>
          <w:trHeight w:val="234"/>
        </w:trPr>
        <w:tc>
          <w:tcPr>
            <w:tcW w:w="4040" w:type="dxa"/>
            <w:vAlign w:val="bottom"/>
          </w:tcPr>
          <w:p>
            <w:pPr>
              <w:spacing w:after="0"/>
              <w:rPr>
                <w:sz w:val="20"/>
                <w:szCs w:val="20"/>
                <w:color w:val="auto"/>
              </w:rPr>
            </w:pP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New York, New York 10017</w:t>
            </w:r>
          </w:p>
        </w:tc>
      </w:tr>
      <w:tr>
        <w:trPr>
          <w:trHeight w:val="41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Address for Notices to Underwriters:</w:t>
            </w: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BofA Securities, Inc.</w:t>
            </w:r>
          </w:p>
        </w:tc>
      </w:tr>
      <w:tr>
        <w:trPr>
          <w:trHeight w:val="216"/>
        </w:trPr>
        <w:tc>
          <w:tcPr>
            <w:tcW w:w="4040" w:type="dxa"/>
            <w:vAlign w:val="bottom"/>
          </w:tcPr>
          <w:p>
            <w:pPr>
              <w:spacing w:after="0"/>
              <w:rPr>
                <w:sz w:val="18"/>
                <w:szCs w:val="18"/>
                <w:color w:val="auto"/>
              </w:rPr>
            </w:pP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114 West 47th Street</w:t>
            </w:r>
          </w:p>
        </w:tc>
      </w:tr>
      <w:tr>
        <w:trPr>
          <w:trHeight w:val="216"/>
        </w:trPr>
        <w:tc>
          <w:tcPr>
            <w:tcW w:w="4040" w:type="dxa"/>
            <w:vAlign w:val="bottom"/>
          </w:tcPr>
          <w:p>
            <w:pPr>
              <w:spacing w:after="0"/>
              <w:rPr>
                <w:sz w:val="18"/>
                <w:szCs w:val="18"/>
                <w:color w:val="auto"/>
              </w:rPr>
            </w:pP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NY8-114-07-01</w:t>
            </w:r>
          </w:p>
        </w:tc>
      </w:tr>
      <w:tr>
        <w:trPr>
          <w:trHeight w:val="216"/>
        </w:trPr>
        <w:tc>
          <w:tcPr>
            <w:tcW w:w="4040" w:type="dxa"/>
            <w:vAlign w:val="bottom"/>
          </w:tcPr>
          <w:p>
            <w:pPr>
              <w:spacing w:after="0"/>
              <w:rPr>
                <w:sz w:val="18"/>
                <w:szCs w:val="18"/>
                <w:color w:val="auto"/>
              </w:rPr>
            </w:pP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New York, New York 10036</w:t>
            </w:r>
          </w:p>
        </w:tc>
      </w:tr>
      <w:tr>
        <w:trPr>
          <w:trHeight w:val="216"/>
        </w:trPr>
        <w:tc>
          <w:tcPr>
            <w:tcW w:w="4040" w:type="dxa"/>
            <w:vAlign w:val="bottom"/>
          </w:tcPr>
          <w:p>
            <w:pPr>
              <w:spacing w:after="0"/>
              <w:rPr>
                <w:sz w:val="18"/>
                <w:szCs w:val="18"/>
                <w:color w:val="auto"/>
              </w:rPr>
            </w:pP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Attention: High Grade Debt Capital Markets</w:t>
            </w:r>
          </w:p>
        </w:tc>
      </w:tr>
      <w:tr>
        <w:trPr>
          <w:trHeight w:val="216"/>
        </w:trPr>
        <w:tc>
          <w:tcPr>
            <w:tcW w:w="4040" w:type="dxa"/>
            <w:vAlign w:val="bottom"/>
          </w:tcPr>
          <w:p>
            <w:pPr>
              <w:spacing w:after="0"/>
              <w:rPr>
                <w:sz w:val="18"/>
                <w:szCs w:val="18"/>
                <w:color w:val="auto"/>
              </w:rPr>
            </w:pP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Transaction Management/Legal</w:t>
            </w:r>
          </w:p>
        </w:tc>
      </w:tr>
      <w:tr>
        <w:trPr>
          <w:trHeight w:val="234"/>
        </w:trPr>
        <w:tc>
          <w:tcPr>
            <w:tcW w:w="4040" w:type="dxa"/>
            <w:vAlign w:val="bottom"/>
          </w:tcPr>
          <w:p>
            <w:pPr>
              <w:spacing w:after="0"/>
              <w:rPr>
                <w:sz w:val="20"/>
                <w:szCs w:val="20"/>
                <w:color w:val="auto"/>
              </w:rPr>
            </w:pP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Fax: 212-901-7881;</w:t>
            </w:r>
          </w:p>
        </w:tc>
      </w:tr>
      <w:tr>
        <w:trPr>
          <w:trHeight w:val="414"/>
        </w:trPr>
        <w:tc>
          <w:tcPr>
            <w:tcW w:w="4040" w:type="dxa"/>
            <w:vAlign w:val="bottom"/>
          </w:tcPr>
          <w:p>
            <w:pPr>
              <w:spacing w:after="0"/>
              <w:rPr>
                <w:sz w:val="24"/>
                <w:szCs w:val="24"/>
                <w:color w:val="auto"/>
              </w:rPr>
            </w:pP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J.P. Morgan Securities LLC</w:t>
            </w:r>
          </w:p>
        </w:tc>
      </w:tr>
      <w:tr>
        <w:trPr>
          <w:trHeight w:val="216"/>
        </w:trPr>
        <w:tc>
          <w:tcPr>
            <w:tcW w:w="4040" w:type="dxa"/>
            <w:vAlign w:val="bottom"/>
          </w:tcPr>
          <w:p>
            <w:pPr>
              <w:spacing w:after="0"/>
              <w:rPr>
                <w:sz w:val="18"/>
                <w:szCs w:val="18"/>
                <w:color w:val="auto"/>
              </w:rPr>
            </w:pP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383 Madison Avenue</w:t>
            </w:r>
          </w:p>
        </w:tc>
      </w:tr>
      <w:tr>
        <w:trPr>
          <w:trHeight w:val="220"/>
        </w:trPr>
        <w:tc>
          <w:tcPr>
            <w:tcW w:w="4040" w:type="dxa"/>
            <w:vAlign w:val="bottom"/>
          </w:tcPr>
          <w:p>
            <w:pPr>
              <w:spacing w:after="0"/>
              <w:rPr>
                <w:sz w:val="19"/>
                <w:szCs w:val="19"/>
                <w:color w:val="auto"/>
              </w:rPr>
            </w:pP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New York, New York 10179</w:t>
            </w:r>
          </w:p>
        </w:tc>
      </w:tr>
      <w:tr>
        <w:trPr>
          <w:trHeight w:val="253"/>
        </w:trPr>
        <w:tc>
          <w:tcPr>
            <w:tcW w:w="4040" w:type="dxa"/>
            <w:vAlign w:val="bottom"/>
          </w:tcPr>
          <w:p>
            <w:pPr>
              <w:spacing w:after="0"/>
              <w:rPr>
                <w:sz w:val="21"/>
                <w:szCs w:val="21"/>
                <w:color w:val="auto"/>
              </w:rPr>
            </w:pPr>
          </w:p>
        </w:tc>
        <w:tc>
          <w:tcPr>
            <w:tcW w:w="7200" w:type="dxa"/>
            <w:vAlign w:val="bottom"/>
          </w:tcPr>
          <w:p>
            <w:pPr>
              <w:ind w:left="1580"/>
              <w:spacing w:after="0" w:line="252" w:lineRule="exact"/>
              <w:rPr>
                <w:sz w:val="20"/>
                <w:szCs w:val="20"/>
                <w:color w:val="auto"/>
              </w:rPr>
            </w:pPr>
            <w:r>
              <w:rPr>
                <w:rFonts w:ascii="Times New Roman" w:cs="Times New Roman" w:eastAsia="Times New Roman" w:hAnsi="Times New Roman"/>
                <w:sz w:val="18"/>
                <w:szCs w:val="18"/>
                <w:color w:val="auto"/>
              </w:rPr>
              <w:t>Attention: Investment Grade Syndicate Desk –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w:t>
            </w:r>
          </w:p>
        </w:tc>
      </w:tr>
      <w:tr>
        <w:trPr>
          <w:trHeight w:val="234"/>
        </w:trPr>
        <w:tc>
          <w:tcPr>
            <w:tcW w:w="4040" w:type="dxa"/>
            <w:vAlign w:val="bottom"/>
          </w:tcPr>
          <w:p>
            <w:pPr>
              <w:spacing w:after="0"/>
              <w:rPr>
                <w:sz w:val="20"/>
                <w:szCs w:val="20"/>
                <w:color w:val="auto"/>
              </w:rPr>
            </w:pP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Fax: 212-834-6081;</w:t>
            </w:r>
          </w:p>
        </w:tc>
      </w:tr>
      <w:tr>
        <w:trPr>
          <w:trHeight w:val="417"/>
        </w:trPr>
        <w:tc>
          <w:tcPr>
            <w:tcW w:w="4040" w:type="dxa"/>
            <w:vAlign w:val="bottom"/>
          </w:tcPr>
          <w:p>
            <w:pPr>
              <w:spacing w:after="0"/>
              <w:rPr>
                <w:sz w:val="24"/>
                <w:szCs w:val="24"/>
                <w:color w:val="auto"/>
              </w:rPr>
            </w:pP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Morgan Stanley &amp; Co. LLC</w:t>
            </w:r>
          </w:p>
        </w:tc>
      </w:tr>
      <w:tr>
        <w:trPr>
          <w:trHeight w:val="253"/>
        </w:trPr>
        <w:tc>
          <w:tcPr>
            <w:tcW w:w="4040" w:type="dxa"/>
            <w:vAlign w:val="bottom"/>
          </w:tcPr>
          <w:p>
            <w:pPr>
              <w:spacing w:after="0"/>
              <w:rPr>
                <w:sz w:val="21"/>
                <w:szCs w:val="21"/>
                <w:color w:val="auto"/>
              </w:rPr>
            </w:pPr>
          </w:p>
        </w:tc>
        <w:tc>
          <w:tcPr>
            <w:tcW w:w="7200" w:type="dxa"/>
            <w:vAlign w:val="bottom"/>
          </w:tcPr>
          <w:p>
            <w:pPr>
              <w:ind w:left="1580"/>
              <w:spacing w:after="0" w:line="252" w:lineRule="exact"/>
              <w:rPr>
                <w:sz w:val="20"/>
                <w:szCs w:val="20"/>
                <w:color w:val="auto"/>
              </w:rPr>
            </w:pPr>
            <w:r>
              <w:rPr>
                <w:rFonts w:ascii="Times New Roman" w:cs="Times New Roman" w:eastAsia="Times New Roman" w:hAnsi="Times New Roman"/>
                <w:sz w:val="18"/>
                <w:szCs w:val="18"/>
                <w:color w:val="auto"/>
              </w:rPr>
              <w:t>1585 Broadway, 29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r>
      <w:tr>
        <w:trPr>
          <w:trHeight w:val="216"/>
        </w:trPr>
        <w:tc>
          <w:tcPr>
            <w:tcW w:w="4040" w:type="dxa"/>
            <w:vAlign w:val="bottom"/>
          </w:tcPr>
          <w:p>
            <w:pPr>
              <w:spacing w:after="0"/>
              <w:rPr>
                <w:sz w:val="18"/>
                <w:szCs w:val="18"/>
                <w:color w:val="auto"/>
              </w:rPr>
            </w:pP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New York, New York 10036</w:t>
            </w:r>
          </w:p>
        </w:tc>
      </w:tr>
      <w:tr>
        <w:trPr>
          <w:trHeight w:val="216"/>
        </w:trPr>
        <w:tc>
          <w:tcPr>
            <w:tcW w:w="4040" w:type="dxa"/>
            <w:vAlign w:val="bottom"/>
          </w:tcPr>
          <w:p>
            <w:pPr>
              <w:spacing w:after="0"/>
              <w:rPr>
                <w:sz w:val="18"/>
                <w:szCs w:val="18"/>
                <w:color w:val="auto"/>
              </w:rPr>
            </w:pP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Attention: Investment Banking Division</w:t>
            </w:r>
          </w:p>
        </w:tc>
      </w:tr>
      <w:tr>
        <w:trPr>
          <w:trHeight w:val="234"/>
        </w:trPr>
        <w:tc>
          <w:tcPr>
            <w:tcW w:w="4040" w:type="dxa"/>
            <w:vAlign w:val="bottom"/>
          </w:tcPr>
          <w:p>
            <w:pPr>
              <w:spacing w:after="0"/>
              <w:rPr>
                <w:sz w:val="20"/>
                <w:szCs w:val="20"/>
                <w:color w:val="auto"/>
              </w:rPr>
            </w:pP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Fax: 212-507-8999;</w:t>
            </w:r>
          </w:p>
        </w:tc>
      </w:tr>
      <w:tr>
        <w:trPr>
          <w:trHeight w:val="414"/>
        </w:trPr>
        <w:tc>
          <w:tcPr>
            <w:tcW w:w="4040" w:type="dxa"/>
            <w:vAlign w:val="bottom"/>
          </w:tcPr>
          <w:p>
            <w:pPr>
              <w:spacing w:after="0"/>
              <w:rPr>
                <w:sz w:val="24"/>
                <w:szCs w:val="24"/>
                <w:color w:val="auto"/>
              </w:rPr>
            </w:pP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Barclays Capital Inc.</w:t>
            </w:r>
          </w:p>
        </w:tc>
      </w:tr>
      <w:tr>
        <w:trPr>
          <w:trHeight w:val="216"/>
        </w:trPr>
        <w:tc>
          <w:tcPr>
            <w:tcW w:w="4040" w:type="dxa"/>
            <w:vAlign w:val="bottom"/>
          </w:tcPr>
          <w:p>
            <w:pPr>
              <w:spacing w:after="0"/>
              <w:rPr>
                <w:sz w:val="18"/>
                <w:szCs w:val="18"/>
                <w:color w:val="auto"/>
              </w:rPr>
            </w:pP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745 Seventh Ave</w:t>
            </w:r>
          </w:p>
        </w:tc>
      </w:tr>
      <w:tr>
        <w:trPr>
          <w:trHeight w:val="216"/>
        </w:trPr>
        <w:tc>
          <w:tcPr>
            <w:tcW w:w="4040" w:type="dxa"/>
            <w:vAlign w:val="bottom"/>
          </w:tcPr>
          <w:p>
            <w:pPr>
              <w:spacing w:after="0"/>
              <w:rPr>
                <w:sz w:val="18"/>
                <w:szCs w:val="18"/>
                <w:color w:val="auto"/>
              </w:rPr>
            </w:pP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New York, New York 10019</w:t>
            </w:r>
          </w:p>
        </w:tc>
      </w:tr>
      <w:tr>
        <w:trPr>
          <w:trHeight w:val="216"/>
        </w:trPr>
        <w:tc>
          <w:tcPr>
            <w:tcW w:w="4040" w:type="dxa"/>
            <w:vAlign w:val="bottom"/>
          </w:tcPr>
          <w:p>
            <w:pPr>
              <w:spacing w:after="0"/>
              <w:rPr>
                <w:sz w:val="18"/>
                <w:szCs w:val="18"/>
                <w:color w:val="auto"/>
              </w:rPr>
            </w:pP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Attention: Syndicate Registration</w:t>
            </w:r>
          </w:p>
        </w:tc>
      </w:tr>
      <w:tr>
        <w:trPr>
          <w:trHeight w:val="234"/>
        </w:trPr>
        <w:tc>
          <w:tcPr>
            <w:tcW w:w="4040" w:type="dxa"/>
            <w:vAlign w:val="bottom"/>
          </w:tcPr>
          <w:p>
            <w:pPr>
              <w:spacing w:after="0"/>
              <w:rPr>
                <w:sz w:val="20"/>
                <w:szCs w:val="20"/>
                <w:color w:val="auto"/>
              </w:rPr>
            </w:pP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Fax: 646-834-8133;</w:t>
            </w:r>
          </w:p>
        </w:tc>
      </w:tr>
      <w:tr>
        <w:trPr>
          <w:trHeight w:val="414"/>
        </w:trPr>
        <w:tc>
          <w:tcPr>
            <w:tcW w:w="4040" w:type="dxa"/>
            <w:vAlign w:val="bottom"/>
          </w:tcPr>
          <w:p>
            <w:pPr>
              <w:spacing w:after="0"/>
              <w:rPr>
                <w:sz w:val="24"/>
                <w:szCs w:val="24"/>
                <w:color w:val="auto"/>
              </w:rPr>
            </w:pP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Mizuho Securities USA LLC</w:t>
            </w:r>
          </w:p>
        </w:tc>
      </w:tr>
      <w:tr>
        <w:trPr>
          <w:trHeight w:val="216"/>
        </w:trPr>
        <w:tc>
          <w:tcPr>
            <w:tcW w:w="4040" w:type="dxa"/>
            <w:vAlign w:val="bottom"/>
          </w:tcPr>
          <w:p>
            <w:pPr>
              <w:spacing w:after="0"/>
              <w:rPr>
                <w:sz w:val="18"/>
                <w:szCs w:val="18"/>
                <w:color w:val="auto"/>
              </w:rPr>
            </w:pP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1271 Avenue of the Americas</w:t>
            </w:r>
          </w:p>
        </w:tc>
      </w:tr>
      <w:tr>
        <w:trPr>
          <w:trHeight w:val="216"/>
        </w:trPr>
        <w:tc>
          <w:tcPr>
            <w:tcW w:w="4040" w:type="dxa"/>
            <w:vAlign w:val="bottom"/>
          </w:tcPr>
          <w:p>
            <w:pPr>
              <w:spacing w:after="0"/>
              <w:rPr>
                <w:sz w:val="18"/>
                <w:szCs w:val="18"/>
                <w:color w:val="auto"/>
              </w:rPr>
            </w:pP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New York, New York 10020</w:t>
            </w:r>
          </w:p>
        </w:tc>
      </w:tr>
      <w:tr>
        <w:trPr>
          <w:trHeight w:val="216"/>
        </w:trPr>
        <w:tc>
          <w:tcPr>
            <w:tcW w:w="4040" w:type="dxa"/>
            <w:vAlign w:val="bottom"/>
          </w:tcPr>
          <w:p>
            <w:pPr>
              <w:spacing w:after="0"/>
              <w:rPr>
                <w:sz w:val="18"/>
                <w:szCs w:val="18"/>
                <w:color w:val="auto"/>
              </w:rPr>
            </w:pP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Attention: Debt Capital Markets</w:t>
            </w:r>
          </w:p>
        </w:tc>
      </w:tr>
      <w:tr>
        <w:trPr>
          <w:trHeight w:val="234"/>
        </w:trPr>
        <w:tc>
          <w:tcPr>
            <w:tcW w:w="4040" w:type="dxa"/>
            <w:vAlign w:val="bottom"/>
          </w:tcPr>
          <w:p>
            <w:pPr>
              <w:spacing w:after="0"/>
              <w:rPr>
                <w:sz w:val="20"/>
                <w:szCs w:val="20"/>
                <w:color w:val="auto"/>
              </w:rPr>
            </w:pP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Email: legalnotices@mizuhogroup.com</w:t>
            </w:r>
          </w:p>
        </w:tc>
      </w:tr>
      <w:tr>
        <w:trPr>
          <w:trHeight w:val="41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Address for Notices to the Company:</w:t>
            </w: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AbbVie Inc.</w:t>
            </w:r>
          </w:p>
        </w:tc>
      </w:tr>
      <w:tr>
        <w:trPr>
          <w:trHeight w:val="216"/>
        </w:trPr>
        <w:tc>
          <w:tcPr>
            <w:tcW w:w="4040" w:type="dxa"/>
            <w:vAlign w:val="bottom"/>
          </w:tcPr>
          <w:p>
            <w:pPr>
              <w:spacing w:after="0"/>
              <w:rPr>
                <w:sz w:val="18"/>
                <w:szCs w:val="18"/>
                <w:color w:val="auto"/>
              </w:rPr>
            </w:pP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1 North Waukegan Road</w:t>
            </w:r>
          </w:p>
        </w:tc>
      </w:tr>
      <w:tr>
        <w:trPr>
          <w:trHeight w:val="216"/>
        </w:trPr>
        <w:tc>
          <w:tcPr>
            <w:tcW w:w="4040" w:type="dxa"/>
            <w:vAlign w:val="bottom"/>
          </w:tcPr>
          <w:p>
            <w:pPr>
              <w:spacing w:after="0"/>
              <w:rPr>
                <w:sz w:val="18"/>
                <w:szCs w:val="18"/>
                <w:color w:val="auto"/>
              </w:rPr>
            </w:pP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North Chicago, Illinois 60064</w:t>
            </w:r>
          </w:p>
        </w:tc>
      </w:tr>
      <w:tr>
        <w:trPr>
          <w:trHeight w:val="234"/>
        </w:trPr>
        <w:tc>
          <w:tcPr>
            <w:tcW w:w="4040" w:type="dxa"/>
            <w:vAlign w:val="bottom"/>
          </w:tcPr>
          <w:p>
            <w:pPr>
              <w:spacing w:after="0"/>
              <w:rPr>
                <w:sz w:val="20"/>
                <w:szCs w:val="20"/>
                <w:color w:val="auto"/>
              </w:rPr>
            </w:pP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Attention: Treasurer</w:t>
            </w:r>
          </w:p>
        </w:tc>
      </w:tr>
      <w:tr>
        <w:trPr>
          <w:trHeight w:val="675"/>
        </w:trPr>
        <w:tc>
          <w:tcPr>
            <w:tcW w:w="404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S-1-3</w:t>
            </w:r>
          </w:p>
        </w:tc>
      </w:tr>
    </w:tbl>
    <w:p>
      <w:pPr>
        <w:sectPr>
          <w:pgSz w:w="11900" w:h="16838" w:orient="portrait"/>
          <w:cols w:equalWidth="0" w:num="1">
            <w:col w:w="11240"/>
          </w:cols>
          <w:pgMar w:left="320" w:top="931" w:right="3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w w:val="98"/>
              </w:rPr>
              <w:t>SCHEDULE II</w:t>
            </w:r>
          </w:p>
        </w:tc>
      </w:tr>
      <w:tr>
        <w:trPr>
          <w:trHeight w:val="410"/>
        </w:trPr>
        <w:tc>
          <w:tcPr>
            <w:tcW w:w="2660" w:type="dxa"/>
            <w:vAlign w:val="bottom"/>
          </w:tcPr>
          <w:p>
            <w:pPr>
              <w:spacing w:after="0"/>
              <w:rPr>
                <w:sz w:val="24"/>
                <w:szCs w:val="24"/>
                <w:color w:val="auto"/>
              </w:rPr>
            </w:pPr>
          </w:p>
        </w:tc>
        <w:tc>
          <w:tcPr>
            <w:tcW w:w="21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Principal Amount of 2028</w:t>
            </w:r>
          </w:p>
        </w:tc>
        <w:tc>
          <w:tcPr>
            <w:tcW w:w="2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Amount of 2030</w:t>
            </w:r>
          </w:p>
        </w:tc>
        <w:tc>
          <w:tcPr>
            <w:tcW w:w="2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Amount of 2035</w:t>
            </w:r>
          </w:p>
        </w:tc>
        <w:tc>
          <w:tcPr>
            <w:tcW w:w="2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Amount of 2055</w:t>
            </w:r>
          </w:p>
        </w:tc>
      </w:tr>
      <w:tr>
        <w:trPr>
          <w:trHeight w:val="238"/>
        </w:trPr>
        <w:tc>
          <w:tcPr>
            <w:tcW w:w="26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Notes to be Purchased</w:t>
            </w:r>
          </w:p>
        </w:tc>
        <w:tc>
          <w:tcPr>
            <w:tcW w:w="140" w:type="dxa"/>
            <w:vAlign w:val="bottom"/>
          </w:tcPr>
          <w:p>
            <w:pPr>
              <w:spacing w:after="0"/>
              <w:rPr>
                <w:sz w:val="20"/>
                <w:szCs w:val="20"/>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Notes to be Purchased</w:t>
            </w:r>
          </w:p>
        </w:tc>
        <w:tc>
          <w:tcPr>
            <w:tcW w:w="140" w:type="dxa"/>
            <w:vAlign w:val="bottom"/>
          </w:tcPr>
          <w:p>
            <w:pPr>
              <w:spacing w:after="0"/>
              <w:rPr>
                <w:sz w:val="20"/>
                <w:szCs w:val="20"/>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Notes to be Purchased</w:t>
            </w:r>
          </w:p>
        </w:tc>
        <w:tc>
          <w:tcPr>
            <w:tcW w:w="140" w:type="dxa"/>
            <w:vAlign w:val="bottom"/>
          </w:tcPr>
          <w:p>
            <w:pPr>
              <w:spacing w:after="0"/>
              <w:rPr>
                <w:sz w:val="20"/>
                <w:szCs w:val="20"/>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Notes to be Purchased</w:t>
            </w:r>
          </w:p>
        </w:tc>
      </w:tr>
      <w:tr>
        <w:trPr>
          <w:trHeight w:val="210"/>
        </w:trPr>
        <w:tc>
          <w:tcPr>
            <w:tcW w:w="2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176,250,000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141,000,000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141,000,000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105,750,000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176,250,000</w:t>
            </w:r>
          </w:p>
        </w:tc>
        <w:tc>
          <w:tcPr>
            <w:tcW w:w="14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141,000,000</w:t>
            </w:r>
          </w:p>
        </w:tc>
        <w:tc>
          <w:tcPr>
            <w:tcW w:w="14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141,000,000</w:t>
            </w:r>
          </w:p>
        </w:tc>
        <w:tc>
          <w:tcPr>
            <w:tcW w:w="140" w:type="dxa"/>
            <w:vAlign w:val="bottom"/>
          </w:tcPr>
          <w:p>
            <w:pPr>
              <w:spacing w:after="0"/>
              <w:rPr>
                <w:sz w:val="18"/>
                <w:szCs w:val="18"/>
                <w:color w:val="auto"/>
              </w:rPr>
            </w:pPr>
          </w:p>
        </w:tc>
        <w:tc>
          <w:tcPr>
            <w:tcW w:w="1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105,750,000</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176,250,000</w:t>
            </w:r>
          </w:p>
        </w:tc>
        <w:tc>
          <w:tcPr>
            <w:tcW w:w="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141,000,000</w:t>
            </w:r>
          </w:p>
        </w:tc>
        <w:tc>
          <w:tcPr>
            <w:tcW w:w="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141,000,000</w:t>
            </w:r>
          </w:p>
        </w:tc>
        <w:tc>
          <w:tcPr>
            <w:tcW w:w="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105,750,000</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63,125,000</w:t>
            </w:r>
          </w:p>
        </w:tc>
        <w:tc>
          <w:tcPr>
            <w:tcW w:w="14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50,500,000</w:t>
            </w:r>
          </w:p>
        </w:tc>
        <w:tc>
          <w:tcPr>
            <w:tcW w:w="14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50,500,000</w:t>
            </w:r>
          </w:p>
        </w:tc>
        <w:tc>
          <w:tcPr>
            <w:tcW w:w="140" w:type="dxa"/>
            <w:vAlign w:val="bottom"/>
          </w:tcPr>
          <w:p>
            <w:pPr>
              <w:spacing w:after="0"/>
              <w:rPr>
                <w:sz w:val="18"/>
                <w:szCs w:val="18"/>
                <w:color w:val="auto"/>
              </w:rPr>
            </w:pPr>
          </w:p>
        </w:tc>
        <w:tc>
          <w:tcPr>
            <w:tcW w:w="1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37,875,000</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63,125,000</w:t>
            </w:r>
          </w:p>
        </w:tc>
        <w:tc>
          <w:tcPr>
            <w:tcW w:w="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50,500,000</w:t>
            </w:r>
          </w:p>
        </w:tc>
        <w:tc>
          <w:tcPr>
            <w:tcW w:w="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50,500,000</w:t>
            </w:r>
          </w:p>
        </w:tc>
        <w:tc>
          <w:tcPr>
            <w:tcW w:w="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37,875,000</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63,125,000</w:t>
            </w:r>
          </w:p>
        </w:tc>
        <w:tc>
          <w:tcPr>
            <w:tcW w:w="14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50,500,000</w:t>
            </w:r>
          </w:p>
        </w:tc>
        <w:tc>
          <w:tcPr>
            <w:tcW w:w="14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50,500,000</w:t>
            </w:r>
          </w:p>
        </w:tc>
        <w:tc>
          <w:tcPr>
            <w:tcW w:w="140" w:type="dxa"/>
            <w:vAlign w:val="bottom"/>
          </w:tcPr>
          <w:p>
            <w:pPr>
              <w:spacing w:after="0"/>
              <w:rPr>
                <w:sz w:val="18"/>
                <w:szCs w:val="18"/>
                <w:color w:val="auto"/>
              </w:rPr>
            </w:pPr>
          </w:p>
        </w:tc>
        <w:tc>
          <w:tcPr>
            <w:tcW w:w="1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37,875,000</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63,125,000</w:t>
            </w:r>
          </w:p>
        </w:tc>
        <w:tc>
          <w:tcPr>
            <w:tcW w:w="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50,500,000</w:t>
            </w:r>
          </w:p>
        </w:tc>
        <w:tc>
          <w:tcPr>
            <w:tcW w:w="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50,500,000</w:t>
            </w:r>
          </w:p>
        </w:tc>
        <w:tc>
          <w:tcPr>
            <w:tcW w:w="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37,875,000</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63,125,000</w:t>
            </w:r>
          </w:p>
        </w:tc>
        <w:tc>
          <w:tcPr>
            <w:tcW w:w="14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50,500,000</w:t>
            </w:r>
          </w:p>
        </w:tc>
        <w:tc>
          <w:tcPr>
            <w:tcW w:w="14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50,500,000</w:t>
            </w:r>
          </w:p>
        </w:tc>
        <w:tc>
          <w:tcPr>
            <w:tcW w:w="140" w:type="dxa"/>
            <w:vAlign w:val="bottom"/>
          </w:tcPr>
          <w:p>
            <w:pPr>
              <w:spacing w:after="0"/>
              <w:rPr>
                <w:sz w:val="18"/>
                <w:szCs w:val="18"/>
                <w:color w:val="auto"/>
              </w:rPr>
            </w:pPr>
          </w:p>
        </w:tc>
        <w:tc>
          <w:tcPr>
            <w:tcW w:w="1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37,875,000</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63,125,000</w:t>
            </w:r>
          </w:p>
        </w:tc>
        <w:tc>
          <w:tcPr>
            <w:tcW w:w="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50,500,000</w:t>
            </w:r>
          </w:p>
        </w:tc>
        <w:tc>
          <w:tcPr>
            <w:tcW w:w="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50,500,000</w:t>
            </w:r>
          </w:p>
        </w:tc>
        <w:tc>
          <w:tcPr>
            <w:tcW w:w="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37,875,000</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63,125,000</w:t>
            </w:r>
          </w:p>
        </w:tc>
        <w:tc>
          <w:tcPr>
            <w:tcW w:w="14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50,500,000</w:t>
            </w:r>
          </w:p>
        </w:tc>
        <w:tc>
          <w:tcPr>
            <w:tcW w:w="14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50,500,000</w:t>
            </w:r>
          </w:p>
        </w:tc>
        <w:tc>
          <w:tcPr>
            <w:tcW w:w="140" w:type="dxa"/>
            <w:vAlign w:val="bottom"/>
          </w:tcPr>
          <w:p>
            <w:pPr>
              <w:spacing w:after="0"/>
              <w:rPr>
                <w:sz w:val="18"/>
                <w:szCs w:val="18"/>
                <w:color w:val="auto"/>
              </w:rPr>
            </w:pPr>
          </w:p>
        </w:tc>
        <w:tc>
          <w:tcPr>
            <w:tcW w:w="1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37,875,000</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 Americas Securities, LLC</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63,125,000</w:t>
            </w:r>
          </w:p>
        </w:tc>
        <w:tc>
          <w:tcPr>
            <w:tcW w:w="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50,500,000</w:t>
            </w:r>
          </w:p>
        </w:tc>
        <w:tc>
          <w:tcPr>
            <w:tcW w:w="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50,500,000</w:t>
            </w:r>
          </w:p>
        </w:tc>
        <w:tc>
          <w:tcPr>
            <w:tcW w:w="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37,875,000</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63,125,000</w:t>
            </w:r>
          </w:p>
        </w:tc>
        <w:tc>
          <w:tcPr>
            <w:tcW w:w="14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50,500,000</w:t>
            </w:r>
          </w:p>
        </w:tc>
        <w:tc>
          <w:tcPr>
            <w:tcW w:w="14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50,500,000</w:t>
            </w:r>
          </w:p>
        </w:tc>
        <w:tc>
          <w:tcPr>
            <w:tcW w:w="140" w:type="dxa"/>
            <w:vAlign w:val="bottom"/>
          </w:tcPr>
          <w:p>
            <w:pPr>
              <w:spacing w:after="0"/>
              <w:rPr>
                <w:sz w:val="18"/>
                <w:szCs w:val="18"/>
                <w:color w:val="auto"/>
              </w:rPr>
            </w:pPr>
          </w:p>
        </w:tc>
        <w:tc>
          <w:tcPr>
            <w:tcW w:w="1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37,875,000</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Lloyds Securities Inc.</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23,125,000</w:t>
            </w:r>
          </w:p>
        </w:tc>
        <w:tc>
          <w:tcPr>
            <w:tcW w:w="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18,500,000</w:t>
            </w:r>
          </w:p>
        </w:tc>
        <w:tc>
          <w:tcPr>
            <w:tcW w:w="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18,500,000</w:t>
            </w:r>
          </w:p>
        </w:tc>
        <w:tc>
          <w:tcPr>
            <w:tcW w:w="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13,875,000</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23,125,000</w:t>
            </w:r>
          </w:p>
        </w:tc>
        <w:tc>
          <w:tcPr>
            <w:tcW w:w="14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18,500,000</w:t>
            </w:r>
          </w:p>
        </w:tc>
        <w:tc>
          <w:tcPr>
            <w:tcW w:w="14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18,500,000</w:t>
            </w:r>
          </w:p>
        </w:tc>
        <w:tc>
          <w:tcPr>
            <w:tcW w:w="140" w:type="dxa"/>
            <w:vAlign w:val="bottom"/>
          </w:tcPr>
          <w:p>
            <w:pPr>
              <w:spacing w:after="0"/>
              <w:rPr>
                <w:sz w:val="18"/>
                <w:szCs w:val="18"/>
                <w:color w:val="auto"/>
              </w:rPr>
            </w:pPr>
          </w:p>
        </w:tc>
        <w:tc>
          <w:tcPr>
            <w:tcW w:w="1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13,875,000</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Santander US Capital Markets LLC</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23,125,000</w:t>
            </w:r>
          </w:p>
        </w:tc>
        <w:tc>
          <w:tcPr>
            <w:tcW w:w="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18,500,000</w:t>
            </w:r>
          </w:p>
        </w:tc>
        <w:tc>
          <w:tcPr>
            <w:tcW w:w="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18,500,000</w:t>
            </w:r>
          </w:p>
        </w:tc>
        <w:tc>
          <w:tcPr>
            <w:tcW w:w="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13,875,000</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23,125,000</w:t>
            </w:r>
          </w:p>
        </w:tc>
        <w:tc>
          <w:tcPr>
            <w:tcW w:w="14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18,500,000</w:t>
            </w:r>
          </w:p>
        </w:tc>
        <w:tc>
          <w:tcPr>
            <w:tcW w:w="14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18,500,000</w:t>
            </w:r>
          </w:p>
        </w:tc>
        <w:tc>
          <w:tcPr>
            <w:tcW w:w="140" w:type="dxa"/>
            <w:vAlign w:val="bottom"/>
          </w:tcPr>
          <w:p>
            <w:pPr>
              <w:spacing w:after="0"/>
              <w:rPr>
                <w:sz w:val="18"/>
                <w:szCs w:val="18"/>
                <w:color w:val="auto"/>
              </w:rPr>
            </w:pPr>
          </w:p>
        </w:tc>
        <w:tc>
          <w:tcPr>
            <w:tcW w:w="1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13,875,000</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23,125,000</w:t>
            </w:r>
          </w:p>
        </w:tc>
        <w:tc>
          <w:tcPr>
            <w:tcW w:w="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18,500,000</w:t>
            </w:r>
          </w:p>
        </w:tc>
        <w:tc>
          <w:tcPr>
            <w:tcW w:w="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18,500,000</w:t>
            </w:r>
          </w:p>
        </w:tc>
        <w:tc>
          <w:tcPr>
            <w:tcW w:w="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13,875,000</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Siebert Williams Shank &amp; Co., LLC</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12,500,000</w:t>
            </w:r>
          </w:p>
        </w:tc>
        <w:tc>
          <w:tcPr>
            <w:tcW w:w="14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10,000,000</w:t>
            </w:r>
          </w:p>
        </w:tc>
        <w:tc>
          <w:tcPr>
            <w:tcW w:w="14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10,000,000</w:t>
            </w:r>
          </w:p>
        </w:tc>
        <w:tc>
          <w:tcPr>
            <w:tcW w:w="140" w:type="dxa"/>
            <w:vAlign w:val="bottom"/>
          </w:tcPr>
          <w:p>
            <w:pPr>
              <w:spacing w:after="0"/>
              <w:rPr>
                <w:sz w:val="18"/>
                <w:szCs w:val="18"/>
                <w:color w:val="auto"/>
              </w:rPr>
            </w:pPr>
          </w:p>
        </w:tc>
        <w:tc>
          <w:tcPr>
            <w:tcW w:w="1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7,500,000</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Bancroft Capital, LLC</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6,250,000</w:t>
            </w:r>
          </w:p>
        </w:tc>
        <w:tc>
          <w:tcPr>
            <w:tcW w:w="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5,000,000</w:t>
            </w:r>
          </w:p>
        </w:tc>
        <w:tc>
          <w:tcPr>
            <w:tcW w:w="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5,000,000</w:t>
            </w:r>
          </w:p>
        </w:tc>
        <w:tc>
          <w:tcPr>
            <w:tcW w:w="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3,750,000</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Cabrera Capital Markets LLC</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6,250,000</w:t>
            </w:r>
          </w:p>
        </w:tc>
        <w:tc>
          <w:tcPr>
            <w:tcW w:w="14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5,000,000</w:t>
            </w:r>
          </w:p>
        </w:tc>
        <w:tc>
          <w:tcPr>
            <w:tcW w:w="14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5,000,000</w:t>
            </w:r>
          </w:p>
        </w:tc>
        <w:tc>
          <w:tcPr>
            <w:tcW w:w="140" w:type="dxa"/>
            <w:vAlign w:val="bottom"/>
          </w:tcPr>
          <w:p>
            <w:pPr>
              <w:spacing w:after="0"/>
              <w:rPr>
                <w:sz w:val="18"/>
                <w:szCs w:val="18"/>
                <w:color w:val="auto"/>
              </w:rPr>
            </w:pPr>
          </w:p>
        </w:tc>
        <w:tc>
          <w:tcPr>
            <w:tcW w:w="1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3,750,000</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Independence Point Securities LLC</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6,250,000</w:t>
            </w:r>
          </w:p>
        </w:tc>
        <w:tc>
          <w:tcPr>
            <w:tcW w:w="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5,000,000</w:t>
            </w:r>
          </w:p>
        </w:tc>
        <w:tc>
          <w:tcPr>
            <w:tcW w:w="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5,000,000</w:t>
            </w:r>
          </w:p>
        </w:tc>
        <w:tc>
          <w:tcPr>
            <w:tcW w:w="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3,750,000</w:t>
            </w:r>
          </w:p>
        </w:tc>
      </w:tr>
      <w:tr>
        <w:trPr>
          <w:trHeight w:val="23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R. Seelaus &amp; Co., LLC</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6,250,000</w:t>
            </w:r>
          </w:p>
        </w:tc>
        <w:tc>
          <w:tcPr>
            <w:tcW w:w="140" w:type="dxa"/>
            <w:vAlign w:val="bottom"/>
          </w:tcPr>
          <w:p>
            <w:pPr>
              <w:spacing w:after="0"/>
              <w:rPr>
                <w:sz w:val="19"/>
                <w:szCs w:val="19"/>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5,000,000</w:t>
            </w:r>
          </w:p>
        </w:tc>
        <w:tc>
          <w:tcPr>
            <w:tcW w:w="140" w:type="dxa"/>
            <w:vAlign w:val="bottom"/>
          </w:tcPr>
          <w:p>
            <w:pPr>
              <w:spacing w:after="0"/>
              <w:rPr>
                <w:sz w:val="19"/>
                <w:szCs w:val="19"/>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5,000,000</w:t>
            </w:r>
          </w:p>
        </w:tc>
        <w:tc>
          <w:tcPr>
            <w:tcW w:w="140" w:type="dxa"/>
            <w:vAlign w:val="bottom"/>
          </w:tcPr>
          <w:p>
            <w:pPr>
              <w:spacing w:after="0"/>
              <w:rPr>
                <w:sz w:val="19"/>
                <w:szCs w:val="19"/>
                <w:color w:val="auto"/>
              </w:rPr>
            </w:pPr>
          </w:p>
        </w:tc>
        <w:tc>
          <w:tcPr>
            <w:tcW w:w="1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3,750,000</w:t>
            </w:r>
          </w:p>
        </w:tc>
      </w:tr>
      <w:tr>
        <w:trPr>
          <w:trHeight w:val="223"/>
        </w:trPr>
        <w:tc>
          <w:tcPr>
            <w:tcW w:w="2660" w:type="dxa"/>
            <w:vAlign w:val="bottom"/>
            <w:tcBorders>
              <w:top w:val="single" w:sz="8" w:color="CCEEFF"/>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55"/>
        </w:trPr>
        <w:tc>
          <w:tcPr>
            <w:tcW w:w="2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S-2-1</w:t>
            </w:r>
          </w:p>
        </w:tc>
        <w:tc>
          <w:tcPr>
            <w:tcW w:w="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amp;"/>
      <w:numFmt w:val="bullet"/>
      <w:start w:val="1"/>
    </w:lvl>
  </w:abstractNum>
  <w:abstractNum w:abstractNumId="2">
    <w:nsid w:val="507ED7AB"/>
    <w:multiLevelType w:val="hybridMultilevel"/>
    <w:lvl w:ilvl="0">
      <w:lvlJc w:val="left"/>
      <w:lvlText w:val="%1"/>
      <w:numFmt w:val="upperLetter"/>
      <w:start w:val="35"/>
    </w:lvl>
  </w:abstractNum>
  <w:abstractNum w:abstractNumId="3">
    <w:nsid w:val="2EB141F2"/>
    <w:multiLevelType w:val="hybridMultilevel"/>
    <w:lvl w:ilvl="0">
      <w:lvlJc w:val="left"/>
      <w:lvlText w:val="(%1)"/>
      <w:numFmt w:val="lowerRoman"/>
      <w:start w:val="1"/>
    </w:lvl>
  </w:abstractNum>
  <w:abstractNum w:abstractNumId="4">
    <w:nsid w:val="41B71EFB"/>
    <w:multiLevelType w:val="hybridMultilevel"/>
    <w:lvl w:ilvl="0">
      <w:lvlJc w:val="left"/>
      <w:lvlText w:val="(%1)"/>
      <w:numFmt w:val="lowerRoman"/>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1)"/>
      <w:numFmt w:val="lowerRoman"/>
      <w:start w:val="3"/>
    </w:lvl>
  </w:abstractNum>
  <w:abstractNum w:abstractNumId="7">
    <w:nsid w:val="515F007C"/>
    <w:multiLevelType w:val="hybridMultilevel"/>
    <w:lvl w:ilvl="0">
      <w:lvlJc w:val="left"/>
      <w:lvlText w:val="(%1)"/>
      <w:numFmt w:val="lowerRoman"/>
      <w:start w:val="5"/>
    </w:lvl>
  </w:abstractNum>
  <w:abstractNum w:abstractNumId="8">
    <w:nsid w:val="5BD062C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2025-02-19T08:27:52Z</dcterms:created>
  <dcterms:modified xsi:type="dcterms:W3CDTF">2025-02-19T08:27:52Z</dcterms:modified>
</cp:coreProperties>
</file>