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LIDDY EDWARD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Arial" w:cs="Arial" w:eastAsia="Arial" w:hAnsi="Arial"/>
                <w:sz w:val="18"/>
                <w:szCs w:val="18"/>
                <w:color w:val="0000FF"/>
              </w:rPr>
              <w:t>09/30/2016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w w:val="99"/>
              </w:rPr>
              <w:t>NORTH</w:t>
            </w:r>
          </w:p>
        </w:tc>
        <w:tc>
          <w:tcPr>
            <w:tcW w:w="560" w:type="dxa"/>
            <w:vAlign w:val="bottom"/>
          </w:tcPr>
          <w:p>
            <w:pPr>
              <w:spacing w:after="0"/>
              <w:rPr>
                <w:sz w:val="18"/>
                <w:szCs w:val="18"/>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IL</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3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8"/>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495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w w:val="78"/>
              </w:rPr>
              <w:t>16,772</w:t>
            </w:r>
            <w:r>
              <w:rPr>
                <w:rFonts w:ascii="Arial" w:cs="Arial" w:eastAsia="Arial" w:hAnsi="Arial"/>
                <w:sz w:val="22"/>
                <w:szCs w:val="22"/>
                <w:color w:val="008000"/>
                <w:w w:val="78"/>
                <w:vertAlign w:val="superscript"/>
              </w:rPr>
              <w:t>(2)</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Equivalent</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09/30/2016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495</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63.07</w:t>
            </w:r>
          </w:p>
        </w:tc>
        <w:tc>
          <w:tcPr>
            <w:tcW w:w="680" w:type="dxa"/>
            <w:vAlign w:val="bottom"/>
            <w:vMerge w:val="continue"/>
          </w:tcPr>
          <w:p>
            <w:pPr>
              <w:spacing w:after="0"/>
              <w:rPr>
                <w:sz w:val="5"/>
                <w:szCs w:val="5"/>
                <w:color w:val="auto"/>
              </w:rPr>
            </w:pP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Director fees credited to stock equivalent unit accounts established by the director at Abbott Laboratories and AbbVie. The stock equivalent units in the Abbott account will be paid, in cash, generally at age</w:t>
      </w:r>
    </w:p>
    <w:p>
      <w:pPr>
        <w:spacing w:after="0" w:line="22" w:lineRule="exact"/>
        <w:rPr>
          <w:rFonts w:ascii="Arial" w:cs="Arial" w:eastAsia="Arial" w:hAnsi="Arial"/>
          <w:sz w:val="12"/>
          <w:szCs w:val="12"/>
          <w:color w:val="008000"/>
        </w:rPr>
      </w:pPr>
    </w:p>
    <w:p>
      <w:pPr>
        <w:ind w:left="40" w:right="180" w:firstLine="9"/>
        <w:spacing w:after="0" w:line="230" w:lineRule="auto"/>
        <w:tabs>
          <w:tab w:leader="none" w:pos="209"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or upon retirement from Abbott's board, and the stock equivalent units in the AbbVie account will be paid, in cash, generally at age 65 or upon retirement from AbbVie's board. The stock equivalent units in each account earn the same return as if the fees were invested in AbbVie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Balance includes stock equivalent units acquired pursuant to a dividend equivalent reinvestment feature.</w:t>
      </w:r>
    </w:p>
    <w:p>
      <w:pPr>
        <w:ind w:left="6860"/>
        <w:spacing w:after="0" w:line="184"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4"/>
          <w:szCs w:val="34"/>
          <w:color w:val="0000FF"/>
          <w:vertAlign w:val="subscript"/>
        </w:rPr>
        <w:t>10/04/2016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2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65"/>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983"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2019-12-23T22:24:37Z</dcterms:created>
  <dcterms:modified xsi:type="dcterms:W3CDTF">2019-12-23T22:24:37Z</dcterms:modified>
</cp:coreProperties>
</file>