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11,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001-35565</w:t>
            </w:r>
          </w:p>
        </w:tc>
        <w:tc>
          <w:tcPr>
            <w:tcW w:w="14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32-0375147</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260" w:type="dxa"/>
            <w:vAlign w:val="bottom"/>
          </w:tcPr>
          <w:p>
            <w:pPr>
              <w:spacing w:after="0"/>
              <w:rPr>
                <w:sz w:val="18"/>
                <w:szCs w:val="18"/>
                <w:color w:val="auto"/>
              </w:rPr>
            </w:pPr>
          </w:p>
        </w:tc>
        <w:tc>
          <w:tcPr>
            <w:tcW w:w="420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rPr>
              <w:t>(Commission 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44"/>
        </w:trPr>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1 North Waukegan Road</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(847) 932-7900</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4"/>
        </w:trPr>
        <w:tc>
          <w:tcPr>
            <w:tcW w:w="36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ABBV</w:t>
            </w:r>
          </w:p>
        </w:tc>
        <w:tc>
          <w:tcPr>
            <w:tcW w:w="2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0.750% Senior Notes due 2027</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ABBV27</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ABBV28</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2.625% Senior Notes due 2028</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ABBV28B</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3"/>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2.125% Senior Notes due 2029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ABBV29</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8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1.250% Senior Notes due 2031</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ABBV31</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0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11, 2025, AbbVie announced that it has settled litigation with all generic manufacturers that filed abbreviated new drug applications with the U.S. Food and Drug Administration for generic versions of upadacitinib tablets, which AbbVie markets as RINVOQ.</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Given the settlement and license agreements, which are subject to standard acceleration provisions, assuming pediatric exclusivity is granted, no generic entry for any upadacitinib tablets is expected prior to April 2037 in the United States.</w:t>
      </w:r>
    </w:p>
    <w:p>
      <w:pPr>
        <w:spacing w:after="0" w:line="1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Some statements in this filing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adverse litigation or government action, changes to laws and regulations applicable to our industry, and other uncertainties and risks associated with global business operations. Additional information about the economic, competitive, governmental, technological and other factors that may affect AbbVie's operations is set forth in Item 1A, "Risk Factors," of AbbVie's 2024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1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the exhibit referenced herein and attached hereto, shall not be deemed “filed” for purposes of Section 18 of the Securities Exchange Act of 1934 (the “Exchange Act”), nor shall it be deemed incorporated by reference in any Company filing under the Securities Act of 1933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20" w:type="dxa"/>
            <w:vAlign w:val="bottom"/>
          </w:tcPr>
          <w:p>
            <w:pPr>
              <w:spacing w:after="0"/>
              <w:rPr>
                <w:sz w:val="20"/>
                <w:szCs w:val="20"/>
                <w:color w:val="auto"/>
              </w:rPr>
            </w:pP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425"/>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2025</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Perry C. Siatis</w:t>
            </w:r>
          </w:p>
        </w:tc>
      </w:tr>
      <w:tr>
        <w:trPr>
          <w:trHeight w:val="191"/>
        </w:trPr>
        <w:tc>
          <w:tcPr>
            <w:tcW w:w="38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Perry C. Siatis</w:t>
            </w:r>
          </w:p>
        </w:tc>
      </w:tr>
      <w:tr>
        <w:trPr>
          <w:trHeight w:val="234"/>
        </w:trPr>
        <w:tc>
          <w:tcPr>
            <w:tcW w:w="3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2025-09-11T06:35:03Z</dcterms:created>
  <dcterms:modified xsi:type="dcterms:W3CDTF">2025-09-11T06:35:03Z</dcterms:modified>
</cp:coreProperties>
</file>