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23,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3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Delaware</w:t>
            </w:r>
          </w:p>
        </w:tc>
        <w:tc>
          <w:tcPr>
            <w:tcW w:w="28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001-35565</w:t>
            </w:r>
          </w:p>
        </w:tc>
        <w:tc>
          <w:tcPr>
            <w:tcW w:w="3100" w:type="dxa"/>
            <w:vAlign w:val="bottom"/>
          </w:tcPr>
          <w:p>
            <w:pPr>
              <w:jc w:val="center"/>
              <w:ind w:left="165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3360" w:type="dxa"/>
            <w:vAlign w:val="bottom"/>
          </w:tcPr>
          <w:p>
            <w:pPr>
              <w:jc w:val="center"/>
              <w:ind w:right="1370"/>
              <w:spacing w:after="0"/>
              <w:rPr>
                <w:sz w:val="20"/>
                <w:szCs w:val="20"/>
                <w:color w:val="auto"/>
              </w:rPr>
            </w:pPr>
            <w:r>
              <w:rPr>
                <w:rFonts w:ascii="Arial" w:cs="Arial" w:eastAsia="Arial" w:hAnsi="Arial"/>
                <w:sz w:val="18"/>
                <w:szCs w:val="18"/>
                <w:color w:val="auto"/>
                <w:w w:val="90"/>
              </w:rPr>
              <w:t>(State or other Jurisdiction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1370"/>
              <w:spacing w:after="0"/>
              <w:rPr>
                <w:sz w:val="20"/>
                <w:szCs w:val="20"/>
                <w:color w:val="auto"/>
              </w:rPr>
            </w:pPr>
            <w:r>
              <w:rPr>
                <w:rFonts w:ascii="Arial" w:cs="Arial" w:eastAsia="Arial" w:hAnsi="Arial"/>
                <w:sz w:val="18"/>
                <w:szCs w:val="18"/>
                <w:color w:val="auto"/>
                <w:w w:val="93"/>
              </w:rPr>
              <w:t>of Incorporation)</w:t>
            </w:r>
          </w:p>
        </w:tc>
        <w:tc>
          <w:tcPr>
            <w:tcW w:w="2800" w:type="dxa"/>
            <w:vAlign w:val="bottom"/>
          </w:tcPr>
          <w:p>
            <w:pPr>
              <w:spacing w:after="0"/>
              <w:rPr>
                <w:sz w:val="20"/>
                <w:szCs w:val="20"/>
                <w:color w:val="auto"/>
              </w:rPr>
            </w:pP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33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100" w:type="dxa"/>
            <w:vAlign w:val="bottom"/>
          </w:tcPr>
          <w:p>
            <w:pPr>
              <w:spacing w:after="0"/>
              <w:rPr>
                <w:sz w:val="18"/>
                <w:szCs w:val="18"/>
                <w:color w:val="auto"/>
              </w:rPr>
            </w:pP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tbl>
      <w:tblPr>
        <w:tblLayout w:type="fixed"/>
        <w:tblInd w:w="30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color w:val="auto"/>
                <w:w w:val="93"/>
              </w:rPr>
              <w:t>Registrant’s telephone number, including area code: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(847) 932-7900</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60" w:lineRule="auto"/>
        <w:tabs>
          <w:tab w:leader="none" w:pos="34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62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Common Stock, $0.01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rPr>
              <w:t>ABBV</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Chicago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1.500% Senior Notes due 2023</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ABBV23B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1.375%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ABBV24</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1.250%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ABBV24B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0.750% Senior Notes due 2027</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ABBV27</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2.125%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ABBV28</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2.625%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ABBV28B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2.125% Senior Notes due 2029</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ABBV29</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1.250% Senior Notes due 2031</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ABBV31</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23, 2022, the Board of Directors of AbbVie Inc. (the “Company”) approved and adopted Amended and Restated By-laws to amend Article IV, Section 4.7 to change the name of the Public Policy Committee to the Public Policy and Sustainability Committee.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Company’s Amended and Restated By-laws is qualified in its entirety by reference to the full text of the Amended and Restated By-laws, a copy of which is attached hereto as Exhibit 3.1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4660"/>
              <w:spacing w:after="0"/>
              <w:rPr>
                <w:sz w:val="20"/>
                <w:szCs w:val="20"/>
                <w:color w:val="auto"/>
              </w:rPr>
            </w:pPr>
            <w:r>
              <w:rPr>
                <w:rFonts w:ascii="Arial" w:cs="Arial" w:eastAsia="Arial" w:hAnsi="Arial"/>
                <w:sz w:val="18"/>
                <w:szCs w:val="18"/>
                <w:b w:val="1"/>
                <w:bCs w:val="1"/>
                <w:color w:val="auto"/>
              </w:rPr>
              <w:t>Exhibit</w:t>
            </w:r>
          </w:p>
        </w:tc>
      </w:tr>
      <w:tr>
        <w:trPr>
          <w:trHeight w:val="169"/>
        </w:trPr>
        <w:tc>
          <w:tcPr>
            <w:tcW w:w="240" w:type="dxa"/>
            <w:vAlign w:val="bottom"/>
            <w:tcBorders>
              <w:top w:val="single" w:sz="8" w:color="auto"/>
            </w:tcBorders>
          </w:tcPr>
          <w:p>
            <w:pPr>
              <w:spacing w:after="0" w:line="169"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Amended and Restated By-laws of AbbVie Inc. adopted on June 23, 2022.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The cover page from this Current Report on Form 8-K formatted in Inline XBRL (included as Exhibit 101).</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ABBVIE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29, 2022</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J. Schumacher</w:t>
            </w: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Laura J. Schumacher</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Vice Chairman, External Affairs and Chief Legal Officer</w:t>
            </w: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These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of AbbVie Inc., a Delaware corporation, are effective as of 11:59 p.m., Eastern time, on December 31, 2012 and hereby amend and restate the previous by-laws of AbbVie Inc., which are hereby deleted in their entirety and replaced with the following: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AND RECORDS</w:t>
      </w:r>
    </w:p>
    <w:p>
      <w:pPr>
        <w:spacing w:after="0" w:line="21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Delaware Office</w:t>
      </w:r>
      <w:r>
        <w:rPr>
          <w:rFonts w:ascii="Arial" w:cs="Arial" w:eastAsia="Arial" w:hAnsi="Arial"/>
          <w:sz w:val="18"/>
          <w:szCs w:val="18"/>
          <w:color w:val="auto"/>
        </w:rPr>
        <w:t>. The registered office of AbbVie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located in the City of Wilmington, County of New Castle, and the name and address of its registered agent is Corporate Creations Network Inc., 3411 Silverside Road, Tatnall Building, Suite 104, Wilmington, Delaware 19810, United States.</w:t>
      </w:r>
    </w:p>
    <w:p>
      <w:pPr>
        <w:spacing w:after="0" w:line="184"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have such other offices, either inside or outside the State of Delaware, as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may designate or as the business of the Corporation may from time to time require.</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Corporation may be kept inside or outside the State of Delaware at such place or places as may from time to time be designated by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and at such place and time as may be fixed by resolution of the Board of Directors.</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Special Meeting</w:t>
      </w:r>
      <w:r>
        <w:rPr>
          <w:rFonts w:ascii="Arial" w:cs="Arial" w:eastAsia="Arial" w:hAnsi="Arial"/>
          <w:sz w:val="17"/>
          <w:szCs w:val="17"/>
          <w:color w:val="auto"/>
        </w:rPr>
        <w:t>. Subject to the rights of the holders of any series of stock having a preference over the Common Stock of the Corporation as to dividends, voting or upon liquidation (“</w:t>
      </w:r>
      <w:r>
        <w:rPr>
          <w:rFonts w:ascii="Arial" w:cs="Arial" w:eastAsia="Arial" w:hAnsi="Arial"/>
          <w:sz w:val="17"/>
          <w:szCs w:val="17"/>
          <w:u w:val="single" w:color="auto"/>
          <w:color w:val="auto"/>
        </w:rPr>
        <w:t>Preferred Stock</w:t>
      </w:r>
      <w:r>
        <w:rPr>
          <w:rFonts w:ascii="Arial" w:cs="Arial" w:eastAsia="Arial" w:hAnsi="Arial"/>
          <w:sz w:val="17"/>
          <w:szCs w:val="17"/>
          <w:color w:val="auto"/>
        </w:rPr>
        <w:t>”) with respect to such series of Preferred Stock, special meetings of the stockholders may be called only by the Chairman of the Board, the Chief Executive Officer, any President, or the Board of Directors pursuant to a resolution adopted by a majority of the total number of directors which the Corporation would have if there were no vacancies (the “</w:t>
      </w:r>
      <w:r>
        <w:rPr>
          <w:rFonts w:ascii="Arial" w:cs="Arial" w:eastAsia="Arial" w:hAnsi="Arial"/>
          <w:sz w:val="17"/>
          <w:szCs w:val="17"/>
          <w:u w:val="single" w:color="auto"/>
          <w:color w:val="auto"/>
        </w:rPr>
        <w:t>Whole Board</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of Directors or the Chairman of the Board, as the case may be, may designate the place of meeting for any annual or special meeting of the stockholders. If no designation is so made, the place of meeting shall be the principal office of the Corporation.</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Notice of Meeting</w:t>
      </w:r>
      <w:r>
        <w:rPr>
          <w:rFonts w:ascii="Arial" w:cs="Arial" w:eastAsia="Arial" w:hAnsi="Arial"/>
          <w:sz w:val="16"/>
          <w:szCs w:val="16"/>
          <w:color w:val="auto"/>
        </w:rPr>
        <w:t>. Written or printed notice, stating the place, date and hour of the meeting, the means of remote communications, if any, by which stockholders and proxy holders may be deemed to be present in person and vote at such meeting, and, in the case of a special meeting, the purpose or purposes for which the meeting is called, shall be delivered by the Corporation not less than ten (10) days nor more than sixty (60) days before the date of the meeting, either personally, by electronic transmission in the manner provided in Section 232 of the General Corporation Law of the State of Delaware (as it may be amended, the “</w:t>
      </w:r>
      <w:r>
        <w:rPr>
          <w:rFonts w:ascii="Arial" w:cs="Arial" w:eastAsia="Arial" w:hAnsi="Arial"/>
          <w:sz w:val="16"/>
          <w:szCs w:val="16"/>
          <w:u w:val="single" w:color="auto"/>
          <w:color w:val="auto"/>
        </w:rPr>
        <w:t>DGCL</w:t>
      </w:r>
      <w:r>
        <w:rPr>
          <w:rFonts w:ascii="Arial" w:cs="Arial" w:eastAsia="Arial" w:hAnsi="Arial"/>
          <w:sz w:val="16"/>
          <w:szCs w:val="16"/>
          <w:color w:val="auto"/>
        </w:rPr>
        <w:t>”) (except to the extent prohibited by Section 232(e) of the DGCL) or by mail, to each stockholder of record entitled to vote at such meeting. If mailed, such notice shall be deemed to be delivered when deposited in the United States mail with postage thereon prepaid, addressed to the stockholder at his or her address as it appears on the stock transfer books of the Corporation. If notice is given by electronic transmission, such notice shall be deemed to be given at the times provided in the DGCL. Such further notice shall be given as may be required by law. Meetings may be held without notice if all stockholders entitled to vote are present, or if notice is waived by those not present in accordance with Section 8.4 of these By-laws. Any previously scheduled meeting of the stockholders may be postponed, and, unless the Amended and Restated Certificate of Incorporation of the Corporation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otherwise provides, any special meeting of the stockholders may be cancelled, by resolution of the Board of Directors upon public notice given prior to the date previously scheduled for such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1296"/>
        <w:spacing w:after="0" w:line="29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Except as otherwise provided by law or by the Certificate of Incorporation, the holders of a majority of the outstanding shares of the Corporation entitled to vote generally in the election of directors (the “</w:t>
      </w:r>
      <w:r>
        <w:rPr>
          <w:rFonts w:ascii="Arial" w:cs="Arial" w:eastAsia="Arial" w:hAnsi="Arial"/>
          <w:sz w:val="16"/>
          <w:szCs w:val="16"/>
          <w:u w:val="single" w:color="auto"/>
          <w:color w:val="auto"/>
        </w:rPr>
        <w:t>Voting Stock</w:t>
      </w:r>
      <w:r>
        <w:rPr>
          <w:rFonts w:ascii="Arial" w:cs="Arial" w:eastAsia="Arial" w:hAnsi="Arial"/>
          <w:sz w:val="16"/>
          <w:szCs w:val="16"/>
          <w:color w:val="auto"/>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Chairman of the Board of Directors or the President may adjourn the meeting from time to time, whether or not there is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Proxies</w:t>
      </w:r>
      <w:r>
        <w:rPr>
          <w:rFonts w:ascii="Arial" w:cs="Arial" w:eastAsia="Arial" w:hAnsi="Arial"/>
          <w:sz w:val="18"/>
          <w:szCs w:val="18"/>
          <w:color w:val="auto"/>
        </w:rPr>
        <w:t>. At all meetings of stockholders, a stockholder may vote by proxy executed in writing (or in such manner prescribed by the DGCL) by the stockholder, or by his or her duly authorized attorney in fact.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Order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16"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At any annual meeting of the stockholders, only such nominations of persons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Corporation’s notice of meeting (or any supplement thereto) given by or at the direction of the Board of Directors, (b) otherwise properly made at the annual meeting, by or at the direction of the Board of Directors or (c) otherwise properly requested to be brought before the annual meeting by a stockholder of the Corporation in accordance with these By-laws. For nominations of persons for election to the Board of Directors or proposals of other business to be properly requested by a stockholder to be made at an annual meeting, a stockholder must (i) be a stockholder of record at the time of giving of notice of such annual meeting by or at the direction of the Board of Directors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1304"/>
        <w:spacing w:after="0" w:line="279" w:lineRule="auto"/>
        <w:tabs>
          <w:tab w:leader="none" w:pos="2067"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or (b) otherwise properly brought before the special meeting, by or at the direction of the Board of Directors.</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 is a stockholder of record at the time of giving of notice of such special meeting and at the time of the special meeting, (ii) is entitled to vote at the meeting, and (iii) complies with the procedures set forth in these By-laws as to such nomination. The immediately preceding sentence shall be the exclusive means for a stockholder to make nominations (other than matters properly brought under Rule 14a-8 under the Exchange Act and included in the Corporation’s notice of meeting) before a special meeting of stockholders.</w:t>
      </w:r>
    </w:p>
    <w:p>
      <w:pPr>
        <w:spacing w:after="0" w:line="195" w:lineRule="exact"/>
        <w:rPr>
          <w:sz w:val="20"/>
          <w:szCs w:val="20"/>
          <w:color w:val="auto"/>
        </w:rPr>
      </w:pPr>
    </w:p>
    <w:p>
      <w:pPr>
        <w:jc w:val="both"/>
        <w:ind w:firstLine="1304"/>
        <w:spacing w:after="0" w:line="301" w:lineRule="auto"/>
        <w:tabs>
          <w:tab w:leader="none" w:pos="190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Advance Notice of Stockholder Business and Nominations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9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 Without qualification or limitation, subject to Section 2.8(C)(4) of these By-laws, for any nominations or any other business to be properly brought before an annual meeting by a stockholder pursuant to Section 2.7(A) of these By-laws, the stockholder must have given timely notice thereof (including, in the case of nominations, the completed and signed questionnaire, representation and agreement required by Section 2.9 of these By-laws), and timely updates and supplements thereof, in writing to the Secretary, and such other business must otherwise be a proper matter for stockholder action.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Section 2.8(A)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whether by changing or adding nominees, matters, business and or resolutions proposed to be brought before a meeting of the stockholders or otherwise.</w:t>
      </w:r>
    </w:p>
    <w:p>
      <w:pPr>
        <w:spacing w:after="0" w:line="182" w:lineRule="exact"/>
        <w:rPr>
          <w:sz w:val="20"/>
          <w:szCs w:val="20"/>
          <w:color w:val="auto"/>
        </w:rPr>
      </w:pPr>
    </w:p>
    <w:p>
      <w:pPr>
        <w:jc w:val="both"/>
        <w:ind w:firstLine="1304"/>
        <w:spacing w:after="0" w:line="257" w:lineRule="auto"/>
        <w:tabs>
          <w:tab w:leader="none" w:pos="191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Subject to Section 2.8(C)(4) of these By-laws, in the event the Corporation calls a special meeting of stockholders for the purpose of electing one or more directors to the Board of Directors, any stockholder may nominate a person or persons (as the case may be) for election to such position(s) as specified in the Corporation’s notice of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 gives timely notice thereof (including the completed and signed questionnaire, representation and agreement required by Section 2.9 of these By-laws), and timely updates and supplements thereof, in writing, to the Secretary.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be timely, a stockholder’s notice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spacing w:after="0" w:line="164"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Disclosure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77" w:lineRule="auto"/>
        <w:tabs>
          <w:tab w:leader="none" w:pos="267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be in proper form, a stockholder’s notice (whether given pursuant to Section 2.7(A) or 2.7(B) of these By-laws) to the Secretary must include the following, as applicable.</w:t>
      </w:r>
    </w:p>
    <w:p>
      <w:pPr>
        <w:spacing w:after="0" w:line="170" w:lineRule="exact"/>
        <w:rPr>
          <w:rFonts w:ascii="Arial" w:cs="Arial" w:eastAsia="Arial" w:hAnsi="Arial"/>
          <w:sz w:val="18"/>
          <w:szCs w:val="18"/>
          <w:color w:val="auto"/>
        </w:rPr>
      </w:pPr>
    </w:p>
    <w:p>
      <w:pPr>
        <w:jc w:val="both"/>
        <w:ind w:firstLine="2600"/>
        <w:spacing w:after="0" w:line="283" w:lineRule="auto"/>
        <w:tabs>
          <w:tab w:leader="none" w:pos="3348" w:val="left"/>
        </w:tabs>
        <w:numPr>
          <w:ilvl w:val="2"/>
          <w:numId w:val="7"/>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a stockholder’s notice must set forth: (i) the name and address of such stockholder, as they appear on the Corporation’s books, of such beneficial owner, if any, and of their respective affiliates or associates or others acting in concert therewith, (ii) (A) the class or series and number of shares of the Corporation which are, directly or indirectly, owned beneficially and of record by such stockholder, such beneficial owner and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the beneficial owner, if any, or any affiliates or associates or others acting in concert therewith, (C) any proxy, contract, arrangement, understanding, or relationship pursuant to which such stockholder has a right to vote any class or series of shares of the Corporation, (D) any agreement, arrangement, understanding, relationship or otherwise, including any repurchase or similar so-called “stock borrowing” agreement or arrangement, involving such stockholder,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stockholder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Arial" w:cs="Arial" w:eastAsia="Arial" w:hAnsi="Arial"/>
          <w:sz w:val="16"/>
          <w:szCs w:val="16"/>
          <w:u w:val="single" w:color="auto"/>
          <w:color w:val="auto"/>
        </w:rPr>
        <w:t>Short Interest</w:t>
      </w:r>
      <w:r>
        <w:rPr>
          <w:rFonts w:ascii="Arial" w:cs="Arial" w:eastAsia="Arial" w:hAnsi="Arial"/>
          <w:sz w:val="16"/>
          <w:szCs w:val="16"/>
          <w:color w:val="auto"/>
        </w:rPr>
        <w:t>”), (E) 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of such general or limited partnership, (G) any performance-related fees (other than an asset-based fee) that such stockholder or members of such stockholder’s immediate family sharing the same household are entitled to based on any increase or decrease in the value of shares of the Corporation or Derivative Instruments, if any, (H) any significant equity interests or any Derivative Instruments or Short Interests in any principal competitor of the Corporation held by such stockholder, and (I) any direct or indirect interest of such stockholder in any contract with the Corporation, any affiliate of the Corporation or any principal competitor of the Corporation (including, in any such case, any employment agreement, collective bargaining agreement or consulting agreement), and (iii) any other information relating to such stockholder and beneficial owner,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1120" w:firstLine="2600"/>
        <w:spacing w:after="0" w:line="291" w:lineRule="auto"/>
        <w:tabs>
          <w:tab w:leader="none" w:pos="2286"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notice relates to any business other than a nomination of a director or directors that the stockholder proposes to bring before the meeting, a stockholder’s notice must, in addition to the matters set forth in paragraph (a) above, also set forth: (i) a brief description of the business desired to be brought before the meeting, the reasons for conducting such business at the meeting and any material interest of such stockholder and beneficial owner, if any, in such business, (ii) the text of the proposal or business (including the text of any resolutions proposed for consideration and, in the event that such proposal or business includes a proposal to amend the by-laws of the Corporation, the text of the proposed amendment), and (iii) a description of all agreements, arrangements and understandings between such stockholder and beneficial owner, if any, and any other person or persons (including their names) in connection with the proposal of such business by such stockholder;</w:t>
      </w:r>
    </w:p>
    <w:p>
      <w:pPr>
        <w:spacing w:after="0" w:line="166" w:lineRule="exact"/>
        <w:rPr>
          <w:rFonts w:ascii="Arial" w:cs="Arial" w:eastAsia="Arial" w:hAnsi="Arial"/>
          <w:sz w:val="16"/>
          <w:szCs w:val="16"/>
          <w:color w:val="auto"/>
        </w:rPr>
      </w:pPr>
    </w:p>
    <w:p>
      <w:pPr>
        <w:jc w:val="both"/>
        <w:ind w:left="-1120" w:firstLine="2600"/>
        <w:spacing w:after="0" w:line="269" w:lineRule="auto"/>
        <w:tabs>
          <w:tab w:leader="none" w:pos="2184"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to each person, if any, whom the stockholder proposes to nominate for election or reelection to the Board of Directors, a stockholder’s notice must, in addition to the matters set forth in paragraph (a) above, also set forth: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or any successor provision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firstLine="2600"/>
        <w:spacing w:after="0" w:line="296" w:lineRule="auto"/>
        <w:tabs>
          <w:tab w:leader="none" w:pos="3328" w:val="left"/>
        </w:tabs>
        <w:numPr>
          <w:ilvl w:val="1"/>
          <w:numId w:val="9"/>
        </w:numPr>
        <w:rPr>
          <w:rFonts w:ascii="Arial" w:cs="Arial" w:eastAsia="Arial" w:hAnsi="Arial"/>
          <w:sz w:val="16"/>
          <w:szCs w:val="16"/>
          <w:color w:val="auto"/>
        </w:rPr>
      </w:pPr>
      <w:r>
        <w:rPr>
          <w:rFonts w:ascii="Arial" w:cs="Arial" w:eastAsia="Arial" w:hAnsi="Arial"/>
          <w:sz w:val="16"/>
          <w:szCs w:val="16"/>
          <w:color w:val="auto"/>
        </w:rPr>
        <w:t>With respect to each person, if any, whom the stockholder proposes to nominate for election or reelection to the Board of Directors, a stockholder’s notice must, in addition to the matters set forth in paragraphs (a) and (c) above, also include a completed and signed questionnaire, representation and agreement required by Section 2.9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61" w:lineRule="exact"/>
        <w:rPr>
          <w:rFonts w:ascii="Arial" w:cs="Arial" w:eastAsia="Arial" w:hAnsi="Arial"/>
          <w:sz w:val="16"/>
          <w:szCs w:val="16"/>
          <w:color w:val="auto"/>
        </w:rPr>
      </w:pPr>
    </w:p>
    <w:p>
      <w:pPr>
        <w:jc w:val="both"/>
        <w:ind w:firstLine="1952"/>
        <w:spacing w:after="0" w:line="263" w:lineRule="auto"/>
        <w:tabs>
          <w:tab w:leader="none" w:pos="2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3" w:lineRule="exact"/>
        <w:rPr>
          <w:rFonts w:ascii="Arial" w:cs="Arial" w:eastAsia="Arial" w:hAnsi="Arial"/>
          <w:sz w:val="18"/>
          <w:szCs w:val="18"/>
          <w:color w:val="auto"/>
        </w:rPr>
      </w:pPr>
    </w:p>
    <w:p>
      <w:pPr>
        <w:jc w:val="both"/>
        <w:ind w:firstLine="1952"/>
        <w:spacing w:after="0" w:line="301" w:lineRule="auto"/>
        <w:tabs>
          <w:tab w:leader="none" w:pos="26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the provisions of these By-laws, a stockholder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pursuant to Section 2.7 of these By-laws.</w:t>
      </w:r>
    </w:p>
    <w:p>
      <w:pPr>
        <w:spacing w:after="0" w:line="157" w:lineRule="exact"/>
        <w:rPr>
          <w:rFonts w:ascii="Arial" w:cs="Arial" w:eastAsia="Arial" w:hAnsi="Arial"/>
          <w:sz w:val="16"/>
          <w:szCs w:val="16"/>
          <w:color w:val="auto"/>
        </w:rPr>
      </w:pPr>
    </w:p>
    <w:p>
      <w:pPr>
        <w:jc w:val="both"/>
        <w:ind w:firstLine="1952"/>
        <w:spacing w:after="0" w:line="296" w:lineRule="auto"/>
        <w:tabs>
          <w:tab w:leader="none" w:pos="26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 except as explicitly provided in Section 2.13 of these By-laws.</w:t>
      </w:r>
    </w:p>
    <w:p>
      <w:pPr>
        <w:spacing w:after="0" w:line="16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for election or reelection as a director of the Corporation, a person nominated by a stockholder for election or reelection to the Board of Directors must deliver (in accordance with the time periods prescribed for delivery of notice under Section 2.8 and Section 2.13, as applicable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w:t>
      </w:r>
    </w:p>
    <w:p>
      <w:pPr>
        <w:spacing w:after="0" w:line="1" w:lineRule="exact"/>
        <w:rPr>
          <w:sz w:val="20"/>
          <w:szCs w:val="20"/>
          <w:color w:val="auto"/>
        </w:rPr>
      </w:pPr>
    </w:p>
    <w:p>
      <w:pPr>
        <w:jc w:val="both"/>
        <w:ind w:firstLine="8"/>
        <w:spacing w:after="0" w:line="268" w:lineRule="auto"/>
        <w:tabs>
          <w:tab w:leader="none" w:pos="2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will comply with the Corporation’s stock ownership guidelines for directors, if any, and has disclosed therein whether all or any portion of securities of the Corporation were purchased with any financial assistance provided by any other person and whether any other person has any interest in such securities, and (D) 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(E) will abide by the requirements of Section 2.10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180"/>
        <w:spacing w:after="0"/>
        <w:tabs>
          <w:tab w:leader="none" w:pos="14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Procedure for Election of Directors; Required Vote</w:t>
      </w:r>
      <w:r>
        <w:rPr>
          <w:rFonts w:ascii="Arial" w:cs="Arial" w:eastAsia="Arial" w:hAnsi="Arial"/>
          <w:sz w:val="16"/>
          <w:szCs w:val="16"/>
          <w:color w:val="auto"/>
        </w:rPr>
        <w:t>.</w:t>
      </w:r>
    </w:p>
    <w:p>
      <w:pPr>
        <w:spacing w:after="0" w:line="225" w:lineRule="exact"/>
        <w:rPr>
          <w:sz w:val="20"/>
          <w:szCs w:val="20"/>
          <w:color w:val="auto"/>
        </w:rPr>
      </w:pPr>
    </w:p>
    <w:p>
      <w:pPr>
        <w:jc w:val="both"/>
        <w:ind w:left="-1120" w:firstLine="1304"/>
        <w:spacing w:after="0" w:line="286" w:lineRule="auto"/>
        <w:tabs>
          <w:tab w:leader="none" w:pos="7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Except as set forth below, election of directors at all meetings of the stockholders at which directors are to be elected shall be by ballot, and, subject to the rights of the holders of any series of Preferred Stock to elect directors under specified circumstances, a majority of the votes cast at any meeting for the election of directors at which a quorum is present shall elect directors. For purposes of this By-law, a majority of votes cast shall mean that the number of shares voted “for” a director’s election exceeds 50% of the number of votes cast with respect to that director’s election.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close of the applicable notice of nomination period set forth in Section 2.8 of these By-laws or under applicable law, based on whether one or more notice(s) of nomination were timely filed in accordance with Section 2.8 or Section 2.13,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70" w:lineRule="exact"/>
        <w:rPr>
          <w:rFonts w:ascii="Arial" w:cs="Arial" w:eastAsia="Arial" w:hAnsi="Arial"/>
          <w:sz w:val="16"/>
          <w:szCs w:val="16"/>
          <w:color w:val="auto"/>
        </w:rPr>
      </w:pPr>
    </w:p>
    <w:p>
      <w:pPr>
        <w:jc w:val="both"/>
        <w:ind w:left="-1120" w:firstLine="1304"/>
        <w:spacing w:after="0" w:line="286" w:lineRule="auto"/>
        <w:tabs>
          <w:tab w:leader="none" w:pos="8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 nominee for director who is an incumbent director is not elected and no successor has been elected at such meeting, the director shall promptly tender his or her resignation to the Board of Directors in accordance with the agreement contemplated by clause (E) of Section 2.9 of these By-laws. The Nominations and Governance Committee shall make a recommendation to the Board of Directors as to whether to accept or reject the tendered resignation, or whether other action should be taken. The Board of Directors shall act on the tendered resignation, taking into account the Nominations and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Nominations and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Nominations and Governance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Section 3.9 of these By-laws or may decrease the size of the Board of Directors pursuant to the provisions of Section 3.2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firstLine="1304"/>
        <w:spacing w:after="0" w:line="263" w:lineRule="auto"/>
        <w:tabs>
          <w:tab w:leader="none" w:pos="1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Inspectors of Elections; Opening and Closing the Polls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3" w:lineRule="auto"/>
        <w:tabs>
          <w:tab w:leader="none" w:pos="18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Board of Directors by resolution shall appoint one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64" w:lineRule="exact"/>
        <w:rPr>
          <w:rFonts w:ascii="Arial" w:cs="Arial" w:eastAsia="Arial" w:hAnsi="Arial"/>
          <w:sz w:val="16"/>
          <w:szCs w:val="16"/>
          <w:color w:val="auto"/>
        </w:rPr>
      </w:pPr>
    </w:p>
    <w:p>
      <w:pPr>
        <w:ind w:firstLine="1304"/>
        <w:spacing w:after="0" w:line="277" w:lineRule="auto"/>
        <w:tabs>
          <w:tab w:leader="none" w:pos="19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Chairman of the meeting shall be appointed by the inspector or inspectors to fix and announce at the meeting the date and time of the opening and the closing of the polls for each matter upon which the stockholders will vote at a meeting.</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No Stockholder Action by Written Consent</w:t>
      </w:r>
      <w:r>
        <w:rPr>
          <w:rFonts w:ascii="Arial" w:cs="Arial" w:eastAsia="Arial" w:hAnsi="Arial"/>
          <w:sz w:val="17"/>
          <w:szCs w:val="17"/>
          <w:color w:val="auto"/>
        </w:rPr>
        <w:t>. Subject to the rights of the holders of any series of Preferred Stock with respect to such series of Preferred Stock, any action required or permitted to be taken by the stockholders of the Corporation must be effected at an annual or special meeting of stockholders of the Corporation and may not be effected by any consent in writing by such stockholders.</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Stockholder Nominations Included in the Corporation’s Proxy Materials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Inclusion of Nominee in Proxy Statement</w:t>
      </w:r>
      <w:r>
        <w:rPr>
          <w:rFonts w:ascii="Arial" w:cs="Arial" w:eastAsia="Arial" w:hAnsi="Arial"/>
          <w:sz w:val="18"/>
          <w:szCs w:val="18"/>
          <w:color w:val="auto"/>
        </w:rPr>
        <w:t>. Subject to the provisions of this Section 2.13, if expressly requested in the relevant Nomination Notice (as defined below), the Corporation shall include in its proxy statement for annual meetings of stockholders at which directors will be elected beginning with the Corporation’s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952"/>
        <w:spacing w:after="0" w:line="257" w:lineRule="auto"/>
        <w:tabs>
          <w:tab w:leader="none" w:pos="28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name of any qualifying person nominated for election (the “Nominee”), which shall also be included on the Corporation’s form of proxy and ballot, by any Eligible Holder (as defined below) or group of up to 20 Eligible Holders that has (individually and collectively, in the case of a group) satisfied, as determined by the Board of Directors or its designee, acting in good faith, all applicable conditions and complied with all applicable procedures set forth in this Section 2.13 (such Eligible Holder or group of Eligible Holders being a “Nominating Stockholder”);</w:t>
      </w:r>
    </w:p>
    <w:p>
      <w:pPr>
        <w:spacing w:after="0" w:line="187" w:lineRule="exact"/>
        <w:rPr>
          <w:rFonts w:ascii="Arial" w:cs="Arial" w:eastAsia="Arial" w:hAnsi="Arial"/>
          <w:sz w:val="18"/>
          <w:szCs w:val="18"/>
          <w:color w:val="auto"/>
        </w:rPr>
      </w:pPr>
    </w:p>
    <w:p>
      <w:pPr>
        <w:ind w:right="20" w:firstLine="1952"/>
        <w:spacing w:after="0" w:line="277" w:lineRule="auto"/>
        <w:tabs>
          <w:tab w:leader="none" w:pos="2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disclosure about the Nominee and the Nominating Stockholder that the Corporation determines is required under the rules of the Securities and Exchange Commission (“SEC”) or other applicable law to be included in the proxy statement;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8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single statement included by the Nominating Stockholder in the Nomination Notice for inclusion in the proxy statement in support of each Nominee(s)’ election to the Board of Directors (subject, without limitation, to Section 2.13(F)), if such statement does not exceed 500 words; and</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69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other information that the Corporation or the Board of Directors determines, in their discretion, to include in the proxy statement or other materials relating to the nomination of the Nominee, including, without limitation, any statement or other soliciting material in opposition to or with respect to the nomination and any of the information provided pursuant to this Section or otherwise.</w:t>
      </w:r>
    </w:p>
    <w:p>
      <w:pPr>
        <w:spacing w:after="0" w:line="165" w:lineRule="exact"/>
        <w:rPr>
          <w:rFonts w:ascii="Arial" w:cs="Arial" w:eastAsia="Arial" w:hAnsi="Arial"/>
          <w:sz w:val="17"/>
          <w:szCs w:val="17"/>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Maximum Number of Nominees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shall not be required to include in the proxy statement for an annual meeting of stockholders more Nominees than that number of directors constituting 25% of the total number of directors of the Corporation in office on the last day on which a Nomination Notice may be submitted pursuant to this Section 2.13 (rounded down to the nearest whole number) (the “Maximum Number”). The Maximum Number for a particular annual meeting shall be reduced by:</w:t>
      </w:r>
    </w:p>
    <w:p>
      <w:pPr>
        <w:spacing w:after="0" w:line="187" w:lineRule="exact"/>
        <w:rPr>
          <w:sz w:val="20"/>
          <w:szCs w:val="20"/>
          <w:color w:val="auto"/>
        </w:rPr>
      </w:pPr>
    </w:p>
    <w:p>
      <w:pPr>
        <w:jc w:val="both"/>
        <w:ind w:right="100" w:firstLine="1952"/>
        <w:spacing w:after="0" w:line="259" w:lineRule="auto"/>
        <w:tabs>
          <w:tab w:leader="none" w:pos="2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Nominee(s) nominated by a Nominating Stockholder pursuant to this Section 2.13 for such annual meeting who are subsequently withdrawn or whom the Board of Directors itself decides to nominate for election at such annual meeting or otherwise appoint to the Board of Directors (provided that a Nominee appointed pursuant to an agreement, arrangement or other understanding with a stockholder or group of stockholders shall be counted only once under clauses (i) and (iii) of this Section 2.13(B));</w:t>
      </w:r>
    </w:p>
    <w:p>
      <w:pPr>
        <w:spacing w:after="0" w:line="186" w:lineRule="exact"/>
        <w:rPr>
          <w:rFonts w:ascii="Arial" w:cs="Arial" w:eastAsia="Arial" w:hAnsi="Arial"/>
          <w:sz w:val="18"/>
          <w:szCs w:val="18"/>
          <w:color w:val="auto"/>
        </w:rPr>
      </w:pPr>
    </w:p>
    <w:p>
      <w:pPr>
        <w:jc w:val="both"/>
        <w:ind w:right="100" w:firstLine="1952"/>
        <w:spacing w:after="0" w:line="286" w:lineRule="auto"/>
        <w:tabs>
          <w:tab w:leader="none" w:pos="26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incumbent director(s) who had been Nominees nominated by a Nominating Stockholder pursuant to this Section 2.13 with respect to either of the two preceding annual meetings other than any such director referred to in this clause (ii) whose term of office will expire at such annual meeting and who is not seeking (or agreeing) to be nominated at such annual meeting for another term of office; and</w:t>
      </w:r>
    </w:p>
    <w:p>
      <w:pPr>
        <w:spacing w:after="0" w:line="165" w:lineRule="exact"/>
        <w:rPr>
          <w:rFonts w:ascii="Arial" w:cs="Arial" w:eastAsia="Arial" w:hAnsi="Arial"/>
          <w:sz w:val="17"/>
          <w:szCs w:val="17"/>
          <w:color w:val="auto"/>
        </w:rPr>
      </w:pPr>
    </w:p>
    <w:p>
      <w:pPr>
        <w:jc w:val="both"/>
        <w:ind w:right="100" w:firstLine="1952"/>
        <w:spacing w:after="0" w:line="273" w:lineRule="auto"/>
        <w:tabs>
          <w:tab w:leader="none" w:pos="26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director(s) in office or director candidate(s) that in either case were elected or appointed to the Board of Directors or will be included in the Corporation’s proxy statement with respect to such annual meeting as an unopposed (by the Corporation) nominee, pursuant to an agreement, arrangement or other understanding with a stockholder or group of stockholders (other than any such agreement, arrangement or understanding entered into in connection with an acquisition of shares of the stock of the Corporation entitled to vote generally in the election of directors, by such stockholder or group of stockholders, from the Corporation), other than any such director referred to in this clause (iii) who at the time of such annual meeting will have served as a director continuously for at least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right="1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circumstance shall the Maximum Number exceed the number of directors to be elected at the applicable annual meeting as noticed by the Corporation;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the event that one or more vacancies for any reason occurs on the Board of Directors before the date of the annual meeting, and the Board of Directors resolves to reduce the size of the board in connection therewith, the Maximum Number shall be calculated based on the number of directors in office as so reduced.</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Nominating Stockholder submitting more than one Nominee for inclusion in the Corporation’s proxy statement pursuant to this Section 2.13 shall rank such Nominees based on the order that the Nominating Stockholder prefers such Nominees to be selected for inclusion in the Corporation’s proxy statement and include such specified rank in its Nomination Notice. If the number of Nominees pursuant to this Section 2.13 for any annual meeting of stockholders exceeds the Maximum Number then, the highest ranking Nominee who meets the requirements of this Section 2.13 from each Nominating Stockholder will be selected for inclusion in the proxy statement until the Maximum Number is reached, going in order of the amount (largest to smallest) of the ownership position as disclosed in each Nominating Stockholder’s Nomination Notice. If the Maximum Number is not reached after the highest ranking Nominee from each Nominating Stockholder has been selected, this selection process will continue as many times as necessary, following the same order each time, until the Maximum Number is reached. If, after the deadline for submitting a Nomination Notice as set forth in Section 2.13(D), a Nominating Stockholder becomes ineligible or withdraws its nomination or a Nominee becomes unwilling to serve on the Board of Directors, whether before or after the mailing of the definitive proxy statement, then the nomination shall be disregarded, and the Corporation: (1) shall not be required to include in its proxy statement or on any ballot or form of proxy the disregarded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184" w:lineRule="exact"/>
        <w:rPr>
          <w:sz w:val="20"/>
          <w:szCs w:val="20"/>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Eligibility of Nominating Stockholder</w:t>
      </w:r>
      <w:r>
        <w:rPr>
          <w:rFonts w:ascii="Arial" w:cs="Arial" w:eastAsia="Arial" w:hAnsi="Arial"/>
          <w:sz w:val="18"/>
          <w:szCs w:val="18"/>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“Eligible Holder” is a person who has either (1) been a record holder of the shares of common stock used to satisfy the eligibility requirements in this Section 2.13(C) continuously for the three-year period specified in Subsection (ii) below or (2) provides to the Secretary of the Corporation, within the time period referred to in Section 2.13(D), evidence of continuous ownership of such shares for such three-year period from one or more securities intermediaries in a form that the Board of Directors or its designee, acting in good faith, determines would be deemed acceptable for purposes of a shareholder proposal under Rule 14a-8(b)(2) under the Securities Exchange Act of 1934 (the “Exchange Act”) (or any successor rule).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Eligible Holder or group of up to 20 Eligible Holders may submit a nomination in accordance with this Section 2.13 only if the person or group (in the aggregate) has continuously owned at least the Minimum Number (as defined below) of shares of the Corporation’s common stock throughout the three-year period preceding and including the date of submission of the Nomination Notice, and continues to own at least the Minimum Number through the date of the annual meeting. A group of funds shall be treated as one Eligible Holder for the purpose of determining the aggregate number of stockholders in this paragraph (C) if such Eligible Holder shall provide, together with the Nomination Notice, documentation reasonably satisfactory to the Corporation that demonstrates that the funds are (A) under common management and investment control, (B) under common management and funded primarily by the same employer, or (C) a “group of investment companies” as such term is defined in Section 12(d)(1)(G)(ii) of the Investment Company Act of 1940, as amended, and each fund otherwise meets the requirements set forth in this Section 2.13. A record holder acting on behalf of one or more beneficial owners will not be counted separately as a stockholder with respect to the shares owned by beneficial owners on whose behalf such record holder has been directed in writing to act, but each such beneficial owner will be counted separately, subject to the other provisions of this paragraph (C), for purposes of determining the number of stockholders whose holdings may be considered as part of an Eligible Holder’s holdings. For the avoidance of doubt, in the event of a nomination by a group of Eligible Holders, any and all requirements and obligations for an individual Eligible Holder that are set forth in this Section 2.13, including the minimum holding period, shall apply to each member of such group; provided, however, that the Minimum Number shall apply to the ownership of the group in the aggregate. Should any stockholder withdraw from a group of Eligible Holders at any time prior to the annual meeting of stockholders, the group of Eligible Holders shall only be deemed to own the shares held by the remaining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right="20"/>
        <w:spacing w:after="0" w:line="308" w:lineRule="auto"/>
        <w:rPr>
          <w:sz w:val="20"/>
          <w:szCs w:val="20"/>
          <w:color w:val="auto"/>
        </w:rPr>
      </w:pPr>
      <w:r>
        <w:rPr>
          <w:rFonts w:ascii="Arial" w:cs="Arial" w:eastAsia="Arial" w:hAnsi="Arial"/>
          <w:sz w:val="17"/>
          <w:szCs w:val="17"/>
          <w:color w:val="auto"/>
        </w:rPr>
        <w:t>The “Minimum Number” of shares of the Corporation’s common stock means 3% of the number of outstanding shares of common stock as of the most recent date for which such amount is given in any filing by the Corporation with the SEC prior to the submission of the Nomination Notice.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Section, an Eligible Holder “owns” only those outstanding shares of the Corporation as to which the Eligible Holder possesses both:</w:t>
      </w:r>
    </w:p>
    <w:p>
      <w:pPr>
        <w:spacing w:after="0" w:line="248" w:lineRule="exact"/>
        <w:rPr>
          <w:sz w:val="20"/>
          <w:szCs w:val="20"/>
          <w:color w:val="auto"/>
        </w:rPr>
      </w:pPr>
    </w:p>
    <w:p>
      <w:pPr>
        <w:ind w:left="2620" w:hanging="668"/>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the shares; and</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and risk of loss on) such shares;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provided that the number of shares calculated in accordance with clauses (i) and (ii) shall not include (and to the extent any of the following arrangements have been entered into by affiliates of the Eligible Holder (or of any Eligible Holder), shall be reduced by) any shares: (1) sold by such Eligible Holder or any of its affiliates in any transaction that has not been settled or closed, including any short sale,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right="60"/>
        <w:spacing w:after="0" w:line="270" w:lineRule="auto"/>
        <w:rPr>
          <w:sz w:val="20"/>
          <w:szCs w:val="20"/>
          <w:color w:val="auto"/>
        </w:rPr>
      </w:pPr>
      <w:r>
        <w:rPr>
          <w:rFonts w:ascii="Arial" w:cs="Arial" w:eastAsia="Arial" w:hAnsi="Arial"/>
          <w:sz w:val="17"/>
          <w:szCs w:val="17"/>
          <w:color w:val="auto"/>
        </w:rPr>
        <w:t>An Eligible Holder “owns” shares held in the name of a nominee or other intermediary so long as the Eligible Holder retains the right to instruct how the shares are voted with respect to the election of directors and the right to direct the disposition thereof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which in all such cases is revocable at any time by the Eligible Holder. An Eligible Holder’s ownership of shares shall be deemed to continue during any period in which the Eligible Holder has loaned such shares provided that the Eligible Holder has retained the power to recall such loaned shares on no greater than five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w:t>
      </w:r>
    </w:p>
    <w:p>
      <w:pPr>
        <w:spacing w:after="0" w:line="181" w:lineRule="exact"/>
        <w:rPr>
          <w:sz w:val="20"/>
          <w:szCs w:val="20"/>
          <w:color w:val="auto"/>
        </w:rPr>
      </w:pPr>
    </w:p>
    <w:p>
      <w:pPr>
        <w:jc w:val="both"/>
        <w:ind w:firstLine="1952"/>
        <w:spacing w:after="0" w:line="263" w:lineRule="auto"/>
        <w:tabs>
          <w:tab w:leader="none" w:pos="2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person shall be permitted to be in more than one group constituting a Nominating Stockholder (and no shares of common stock may be attributed to more than one Nominating Stockholder), and if any person appears as a member of more than one group, it shall be deemed to be a member of the group that has the largest ownership position as reflected in the Nomination Notice.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84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Nomination Notice</w:t>
      </w:r>
      <w:r>
        <w:rPr>
          <w:rFonts w:ascii="Arial" w:cs="Arial" w:eastAsia="Arial" w:hAnsi="Arial"/>
          <w:sz w:val="18"/>
          <w:szCs w:val="18"/>
          <w:color w:val="auto"/>
        </w:rPr>
        <w:t>. To nominate a Nominee, the Nominating Stockholder must, for receipt no earlier than 150 calendar days and no later than 120 calendar days before the anniversary of the date that the Corporation mailed its proxy statement for the prior year’s annual meeting of stockholders, submit to the Secretary of the Corporation at the principal executive office of the Corporation all of the following information and documents (collectively, the “Nomination Notice”):</w:t>
      </w:r>
    </w:p>
    <w:p>
      <w:pPr>
        <w:spacing w:after="0" w:line="186" w:lineRule="exact"/>
        <w:rPr>
          <w:rFonts w:ascii="Arial" w:cs="Arial" w:eastAsia="Arial" w:hAnsi="Arial"/>
          <w:sz w:val="18"/>
          <w:szCs w:val="18"/>
          <w:color w:val="auto"/>
        </w:rPr>
      </w:pPr>
    </w:p>
    <w:p>
      <w:pPr>
        <w:ind w:right="100" w:firstLine="1952"/>
        <w:spacing w:after="0" w:line="277" w:lineRule="auto"/>
        <w:tabs>
          <w:tab w:leader="none" w:pos="27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written notice of the nomination of such Nominee that includes the following additional information, agreements, representations and warranties by the Nominating Stockholder (including each group member):</w:t>
      </w:r>
    </w:p>
    <w:p>
      <w:pPr>
        <w:spacing w:after="0" w:line="170" w:lineRule="exact"/>
        <w:rPr>
          <w:rFonts w:ascii="Arial" w:cs="Arial" w:eastAsia="Arial" w:hAnsi="Arial"/>
          <w:sz w:val="18"/>
          <w:szCs w:val="18"/>
          <w:color w:val="auto"/>
        </w:rPr>
      </w:pPr>
    </w:p>
    <w:p>
      <w:pPr>
        <w:ind w:left="3280" w:hanging="680"/>
        <w:spacing w:after="0"/>
        <w:tabs>
          <w:tab w:leader="none" w:pos="328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information required in the case of a nomination of directors pursuant to Section 2.8 and 2.9 of these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10" w:lineRule="exact"/>
        <w:rPr>
          <w:rFonts w:ascii="Arial" w:cs="Arial" w:eastAsia="Arial" w:hAnsi="Arial"/>
          <w:sz w:val="16"/>
          <w:szCs w:val="16"/>
          <w:color w:val="auto"/>
        </w:rPr>
      </w:pPr>
    </w:p>
    <w:p>
      <w:pPr>
        <w:jc w:val="both"/>
        <w:ind w:right="60" w:firstLine="2600"/>
        <w:spacing w:after="0" w:line="263" w:lineRule="auto"/>
        <w:tabs>
          <w:tab w:leader="none" w:pos="3386"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details of any relationship that existed within the past three years and that would have been described pursuant to Item 6(e) of Schedule 14N (or any successor item) had it existed if a Schedule 14N were submitted as of the date of submission of the Nomination Notice;</w:t>
      </w:r>
    </w:p>
    <w:p>
      <w:pPr>
        <w:spacing w:after="0" w:line="183" w:lineRule="exact"/>
        <w:rPr>
          <w:rFonts w:ascii="Arial" w:cs="Arial" w:eastAsia="Arial" w:hAnsi="Arial"/>
          <w:sz w:val="18"/>
          <w:szCs w:val="18"/>
          <w:color w:val="auto"/>
        </w:rPr>
      </w:pPr>
    </w:p>
    <w:p>
      <w:pPr>
        <w:jc w:val="both"/>
        <w:ind w:right="60" w:firstLine="2600"/>
        <w:spacing w:after="0" w:line="263" w:lineRule="auto"/>
        <w:tabs>
          <w:tab w:leader="none" w:pos="3633"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acquired the common stock of the Corporation in the ordinary course of business and did not acquire, and is not holding, securities of the Corporation for the purpose or with the effect or intent of influencing or changing control of the Corporation;</w:t>
      </w:r>
    </w:p>
    <w:p>
      <w:pPr>
        <w:spacing w:after="0" w:line="183" w:lineRule="exact"/>
        <w:rPr>
          <w:rFonts w:ascii="Arial" w:cs="Arial" w:eastAsia="Arial" w:hAnsi="Arial"/>
          <w:sz w:val="18"/>
          <w:szCs w:val="18"/>
          <w:color w:val="auto"/>
        </w:rPr>
      </w:pPr>
    </w:p>
    <w:p>
      <w:pPr>
        <w:ind w:left="3440" w:hanging="840"/>
        <w:spacing w:after="0"/>
        <w:tabs>
          <w:tab w:leader="none" w:pos="34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 representation and warranty that the Nominee’s candidacy or, if elected, Board membership would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violate applicable state or federal law or the rules of any stock exchange on which the Corporation’s securities are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left="-1120" w:firstLine="2600"/>
        <w:spacing w:after="0" w:line="254" w:lineRule="auto"/>
        <w:tabs>
          <w:tab w:leader="none" w:pos="22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and warranty that the Nominee: does not have any direct or indirect relationship with the Corporation other than those relationships that have been deemed categorically immaterial pursuant to the Corporation’s Director Independence Guidelines as most recently published on its website and otherwise qualifies as independent under the rules of the primary stock exchange on which the Corporation’s securities are traded; meets the director qualifications set forth in Exhibit A to the Corporation’s Governance Guidelines; and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Nominee;</w:t>
      </w:r>
    </w:p>
    <w:p>
      <w:pPr>
        <w:spacing w:after="0" w:line="194" w:lineRule="exact"/>
        <w:rPr>
          <w:rFonts w:ascii="Arial" w:cs="Arial" w:eastAsia="Arial" w:hAnsi="Arial"/>
          <w:sz w:val="18"/>
          <w:szCs w:val="18"/>
          <w:color w:val="auto"/>
        </w:rPr>
      </w:pPr>
    </w:p>
    <w:p>
      <w:pPr>
        <w:ind w:left="-1120" w:firstLine="2600"/>
        <w:spacing w:after="0" w:line="277" w:lineRule="auto"/>
        <w:tabs>
          <w:tab w:leader="none" w:pos="21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satisfies the eligibility requirements set forth in Section 2.13(C) and has provided evidence of ownership to the extent required by Section 2.13(C);</w:t>
      </w:r>
    </w:p>
    <w:p>
      <w:pPr>
        <w:spacing w:after="0" w:line="170" w:lineRule="exact"/>
        <w:rPr>
          <w:rFonts w:ascii="Arial" w:cs="Arial" w:eastAsia="Arial" w:hAnsi="Arial"/>
          <w:sz w:val="18"/>
          <w:szCs w:val="18"/>
          <w:color w:val="auto"/>
        </w:rPr>
      </w:pPr>
    </w:p>
    <w:p>
      <w:pPr>
        <w:jc w:val="both"/>
        <w:ind w:left="-1120" w:firstLine="2600"/>
        <w:spacing w:after="0" w:line="257" w:lineRule="auto"/>
        <w:tabs>
          <w:tab w:leader="none" w:pos="2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intends to continue to satisfy the eligibility requirements described in Section 2.13(C) through the date of the annual meeting and intends (subject to any fiduciary obligations to the contrary, any contractual delegation of investment discretion to a third-party manager, or any mandatory fund rebalancing required by such stockholder’s preexisting governing instruments or written investment policies) to continue to hold the Minimum Number of shares for at least one year following the annual meeting;</w:t>
      </w:r>
    </w:p>
    <w:p>
      <w:pPr>
        <w:spacing w:after="0" w:line="187" w:lineRule="exact"/>
        <w:rPr>
          <w:rFonts w:ascii="Arial" w:cs="Arial" w:eastAsia="Arial" w:hAnsi="Arial"/>
          <w:sz w:val="18"/>
          <w:szCs w:val="18"/>
          <w:color w:val="auto"/>
        </w:rPr>
      </w:pPr>
    </w:p>
    <w:p>
      <w:pPr>
        <w:jc w:val="both"/>
        <w:ind w:left="-1120" w:firstLine="2600"/>
        <w:spacing w:after="0" w:line="263" w:lineRule="auto"/>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details of any position of the Nominee as an officer or director of any competitor (that is, any entity that produces products or provides services that compete with or are alternatives to the products produced or services provided by the Corporation or its affiliates) of the Corporation, within the three years preceding the submission of the Nomination Notice;</w:t>
      </w:r>
    </w:p>
    <w:p>
      <w:pPr>
        <w:spacing w:after="0" w:line="183" w:lineRule="exact"/>
        <w:rPr>
          <w:rFonts w:ascii="Arial" w:cs="Arial" w:eastAsia="Arial" w:hAnsi="Arial"/>
          <w:sz w:val="18"/>
          <w:szCs w:val="18"/>
          <w:color w:val="auto"/>
        </w:rPr>
      </w:pPr>
    </w:p>
    <w:p>
      <w:pPr>
        <w:jc w:val="both"/>
        <w:ind w:left="-1120" w:firstLine="2600"/>
        <w:spacing w:after="0" w:line="311" w:lineRule="auto"/>
        <w:tabs>
          <w:tab w:leader="none" w:pos="21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Stockholder will not engage in, and has not and will not be a “participant” in another person’s, “solicitation” within the meaning of Rule 14a-1(l) (without reference to the exception in Section 14a-(l)(2)(iv)) (or any successor rules) with respect to the annual meeting, other than with respect to the Nominating Stockholder’s Nominee or any nominee of the Board;</w:t>
      </w:r>
    </w:p>
    <w:p>
      <w:pPr>
        <w:spacing w:after="0" w:line="148" w:lineRule="exact"/>
        <w:rPr>
          <w:rFonts w:ascii="Arial" w:cs="Arial" w:eastAsia="Arial" w:hAnsi="Arial"/>
          <w:sz w:val="16"/>
          <w:szCs w:val="16"/>
          <w:color w:val="auto"/>
        </w:rPr>
      </w:pPr>
    </w:p>
    <w:p>
      <w:pPr>
        <w:ind w:left="-1120" w:firstLine="2600"/>
        <w:spacing w:after="0" w:line="277" w:lineRule="auto"/>
        <w:tabs>
          <w:tab w:leader="none" w:pos="21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will not use (or distribute to any stockholder) any form of proxy or proxy card other than the Corporation’s proxy card;</w:t>
      </w:r>
    </w:p>
    <w:p>
      <w:pPr>
        <w:spacing w:after="0" w:line="170" w:lineRule="exact"/>
        <w:rPr>
          <w:rFonts w:ascii="Arial" w:cs="Arial" w:eastAsia="Arial" w:hAnsi="Arial"/>
          <w:sz w:val="18"/>
          <w:szCs w:val="18"/>
          <w:color w:val="auto"/>
        </w:rPr>
      </w:pPr>
    </w:p>
    <w:p>
      <w:pPr>
        <w:ind w:left="-1120" w:firstLine="2600"/>
        <w:spacing w:after="0" w:line="308" w:lineRule="auto"/>
        <w:tabs>
          <w:tab w:leader="none" w:pos="21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Stockholder has not nominated and will not nominate for election to the Board of Directors at the annual meeting any person other than the Nominee(s) being nominated pursuant to this Section 2.13.</w:t>
      </w:r>
    </w:p>
    <w:p>
      <w:pPr>
        <w:spacing w:after="0" w:line="146" w:lineRule="exact"/>
        <w:rPr>
          <w:rFonts w:ascii="Arial" w:cs="Arial" w:eastAsia="Arial" w:hAnsi="Arial"/>
          <w:sz w:val="17"/>
          <w:szCs w:val="17"/>
          <w:color w:val="auto"/>
        </w:rPr>
      </w:pPr>
    </w:p>
    <w:p>
      <w:pPr>
        <w:jc w:val="both"/>
        <w:ind w:left="-1120" w:firstLine="2600"/>
        <w:spacing w:after="0" w:line="263" w:lineRule="auto"/>
        <w:tabs>
          <w:tab w:leader="none" w:pos="22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desired, one statement for inclusion in the proxy statement in support of the Nominee’s election to the Board of Directors, provided that such statement shall not exceed 500 words and shall fully comply with Section 14 of the Exchange Act and the rules and regulations thereunder, including Rule 14a-9;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400050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17" w:name="page18"/>
    <w:bookmarkEnd w:id="17"/>
    <w:p>
      <w:pPr>
        <w:jc w:val="both"/>
        <w:ind w:left="-1120" w:firstLine="2600"/>
        <w:spacing w:after="0" w:line="263" w:lineRule="auto"/>
        <w:tabs>
          <w:tab w:leader="none" w:pos="21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Holder, the designation by all group members of one group member that is authorized to act on behalf of all group members with respect to matters relating to the nomination, including withdrawal of the nomination;</w:t>
      </w:r>
    </w:p>
    <w:p>
      <w:pPr>
        <w:spacing w:after="0" w:line="183" w:lineRule="exact"/>
        <w:rPr>
          <w:rFonts w:ascii="Arial" w:cs="Arial" w:eastAsia="Arial" w:hAnsi="Arial"/>
          <w:sz w:val="18"/>
          <w:szCs w:val="18"/>
          <w:color w:val="auto"/>
        </w:rPr>
      </w:pPr>
    </w:p>
    <w:p>
      <w:pPr>
        <w:ind w:left="-1120" w:right="40" w:firstLine="1952"/>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executed agreement, in a form deemed satisfactory by the Board of Directors or its designee, acting in good faith, pursuant to which the Nominating Stockholder (including each group member) agrees:</w:t>
      </w:r>
    </w:p>
    <w:p>
      <w:pPr>
        <w:spacing w:after="0" w:line="170" w:lineRule="exact"/>
        <w:rPr>
          <w:rFonts w:ascii="Arial" w:cs="Arial" w:eastAsia="Arial" w:hAnsi="Arial"/>
          <w:sz w:val="18"/>
          <w:szCs w:val="18"/>
          <w:color w:val="auto"/>
        </w:rPr>
      </w:pPr>
    </w:p>
    <w:p>
      <w:pPr>
        <w:ind w:left="-1120" w:right="20" w:firstLine="2600"/>
        <w:spacing w:after="0" w:line="277" w:lineRule="auto"/>
        <w:tabs>
          <w:tab w:leader="none" w:pos="21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comply with all applicable laws, rules and regulations in connection with their ownership of securities of the Corporation and the nomination, solicitation and election;</w:t>
      </w:r>
    </w:p>
    <w:p>
      <w:pPr>
        <w:spacing w:after="0" w:line="170" w:lineRule="exact"/>
        <w:rPr>
          <w:rFonts w:ascii="Arial" w:cs="Arial" w:eastAsia="Arial" w:hAnsi="Arial"/>
          <w:sz w:val="18"/>
          <w:szCs w:val="18"/>
          <w:color w:val="auto"/>
        </w:rPr>
      </w:pPr>
    </w:p>
    <w:p>
      <w:pPr>
        <w:jc w:val="both"/>
        <w:ind w:left="-1120" w:firstLine="2600"/>
        <w:spacing w:after="0" w:line="259" w:lineRule="auto"/>
        <w:tabs>
          <w:tab w:leader="none" w:pos="22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file with the SEC any written solicitation or other communication with the Corporation’s stockholders relating to the annual meeting at which the Nominee will be nominated or otherwise with respect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spacing w:after="0" w:line="186" w:lineRule="exact"/>
        <w:rPr>
          <w:rFonts w:ascii="Arial" w:cs="Arial" w:eastAsia="Arial" w:hAnsi="Arial"/>
          <w:sz w:val="18"/>
          <w:szCs w:val="18"/>
          <w:color w:val="auto"/>
        </w:rPr>
      </w:pPr>
    </w:p>
    <w:p>
      <w:pPr>
        <w:jc w:val="both"/>
        <w:ind w:left="-1120" w:firstLine="2600"/>
        <w:spacing w:after="0" w:line="263" w:lineRule="auto"/>
        <w:tabs>
          <w:tab w:leader="none" w:pos="21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assume all liability stemming from an action, suit or proceeding concerning any actual or alleged legal or regulatory violation arising out of any communication by the Nominating Stockholder with the Corporation, its stockholders or any other person in connection with the nomination or election of directors, including, without limitation, the Nomination Notice;</w:t>
      </w:r>
    </w:p>
    <w:p>
      <w:pPr>
        <w:spacing w:after="0" w:line="183" w:lineRule="exact"/>
        <w:rPr>
          <w:rFonts w:ascii="Arial" w:cs="Arial" w:eastAsia="Arial" w:hAnsi="Arial"/>
          <w:sz w:val="18"/>
          <w:szCs w:val="18"/>
          <w:color w:val="auto"/>
        </w:rPr>
      </w:pPr>
    </w:p>
    <w:p>
      <w:pPr>
        <w:jc w:val="both"/>
        <w:ind w:left="-1120" w:firstLine="2600"/>
        <w:spacing w:after="0" w:line="255" w:lineRule="auto"/>
        <w:tabs>
          <w:tab w:leader="none" w:pos="22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the information that the Nominating Stockholder provided to the Corporation or a failure or alleged failure of the Nominating Stockholder to comply with, or any breach or alleged breach of, its obligations, agreements or representations under this Section 2.13;</w:t>
      </w:r>
    </w:p>
    <w:p>
      <w:pPr>
        <w:spacing w:after="0" w:line="192" w:lineRule="exact"/>
        <w:rPr>
          <w:rFonts w:ascii="Arial" w:cs="Arial" w:eastAsia="Arial" w:hAnsi="Arial"/>
          <w:sz w:val="18"/>
          <w:szCs w:val="18"/>
          <w:color w:val="auto"/>
        </w:rPr>
      </w:pPr>
    </w:p>
    <w:p>
      <w:pPr>
        <w:jc w:val="both"/>
        <w:ind w:left="-1120" w:firstLine="2600"/>
        <w:spacing w:after="0" w:line="272" w:lineRule="auto"/>
        <w:tabs>
          <w:tab w:leader="none" w:pos="227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the event that any information included in the Nomination Notice, or any other communication by the Nominating Stockholder (including with respect to any group member), with the Corporation, its stockholders or any other person in connection with the nomination or election ceases to be true and accurate in all material respects (or due to a subsequent development omits a material fact necessary to make the statements made not misleading), or that the Nominating Stockholder (including any group member) has failed to continue to satisfy the eligibility requirements described in Section 2.13 (C),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18" w:name="page19"/>
    <w:bookmarkEnd w:id="18"/>
    <w:p>
      <w:pPr>
        <w:ind w:left="2760" w:hanging="808"/>
        <w:spacing w:after="0"/>
        <w:tabs>
          <w:tab w:leader="none" w:pos="2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executed agreement, in the form deemed satisfactory by the Board of Directors or its designee, acting in good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faith, by the Nominee:</w:t>
      </w:r>
    </w:p>
    <w:p>
      <w:pPr>
        <w:spacing w:after="0" w:line="211" w:lineRule="exact"/>
        <w:rPr>
          <w:sz w:val="20"/>
          <w:szCs w:val="20"/>
          <w:color w:val="auto"/>
        </w:rPr>
      </w:pPr>
    </w:p>
    <w:p>
      <w:pPr>
        <w:ind w:firstLine="2600"/>
        <w:spacing w:after="0" w:line="277" w:lineRule="auto"/>
        <w:tabs>
          <w:tab w:leader="none" w:pos="33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provide to the Corporation a written questionnaire as required by Section 2.9 of these By-laws and such other information as the Corporation may reasonably request;</w:t>
      </w:r>
    </w:p>
    <w:p>
      <w:pPr>
        <w:spacing w:after="0" w:line="170" w:lineRule="exact"/>
        <w:rPr>
          <w:rFonts w:ascii="Arial" w:cs="Arial" w:eastAsia="Arial" w:hAnsi="Arial"/>
          <w:sz w:val="18"/>
          <w:szCs w:val="18"/>
          <w:color w:val="auto"/>
        </w:rPr>
      </w:pPr>
    </w:p>
    <w:p>
      <w:pPr>
        <w:ind w:left="3260" w:hanging="660"/>
        <w:spacing w:after="0"/>
        <w:tabs>
          <w:tab w:leader="none" w:pos="3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making the representations required by Section 2.9(C), 2.9(D) and 2.9(E) of these By-laws; and</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that the Nominee is not and will not become a party to any Voting Commitment; and</w:t>
      </w:r>
    </w:p>
    <w:p>
      <w:pPr>
        <w:spacing w:after="0" w:line="225" w:lineRule="exact"/>
        <w:rPr>
          <w:rFonts w:ascii="Arial" w:cs="Arial" w:eastAsia="Arial" w:hAnsi="Arial"/>
          <w:sz w:val="18"/>
          <w:szCs w:val="18"/>
          <w:color w:val="auto"/>
        </w:rPr>
      </w:pPr>
    </w:p>
    <w:p>
      <w:pPr>
        <w:jc w:val="both"/>
        <w:ind w:right="40" w:firstLine="1952"/>
        <w:spacing w:after="0" w:line="263" w:lineRule="auto"/>
        <w:tabs>
          <w:tab w:leader="none" w:pos="27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letter of resignation executed by such Nominee, which letter shall specify that such Nominee’s resignation is irrevocable and effective upon a determination by the Board of Directors or any committee thereof (excluding for purposes of such determinations, such Nominee) that:</w:t>
      </w:r>
    </w:p>
    <w:p>
      <w:pPr>
        <w:spacing w:after="0" w:line="183" w:lineRule="exact"/>
        <w:rPr>
          <w:rFonts w:ascii="Arial" w:cs="Arial" w:eastAsia="Arial" w:hAnsi="Arial"/>
          <w:sz w:val="18"/>
          <w:szCs w:val="18"/>
          <w:color w:val="auto"/>
        </w:rPr>
      </w:pPr>
    </w:p>
    <w:p>
      <w:pPr>
        <w:jc w:val="both"/>
        <w:ind w:right="40" w:firstLine="2600"/>
        <w:spacing w:after="0" w:line="286" w:lineRule="auto"/>
        <w:tabs>
          <w:tab w:leader="none" w:pos="3247"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of the information provided to the Corporation by the Nominating Stockholder or the Nominee in respect of the nomination of such Nominee pursuant to this Section 2.13 is or was untrue in any material respect (or omitted to state a material fact necessary in order to make the statements made, in light of the circumstances under which they were made, not misleading); or</w:t>
      </w:r>
    </w:p>
    <w:p>
      <w:pPr>
        <w:spacing w:after="0" w:line="165" w:lineRule="exact"/>
        <w:rPr>
          <w:rFonts w:ascii="Arial" w:cs="Arial" w:eastAsia="Arial" w:hAnsi="Arial"/>
          <w:sz w:val="17"/>
          <w:szCs w:val="17"/>
          <w:color w:val="auto"/>
        </w:rPr>
      </w:pPr>
    </w:p>
    <w:p>
      <w:pPr>
        <w:ind w:right="40" w:firstLine="2600"/>
        <w:spacing w:after="0" w:line="277" w:lineRule="auto"/>
        <w:tabs>
          <w:tab w:leader="none" w:pos="32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Nominee, or the Nominating Stockholder who nominated such Nominee, breached any representation or obligation made under or pursuant to these By-laws.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information and documents required by this Section 2.13 (D) shall be: (i) provided with respect to and executed by each group member, in the case of information applicable to group members; and (ii)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Section 2.13(D) (other than such information and documents contemplated to be provided after the date the Nomination Notice is provided) have been delivered to or, if sent by mail, received by the Secretary of the Corporation. In order to be considered timely, the information and documents required by this Section 2.13(D) to be provided to the Corporation must be updated and supplemented, if necessary, in accordance with the requirements to update and supplement a stockholder’s notice for an annual meeting in Section 2.8(A). For the avoidance of doubt, the requirement to update and supplement such information shall not permit an Eligible Holder or other person to change or add any proposed Nominee or be deemed to cure any defects or limit the remedies (including without limitation under these By-laws) available to the Corporation relating to any defect.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9" w:name="page20"/>
    <w:bookmarkEnd w:id="19"/>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jc w:val="both"/>
        <w:ind w:right="40" w:firstLine="1296"/>
        <w:spacing w:after="0" w:line="279" w:lineRule="auto"/>
        <w:rPr>
          <w:sz w:val="20"/>
          <w:szCs w:val="20"/>
          <w:color w:val="auto"/>
        </w:rPr>
      </w:pPr>
      <w:r>
        <w:rPr>
          <w:rFonts w:ascii="Arial" w:cs="Arial" w:eastAsia="Arial" w:hAnsi="Arial"/>
          <w:sz w:val="17"/>
          <w:szCs w:val="17"/>
          <w:color w:val="auto"/>
        </w:rPr>
        <w:t>Notwithstanding anything to the contrary contained in this Section 2.13,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spacing w:after="0" w:line="171" w:lineRule="exact"/>
        <w:rPr>
          <w:sz w:val="20"/>
          <w:szCs w:val="20"/>
          <w:color w:val="auto"/>
        </w:rPr>
      </w:pPr>
    </w:p>
    <w:p>
      <w:pPr>
        <w:ind w:firstLine="1952"/>
        <w:spacing w:after="0" w:line="277" w:lineRule="auto"/>
        <w:tabs>
          <w:tab w:leader="none" w:pos="27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Corporation receives a notice pursuant to Section 2.8 of these By-laws that a stockholder intends to nominate a candidate for director at the annual meeting;</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8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Nominating Stockholder or the designated lead group member, as applicable, or any qualified representative thereof, does not appear at the meeting of stockholders to present the nomination submitted pursuant to this Section 2.13 or the Nominating Stockholder withdraws its nomination;</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acting in good faith, determines that such Nominee’s nomination or election to the Board of Directors would result in the Corporation violating or failing to be in compliance with the Corporation’s By-laws or certificate of incorporation or any applicable law, rule or regulation to which the Corporation is subject, including any rules or regulations of any stock exchange on which the Corporation’s securities are traded;</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8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Nominee was nominated for election to the Board of Directors pursuant to this Section 2.13 at one of the Corporation’s two preceding annual meetings of stockholders and either withdrew or became ineligible or received a vote of less than 25% of the shares of common stock entitled to vote for such Nominee;</w:t>
      </w:r>
    </w:p>
    <w:p>
      <w:pPr>
        <w:spacing w:after="0" w:line="183" w:lineRule="exact"/>
        <w:rPr>
          <w:rFonts w:ascii="Arial" w:cs="Arial" w:eastAsia="Arial" w:hAnsi="Arial"/>
          <w:sz w:val="18"/>
          <w:szCs w:val="18"/>
          <w:color w:val="auto"/>
        </w:rPr>
      </w:pPr>
    </w:p>
    <w:p>
      <w:pPr>
        <w:ind w:firstLine="1952"/>
        <w:spacing w:after="0" w:line="277" w:lineRule="auto"/>
        <w:tabs>
          <w:tab w:leader="none" w:pos="27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Nominee has been, within the past three years, an officer or director of a competitor, as defined for purposes of Section 8 of the Clayton Antitrust Act of 1914, as amended; or</w:t>
      </w:r>
    </w:p>
    <w:p>
      <w:pPr>
        <w:spacing w:after="0" w:line="170" w:lineRule="exact"/>
        <w:rPr>
          <w:rFonts w:ascii="Arial" w:cs="Arial" w:eastAsia="Arial" w:hAnsi="Arial"/>
          <w:sz w:val="18"/>
          <w:szCs w:val="18"/>
          <w:color w:val="auto"/>
        </w:rPr>
      </w:pPr>
    </w:p>
    <w:p>
      <w:pPr>
        <w:jc w:val="both"/>
        <w:ind w:firstLine="1952"/>
        <w:spacing w:after="0" w:line="275" w:lineRule="auto"/>
        <w:tabs>
          <w:tab w:leader="none" w:pos="266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Corporation is notified, or the Board of Directors acting in good faith determines, that a Nominating Stockholder has failed to continue to satisfy the eligibility requirements described in Section 2.13(C), any of the representations and warranties made in the Nomination Notice ceases to be true and accurate in a material respect (or omits a material fact necessary to make the statement not misleading), the Nominee becomes unwilling or unable to serve on the Board of Directors or any material violation or breach occurs of the obligations, agreements, representations or warranties of the Nominating Stockholder or the Nominee under this Section 2.13;</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purposes of this Section 2.13(E), clauses (i), (iii), (iv), (v) and to the extent related to a breach or failure by the Nominee, clause (vi), will result in the exclusion from the proxy statement pursuant to this Section 2.13 of the specific Nominee to whom the ineligibility applies and the ineligibility of such Nominee to be 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clause (ii) and clause (vi), to the extent related to a Nominating Stockholder, will result in the common stock of the Corporation owned by such Nominating Stockholder being excluded from the shares of common stock used to satisfy the eligibility requirements in Section 2.13(C) (and in the case of clause (vi), if as a result the Nomination Notice shall no longer have been filed by an Eligible Holder, the exclusion from the proxy statement pursuant to this Section 2.13 of all of the applicable stockholder’s Nominees from the applicable annual meeting of stockholders or, in the case of clause (ii) or in the case of clause (vi) if the proxy statement has already been filed, the ineligibility of all of such stockholder’s Nominees to be 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 w:name="page21"/>
    <w:bookmarkEnd w:id="20"/>
    <w:p>
      <w:pPr>
        <w:jc w:val="both"/>
        <w:ind w:right="100" w:firstLine="1304"/>
        <w:spacing w:after="0" w:line="291" w:lineRule="auto"/>
        <w:tabs>
          <w:tab w:leader="none" w:pos="18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avoidance of doubt, the Corporation may solicit against, and include in the proxy statement its own statement relating to, any Nominee. Notwithstanding anything to the contrary contained in this Section 2.13, the Corporation may omit from its proxy statement, or may supplement or correct, any information, including all or any portion of the statement in support of the Nominee included in the Nomination Notice, if the Board of Directors in good faith determines that: such information is not true in all material respects or omits a material statement necessary to make the statements made not misleading; such information directly or indirectly impugns character, integrity or personal reputation of, or directly or indirectly makes charges concerning improper, illegal or immoral conduct or associations, without factual foundation, with respect to, any person; or the inclusion of such information in the proxy statement would otherwise violate the SEC proxy rules or any other applicable law, rule or regulation.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Number, Tenure and Qualifications</w:t>
      </w:r>
      <w:r>
        <w:rPr>
          <w:rFonts w:ascii="Arial" w:cs="Arial" w:eastAsia="Arial" w:hAnsi="Arial"/>
          <w:sz w:val="17"/>
          <w:szCs w:val="17"/>
          <w:color w:val="auto"/>
        </w:rPr>
        <w:t>. Subject to the rights of the holders of any series of Preferred Stock to elect directors under specified circumstances, the number of directors shall be fixed from time to time exclusively pursuant to a resolution adopted by a majority of the Whole Board. No decrease in the number of authorized directors constituting the Whole Board shall shorten the term of any incumbent director.</w:t>
      </w:r>
    </w:p>
    <w:p>
      <w:pPr>
        <w:spacing w:after="0" w:line="16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Classes of Directors</w:t>
      </w:r>
      <w:r>
        <w:rPr>
          <w:rFonts w:ascii="Arial" w:cs="Arial" w:eastAsia="Arial" w:hAnsi="Arial"/>
          <w:sz w:val="17"/>
          <w:szCs w:val="17"/>
          <w:color w:val="auto"/>
        </w:rPr>
        <w:t>. Subject to the rights of the holders of any series of Preferred Stock to elect directors under specified circumstances, the directors shall be divided, with respect to the time for which they severally hold office, into three classes, as nearly equal in number as is reasonably possible, with the term of office of the first class to expire at the 2013 annual meeting of stockholders, the term of office of the second class to expire at the 2014 annual meeting of stockholders and the term of office of the third class to expire at the 2015 annual meeting of stockholders, with each director to hold office until his or her successor shall have been duly elected and qualified. At each annual meeting of stockholders, commencing with the 2013 annual meeting, (a)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and (b) if authorized by a resolution of the Board of Directors, directors may be elected to fill any vacancy on the Board of Directors, regardless of how such vacancy shall have been created.</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Regular Meetings</w:t>
      </w:r>
      <w:r>
        <w:rPr>
          <w:rFonts w:ascii="Arial" w:cs="Arial" w:eastAsia="Arial" w:hAnsi="Arial"/>
          <w:sz w:val="18"/>
          <w:szCs w:val="18"/>
          <w:color w:val="auto"/>
        </w:rPr>
        <w:t>. A regular meeting of the Board of Directors shall be held without other notice than this By-law immediately after, and at the same place as, the Annual Meeting of Stockholders. The Board of Directors may, by resolution, provide the time and place for the holding of additional regular meetings without other notice than such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296"/>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and time of the meetings.</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directors shall be given to each director at his or her business or residence in writing by hand delivery, first-class or overnight mail or courier service, telegram, email or facsimile transmission, or orally by telephone. If mailed by first-class mail, such notice shall be deemed adequately delivered when deposited in the United States mails so addressed, with postage thereon prepaid, at least five (5) days before such meeting. If by telegram, overnight mail or courier service, such notice shall be deemed adequately delivered when the telegram is delivered to the telegraph company, or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except for amendments to these By-laws, as provided under Section 10.1 of these By-laws. A meeting may be held at any time without notice if all the directors are present or if those not present waive notice of the meeting in accordance with Section 8.4 of these By-laws.</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Action by Consent of Board of Directors</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Conference Telephone Meetings</w:t>
      </w:r>
      <w:r>
        <w:rPr>
          <w:rFonts w:ascii="Arial" w:cs="Arial" w:eastAsia="Arial" w:hAnsi="Arial"/>
          <w:sz w:val="17"/>
          <w:szCs w:val="17"/>
          <w:color w:val="auto"/>
        </w:rPr>
        <w:t>.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6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Quorum</w:t>
      </w:r>
      <w:r>
        <w:rPr>
          <w:rFonts w:ascii="Arial" w:cs="Arial" w:eastAsia="Arial" w:hAnsi="Arial"/>
          <w:sz w:val="17"/>
          <w:szCs w:val="17"/>
          <w:color w:val="auto"/>
        </w:rPr>
        <w:t>. Subject to Section 3.9 of these By-laws,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7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for a term expiring at the annual meeting of stockholders at which the term of office of the class to which they have been appointed expires and until such director’s successor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296"/>
        <w:spacing w:after="0" w:line="263"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the holders of any series of Preferred Stock with respect to such series of Preferred Stock, any director, or the entire Board of Directors, may be removed from office at any time, but only for cause and only by the affirmative vote of the holders of a majority of the outstanding shares of Voting Stock, voting together as a single class.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Records</w:t>
      </w:r>
      <w:r>
        <w:rPr>
          <w:rFonts w:ascii="Arial" w:cs="Arial" w:eastAsia="Arial" w:hAnsi="Arial"/>
          <w:sz w:val="18"/>
          <w:szCs w:val="18"/>
          <w:color w:val="auto"/>
        </w:rPr>
        <w:t>. The Board of Directors shall cause to be kept a record containing the minutes of the proceedings of the meetings of the Board of Directors and of the stockholders, appropriate stock books and registers and such books of records and accounts as may be necessary for the proper conduct of the business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Appointment</w:t>
      </w:r>
      <w:r>
        <w:rPr>
          <w:rFonts w:ascii="Arial" w:cs="Arial" w:eastAsia="Arial" w:hAnsi="Arial"/>
          <w:sz w:val="17"/>
          <w:szCs w:val="17"/>
          <w:color w:val="auto"/>
        </w:rPr>
        <w:t>. A majority of the Board of Directors may create one or more committees and appoint members of the Board of Directors to serve on the committee or committees. Each committee shall have one or more members, who serve at the pleasure of the Board of Directors. The Board of Directors shall designate one member of each committee to be chairman of the committee. The Board of Directors shall designate a secretary of each committee who may be, but need not be, a member of the committee or the Board of Directors.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17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Committee Meetings</w:t>
      </w:r>
      <w:r>
        <w:rPr>
          <w:rFonts w:ascii="Arial" w:cs="Arial" w:eastAsia="Arial" w:hAnsi="Arial"/>
          <w:sz w:val="17"/>
          <w:szCs w:val="17"/>
          <w:color w:val="auto"/>
        </w:rPr>
        <w:t>. A majority of any committee shall constitute a quorum and the act of the majority of the members of a committee present at a meeting at which a quorum is present shall be the act of such committee. A committee may act by unanimous consent in writing without a meeting. Committee meetings may be called by the Chairman of the Board of Directors, the chairman of the committee, or any two of the committee’s members. The time and place of committee meetings shall be designated in the notice of such meeting. Notice of each committee meeting shall be given to each committee member. Each Committee shall keep minutes of its proceedings.</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of Directors shall appoint an Executive Committee. A majority of the members of the Executive Committee shall be selected from those Directors who satisfy the independence requirements of the Corporation’s Corporate Governance Guidelines. The Executive Committee may exercise, subject to applicable provisions of law, all the powers of the Board of Directors in the management of the business and affairs of the Corporation when the Board of Directors is not in session.</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Audit Committee</w:t>
      </w:r>
      <w:r>
        <w:rPr>
          <w:rFonts w:ascii="Arial" w:cs="Arial" w:eastAsia="Arial" w:hAnsi="Arial"/>
          <w:sz w:val="18"/>
          <w:szCs w:val="18"/>
          <w:color w:val="auto"/>
        </w:rPr>
        <w:t>. The Board of Directors shall appoint an Audit Committee. The composition of the members and the duties of such committee shall be as set forth in the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Board of Directors shall appoint a Compensation Committee. The composition of the members and the duties of such committee shall be as set forth in the Compensation Committee Charter.</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Nominations and Governance Committee</w:t>
      </w:r>
      <w:r>
        <w:rPr>
          <w:rFonts w:ascii="Arial" w:cs="Arial" w:eastAsia="Arial" w:hAnsi="Arial"/>
          <w:sz w:val="16"/>
          <w:szCs w:val="16"/>
          <w:color w:val="auto"/>
        </w:rPr>
        <w:t>. The Board of Directors shall appoint a Nominations and Governance Committee. The composition of the members and the duties of such committee shall be as set forth in the Nominations and Governance Committee Charter.</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Public Policy and Sustainability Committee</w:t>
      </w:r>
      <w:r>
        <w:rPr>
          <w:rFonts w:ascii="Arial" w:cs="Arial" w:eastAsia="Arial" w:hAnsi="Arial"/>
          <w:sz w:val="18"/>
          <w:szCs w:val="18"/>
          <w:color w:val="auto"/>
        </w:rPr>
        <w:t>. The Board of Directors shall appoint a Public Policy and Sustainability Committee. The composition of the members and the duties of such committee shall be as set forth in the Public Policy and Sustainability Committee Charter.</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w:t>
      </w:r>
      <w:r>
        <w:rPr>
          <w:rFonts w:ascii="Arial" w:cs="Arial" w:eastAsia="Arial" w:hAnsi="Arial"/>
          <w:sz w:val="18"/>
          <w:szCs w:val="18"/>
          <w:u w:val="single" w:color="auto"/>
          <w:color w:val="auto"/>
        </w:rPr>
        <w:t>Officers</w:t>
      </w:r>
      <w:r>
        <w:rPr>
          <w:rFonts w:ascii="Arial" w:cs="Arial" w:eastAsia="Arial" w:hAnsi="Arial"/>
          <w:sz w:val="18"/>
          <w:szCs w:val="18"/>
          <w:color w:val="auto"/>
        </w:rPr>
        <w:t>”) shall be the Chairman of the Board of Directors, the Chief Executive Officer, one or more Vice Chairmen, one or more Presidents, one or more Executive, Group or Senior Vice Presidents, one or more Vice Presidents, a Treasurer, a Secretary, a Controller, a General Counsel and such Assistant Treasurers and Assistant Secretaries as the Board of Directors may elect or the Chairman of the Board may appoint. Any two offices may be held by the same person.</w:t>
      </w:r>
    </w:p>
    <w:p>
      <w:pPr>
        <w:spacing w:after="0" w:line="18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Election and Term of Office</w:t>
      </w:r>
      <w:r>
        <w:rPr>
          <w:rFonts w:ascii="Arial" w:cs="Arial" w:eastAsia="Arial" w:hAnsi="Arial"/>
          <w:sz w:val="17"/>
          <w:szCs w:val="17"/>
          <w:color w:val="auto"/>
        </w:rPr>
        <w:t>. The Board of Directors may elect any Officer. The Chairman of the Board may appoint any Senior Vice President</w:t>
      </w:r>
      <w:r>
        <w:rPr>
          <w:rFonts w:ascii="Arial" w:cs="Arial" w:eastAsia="Arial" w:hAnsi="Arial"/>
          <w:sz w:val="17"/>
          <w:szCs w:val="17"/>
          <w:u w:val="single" w:color="auto"/>
          <w:color w:val="auto"/>
        </w:rPr>
        <w:t>,</w:t>
      </w:r>
      <w:r>
        <w:rPr>
          <w:rFonts w:ascii="Arial" w:cs="Arial" w:eastAsia="Arial" w:hAnsi="Arial"/>
          <w:sz w:val="17"/>
          <w:szCs w:val="17"/>
          <w:color w:val="auto"/>
        </w:rPr>
        <w:t xml:space="preserve"> Vice President, a Controller, a Treasurer, a Secretary and any Assistant Treasurers and Assistant Secretaries. The Officers of the Corporation shall be elected or appointed annually. Each year, the Board of Directors shall elect Officers at the first meeting of the Board of Directors held after the annual meeting of stockholders. If the Board of Directors does not elect Officers at such meeting, such election shall be held as soon thereafter as conveniently may be. Each year, immediately following the election of Officers by the Board of Directors or as soon thereafter as conveniently may be, the Chairman of the Board shall appoint such additional Officers within the scope of the Chairman’s authority as the Chairman deems necessary or appropriate. Vacancies or new offices may be filled at any time as set forth in Section 5.4 of this Article V. Each Officer shall hold office until his or her successor shall have been duly elected or appointed and shall have qualified or until his or her death or until he or she shall resign or shall have been removed in the manner hereinafter provided.</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Removal of Officers</w:t>
      </w:r>
      <w:r>
        <w:rPr>
          <w:rFonts w:ascii="Arial" w:cs="Arial" w:eastAsia="Arial" w:hAnsi="Arial"/>
          <w:sz w:val="18"/>
          <w:szCs w:val="18"/>
          <w:color w:val="auto"/>
        </w:rPr>
        <w:t>. Any Officer may be removed by the Board of Directors whenever in its judgment the best interests of the Corporation will be served thereby. Any Officer appointed by the Chairman of the Board may be removed by the Chairman whenever, in the Chairman’s judgment, the best interests of the Corporation will be served thereby.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may be filled by the Board of Directors for the unexpired portion of the term. A vacancy in any office appointed by the Chairman of the Board may be filled by the Chairman of the Board for the unexpired portion of the term.</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Chairman of the Board of Directors; Chief Executive Officer</w:t>
      </w:r>
      <w:r>
        <w:rPr>
          <w:rFonts w:ascii="Arial" w:cs="Arial" w:eastAsia="Arial" w:hAnsi="Arial"/>
          <w:sz w:val="18"/>
          <w:szCs w:val="18"/>
          <w:color w:val="auto"/>
        </w:rPr>
        <w:t>. The Chairman shall preside at all meetings of the Board of Directors and the stockholders. The Chief Executive Officer shall be responsible for the overall management of the Corporation subject to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President</w:t>
      </w:r>
      <w:r>
        <w:rPr>
          <w:rFonts w:ascii="Arial" w:cs="Arial" w:eastAsia="Arial" w:hAnsi="Arial"/>
          <w:sz w:val="18"/>
          <w:szCs w:val="18"/>
          <w:color w:val="auto"/>
        </w:rPr>
        <w:t>. Each President shall be the Chief Operating Officer of a major area of the Corporation’s activities and shall perform such duties as may be prescribed by the Board of Directors or the Chief Executive Officer.</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Executive, Group and Senior Vice Presidents</w:t>
      </w:r>
      <w:r>
        <w:rPr>
          <w:rFonts w:ascii="Arial" w:cs="Arial" w:eastAsia="Arial" w:hAnsi="Arial"/>
          <w:sz w:val="17"/>
          <w:szCs w:val="17"/>
          <w:color w:val="auto"/>
        </w:rPr>
        <w:t>. Each Executive, Group, or Senior Vice President shall be responsible for supervising and coordinating a major area of the Corporation’s activities subject to the direction of the Chief Executive Officer or a President.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of the Vice Presidents shall be responsible for those activities designated by an Executive, Group, or Senior Vice President, a President, the Chief Executive Officer, or the Board of Directors.</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administer the investment, financing, insurance and credit activities of the Corporation.</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will be the custodian of the corporate records and of the seal of the Corporation, will countersign certificates for shares of the Corporation, and in general will perform all duties incident to the office of the Secretary. The Secretary shall have the authority to certify the By-laws, resolutions of the stockholders and the Board of Directors and committees thereof, and other documents of the Corporation as true and correct copies hereof.</w:t>
      </w:r>
    </w:p>
    <w:p>
      <w:pPr>
        <w:spacing w:after="0" w:line="18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will conduct the accounting activities of the Corporation, including the maintenance of the Corporation’s general and supporting ledgers and books of account, operating budgets, and the preparation and consolidation of financial statements.</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will be the chief consultant of the Corporation on legal matters and will supervise all matters of legal import concerning the interests of the Corporation.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shall, in the absence or incapacity of the Treasurer, perform the duties and exercise the powers of the Treasurer, and shall perform such other duties as shall from time to time be given to him or her by the Treasurer.</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The Assistant Secretary shall, in the absence or incapacity of the Secretary, perform the duties and exercise the powers of the Secretary, and shall perform such other duties as shall from time to time be given to him or her by the Secretary. The Assistant Secretary shall be, with the Secretary, keeper of the books, records, and the seal of the Corporation, and shall have the authority to certify the By-laws, resolutions and other documents of the Corporation.</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General Powers of Officers</w:t>
      </w:r>
      <w:r>
        <w:rPr>
          <w:rFonts w:ascii="Arial" w:cs="Arial" w:eastAsia="Arial" w:hAnsi="Arial"/>
          <w:sz w:val="18"/>
          <w:szCs w:val="18"/>
          <w:color w:val="auto"/>
        </w:rPr>
        <w:t>. The Chairman of the Board, the Chief Executive Officer, any President, and any Executive, Group or Senior Vice President, may sign without countersignature any deeds, mortgages, bonds, contracts, reports to public agencies, or other instruments whether or not the Board of Directors has expressly authorized execution of such instruments, except in cases where the signing and execution thereof shall be expressly delegated by the Board of Directors or by these By-laws solely to some other Officer or agent of the Corporation, or shall be required by law to be otherwise signed or executed. Any other Officer of this Corporation may sign contracts, reports to public agencies, or other instruments which are in the regular course of business and within the scope of his or her authority, except where signing and execution thereof shall be expressly delegated by the Board of Directors or by these By-laws to some other Officer or agent of the Corporation, or shall be required by law to be otherwise signed or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 AND TRANSFERS</w:t>
      </w:r>
    </w:p>
    <w:p>
      <w:pPr>
        <w:spacing w:after="0" w:line="211"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Certificated and Uncertificated Stock; Transfers</w:t>
      </w:r>
      <w:r>
        <w:rPr>
          <w:rFonts w:ascii="Arial" w:cs="Arial" w:eastAsia="Arial" w:hAnsi="Arial"/>
          <w:sz w:val="17"/>
          <w:szCs w:val="17"/>
          <w:color w:val="auto"/>
        </w:rPr>
        <w:t>. The interest of each stockholder of the Corporation may be evidenced by certificates for shares of stock in such form as the appropriate officers of the Corporation may from time to time prescribe or be uncertificated.</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shares of the stock of the Corporation shall be transferred on the books of the Corporation, in the case of certificated shares of stock, by the holder thereof in person or by his or her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certificates of stock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his or her discretion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85" w:lineRule="auto"/>
        <w:tabs>
          <w:tab w:leader="none" w:pos="19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of whom he or she is the legal representative is or was, at any time during which this By-law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whether the basis of such Proceeding is alleged action in an official capacity as a director or officer or while serving as a director, officer, trustee, employee or agent, shall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or penalties (including those arising under the Employee Retirement Income Security Act of 1974) and amounts paid or to be paid in settlement) actually and reasonably incurred or suffered by such Covered Person in connection with such Proceeding and such indemnification shall continue as to a person who has ceased to be a director, officer, trustee,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paragraph (A) of Section 7.3, the Corporation shall not be required to indemnify any such person (or his or her heirs, executors or personal or legal representatives) seeking indemnification in connection with a Proceeding (or part thereof) initiated by such person unless such Proceeding (or part thereof) was authorized or consented to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1304"/>
        <w:spacing w:after="0" w:line="286" w:lineRule="auto"/>
        <w:tabs>
          <w:tab w:leader="none" w:pos="189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 Directors so directs, by a majority vote of the stockholders of the Corporation. In the event the determination of entitlement to indemnification is to be made by Independent Counsel, the Independent Counsel shall be selected by the Board of Directors unless there shall have occurred within two years prior to the date of the commencement of the Proceeding for which indemnification is claimed a “Change in Control” as defined in the AbbVie 2013 Incentive Stock Program, in which case the Independent Counsel shall be selected by the claimant unless the claimant shall request that such selection be made by the Board of Directors. If it is so determined that the claimant is entitled to indemnification, payment to the claimant shall be made within ten (10) days after such determination.</w:t>
      </w:r>
    </w:p>
    <w:p>
      <w:pPr>
        <w:spacing w:after="0" w:line="1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Mandatory Advancement of Expenses</w:t>
      </w:r>
      <w:r>
        <w:rPr>
          <w:rFonts w:ascii="Arial" w:cs="Arial" w:eastAsia="Arial" w:hAnsi="Arial"/>
          <w:sz w:val="16"/>
          <w:szCs w:val="16"/>
          <w:color w:val="auto"/>
        </w:rPr>
        <w:t xml:space="preserve">.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6"/>
          <w:szCs w:val="16"/>
          <w:u w:val="single" w:color="auto"/>
          <w:color w:val="auto"/>
        </w:rPr>
        <w:t>final disposition</w:t>
      </w:r>
      <w:r>
        <w:rPr>
          <w:rFonts w:ascii="Arial" w:cs="Arial" w:eastAsia="Arial" w:hAnsi="Arial"/>
          <w:sz w:val="16"/>
          <w:szCs w:val="16"/>
          <w:color w:val="auto"/>
        </w:rPr>
        <w:t>”) that such director or officer is not entitled to be indemnified for such expenses under this By-law or otherwise.</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18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(1) If a claim for indemnification under this Article VII is not paid in full by the Corporation within thirty (30) days after a written claim pursuant to Section 7.1(B) of these By-laws has been received by the Corporation, or (2) if a request for advancement of expenses under this Article VII is not paid in full by the Corporation within twenty (20) days after a statement pursuant to Section 7.2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 failure of the Corporation (including its Board of Directors, Independent Counsel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left="-1120" w:firstLine="1304"/>
        <w:spacing w:after="0" w:line="263"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7.1(B) of these By-laws that the claimant is entitled to indemnification, the Corporation shall be bound by such determination in any judicial proceeding commenced pursuant to paragraph (A) of this Section 7.3.</w:t>
      </w:r>
    </w:p>
    <w:p>
      <w:pPr>
        <w:spacing w:after="0" w:line="183" w:lineRule="exact"/>
        <w:rPr>
          <w:rFonts w:ascii="Arial" w:cs="Arial" w:eastAsia="Arial" w:hAnsi="Arial"/>
          <w:sz w:val="18"/>
          <w:szCs w:val="18"/>
          <w:color w:val="auto"/>
        </w:rPr>
      </w:pPr>
    </w:p>
    <w:p>
      <w:pPr>
        <w:jc w:val="both"/>
        <w:ind w:left="-1120" w:firstLine="1304"/>
        <w:spacing w:after="0" w:line="263" w:lineRule="auto"/>
        <w:tabs>
          <w:tab w:leader="none" w:pos="8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Corporation shall be precluded from asserting in any judicial proceeding commenced pursuant to paragraph (A) of this Section 7.3 that the procedures and presumptions of this By-law are not valid, binding and enforceable and shall stipulate in such proceeding that the Corporation is bound by all the provisions of this By-law.</w:t>
      </w:r>
    </w:p>
    <w:p>
      <w:pPr>
        <w:spacing w:after="0" w:line="184" w:lineRule="exact"/>
        <w:rPr>
          <w:sz w:val="20"/>
          <w:szCs w:val="20"/>
          <w:color w:val="auto"/>
        </w:rPr>
      </w:pPr>
    </w:p>
    <w:p>
      <w:pPr>
        <w:ind w:left="180"/>
        <w:spacing w:after="0"/>
        <w:tabs>
          <w:tab w:leader="none" w:pos="14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Contract Rights; Amendment and Repeal; Non-exclusivity of Rights</w:t>
      </w:r>
      <w:r>
        <w:rPr>
          <w:rFonts w:ascii="Arial" w:cs="Arial" w:eastAsia="Arial" w:hAnsi="Arial"/>
          <w:sz w:val="16"/>
          <w:szCs w:val="16"/>
          <w:color w:val="auto"/>
        </w:rPr>
        <w:t>.</w:t>
      </w:r>
    </w:p>
    <w:p>
      <w:pPr>
        <w:spacing w:after="0" w:line="225" w:lineRule="exact"/>
        <w:rPr>
          <w:sz w:val="20"/>
          <w:szCs w:val="20"/>
          <w:color w:val="auto"/>
        </w:rPr>
      </w:pPr>
    </w:p>
    <w:p>
      <w:pPr>
        <w:jc w:val="both"/>
        <w:ind w:left="-1120" w:firstLine="1304"/>
        <w:spacing w:after="0" w:line="270" w:lineRule="auto"/>
        <w:tabs>
          <w:tab w:leader="none" w:pos="7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of the rights conferred in this Article VII,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VII that in any way diminishes or adversely affects any such rights shall be prospective only and shall not in any way diminish or adversely affect any such rights with respect to any actual or alleged state of facts, occurrence, action or omission occurring prior to the time of such amendment or modification, or Proceeding previously or thereafter brought or threatened based in whole or in part upon any such actual or alleged state of facts, occurrence, action or omission,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80" w:lineRule="exact"/>
        <w:rPr>
          <w:rFonts w:ascii="Arial" w:cs="Arial" w:eastAsia="Arial" w:hAnsi="Arial"/>
          <w:sz w:val="17"/>
          <w:szCs w:val="17"/>
          <w:color w:val="auto"/>
        </w:rPr>
      </w:pPr>
    </w:p>
    <w:p>
      <w:pPr>
        <w:jc w:val="both"/>
        <w:ind w:left="-1120" w:firstLine="1304"/>
        <w:spacing w:after="0" w:line="279" w:lineRule="auto"/>
        <w:tabs>
          <w:tab w:leader="none" w:pos="791"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of the rights conferred in this Article VII, as to indemnification, advancement of expenses and otherwise, (i) shall not be exclusive of any other right which any person may have or hereafter acquire under any statute, provision of the Certificate of Incorporation, By-laws, agreement, vote of stockholders or Disinterested Directors or otherwise and (ii) cannot be terminated by the Corporation, the Board of Directors or the stockholders of the Corporation with respect to a person’s service prior to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ind w:left="1300"/>
        <w:spacing w:after="0"/>
        <w:tabs>
          <w:tab w:leader="none" w:pos="25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Insurance, Other 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3" w:lineRule="auto"/>
        <w:tabs>
          <w:tab w:leader="none" w:pos="18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To the extent that the Corporation maintains any policy or policies providing such insurance, each such current or former director or officer, and each such agent or employee to which rights to indemnification have been granted as provided in paragraph (B) of this Section 7.5, shall be covered by such policy or policies in accordance with its or their terms to the maximum extent of the coverage thereunder for any such current or former director, officer, employee or agent.</w:t>
      </w:r>
    </w:p>
    <w:p>
      <w:pPr>
        <w:spacing w:after="0" w:line="164" w:lineRule="exact"/>
        <w:rPr>
          <w:rFonts w:ascii="Arial" w:cs="Arial" w:eastAsia="Arial" w:hAnsi="Arial"/>
          <w:sz w:val="16"/>
          <w:szCs w:val="16"/>
          <w:color w:val="auto"/>
        </w:rPr>
      </w:pPr>
    </w:p>
    <w:p>
      <w:pPr>
        <w:jc w:val="both"/>
        <w:ind w:firstLine="1304"/>
        <w:spacing w:after="0" w:line="259" w:lineRule="auto"/>
        <w:tabs>
          <w:tab w:leader="none" w:pos="18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employee or agent of the Corporation to the fullest extent of the provisions of this By-law with respect to the indemnification and advancement of expenses of current or former directors and officers of the Corporation.</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By-law:</w:t>
      </w:r>
    </w:p>
    <w:p>
      <w:pPr>
        <w:spacing w:after="0" w:line="225" w:lineRule="exact"/>
        <w:rPr>
          <w:sz w:val="20"/>
          <w:szCs w:val="20"/>
          <w:color w:val="auto"/>
        </w:rPr>
      </w:pPr>
    </w:p>
    <w:p>
      <w:pPr>
        <w:ind w:right="20" w:firstLine="1304"/>
        <w:spacing w:after="0" w:line="277" w:lineRule="auto"/>
        <w:tabs>
          <w:tab w:leader="none" w:pos="19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Corporation who is not and was not a party to the matter in respect of which indemnification is sought by the claimant.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891"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Notice</w:t>
      </w:r>
      <w:r>
        <w:rPr>
          <w:rFonts w:ascii="Arial" w:cs="Arial" w:eastAsia="Arial" w:hAnsi="Arial"/>
          <w:sz w:val="17"/>
          <w:szCs w:val="17"/>
          <w:color w:val="auto"/>
        </w:rPr>
        <w:t>. Any notice, request or other communication required or permitted to be given to the Corporation under this By-law shall be in writing and either delivered in person or sent by telecopy, telex, telegram, overnight mail or courier service, or certified or registered mail, postage prepaid, return receipt requested, to the Secretary of the Corporation and shall be effective only upon receipt by the Secretary.</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begin on the first day of January and end on the thirty-first day of December of each year.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enscribed thereon the words “Corporate Seal”, the year of incorporation and around the margin thereof the words “AbbVie Inc. - Delaware.”</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is required to be given to any stockholder or director of the Corporation under the provisions of the DGCL or 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Audits</w:t>
      </w:r>
      <w:r>
        <w:rPr>
          <w:rFonts w:ascii="Arial" w:cs="Arial" w:eastAsia="Arial" w:hAnsi="Arial"/>
          <w:sz w:val="18"/>
          <w:szCs w:val="18"/>
          <w:color w:val="auto"/>
        </w:rPr>
        <w:t>.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or any officer, whether elected or appointed, may resign at any time by giving written notice of such resignation to the Chairman of the Board, the President, or the Secretary, and such resignation shall be deemed to be effective as of the close of business on the date said notice is received by the Chairman of the Board, the President, or the Secretary, or at such later time as is specified therein. No formal action shall be required of the Board of Directors or the stockholders to make any such resignation effective.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 PROXIES, ETC.</w:t>
      </w:r>
    </w:p>
    <w:p>
      <w:pPr>
        <w:spacing w:after="0" w:line="21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required by law, the Certificate of Incorporation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may determine. The Chairman of the Board, the Chief Executive Officer, any President, and any Executive, Group or Senior Vice President may execute bonds, contracts, deeds, leases and other instruments to be made or executed for or on behalf of the Corporation. Subject to any restrictions imposed by the Board of Directors or the Chairman of the Board, the President or any Vice President of the Corporation may delegate contractual powers to others under his or her jurisdiction, it being understood, however, that any such delegation of power shall not relieve such officer of responsibility with respect to the exercise of such delegated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71"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Proxies</w:t>
      </w:r>
      <w:r>
        <w:rPr>
          <w:rFonts w:ascii="Arial" w:cs="Arial" w:eastAsia="Arial" w:hAnsi="Arial"/>
          <w:sz w:val="17"/>
          <w:szCs w:val="17"/>
          <w:color w:val="auto"/>
        </w:rPr>
        <w:t>. Unless otherwise provided by resolution adopted by the Board of Directors, the Chairman of the Board, the Chief Executive Officer, a President, an Executive, Group or Senior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 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These By-laws may be altered, amended or repealed, in whole or in part, and new By-laws may be adopted (i) by the affirmative vote of the shares representing a majority of the votes entitled to be cast by the Voting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proposed alteration, amendment or repeal of, or the adoption of any By-law inconsistent with, Section 2.2, 2.12, 3.2, 3.3, 3.10 or 3.11, Article VII or this Article X of these By-laws (in each case, as in effect on the date hereof), by the stockholders shall require the affirmative vote of shares representing not less than eighty percent (80%) of the votes entitled to be cast by the Voting Stock;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case of any such action at a meeting of the Board of Directors, notice of the proposed alteration, amendment, repeal or adoption of the new By-law or By-laws must be given not less than two days prior to the meeting. The provisions of this Section 10.1 are subject to any provisions requiring a greater vote that are set forth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upperLetter"/>
      <w:start w:val="1"/>
    </w:lvl>
  </w:abstractNum>
  <w:abstractNum w:abstractNumId="2">
    <w:nsid w:val="436C6125"/>
    <w:multiLevelType w:val="hybridMultilevel"/>
    <w:lvl w:ilvl="0">
      <w:lvlJc w:val="left"/>
      <w:lvlText w:val="(%1)"/>
      <w:numFmt w:val="upperLetter"/>
      <w:start w:val="2"/>
    </w:lvl>
  </w:abstractNum>
  <w:abstractNum w:abstractNumId="3">
    <w:nsid w:val="628C895D"/>
    <w:multiLevelType w:val="hybridMultilevel"/>
    <w:lvl w:ilvl="0">
      <w:lvlJc w:val="left"/>
      <w:lvlText w:val="(%1)"/>
      <w:numFmt w:val="upperLetter"/>
      <w:start w:val="3"/>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upperLetter"/>
      <w:start w:val="2"/>
    </w:lvl>
  </w:abstractNum>
  <w:abstractNum w:abstractNumId="6">
    <w:nsid w:val="2443A858"/>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lowerRoman"/>
      <w:start w:val="1"/>
    </w:lvl>
    <w:lvl w:ilvl="1">
      <w:lvlJc w:val="left"/>
      <w:lvlText w:val="(%2)"/>
      <w:numFmt w:val="decimal"/>
      <w:start w:val="4"/>
    </w:lvl>
  </w:abstractNum>
  <w:abstractNum w:abstractNumId="9">
    <w:nsid w:val="75A2A8D4"/>
    <w:multiLevelType w:val="hybridMultilevel"/>
    <w:lvl w:ilvl="0">
      <w:lvlJc w:val="left"/>
      <w:lvlText w:val="(%1)"/>
      <w:numFmt w:val="lowerRoman"/>
      <w:start w:val="2"/>
    </w:lvl>
    <w:lvl w:ilvl="1">
      <w:lvlJc w:val="left"/>
      <w:lvlText w:val="%2"/>
      <w:numFmt w:val="decimal"/>
      <w:start w:val="1"/>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1)"/>
      <w:numFmt w:val="upperLetter"/>
      <w:start w:val="1"/>
    </w:lvl>
  </w:abstractNum>
  <w:abstractNum w:abstractNumId="12">
    <w:nsid w:val="4353D0CD"/>
    <w:multiLevelType w:val="hybridMultilevel"/>
    <w:lvl w:ilvl="0">
      <w:lvlJc w:val="left"/>
      <w:lvlText w:val="(%1)"/>
      <w:numFmt w:val="upperLetter"/>
      <w:start w:val="3"/>
    </w:lvl>
  </w:abstractNum>
  <w:abstractNum w:abstractNumId="13">
    <w:nsid w:val="B03E0C6"/>
    <w:multiLevelType w:val="hybridMultilevel"/>
    <w:lvl w:ilvl="0">
      <w:lvlJc w:val="left"/>
      <w:lvlText w:val="(%1)"/>
      <w:numFmt w:val="upperLetter"/>
      <w:start w:val="1"/>
    </w:lvl>
  </w:abstractNum>
  <w:abstractNum w:abstractNumId="14">
    <w:nsid w:val="189A769B"/>
    <w:multiLevelType w:val="hybridMultilevel"/>
    <w:lvl w:ilvl="0">
      <w:lvlJc w:val="left"/>
      <w:lvlText w:val="(%1)"/>
      <w:numFmt w:val="upperLetter"/>
      <w:start w:val="1"/>
    </w:lvl>
  </w:abstractNum>
  <w:abstractNum w:abstractNumId="15">
    <w:nsid w:val="54E49EB4"/>
    <w:multiLevelType w:val="hybridMultilevel"/>
    <w:lvl w:ilvl="0">
      <w:lvlJc w:val="left"/>
      <w:lvlText w:val="%1"/>
      <w:numFmt w:val="upperLetter"/>
      <w:start w:val="1"/>
    </w:lvl>
    <w:lvl w:ilvl="1">
      <w:lvlJc w:val="left"/>
      <w:lvlText w:val="(%2)"/>
      <w:numFmt w:val="lowerRoman"/>
      <w:start w:val="1"/>
    </w:lvl>
  </w:abstractNum>
  <w:abstractNum w:abstractNumId="16">
    <w:nsid w:val="71F32454"/>
    <w:multiLevelType w:val="hybridMultilevel"/>
    <w:lvl w:ilvl="0">
      <w:lvlJc w:val="left"/>
      <w:lvlText w:val="(%1)"/>
      <w:numFmt w:val="upperLetter"/>
      <w:start w:val="2"/>
    </w:lvl>
    <w:lvl w:ilvl="1">
      <w:lvlJc w:val="left"/>
      <w:lvlText w:val="%2"/>
      <w:numFmt w:val="lowerRoman"/>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upperLetter"/>
      <w:start w:val="3"/>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21">
    <w:nsid w:val="8138641"/>
    <w:multiLevelType w:val="hybridMultilevel"/>
    <w:lvl w:ilvl="0">
      <w:lvlJc w:val="left"/>
      <w:lvlText w:val="(%1)"/>
      <w:numFmt w:val="upperLetter"/>
      <w:start w:val="4"/>
    </w:lvl>
    <w:lvl w:ilvl="1">
      <w:lvlJc w:val="left"/>
      <w:lvlText w:val="(%2)"/>
      <w:numFmt w:val="lowerLetter"/>
      <w:start w:val="9"/>
    </w:lvl>
    <w:lvl w:ilvl="2">
      <w:lvlJc w:val="left"/>
      <w:lvlText w:val="(%3)"/>
      <w:numFmt w:val="lowerLetter"/>
      <w:start w:val="1"/>
    </w:lvl>
  </w:abstractNum>
  <w:abstractNum w:abstractNumId="22">
    <w:nsid w:val="1E7FF521"/>
    <w:multiLevelType w:val="hybridMultilevel"/>
    <w:lvl w:ilvl="0">
      <w:lvlJc w:val="left"/>
      <w:lvlText w:val="(%1)"/>
      <w:numFmt w:val="lowerLetter"/>
      <w:start w:val="5"/>
    </w:lvl>
  </w:abstractNum>
  <w:abstractNum w:abstractNumId="23">
    <w:nsid w:val="7C3DBD3D"/>
    <w:multiLevelType w:val="hybridMultilevel"/>
    <w:lvl w:ilvl="0">
      <w:lvlJc w:val="left"/>
      <w:lvlText w:val="%1"/>
      <w:numFmt w:val="lowerLetter"/>
      <w:start w:val="1"/>
    </w:lvl>
    <w:lvl w:ilvl="1">
      <w:lvlJc w:val="left"/>
      <w:lvlText w:val="(%2)"/>
      <w:numFmt w:val="lowerLetter"/>
      <w:start w:val="13"/>
    </w:lvl>
  </w:abstractNum>
  <w:abstractNum w:abstractNumId="24">
    <w:nsid w:val="737B8DDC"/>
    <w:multiLevelType w:val="hybridMultilevel"/>
    <w:lvl w:ilvl="0">
      <w:lvlJc w:val="left"/>
      <w:lvlText w:val="(%1)"/>
      <w:numFmt w:val="lowerLetter"/>
      <w:start w:val="35"/>
    </w:lvl>
    <w:lvl w:ilvl="1">
      <w:lvlJc w:val="left"/>
      <w:lvlText w:val="(%2)"/>
      <w:numFmt w:val="lowerLetter"/>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1"/>
      <w:numFmt w:val="lowerRoman"/>
      <w:start w:val="1"/>
    </w:lvl>
    <w:lvl w:ilvl="1">
      <w:lvlJc w:val="left"/>
      <w:lvlText w:val="(%2)"/>
      <w:numFmt w:val="lowerLetter"/>
      <w:start w:val="1"/>
    </w:lvl>
  </w:abstractNum>
  <w:abstractNum w:abstractNumId="27">
    <w:nsid w:val="4516DDE9"/>
    <w:multiLevelType w:val="hybridMultilevel"/>
    <w:lvl w:ilvl="0">
      <w:lvlJc w:val="left"/>
      <w:lvlText w:val="(%1)"/>
      <w:numFmt w:val="lowerRoman"/>
      <w:start w:val="4"/>
    </w:lvl>
    <w:lvl w:ilvl="1">
      <w:lvlJc w:val="left"/>
      <w:lvlText w:val="(%2)"/>
      <w:numFmt w:val="lowerLetter"/>
      <w:start w:val="1"/>
    </w:lvl>
  </w:abstractNum>
  <w:abstractNum w:abstractNumId="28">
    <w:nsid w:val="3006C83E"/>
    <w:multiLevelType w:val="hybridMultilevel"/>
    <w:lvl w:ilvl="0">
      <w:lvlJc w:val="left"/>
      <w:lvlText w:val="(%1)"/>
      <w:numFmt w:val="upperLetter"/>
      <w:start w:val="5"/>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upperLetter"/>
      <w:start w:val="6"/>
    </w:lvl>
  </w:abstractNum>
  <w:abstractNum w:abstractNumId="31">
    <w:nsid w:val="5577F8E1"/>
    <w:multiLevelType w:val="hybridMultilevel"/>
    <w:lvl w:ilvl="0">
      <w:lvlJc w:val="left"/>
      <w:lvlText w:val="(%1)"/>
      <w:numFmt w:val="upperLetter"/>
      <w:start w:val="1"/>
    </w:lvl>
  </w:abstractNum>
  <w:abstractNum w:abstractNumId="32">
    <w:nsid w:val="440BADFC"/>
    <w:multiLevelType w:val="hybridMultilevel"/>
    <w:lvl w:ilvl="0">
      <w:lvlJc w:val="left"/>
      <w:lvlText w:val="(%1)"/>
      <w:numFmt w:val="upperLetter"/>
      <w:start w:val="2"/>
    </w:lvl>
  </w:abstractNum>
  <w:abstractNum w:abstractNumId="33">
    <w:nsid w:val="5072367"/>
    <w:multiLevelType w:val="hybridMultilevel"/>
    <w:lvl w:ilvl="0">
      <w:lvlJc w:val="left"/>
      <w:lvlText w:val="(%1)"/>
      <w:numFmt w:val="upperLetter"/>
      <w:start w:val="1"/>
    </w:lvl>
  </w:abstractNum>
  <w:abstractNum w:abstractNumId="34">
    <w:nsid w:val="3804823E"/>
    <w:multiLevelType w:val="hybridMultilevel"/>
    <w:lvl w:ilvl="0">
      <w:lvlJc w:val="left"/>
      <w:lvlText w:val="(%1)"/>
      <w:numFmt w:val="upperLetter"/>
      <w:start w:val="2"/>
    </w:lvl>
  </w:abstractNum>
  <w:abstractNum w:abstractNumId="35">
    <w:nsid w:val="77465F01"/>
    <w:multiLevelType w:val="hybridMultilevel"/>
    <w:lvl w:ilvl="0">
      <w:lvlJc w:val="left"/>
      <w:lvlText w:val="(%1)"/>
      <w:numFmt w:val="upperLetter"/>
      <w:start w:val="1"/>
    </w:lvl>
  </w:abstractNum>
  <w:abstractNum w:abstractNumId="36">
    <w:nsid w:val="7724C67E"/>
    <w:multiLevelType w:val="hybridMultilevel"/>
    <w:lvl w:ilvl="0">
      <w:lvlJc w:val="left"/>
      <w:lvlText w:val="(%1)"/>
      <w:numFmt w:val="upperLetter"/>
      <w:start w:val="1"/>
    </w:lvl>
  </w:abstractNum>
  <w:abstractNum w:abstractNumId="37">
    <w:nsid w:val="5C482A9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2022-06-29T07:32:49Z</dcterms:created>
  <dcterms:modified xsi:type="dcterms:W3CDTF">2022-06-29T07:32:49Z</dcterms:modified>
</cp:coreProperties>
</file>