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51002.xml.htm"/>
      <w:bookmarkStart w:id="1" w:name="ksform410022026_051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RAPP EDWARD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WAUKEGAN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AbbVie Inc.</w:t>
              </w:r>
            </w:hyperlink>
            <w:r>
              <w:rPr/>
              <w:t xml:space="preserve"> [ </w:t>
            </w:r>
            <w:r>
              <w:rPr>
                <w:rFonts w:ascii="Times;serif" w:hAnsi="Times;serif"/>
                <w:color w:val="0000FF"/>
                <w:sz w:val="24"/>
                <w:shd w:fill="FFFFFF" w:val="clear"/>
              </w:rPr>
              <w:t>ABBV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261.59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261.59</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29,568</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 stock equivalent unit account under the director's grantor trust are distributed over a period equal to the director's years of board service, generally commencing at the later of age 65 or upon retirement from the board. The stock equivalent units earn the same return as if the fees were invested in AbbVie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 Odutayo, Attorney-in-Fact for Edward J. Rapp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1780" TargetMode="External"/><Relationship Id="rId5" Type="http://schemas.openxmlformats.org/officeDocument/2006/relationships/hyperlink" Target="http://www.sec.gov/cgi-bin/browse-edgar?action=getcompany&amp;CIK=0001551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3462</Characters>
  <CharactersWithSpaces>4033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