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9,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ABBVIE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001-35565</w:t>
            </w:r>
          </w:p>
        </w:tc>
        <w:tc>
          <w:tcPr>
            <w:tcW w:w="18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32-0375147</w:t>
            </w:r>
          </w:p>
        </w:tc>
        <w:tc>
          <w:tcPr>
            <w:tcW w:w="0" w:type="dxa"/>
            <w:vAlign w:val="bottom"/>
          </w:tcPr>
          <w:p>
            <w:pPr>
              <w:spacing w:after="0"/>
              <w:rPr>
                <w:sz w:val="1"/>
                <w:szCs w:val="1"/>
                <w:color w:val="auto"/>
              </w:rPr>
            </w:pPr>
          </w:p>
        </w:tc>
      </w:tr>
      <w:tr>
        <w:trPr>
          <w:trHeight w:val="216"/>
        </w:trPr>
        <w:tc>
          <w:tcPr>
            <w:tcW w:w="22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 File Number)</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2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1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North Waukegan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 Chicago, Illinois 60064-6400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(847) 932-7900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78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20" w:type="dxa"/>
            <w:vAlign w:val="bottom"/>
          </w:tcPr>
          <w:p>
            <w:pPr>
              <w:spacing w:after="0"/>
              <w:rPr>
                <w:sz w:val="20"/>
                <w:szCs w:val="20"/>
                <w:color w:val="auto"/>
              </w:rPr>
            </w:pPr>
          </w:p>
        </w:tc>
      </w:tr>
      <w:tr>
        <w:trPr>
          <w:trHeight w:val="410"/>
        </w:trPr>
        <w:tc>
          <w:tcPr>
            <w:tcW w:w="2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7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7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20"/>
        </w:trPr>
        <w:tc>
          <w:tcPr>
            <w:tcW w:w="25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7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47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ABBV</w:t>
            </w:r>
          </w:p>
        </w:tc>
        <w:tc>
          <w:tcPr>
            <w:tcW w:w="2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25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Chicago Stock Exchange</w:t>
            </w:r>
          </w:p>
        </w:tc>
      </w:tr>
      <w:tr>
        <w:trPr>
          <w:trHeight w:val="216"/>
        </w:trPr>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1.375% Senior Notes due 2024</w:t>
            </w:r>
          </w:p>
        </w:tc>
        <w:tc>
          <w:tcPr>
            <w:tcW w:w="47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ABBV24</w:t>
            </w: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0.750% Senior Notes due 2027</w:t>
            </w:r>
          </w:p>
        </w:tc>
        <w:tc>
          <w:tcPr>
            <w:tcW w:w="47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ABBV27</w:t>
            </w: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2.125% Senior Notes due 2028</w:t>
            </w:r>
          </w:p>
        </w:tc>
        <w:tc>
          <w:tcPr>
            <w:tcW w:w="47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ABBV28</w:t>
            </w: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1.250% Senior Notes due 2031</w:t>
            </w:r>
          </w:p>
        </w:tc>
        <w:tc>
          <w:tcPr>
            <w:tcW w:w="47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ABBV31</w:t>
            </w: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Certain Officers; Appointment of Certain Officers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After a 34-year career, Carlos Alban has informed AbbVie that he will retire as AbbVie’s Vice Chairman, Chief Commercial Officer, effective at the end of the first quarter 2021. Jeffrey R. Stewart, AbbVie’s Senior Vice President, U.S. Commercial Operations, will succeed Mr. Alban as Executive Vice President, Commercial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ABBVIE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Richmond</w:t>
            </w:r>
          </w:p>
        </w:tc>
      </w:tr>
      <w:tr>
        <w:trPr>
          <w:trHeight w:val="191"/>
        </w:trPr>
        <w:tc>
          <w:tcPr>
            <w:tcW w:w="37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Timothy J. Richmond</w:t>
            </w:r>
          </w:p>
        </w:tc>
      </w:tr>
      <w:tr>
        <w:trPr>
          <w:trHeight w:val="234"/>
        </w:trPr>
        <w:tc>
          <w:tcPr>
            <w:tcW w:w="37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r>
      <w:tr>
        <w:trPr>
          <w:trHeight w:val="648"/>
        </w:trPr>
        <w:tc>
          <w:tcPr>
            <w:tcW w:w="37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2020-11-12T09:07:02Z</dcterms:created>
  <dcterms:modified xsi:type="dcterms:W3CDTF">2020-11-12T09:07:02Z</dcterms:modified>
</cp:coreProperties>
</file>