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8"/>
        </w:trPr>
        <w:tc>
          <w:tcPr>
            <w:tcW w:w="5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5"/>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2"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6"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9"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Arial" w:cs="Arial" w:eastAsia="Arial" w:hAnsi="Arial"/>
            <w:sz w:val="21"/>
            <w:szCs w:val="21"/>
            <w:u w:val="single" w:color="auto"/>
            <w:color w:val="0000EE"/>
          </w:rPr>
          <w:t>001-35565</w:t>
        </w:r>
      </w:hyperlink>
    </w:p>
    <w:p>
      <w:pPr>
        <w:spacing w:after="0" w:line="137" w:lineRule="exact"/>
        <w:rPr>
          <w:sz w:val="24"/>
          <w:szCs w:val="24"/>
          <w:color w:val="auto"/>
        </w:rPr>
      </w:pPr>
    </w:p>
    <w:p>
      <w:pPr>
        <w:ind w:left="3100"/>
        <w:spacing w:after="0"/>
        <w:tabs>
          <w:tab w:leader="none" w:pos="3960" w:val="left"/>
        </w:tabs>
        <w:rPr>
          <w:rFonts w:ascii="Arial" w:cs="Arial" w:eastAsia="Arial" w:hAnsi="Arial"/>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Arial" w:cs="Arial" w:eastAsia="Arial" w:hAnsi="Arial"/>
            <w:sz w:val="22"/>
            <w:szCs w:val="22"/>
            <w:u w:val="single" w:color="auto"/>
            <w:color w:val="0000EE"/>
          </w:rPr>
          <w:t>AbbVie Inc.</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Arial" w:cs="Arial" w:eastAsia="Arial" w:hAnsi="Arial"/>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45720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09"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3" w:lineRule="exact"/>
        <w:rPr>
          <w:sz w:val="24"/>
          <w:szCs w:val="24"/>
          <w:color w:val="auto"/>
        </w:rPr>
      </w:pPr>
    </w:p>
    <w:p>
      <w:pPr>
        <w:ind w:left="2520"/>
        <w:spacing w:after="0"/>
        <w:tabs>
          <w:tab w:leader="none" w:pos="40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0000FF"/>
        </w:rPr>
        <w:t>1 North Waukegan Road</w:t>
      </w:r>
    </w:p>
    <w:p>
      <w:pPr>
        <w:spacing w:after="0" w:line="63" w:lineRule="exact"/>
        <w:rPr>
          <w:sz w:val="24"/>
          <w:szCs w:val="24"/>
          <w:color w:val="auto"/>
        </w:rPr>
      </w:pPr>
    </w:p>
    <w:p>
      <w:pPr>
        <w:ind w:left="4080"/>
        <w:spacing w:after="0"/>
        <w:rPr>
          <w:sz w:val="20"/>
          <w:szCs w:val="20"/>
          <w:color w:val="auto"/>
        </w:rPr>
      </w:pPr>
      <w:r>
        <w:rPr>
          <w:rFonts w:ascii="Arial" w:cs="Arial" w:eastAsia="Arial" w:hAnsi="Arial"/>
          <w:sz w:val="18"/>
          <w:szCs w:val="18"/>
          <w:color w:val="0000FF"/>
        </w:rPr>
        <w:t>North Chicago ILLINOIS 60064</w:t>
      </w:r>
    </w:p>
    <w:p>
      <w:pPr>
        <w:spacing w:after="0" w:line="63" w:lineRule="exact"/>
        <w:rPr>
          <w:sz w:val="24"/>
          <w:szCs w:val="24"/>
          <w:color w:val="auto"/>
        </w:rPr>
      </w:pPr>
    </w:p>
    <w:tbl>
      <w:tblPr>
        <w:tblLayout w:type="fixed"/>
        <w:tblInd w:w="2520" w:type="dxa"/>
        <w:tblCellMar>
          <w:top w:w="0" w:type="dxa"/>
          <w:left w:w="0" w:type="dxa"/>
          <w:bottom w:w="0" w:type="dxa"/>
          <w:right w:w="0" w:type="dxa"/>
        </w:tblCellMar>
      </w:tblP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Telephone number:</w:t>
            </w:r>
          </w:p>
        </w:tc>
        <w:tc>
          <w:tcPr>
            <w:tcW w:w="2240" w:type="dxa"/>
            <w:vAlign w:val="bottom"/>
          </w:tcPr>
          <w:p>
            <w:pPr>
              <w:jc w:val="right"/>
              <w:spacing w:after="0"/>
              <w:rPr>
                <w:sz w:val="20"/>
                <w:szCs w:val="20"/>
                <w:color w:val="auto"/>
              </w:rPr>
            </w:pPr>
            <w:r>
              <w:rPr>
                <w:rFonts w:ascii="Arial" w:cs="Arial" w:eastAsia="Arial" w:hAnsi="Arial"/>
                <w:sz w:val="18"/>
                <w:szCs w:val="18"/>
                <w:color w:val="0000FF"/>
              </w:rPr>
              <w:t>847-932-7900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35560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4"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0000FF"/>
        </w:rPr>
        <w:t>1.500% Senior Notes due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19685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68"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53"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20"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3"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40" w:lineRule="exact"/>
        <w:rPr>
          <w:sz w:val="24"/>
          <w:szCs w:val="24"/>
          <w:color w:val="auto"/>
        </w:rPr>
      </w:pPr>
    </w:p>
    <w:p>
      <w:pPr>
        <w:jc w:val="both"/>
        <w:ind w:left="780" w:right="1260" w:firstLine="54"/>
        <w:spacing w:after="0" w:line="242"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82" w:lineRule="exact"/>
        <w:rPr>
          <w:sz w:val="24"/>
          <w:szCs w:val="24"/>
          <w:color w:val="auto"/>
        </w:rPr>
      </w:pPr>
    </w:p>
    <w:p>
      <w:pPr>
        <w:ind w:right="180"/>
        <w:spacing w:after="0" w:line="251"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Arial" w:cs="Arial" w:eastAsia="Arial" w:hAnsi="Arial"/>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67"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By</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0000FF"/>
                <w:w w:val="88"/>
              </w:rPr>
              <w:t>Manager, Market Watch and</w:t>
            </w:r>
          </w:p>
        </w:tc>
        <w:tc>
          <w:tcPr>
            <w:tcW w:w="0" w:type="dxa"/>
            <w:vAlign w:val="bottom"/>
          </w:tcPr>
          <w:p>
            <w:pPr>
              <w:spacing w:after="0"/>
              <w:rPr>
                <w:sz w:val="1"/>
                <w:szCs w:val="1"/>
                <w:color w:val="auto"/>
              </w:rPr>
            </w:pPr>
          </w:p>
        </w:tc>
      </w:tr>
      <w:tr>
        <w:trPr>
          <w:trHeight w:val="128"/>
        </w:trPr>
        <w:tc>
          <w:tcPr>
            <w:tcW w:w="2060" w:type="dxa"/>
            <w:vAlign w:val="bottom"/>
            <w:vMerge w:val="restart"/>
          </w:tcPr>
          <w:p>
            <w:pPr>
              <w:jc w:val="right"/>
              <w:ind w:right="532"/>
              <w:spacing w:after="0"/>
              <w:rPr>
                <w:sz w:val="20"/>
                <w:szCs w:val="20"/>
                <w:color w:val="auto"/>
              </w:rPr>
            </w:pPr>
            <w:r>
              <w:rPr>
                <w:rFonts w:ascii="Arial" w:cs="Arial" w:eastAsia="Arial" w:hAnsi="Arial"/>
                <w:sz w:val="18"/>
                <w:szCs w:val="18"/>
                <w:color w:val="0000FF"/>
              </w:rPr>
              <w:t>2023-11-15</w:t>
            </w:r>
          </w:p>
        </w:tc>
        <w:tc>
          <w:tcPr>
            <w:tcW w:w="940" w:type="dxa"/>
            <w:vAlign w:val="bottom"/>
            <w:vMerge w:val="continue"/>
          </w:tcPr>
          <w:p>
            <w:pPr>
              <w:spacing w:after="0"/>
              <w:rPr>
                <w:sz w:val="11"/>
                <w:szCs w:val="11"/>
                <w:color w:val="auto"/>
              </w:rPr>
            </w:pPr>
          </w:p>
        </w:tc>
        <w:tc>
          <w:tcPr>
            <w:tcW w:w="3400" w:type="dxa"/>
            <w:vAlign w:val="bottom"/>
            <w:vMerge w:val="restart"/>
          </w:tcPr>
          <w:p>
            <w:pPr>
              <w:ind w:left="1200"/>
              <w:spacing w:after="0"/>
              <w:rPr>
                <w:sz w:val="20"/>
                <w:szCs w:val="20"/>
                <w:color w:val="auto"/>
              </w:rPr>
            </w:pPr>
            <w:r>
              <w:rPr>
                <w:rFonts w:ascii="Arial" w:cs="Arial" w:eastAsia="Arial" w:hAnsi="Arial"/>
                <w:sz w:val="18"/>
                <w:szCs w:val="18"/>
                <w:color w:val="0000FF"/>
              </w:rPr>
              <w:t>Victoria Paper</w:t>
            </w:r>
          </w:p>
        </w:tc>
        <w:tc>
          <w:tcPr>
            <w:tcW w:w="260" w:type="dxa"/>
            <w:vAlign w:val="bottom"/>
          </w:tcPr>
          <w:p>
            <w:pPr>
              <w:spacing w:after="0"/>
              <w:rPr>
                <w:sz w:val="11"/>
                <w:szCs w:val="11"/>
                <w:color w:val="auto"/>
              </w:rPr>
            </w:pPr>
          </w:p>
        </w:tc>
        <w:tc>
          <w:tcPr>
            <w:tcW w:w="2080" w:type="dxa"/>
            <w:vAlign w:val="bottom"/>
            <w:vMerge w:val="restart"/>
          </w:tcPr>
          <w:p>
            <w:pPr>
              <w:ind w:left="380"/>
              <w:spacing w:after="0"/>
              <w:rPr>
                <w:sz w:val="20"/>
                <w:szCs w:val="20"/>
                <w:color w:val="auto"/>
              </w:rPr>
            </w:pPr>
            <w:r>
              <w:rPr>
                <w:rFonts w:ascii="Arial" w:cs="Arial" w:eastAsia="Arial" w:hAnsi="Arial"/>
                <w:sz w:val="18"/>
                <w:szCs w:val="18"/>
                <w:color w:val="0000FF"/>
              </w:rPr>
              <w:t>Proxy Compliance</w:t>
            </w:r>
          </w:p>
        </w:tc>
        <w:tc>
          <w:tcPr>
            <w:tcW w:w="0" w:type="dxa"/>
            <w:vAlign w:val="bottom"/>
          </w:tcPr>
          <w:p>
            <w:pPr>
              <w:spacing w:after="0"/>
              <w:rPr>
                <w:sz w:val="1"/>
                <w:szCs w:val="1"/>
                <w:color w:val="auto"/>
              </w:rPr>
            </w:pPr>
          </w:p>
        </w:tc>
      </w:tr>
      <w:tr>
        <w:trPr>
          <w:trHeight w:val="108"/>
        </w:trPr>
        <w:tc>
          <w:tcPr>
            <w:tcW w:w="2060" w:type="dxa"/>
            <w:vAlign w:val="bottom"/>
            <w:tcBorders>
              <w:bottom w:val="single" w:sz="8" w:color="auto"/>
            </w:tcBorders>
            <w:vMerge w:val="continue"/>
          </w:tcPr>
          <w:p>
            <w:pPr>
              <w:spacing w:after="0"/>
              <w:rPr>
                <w:sz w:val="9"/>
                <w:szCs w:val="9"/>
                <w:color w:val="auto"/>
              </w:rPr>
            </w:pPr>
          </w:p>
        </w:tc>
        <w:tc>
          <w:tcPr>
            <w:tcW w:w="940" w:type="dxa"/>
            <w:vAlign w:val="bottom"/>
          </w:tcPr>
          <w:p>
            <w:pPr>
              <w:spacing w:after="0"/>
              <w:rPr>
                <w:sz w:val="9"/>
                <w:szCs w:val="9"/>
                <w:color w:val="auto"/>
              </w:rPr>
            </w:pPr>
          </w:p>
        </w:tc>
        <w:tc>
          <w:tcPr>
            <w:tcW w:w="3400" w:type="dxa"/>
            <w:vAlign w:val="bottom"/>
            <w:tcBorders>
              <w:bottom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2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2"/>
                <w:szCs w:val="22"/>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bl>
    <w:p>
      <w:pPr>
        <w:spacing w:after="0" w:line="115" w:lineRule="exact"/>
        <w:rPr>
          <w:sz w:val="24"/>
          <w:szCs w:val="24"/>
          <w:color w:val="auto"/>
        </w:rPr>
      </w:pPr>
    </w:p>
    <w:p>
      <w:pPr>
        <w:ind w:left="1260" w:right="700" w:hanging="597"/>
        <w:spacing w:after="0" w:line="253"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62"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73"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November 27, 2023, pursuant to the provisions of Rule 12d2-2 (a). [ X</w:t>
      </w:r>
    </w:p>
    <w:p>
      <w:pPr>
        <w:spacing w:after="0" w:line="2" w:lineRule="exact"/>
        <w:rPr>
          <w:sz w:val="20"/>
          <w:szCs w:val="20"/>
          <w:color w:val="auto"/>
        </w:rPr>
      </w:pPr>
    </w:p>
    <w:p>
      <w:pPr>
        <w:jc w:val="both"/>
        <w:ind w:right="80" w:firstLine="8"/>
        <w:spacing w:after="0" w:line="234" w:lineRule="auto"/>
        <w:tabs>
          <w:tab w:leader="none" w:pos="126" w:val="left"/>
        </w:tabs>
        <w:numPr>
          <w:ilvl w:val="0"/>
          <w:numId w:val="2"/>
        </w:numPr>
        <w:rPr>
          <w:rFonts w:ascii="Arial" w:cs="Arial" w:eastAsia="Arial" w:hAnsi="Arial"/>
          <w:sz w:val="22"/>
          <w:szCs w:val="22"/>
          <w:color w:val="auto"/>
        </w:rPr>
      </w:pPr>
      <w:r>
        <w:rPr>
          <w:rFonts w:ascii="Arial" w:cs="Arial" w:eastAsia="Arial" w:hAnsi="Arial"/>
          <w:sz w:val="22"/>
          <w:szCs w:val="22"/>
          <w:color w:val="auto"/>
        </w:rPr>
        <w:t>17 CFR 240.12d2-2(a)(2) That the entire class of this security was redeemed or paid at maturity or retirement on November 15, 2023. The Exchange also notifies the Securities and Exchange Commission that as a result of the above indicated conditions this security was suspended from trading on November 15, 2023.</w:t>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5565" TargetMode="External"/><Relationship Id="rId11"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2023-11-15T12:35:59Z</dcterms:created>
  <dcterms:modified xsi:type="dcterms:W3CDTF">2023-11-15T12:35:59Z</dcterms:modified>
</cp:coreProperties>
</file>