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3337d1_8k.htm"/>
      <w:bookmarkStart w:id="1" w:name="kstm262333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608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ABBVIE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080" w:type="dxa"/>
        <w:jc w:val="left"/>
        <w:tblInd w:w="0" w:type="dxa"/>
        <w:tblLayout w:type="fixed"/>
        <w:tblCellMar>
          <w:top w:w="0" w:type="dxa"/>
          <w:left w:w="0" w:type="dxa"/>
          <w:bottom w:w="0" w:type="dxa"/>
          <w:right w:w="0" w:type="dxa"/>
        </w:tblCellMar>
      </w:tblPr>
      <w:tblGrid>
        <w:gridCol w:w="2570"/>
        <w:gridCol w:w="60"/>
        <w:gridCol w:w="2615"/>
        <w:gridCol w:w="60"/>
        <w:gridCol w:w="1775"/>
      </w:tblGrid>
      <w:tr>
        <w:trPr/>
        <w:tc>
          <w:tcPr>
            <w:tcW w:w="2570" w:type="dxa"/>
            <w:tcBorders/>
            <w:vAlign w:val="center"/>
          </w:tcPr>
          <w:p>
            <w:pPr>
              <w:pStyle w:val="TableContents"/>
              <w:bidi w:val="0"/>
              <w:spacing w:before="0" w:after="283"/>
              <w:jc w:val="center"/>
              <w:rPr>
                <w:b/>
              </w:rPr>
            </w:pPr>
            <w:bookmarkStart w:id="5" w:name="xdx_908_edei--EntityIncorporationStateCo"/>
            <w:bookmarkEnd w:id="5"/>
            <w:r>
              <w:rPr>
                <w:b/>
              </w:rPr>
              <w:t>Delaware</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b/>
              </w:rPr>
            </w:pPr>
            <w:bookmarkStart w:id="6" w:name="xdx_903_edei--EntityFileNumber_c20260818"/>
            <w:bookmarkEnd w:id="6"/>
            <w:r>
              <w:rPr>
                <w:b/>
              </w:rPr>
              <w:t>001-35565</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b/>
              </w:rPr>
            </w:pPr>
            <w:bookmarkStart w:id="7" w:name="xdx_905_edei--EntityTaxIdentificationNum"/>
            <w:bookmarkEnd w:id="7"/>
            <w:r>
              <w:rPr>
                <w:b/>
              </w:rPr>
              <w:t>32-0375147</w:t>
            </w:r>
          </w:p>
        </w:tc>
      </w:tr>
      <w:tr>
        <w:trPr/>
        <w:tc>
          <w:tcPr>
            <w:tcW w:w="2570" w:type="dxa"/>
            <w:tcBorders/>
            <w:vAlign w:val="center"/>
          </w:tcPr>
          <w:p>
            <w:pPr>
              <w:pStyle w:val="TableContents"/>
              <w:bidi w:val="0"/>
              <w:spacing w:before="0" w:after="283"/>
              <w:jc w:val="center"/>
              <w:rPr/>
            </w:pPr>
            <w:r>
              <w:rPr/>
              <w:t xml:space="preserve">(State or other Jurisdiction </w:t>
              <w:br/>
              <w:t>of Incorporation)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1 North Waukegan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North Chicago, </w:t>
      </w:r>
      <w:bookmarkStart w:id="10" w:name="xdx_90A_edei--EntityAddressStateOrProvin"/>
      <w:bookmarkEnd w:id="10"/>
      <w:r>
        <w:rPr>
          <w:rFonts w:ascii="Times New Roman;Times;Serif" w:hAnsi="Times New Roman;Times;Serif"/>
          <w:b/>
          <w:i w:val="false"/>
          <w:caps w:val="false"/>
          <w:smallCaps w:val="false"/>
          <w:sz w:val="20"/>
        </w:rPr>
        <w:t xml:space="preserve">Illinois </w:t>
      </w:r>
      <w:bookmarkStart w:id="11" w:name="xdx_90C_edei--EntityAddressPostalZipCode"/>
      <w:bookmarkEnd w:id="11"/>
      <w:r>
        <w:rPr>
          <w:rFonts w:ascii="Times New Roman;Times;Serif" w:hAnsi="Times New Roman;Times;Serif"/>
          <w:b/>
          <w:i w:val="false"/>
          <w:caps w:val="false"/>
          <w:smallCaps w:val="false"/>
          <w:sz w:val="20"/>
        </w:rPr>
        <w:t>60064-6400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E_edei--CityAreaCode_c20260818__20"/>
      <w:bookmarkEnd w:id="12"/>
      <w:r>
        <w:rPr>
          <w:rFonts w:ascii="Times New Roman;Times;Serif" w:hAnsi="Times New Roman;Times;Serif"/>
          <w:b/>
          <w:i w:val="false"/>
          <w:caps w:val="false"/>
          <w:smallCaps w:val="false"/>
          <w:sz w:val="20"/>
        </w:rPr>
        <w:t xml:space="preserve">847) </w:t>
      </w:r>
      <w:bookmarkStart w:id="13" w:name="xdx_90B_edei--LocalPhoneNumber_c20260818"/>
      <w:bookmarkEnd w:id="13"/>
      <w:r>
        <w:rPr>
          <w:rFonts w:ascii="Times New Roman;Times;Serif" w:hAnsi="Times New Roman;Times;Serif"/>
          <w:b/>
          <w:i w:val="false"/>
          <w:caps w:val="false"/>
          <w:smallCaps w:val="false"/>
          <w:sz w:val="20"/>
        </w:rPr>
        <w:t>932-7900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5_edei--SolicitingMaterial_c202608"/>
            <w:bookmarkEnd w:id="15"/>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7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7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350" w:type="dxa"/>
        <w:jc w:val="left"/>
        <w:tblInd w:w="0" w:type="dxa"/>
        <w:tblLayout w:type="fixed"/>
        <w:tblCellMar>
          <w:top w:w="0" w:type="dxa"/>
          <w:left w:w="0" w:type="dxa"/>
          <w:bottom w:w="28" w:type="dxa"/>
          <w:right w:w="0" w:type="dxa"/>
        </w:tblCellMar>
      </w:tblPr>
      <w:tblGrid>
        <w:gridCol w:w="2390"/>
        <w:gridCol w:w="60"/>
        <w:gridCol w:w="1475"/>
        <w:gridCol w:w="60"/>
        <w:gridCol w:w="3365"/>
      </w:tblGrid>
      <w:tr>
        <w:trPr/>
        <w:tc>
          <w:tcPr>
            <w:tcW w:w="2390" w:type="dxa"/>
            <w:tcBorders>
              <w:bottom w:val="single" w:sz="8" w:space="0" w:color="000000"/>
            </w:tcBorders>
            <w:vAlign w:val="center"/>
          </w:tcPr>
          <w:p>
            <w:pPr>
              <w:pStyle w:val="TableContents"/>
              <w:bidi w:val="0"/>
              <w:spacing w:before="0" w:after="283"/>
              <w:jc w:val="center"/>
              <w:rPr>
                <w:b/>
                <w:sz w:val="18"/>
              </w:rPr>
            </w:pPr>
            <w:r>
              <w:rPr>
                <w:b/>
                <w:sz w:val="18"/>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b/>
                <w:sz w:val="18"/>
              </w:rPr>
            </w:pPr>
            <w:r>
              <w:rPr>
                <w:b/>
                <w:sz w:val="18"/>
              </w:rPr>
              <w:t>Trading Symbol(s)</w:t>
            </w:r>
          </w:p>
        </w:tc>
        <w:tc>
          <w:tcPr>
            <w:tcW w:w="60" w:type="dxa"/>
            <w:tcBorders/>
            <w:tcMar>
              <w:bottom w:w="0" w:type="dxa"/>
            </w:tcMar>
            <w:vAlign w:val="center"/>
          </w:tcPr>
          <w:p>
            <w:pPr>
              <w:pStyle w:val="TableContents"/>
              <w:bidi w:val="0"/>
              <w:spacing w:before="0" w:after="283"/>
              <w:jc w:val="center"/>
              <w:rPr/>
            </w:pPr>
            <w:r>
              <w:rPr/>
              <w:t> </w:t>
            </w:r>
          </w:p>
        </w:tc>
        <w:tc>
          <w:tcPr>
            <w:tcW w:w="3365" w:type="dxa"/>
            <w:tcBorders>
              <w:bottom w:val="single" w:sz="8" w:space="0" w:color="000000"/>
            </w:tcBorders>
            <w:vAlign w:val="center"/>
          </w:tcPr>
          <w:p>
            <w:pPr>
              <w:pStyle w:val="TableContents"/>
              <w:bidi w:val="0"/>
              <w:spacing w:before="0" w:after="283"/>
              <w:jc w:val="center"/>
              <w:rPr>
                <w:b/>
                <w:sz w:val="18"/>
              </w:rPr>
            </w:pPr>
            <w:r>
              <w:rPr>
                <w:b/>
                <w:sz w:val="18"/>
              </w:rPr>
              <w:t>Name of each exchange on which registered</w:t>
            </w:r>
          </w:p>
        </w:tc>
      </w:tr>
      <w:tr>
        <w:trPr/>
        <w:tc>
          <w:tcPr>
            <w:tcW w:w="2390" w:type="dxa"/>
            <w:tcBorders/>
            <w:tcMar>
              <w:bottom w:w="0" w:type="dxa"/>
            </w:tcMar>
            <w:vAlign w:val="center"/>
          </w:tcPr>
          <w:p>
            <w:pPr>
              <w:pStyle w:val="TableContents"/>
              <w:bidi w:val="0"/>
              <w:spacing w:before="0" w:after="283"/>
              <w:jc w:val="center"/>
              <w:rPr>
                <w:sz w:val="18"/>
              </w:rPr>
            </w:pPr>
            <w:bookmarkStart w:id="18" w:name="xdx_90D_edei--Security12bTitle_c20260818"/>
            <w:bookmarkEnd w:id="18"/>
            <w:r>
              <w:rPr>
                <w:sz w:val="18"/>
              </w:rPr>
              <w:t>Common Stock, $0.01 Par Value</w:t>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sz w:val="18"/>
              </w:rPr>
            </w:pPr>
            <w:bookmarkStart w:id="19" w:name="xdx_90A_edei--TradingSymbol_c20260818__2"/>
            <w:bookmarkEnd w:id="19"/>
            <w:r>
              <w:rPr>
                <w:sz w:val="18"/>
              </w:rPr>
              <w:t>ABBV</w:t>
            </w:r>
          </w:p>
        </w:tc>
        <w:tc>
          <w:tcPr>
            <w:tcW w:w="60" w:type="dxa"/>
            <w:tcBorders/>
            <w:tcMar>
              <w:bottom w:w="0" w:type="dxa"/>
            </w:tcMar>
            <w:vAlign w:val="center"/>
          </w:tcPr>
          <w:p>
            <w:pPr>
              <w:pStyle w:val="TableContents"/>
              <w:bidi w:val="0"/>
              <w:spacing w:before="0" w:after="283"/>
              <w:jc w:val="center"/>
              <w:rPr/>
            </w:pPr>
            <w:r>
              <w:rPr/>
              <w:t> </w:t>
            </w:r>
          </w:p>
        </w:tc>
        <w:tc>
          <w:tcPr>
            <w:tcW w:w="3365" w:type="dxa"/>
            <w:tcBorders/>
            <w:tcMar>
              <w:bottom w:w="0" w:type="dxa"/>
            </w:tcMar>
            <w:vAlign w:val="center"/>
          </w:tcPr>
          <w:p>
            <w:pPr>
              <w:pStyle w:val="TableContents"/>
              <w:bidi w:val="0"/>
              <w:spacing w:before="0" w:after="283"/>
              <w:jc w:val="center"/>
              <w:rPr>
                <w:sz w:val="18"/>
              </w:rPr>
            </w:pPr>
            <w:bookmarkStart w:id="20" w:name="xdx_901_edei--SecurityExchangeName_c2026"/>
            <w:bookmarkEnd w:id="20"/>
            <w:r>
              <w:rPr>
                <w:sz w:val="18"/>
              </w:rPr>
              <w:t>New York Stock Exchange</w:t>
            </w:r>
          </w:p>
        </w:tc>
      </w:tr>
      <w:tr>
        <w:trPr/>
        <w:tc>
          <w:tcPr>
            <w:tcW w:w="23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365" w:type="dxa"/>
            <w:tcBorders/>
            <w:tcMar>
              <w:bottom w:w="0" w:type="dxa"/>
            </w:tcMar>
            <w:vAlign w:val="center"/>
          </w:tcPr>
          <w:p>
            <w:pPr>
              <w:pStyle w:val="TableContents"/>
              <w:bidi w:val="0"/>
              <w:spacing w:before="0" w:after="283"/>
              <w:jc w:val="center"/>
              <w:rPr/>
            </w:pPr>
            <w:r>
              <w:rPr/>
              <w:t>NYSE Texas</w:t>
            </w:r>
          </w:p>
        </w:tc>
      </w:tr>
      <w:tr>
        <w:trPr/>
        <w:tc>
          <w:tcPr>
            <w:tcW w:w="2390" w:type="dxa"/>
            <w:tcBorders/>
            <w:tcMar>
              <w:bottom w:w="0" w:type="dxa"/>
            </w:tcMar>
            <w:vAlign w:val="center"/>
          </w:tcPr>
          <w:p>
            <w:pPr>
              <w:pStyle w:val="TableContents"/>
              <w:bidi w:val="0"/>
              <w:spacing w:before="0" w:after="283"/>
              <w:jc w:val="center"/>
              <w:rPr>
                <w:sz w:val="18"/>
              </w:rPr>
            </w:pPr>
            <w:bookmarkStart w:id="21" w:name="xdx_907_edei--Security12bTitle_c20260818"/>
            <w:bookmarkEnd w:id="21"/>
            <w:r>
              <w:rPr>
                <w:sz w:val="18"/>
              </w:rPr>
              <w:t>0.750% Senior Notes due 2027</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sz w:val="18"/>
              </w:rPr>
            </w:pPr>
            <w:bookmarkStart w:id="22" w:name="xdx_908_edei--TradingSymbol_c20260818__2"/>
            <w:bookmarkEnd w:id="22"/>
            <w:r>
              <w:rPr>
                <w:sz w:val="18"/>
              </w:rPr>
              <w:t>ABBV27</w:t>
            </w:r>
          </w:p>
        </w:tc>
        <w:tc>
          <w:tcPr>
            <w:tcW w:w="60" w:type="dxa"/>
            <w:tcBorders/>
            <w:tcMar>
              <w:bottom w:w="0" w:type="dxa"/>
            </w:tcMar>
            <w:vAlign w:val="center"/>
          </w:tcPr>
          <w:p>
            <w:pPr>
              <w:pStyle w:val="TableContents"/>
              <w:bidi w:val="0"/>
              <w:spacing w:before="0" w:after="283"/>
              <w:jc w:val="left"/>
              <w:rPr/>
            </w:pPr>
            <w:r>
              <w:rPr/>
              <w:t> </w:t>
            </w:r>
          </w:p>
        </w:tc>
        <w:tc>
          <w:tcPr>
            <w:tcW w:w="3365" w:type="dxa"/>
            <w:tcBorders/>
            <w:tcMar>
              <w:bottom w:w="0" w:type="dxa"/>
            </w:tcMar>
            <w:vAlign w:val="center"/>
          </w:tcPr>
          <w:p>
            <w:pPr>
              <w:pStyle w:val="TableContents"/>
              <w:bidi w:val="0"/>
              <w:spacing w:before="0" w:after="283"/>
              <w:jc w:val="center"/>
              <w:rPr>
                <w:sz w:val="18"/>
              </w:rPr>
            </w:pPr>
            <w:bookmarkStart w:id="23" w:name="xdx_90C_edei--SecurityExchangeName_c2026"/>
            <w:bookmarkEnd w:id="23"/>
            <w:r>
              <w:rPr>
                <w:sz w:val="18"/>
              </w:rPr>
              <w:t>New York Stock Exchange</w:t>
            </w:r>
          </w:p>
        </w:tc>
      </w:tr>
      <w:tr>
        <w:trPr/>
        <w:tc>
          <w:tcPr>
            <w:tcW w:w="2390" w:type="dxa"/>
            <w:tcBorders/>
            <w:tcMar>
              <w:bottom w:w="0" w:type="dxa"/>
            </w:tcMar>
            <w:vAlign w:val="center"/>
          </w:tcPr>
          <w:p>
            <w:pPr>
              <w:pStyle w:val="TableContents"/>
              <w:bidi w:val="0"/>
              <w:spacing w:before="0" w:after="283"/>
              <w:jc w:val="center"/>
              <w:rPr>
                <w:sz w:val="18"/>
              </w:rPr>
            </w:pPr>
            <w:bookmarkStart w:id="24" w:name="xdx_90B_edei--Security12bTitle_c20260818"/>
            <w:bookmarkEnd w:id="24"/>
            <w:r>
              <w:rPr>
                <w:sz w:val="18"/>
              </w:rPr>
              <w:t>2.125% Senior Notes due 2028</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sz w:val="18"/>
              </w:rPr>
            </w:pPr>
            <w:bookmarkStart w:id="25" w:name="xdx_906_edei--TradingSymbol_c20260818__2"/>
            <w:bookmarkEnd w:id="25"/>
            <w:r>
              <w:rPr>
                <w:sz w:val="18"/>
              </w:rPr>
              <w:t>ABBV28</w:t>
            </w:r>
          </w:p>
        </w:tc>
        <w:tc>
          <w:tcPr>
            <w:tcW w:w="60" w:type="dxa"/>
            <w:tcBorders/>
            <w:tcMar>
              <w:bottom w:w="0" w:type="dxa"/>
            </w:tcMar>
            <w:vAlign w:val="center"/>
          </w:tcPr>
          <w:p>
            <w:pPr>
              <w:pStyle w:val="TableContents"/>
              <w:bidi w:val="0"/>
              <w:spacing w:before="0" w:after="283"/>
              <w:jc w:val="left"/>
              <w:rPr/>
            </w:pPr>
            <w:r>
              <w:rPr/>
              <w:t> </w:t>
            </w:r>
          </w:p>
        </w:tc>
        <w:tc>
          <w:tcPr>
            <w:tcW w:w="3365" w:type="dxa"/>
            <w:tcBorders/>
            <w:tcMar>
              <w:bottom w:w="0" w:type="dxa"/>
            </w:tcMar>
            <w:vAlign w:val="center"/>
          </w:tcPr>
          <w:p>
            <w:pPr>
              <w:pStyle w:val="TableContents"/>
              <w:bidi w:val="0"/>
              <w:spacing w:before="0" w:after="283"/>
              <w:jc w:val="center"/>
              <w:rPr>
                <w:sz w:val="18"/>
              </w:rPr>
            </w:pPr>
            <w:bookmarkStart w:id="26" w:name="xdx_902_edei--SecurityExchangeName_c2026"/>
            <w:bookmarkEnd w:id="26"/>
            <w:r>
              <w:rPr>
                <w:sz w:val="18"/>
              </w:rPr>
              <w:t>New York Stock Exchange</w:t>
            </w:r>
          </w:p>
        </w:tc>
      </w:tr>
      <w:tr>
        <w:trPr/>
        <w:tc>
          <w:tcPr>
            <w:tcW w:w="2390" w:type="dxa"/>
            <w:tcBorders/>
            <w:tcMar>
              <w:bottom w:w="0" w:type="dxa"/>
            </w:tcMar>
            <w:vAlign w:val="center"/>
          </w:tcPr>
          <w:p>
            <w:pPr>
              <w:pStyle w:val="TableContents"/>
              <w:bidi w:val="0"/>
              <w:spacing w:before="0" w:after="283"/>
              <w:jc w:val="center"/>
              <w:rPr>
                <w:sz w:val="18"/>
              </w:rPr>
            </w:pPr>
            <w:bookmarkStart w:id="27" w:name="xdx_90C_edei--Security12bTitle_c20260818"/>
            <w:bookmarkEnd w:id="27"/>
            <w:r>
              <w:rPr>
                <w:sz w:val="18"/>
              </w:rPr>
              <w:t>2.625% Senior Notes due 2028</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sz w:val="18"/>
              </w:rPr>
            </w:pPr>
            <w:bookmarkStart w:id="28" w:name="xdx_907_edei--TradingSymbol_c20260818__2"/>
            <w:bookmarkEnd w:id="28"/>
            <w:r>
              <w:rPr>
                <w:sz w:val="18"/>
              </w:rPr>
              <w:t>ABBV28B</w:t>
            </w:r>
          </w:p>
        </w:tc>
        <w:tc>
          <w:tcPr>
            <w:tcW w:w="60" w:type="dxa"/>
            <w:tcBorders/>
            <w:tcMar>
              <w:bottom w:w="0" w:type="dxa"/>
            </w:tcMar>
            <w:vAlign w:val="center"/>
          </w:tcPr>
          <w:p>
            <w:pPr>
              <w:pStyle w:val="TableContents"/>
              <w:bidi w:val="0"/>
              <w:spacing w:before="0" w:after="283"/>
              <w:jc w:val="left"/>
              <w:rPr/>
            </w:pPr>
            <w:r>
              <w:rPr/>
              <w:t> </w:t>
            </w:r>
          </w:p>
        </w:tc>
        <w:tc>
          <w:tcPr>
            <w:tcW w:w="3365" w:type="dxa"/>
            <w:tcBorders/>
            <w:tcMar>
              <w:bottom w:w="0" w:type="dxa"/>
            </w:tcMar>
            <w:vAlign w:val="center"/>
          </w:tcPr>
          <w:p>
            <w:pPr>
              <w:pStyle w:val="TableContents"/>
              <w:bidi w:val="0"/>
              <w:spacing w:before="0" w:after="283"/>
              <w:jc w:val="center"/>
              <w:rPr>
                <w:sz w:val="18"/>
              </w:rPr>
            </w:pPr>
            <w:bookmarkStart w:id="29" w:name="xdx_902_edei--SecurityExchangeName_c2026"/>
            <w:bookmarkEnd w:id="29"/>
            <w:r>
              <w:rPr>
                <w:sz w:val="18"/>
              </w:rPr>
              <w:t>New York Stock Exchange</w:t>
            </w:r>
          </w:p>
        </w:tc>
      </w:tr>
      <w:tr>
        <w:trPr/>
        <w:tc>
          <w:tcPr>
            <w:tcW w:w="2390" w:type="dxa"/>
            <w:tcBorders/>
            <w:tcMar>
              <w:bottom w:w="0" w:type="dxa"/>
            </w:tcMar>
            <w:vAlign w:val="center"/>
          </w:tcPr>
          <w:p>
            <w:pPr>
              <w:pStyle w:val="TableContents"/>
              <w:bidi w:val="0"/>
              <w:spacing w:before="0" w:after="283"/>
              <w:jc w:val="center"/>
              <w:rPr>
                <w:sz w:val="18"/>
              </w:rPr>
            </w:pPr>
            <w:bookmarkStart w:id="30" w:name="xdx_901_edei--Security12bTitle_c20260818"/>
            <w:bookmarkEnd w:id="30"/>
            <w:r>
              <w:rPr>
                <w:sz w:val="18"/>
              </w:rPr>
              <w:t>2.125% Senior Notes due 2029</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sz w:val="18"/>
              </w:rPr>
            </w:pPr>
            <w:bookmarkStart w:id="31" w:name="xdx_900_edei--TradingSymbol_c20260818__2"/>
            <w:bookmarkEnd w:id="31"/>
            <w:r>
              <w:rPr>
                <w:sz w:val="18"/>
              </w:rPr>
              <w:t>ABBV29</w:t>
            </w:r>
          </w:p>
        </w:tc>
        <w:tc>
          <w:tcPr>
            <w:tcW w:w="60" w:type="dxa"/>
            <w:tcBorders/>
            <w:tcMar>
              <w:bottom w:w="0" w:type="dxa"/>
            </w:tcMar>
            <w:vAlign w:val="center"/>
          </w:tcPr>
          <w:p>
            <w:pPr>
              <w:pStyle w:val="TableContents"/>
              <w:bidi w:val="0"/>
              <w:spacing w:before="0" w:after="283"/>
              <w:jc w:val="left"/>
              <w:rPr/>
            </w:pPr>
            <w:r>
              <w:rPr/>
              <w:t> </w:t>
            </w:r>
          </w:p>
        </w:tc>
        <w:tc>
          <w:tcPr>
            <w:tcW w:w="3365" w:type="dxa"/>
            <w:tcBorders/>
            <w:tcMar>
              <w:bottom w:w="0" w:type="dxa"/>
            </w:tcMar>
            <w:vAlign w:val="center"/>
          </w:tcPr>
          <w:p>
            <w:pPr>
              <w:pStyle w:val="TableContents"/>
              <w:bidi w:val="0"/>
              <w:spacing w:before="0" w:after="283"/>
              <w:jc w:val="center"/>
              <w:rPr>
                <w:sz w:val="18"/>
              </w:rPr>
            </w:pPr>
            <w:bookmarkStart w:id="32" w:name="xdx_900_edei--SecurityExchangeName_c2026"/>
            <w:bookmarkEnd w:id="32"/>
            <w:r>
              <w:rPr>
                <w:sz w:val="18"/>
              </w:rPr>
              <w:t>New York Stock Exchange</w:t>
            </w:r>
          </w:p>
        </w:tc>
      </w:tr>
      <w:tr>
        <w:trPr/>
        <w:tc>
          <w:tcPr>
            <w:tcW w:w="2390" w:type="dxa"/>
            <w:tcBorders/>
            <w:tcMar>
              <w:bottom w:w="0" w:type="dxa"/>
            </w:tcMar>
            <w:vAlign w:val="center"/>
          </w:tcPr>
          <w:p>
            <w:pPr>
              <w:pStyle w:val="TableContents"/>
              <w:bidi w:val="0"/>
              <w:spacing w:before="0" w:after="283"/>
              <w:jc w:val="center"/>
              <w:rPr>
                <w:sz w:val="18"/>
              </w:rPr>
            </w:pPr>
            <w:bookmarkStart w:id="33" w:name="xdx_904_edei--Security12bTitle_c20260818"/>
            <w:bookmarkEnd w:id="33"/>
            <w:r>
              <w:rPr>
                <w:sz w:val="18"/>
              </w:rPr>
              <w:t>1.250% Senior Notes due 2031</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sz w:val="18"/>
              </w:rPr>
            </w:pPr>
            <w:bookmarkStart w:id="34" w:name="xdx_902_edei--TradingSymbol_c20260818__2"/>
            <w:bookmarkEnd w:id="34"/>
            <w:r>
              <w:rPr>
                <w:sz w:val="18"/>
              </w:rPr>
              <w:t>ABBV31</w:t>
            </w:r>
          </w:p>
        </w:tc>
        <w:tc>
          <w:tcPr>
            <w:tcW w:w="60" w:type="dxa"/>
            <w:tcBorders/>
            <w:tcMar>
              <w:bottom w:w="0" w:type="dxa"/>
            </w:tcMar>
            <w:vAlign w:val="center"/>
          </w:tcPr>
          <w:p>
            <w:pPr>
              <w:pStyle w:val="TableContents"/>
              <w:bidi w:val="0"/>
              <w:spacing w:before="0" w:after="283"/>
              <w:jc w:val="left"/>
              <w:rPr/>
            </w:pPr>
            <w:r>
              <w:rPr/>
              <w:t> </w:t>
            </w:r>
          </w:p>
        </w:tc>
        <w:tc>
          <w:tcPr>
            <w:tcW w:w="3365" w:type="dxa"/>
            <w:tcBorders/>
            <w:tcMar>
              <w:bottom w:w="0" w:type="dxa"/>
            </w:tcMar>
            <w:vAlign w:val="center"/>
          </w:tcPr>
          <w:p>
            <w:pPr>
              <w:pStyle w:val="TableContents"/>
              <w:bidi w:val="0"/>
              <w:spacing w:before="0" w:after="283"/>
              <w:jc w:val="center"/>
              <w:rPr>
                <w:sz w:val="18"/>
              </w:rPr>
            </w:pPr>
            <w:bookmarkStart w:id="35" w:name="xdx_90C_edei--SecurityExchangeName_c2026"/>
            <w:bookmarkEnd w:id="35"/>
            <w:r>
              <w:rPr>
                <w:sz w:val="18"/>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36" w:name="xdx_90A_edei--EntityEmergingGrowthCompan"/>
      <w:bookmarkEnd w:id="3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AbbVie Inc. (“</w:t>
      </w:r>
      <w:r>
        <w:rPr>
          <w:rFonts w:ascii="Times New Roman;Times;Serif" w:hAnsi="Times New Roman;Times;Serif"/>
          <w:b w:val="false"/>
          <w:i w:val="false"/>
          <w:caps w:val="false"/>
          <w:smallCaps w:val="false"/>
          <w:sz w:val="20"/>
          <w:u w:val="single"/>
        </w:rPr>
        <w:t>AbbVie</w:t>
      </w:r>
      <w:r>
        <w:rPr>
          <w:rFonts w:ascii="Times New Roman;Times;Serif" w:hAnsi="Times New Roman;Times;Serif"/>
          <w:b w:val="false"/>
          <w:i w:val="false"/>
          <w:caps w:val="false"/>
          <w:smallCaps w:val="false"/>
          <w:sz w:val="20"/>
        </w:rPr>
        <w:t>”) completed its previously announced underwritten public offering (the “</w:t>
      </w:r>
      <w:r>
        <w:rPr>
          <w:rFonts w:ascii="Times New Roman;Times;Serif" w:hAnsi="Times New Roman;Times;Serif"/>
          <w:b w:val="false"/>
          <w:i w:val="false"/>
          <w:caps w:val="false"/>
          <w:smallCaps w:val="false"/>
          <w:sz w:val="20"/>
          <w:u w:val="single"/>
        </w:rPr>
        <w:t>Notes Offering</w:t>
      </w:r>
      <w:r>
        <w:rPr>
          <w:rFonts w:ascii="Times New Roman;Times;Serif" w:hAnsi="Times New Roman;Times;Serif"/>
          <w:b w:val="false"/>
          <w:i w:val="false"/>
          <w:caps w:val="false"/>
          <w:smallCaps w:val="false"/>
          <w:sz w:val="20"/>
        </w:rPr>
        <w:t>”) of $500,000,000 aggregate principal amount of its senior floating rate notes due 2028 (the “</w:t>
      </w:r>
      <w:r>
        <w:rPr>
          <w:rFonts w:ascii="Times New Roman;Times;Serif" w:hAnsi="Times New Roman;Times;Serif"/>
          <w:b w:val="false"/>
          <w:i w:val="false"/>
          <w:caps w:val="false"/>
          <w:smallCaps w:val="false"/>
          <w:sz w:val="20"/>
          <w:u w:val="single"/>
        </w:rPr>
        <w:t>Floating Rate Notes</w:t>
      </w:r>
      <w:r>
        <w:rPr>
          <w:rFonts w:ascii="Times New Roman;Times;Serif" w:hAnsi="Times New Roman;Times;Serif"/>
          <w:b w:val="false"/>
          <w:i w:val="false"/>
          <w:caps w:val="false"/>
          <w:smallCaps w:val="false"/>
          <w:sz w:val="20"/>
        </w:rPr>
        <w:t>”), $1,000,000,000 aggregate principal amount of its 4.500% senior notes due 2028 (the “</w:t>
      </w:r>
      <w:r>
        <w:rPr>
          <w:rFonts w:ascii="Times New Roman;Times;Serif" w:hAnsi="Times New Roman;Times;Serif"/>
          <w:b w:val="false"/>
          <w:i w:val="false"/>
          <w:caps w:val="false"/>
          <w:smallCaps w:val="false"/>
          <w:sz w:val="20"/>
          <w:u w:val="single"/>
        </w:rPr>
        <w:t>2028 Notes</w:t>
      </w:r>
      <w:r>
        <w:rPr>
          <w:rFonts w:ascii="Times New Roman;Times;Serif" w:hAnsi="Times New Roman;Times;Serif"/>
          <w:b w:val="false"/>
          <w:i w:val="false"/>
          <w:caps w:val="false"/>
          <w:smallCaps w:val="false"/>
          <w:sz w:val="20"/>
        </w:rPr>
        <w:t>”), $1,250,000,000 aggregate principal amount of its 4.650% senior notes due 2030 (the “</w:t>
      </w:r>
      <w:r>
        <w:rPr>
          <w:rFonts w:ascii="Times New Roman;Times;Serif" w:hAnsi="Times New Roman;Times;Serif"/>
          <w:b w:val="false"/>
          <w:i w:val="false"/>
          <w:caps w:val="false"/>
          <w:smallCaps w:val="false"/>
          <w:sz w:val="20"/>
          <w:u w:val="single"/>
        </w:rPr>
        <w:t>2030 Notes</w:t>
      </w:r>
      <w:r>
        <w:rPr>
          <w:rFonts w:ascii="Times New Roman;Times;Serif" w:hAnsi="Times New Roman;Times;Serif"/>
          <w:b w:val="false"/>
          <w:i w:val="false"/>
          <w:caps w:val="false"/>
          <w:smallCaps w:val="false"/>
          <w:sz w:val="20"/>
        </w:rPr>
        <w:t>”), $1,500,000,000 aggregate principal amount of its 4.875% senior notes due 2031 (the “</w:t>
      </w:r>
      <w:r>
        <w:rPr>
          <w:rFonts w:ascii="Times New Roman;Times;Serif" w:hAnsi="Times New Roman;Times;Serif"/>
          <w:b w:val="false"/>
          <w:i w:val="false"/>
          <w:caps w:val="false"/>
          <w:smallCaps w:val="false"/>
          <w:sz w:val="20"/>
          <w:u w:val="single"/>
        </w:rPr>
        <w:t>2031 Notes</w:t>
      </w:r>
      <w:r>
        <w:rPr>
          <w:rFonts w:ascii="Times New Roman;Times;Serif" w:hAnsi="Times New Roman;Times;Serif"/>
          <w:b w:val="false"/>
          <w:i w:val="false"/>
          <w:caps w:val="false"/>
          <w:smallCaps w:val="false"/>
          <w:sz w:val="20"/>
        </w:rPr>
        <w:t>”), $1,250,000,000 aggregate principal amount of its 5.050% senior notes due 2033 (the “</w:t>
      </w:r>
      <w:r>
        <w:rPr>
          <w:rFonts w:ascii="Times New Roman;Times;Serif" w:hAnsi="Times New Roman;Times;Serif"/>
          <w:b w:val="false"/>
          <w:i w:val="false"/>
          <w:caps w:val="false"/>
          <w:smallCaps w:val="false"/>
          <w:sz w:val="20"/>
          <w:u w:val="single"/>
        </w:rPr>
        <w:t>2033 Notes</w:t>
      </w:r>
      <w:r>
        <w:rPr>
          <w:rFonts w:ascii="Times New Roman;Times;Serif" w:hAnsi="Times New Roman;Times;Serif"/>
          <w:b w:val="false"/>
          <w:i w:val="false"/>
          <w:caps w:val="false"/>
          <w:smallCaps w:val="false"/>
          <w:sz w:val="20"/>
        </w:rPr>
        <w:t>”), $1,500,000,000 aggregate principal amount of its 5.300% senior notes due 2036 (the “</w:t>
      </w:r>
      <w:r>
        <w:rPr>
          <w:rFonts w:ascii="Times New Roman;Times;Serif" w:hAnsi="Times New Roman;Times;Serif"/>
          <w:b w:val="false"/>
          <w:i w:val="false"/>
          <w:caps w:val="false"/>
          <w:smallCaps w:val="false"/>
          <w:sz w:val="20"/>
          <w:u w:val="single"/>
        </w:rPr>
        <w:t>2036 Notes</w:t>
      </w:r>
      <w:r>
        <w:rPr>
          <w:rFonts w:ascii="Times New Roman;Times;Serif" w:hAnsi="Times New Roman;Times;Serif"/>
          <w:b w:val="false"/>
          <w:i w:val="false"/>
          <w:caps w:val="false"/>
          <w:smallCaps w:val="false"/>
          <w:sz w:val="20"/>
        </w:rPr>
        <w:t>”), $1,000,000,000 aggregate principal amount of its 5.450% senior notes due 2038 (the “</w:t>
      </w:r>
      <w:r>
        <w:rPr>
          <w:rFonts w:ascii="Times New Roman;Times;Serif" w:hAnsi="Times New Roman;Times;Serif"/>
          <w:b w:val="false"/>
          <w:i w:val="false"/>
          <w:caps w:val="false"/>
          <w:smallCaps w:val="false"/>
          <w:sz w:val="20"/>
          <w:u w:val="single"/>
        </w:rPr>
        <w:t>2038 Notes</w:t>
      </w:r>
      <w:r>
        <w:rPr>
          <w:rFonts w:ascii="Times New Roman;Times;Serif" w:hAnsi="Times New Roman;Times;Serif"/>
          <w:b w:val="false"/>
          <w:i w:val="false"/>
          <w:caps w:val="false"/>
          <w:smallCaps w:val="false"/>
          <w:sz w:val="20"/>
        </w:rPr>
        <w:t>”), $1,500,000,000 aggregate principal amount of its 6.000% senior notes due 2056 (the “</w:t>
      </w:r>
      <w:r>
        <w:rPr>
          <w:rFonts w:ascii="Times New Roman;Times;Serif" w:hAnsi="Times New Roman;Times;Serif"/>
          <w:b w:val="false"/>
          <w:i w:val="false"/>
          <w:caps w:val="false"/>
          <w:smallCaps w:val="false"/>
          <w:sz w:val="20"/>
          <w:u w:val="single"/>
        </w:rPr>
        <w:t>2056 Notes</w:t>
      </w:r>
      <w:r>
        <w:rPr>
          <w:rFonts w:ascii="Times New Roman;Times;Serif" w:hAnsi="Times New Roman;Times;Serif"/>
          <w:b w:val="false"/>
          <w:i w:val="false"/>
          <w:caps w:val="false"/>
          <w:smallCaps w:val="false"/>
          <w:sz w:val="20"/>
        </w:rPr>
        <w:t>”) and $500,000,000 aggregate principal amount of its 6.100% senior notes due 2066 (the “</w:t>
      </w:r>
      <w:r>
        <w:rPr>
          <w:rFonts w:ascii="Times New Roman;Times;Serif" w:hAnsi="Times New Roman;Times;Serif"/>
          <w:b w:val="false"/>
          <w:i w:val="false"/>
          <w:caps w:val="false"/>
          <w:smallCaps w:val="false"/>
          <w:sz w:val="20"/>
          <w:u w:val="single"/>
        </w:rPr>
        <w:t>2066 Notes</w:t>
      </w:r>
      <w:r>
        <w:rPr>
          <w:rFonts w:ascii="Times New Roman;Times;Serif" w:hAnsi="Times New Roman;Times;Serif"/>
          <w:b w:val="false"/>
          <w:i w:val="false"/>
          <w:caps w:val="false"/>
          <w:smallCaps w:val="false"/>
          <w:sz w:val="20"/>
        </w:rPr>
        <w:t>” and, together with the 2028 Notes, the 2030 Notes, the 2031 Notes, the 2033 Notes, the 2036 Notes, the 2038 Notes and the 2056 Notes, the “Fixed Rate Notes” and, collectively with the Floating Rate Notes,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each series of Notes was registered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pursuant to AbbVie’s registration statement on Form S-3ASR (File No. 333-284980)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dated as of February 14, 2025. The terms of the Notes are further described in AbbVie’s prospectus supplement dated August 4, 2026, as filed with the Securities and Exchange Commission pursuant to Rule 424(b)(5) of the Act on 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governed by the Indenture, dated November 8, 2012 (the “</w:t>
      </w:r>
      <w:r>
        <w:rPr>
          <w:rFonts w:ascii="Times New Roman;Times;Serif" w:hAnsi="Times New Roman;Times;Serif"/>
          <w:b w:val="false"/>
          <w:i w:val="false"/>
          <w:caps w:val="false"/>
          <w:smallCaps w:val="false"/>
          <w:sz w:val="20"/>
          <w:u w:val="single"/>
        </w:rPr>
        <w:t>Base Indenture</w:t>
      </w:r>
      <w:r>
        <w:rPr>
          <w:rFonts w:ascii="Times New Roman;Times;Serif" w:hAnsi="Times New Roman;Times;Serif"/>
          <w:b w:val="false"/>
          <w:i w:val="false"/>
          <w:caps w:val="false"/>
          <w:smallCaps w:val="false"/>
          <w:sz w:val="20"/>
        </w:rPr>
        <w:t>”), between AbbVie and U.S. Bank Trust Company, National Association, as successor-in-interest to U.S. Bank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supplemented by that certain Supplemental Indenture No. 13, dated as of August 18, 2026, with respect to the Notes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and, together with the Base Indenture as so supplemented,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Floating Rate Notes and the 2028 Notes will mature on August 18, 2028, and the 2030 Notes will mature on March 15, 2030. All other series of Notes will mature on September 15 of the applicable year. The Notes are unsecured, unsubordinated obligations of AbbVie and will rank equally in right of payment with all of AbbVie’s existing and future unsecured, unsubordinated indebtedness, liabilities and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may optionally redeem the Fixed Rate Notes at a customary “make-whole” redemption price calculated in a manner set forth in the applicable Notes, (i) in the case of the 2028 Notes, in whole or in part at any time; (ii) in the case of the 2030 Notes, in whole or in part at any time prior to February 15, 2030 (the “</w:t>
      </w:r>
      <w:r>
        <w:rPr>
          <w:rFonts w:ascii="Times New Roman;Times;Serif" w:hAnsi="Times New Roman;Times;Serif"/>
          <w:b w:val="false"/>
          <w:i w:val="false"/>
          <w:caps w:val="false"/>
          <w:smallCaps w:val="false"/>
          <w:sz w:val="20"/>
          <w:u w:val="single"/>
        </w:rPr>
        <w:t>2030 Par Call Date</w:t>
      </w:r>
      <w:r>
        <w:rPr>
          <w:rFonts w:ascii="Times New Roman;Times;Serif" w:hAnsi="Times New Roman;Times;Serif"/>
          <w:b w:val="false"/>
          <w:i w:val="false"/>
          <w:caps w:val="false"/>
          <w:smallCaps w:val="false"/>
          <w:sz w:val="20"/>
        </w:rPr>
        <w:t>”); (iii) in the case of the 2031 Notes, in whole or in part at any time prior to August 15, 2031 (the “</w:t>
      </w:r>
      <w:r>
        <w:rPr>
          <w:rFonts w:ascii="Times New Roman;Times;Serif" w:hAnsi="Times New Roman;Times;Serif"/>
          <w:b w:val="false"/>
          <w:i w:val="false"/>
          <w:caps w:val="false"/>
          <w:smallCaps w:val="false"/>
          <w:sz w:val="20"/>
          <w:u w:val="single"/>
        </w:rPr>
        <w:t>2031 Par Call Date</w:t>
      </w:r>
      <w:r>
        <w:rPr>
          <w:rFonts w:ascii="Times New Roman;Times;Serif" w:hAnsi="Times New Roman;Times;Serif"/>
          <w:b w:val="false"/>
          <w:i w:val="false"/>
          <w:caps w:val="false"/>
          <w:smallCaps w:val="false"/>
          <w:sz w:val="20"/>
        </w:rPr>
        <w:t>”); (iv) in the case of the 2033 Notes, in whole or in part at any time prior to July 15, 2033 (the “</w:t>
      </w:r>
      <w:r>
        <w:rPr>
          <w:rFonts w:ascii="Times New Roman;Times;Serif" w:hAnsi="Times New Roman;Times;Serif"/>
          <w:b w:val="false"/>
          <w:i w:val="false"/>
          <w:caps w:val="false"/>
          <w:smallCaps w:val="false"/>
          <w:sz w:val="20"/>
          <w:u w:val="single"/>
        </w:rPr>
        <w:t>2033 Par Call Date</w:t>
      </w:r>
      <w:r>
        <w:rPr>
          <w:rFonts w:ascii="Times New Roman;Times;Serif" w:hAnsi="Times New Roman;Times;Serif"/>
          <w:b w:val="false"/>
          <w:i w:val="false"/>
          <w:caps w:val="false"/>
          <w:smallCaps w:val="false"/>
          <w:sz w:val="20"/>
        </w:rPr>
        <w:t>”); (v) in the case of the 2036 Notes, in whole or in part at any time prior to June 15, 2036 (the “</w:t>
      </w:r>
      <w:r>
        <w:rPr>
          <w:rFonts w:ascii="Times New Roman;Times;Serif" w:hAnsi="Times New Roman;Times;Serif"/>
          <w:b w:val="false"/>
          <w:i w:val="false"/>
          <w:caps w:val="false"/>
          <w:smallCaps w:val="false"/>
          <w:sz w:val="20"/>
          <w:u w:val="single"/>
        </w:rPr>
        <w:t>2036 Par Call Date</w:t>
      </w:r>
      <w:r>
        <w:rPr>
          <w:rFonts w:ascii="Times New Roman;Times;Serif" w:hAnsi="Times New Roman;Times;Serif"/>
          <w:b w:val="false"/>
          <w:i w:val="false"/>
          <w:caps w:val="false"/>
          <w:smallCaps w:val="false"/>
          <w:sz w:val="20"/>
        </w:rPr>
        <w:t>”); (vi) in the case of the 2038 Notes, in whole or in part at any time prior to June 15, 2038 (the “</w:t>
      </w:r>
      <w:r>
        <w:rPr>
          <w:rFonts w:ascii="Times New Roman;Times;Serif" w:hAnsi="Times New Roman;Times;Serif"/>
          <w:b w:val="false"/>
          <w:i w:val="false"/>
          <w:caps w:val="false"/>
          <w:smallCaps w:val="false"/>
          <w:sz w:val="20"/>
          <w:u w:val="single"/>
        </w:rPr>
        <w:t>2038 Par Call Date</w:t>
      </w:r>
      <w:r>
        <w:rPr>
          <w:rFonts w:ascii="Times New Roman;Times;Serif" w:hAnsi="Times New Roman;Times;Serif"/>
          <w:b w:val="false"/>
          <w:i w:val="false"/>
          <w:caps w:val="false"/>
          <w:smallCaps w:val="false"/>
          <w:sz w:val="20"/>
        </w:rPr>
        <w:t>”); (vii) in the case of the 2056 Notes, in whole or in part at any time prior to March 15, 2056 (the “</w:t>
      </w:r>
      <w:r>
        <w:rPr>
          <w:rFonts w:ascii="Times New Roman;Times;Serif" w:hAnsi="Times New Roman;Times;Serif"/>
          <w:b w:val="false"/>
          <w:i w:val="false"/>
          <w:caps w:val="false"/>
          <w:smallCaps w:val="false"/>
          <w:sz w:val="20"/>
          <w:u w:val="single"/>
        </w:rPr>
        <w:t>2056 Par Call Date</w:t>
      </w:r>
      <w:r>
        <w:rPr>
          <w:rFonts w:ascii="Times New Roman;Times;Serif" w:hAnsi="Times New Roman;Times;Serif"/>
          <w:b w:val="false"/>
          <w:i w:val="false"/>
          <w:caps w:val="false"/>
          <w:smallCaps w:val="false"/>
          <w:sz w:val="20"/>
        </w:rPr>
        <w:t>”); and (viii) in the case of the 2066 Notes, in whole or in part at any time prior to March 15, 2066 (the “</w:t>
      </w:r>
      <w:r>
        <w:rPr>
          <w:rFonts w:ascii="Times New Roman;Times;Serif" w:hAnsi="Times New Roman;Times;Serif"/>
          <w:b w:val="false"/>
          <w:i w:val="false"/>
          <w:caps w:val="false"/>
          <w:smallCaps w:val="false"/>
          <w:sz w:val="20"/>
          <w:u w:val="single"/>
        </w:rPr>
        <w:t>2066 Par Call Date</w:t>
      </w:r>
      <w:r>
        <w:rPr>
          <w:rFonts w:ascii="Times New Roman;Times;Serif" w:hAnsi="Times New Roman;Times;Serif"/>
          <w:b w:val="false"/>
          <w:i w:val="false"/>
          <w:caps w:val="false"/>
          <w:smallCaps w:val="false"/>
          <w:sz w:val="20"/>
        </w:rPr>
        <w:t>” and, together with the 2030 Par Call Date, the 2031 Par Call Date, the 2033 Par Call Date, the 2036 Par Call Date, the 2038 Par Call Date and the 2056 Par Call Date, each a “</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On or after the applicable Par Call Date in respect of a series of Fixed Rate Notes (other than the 2028 Notes), AbbVie may redeem the Fixed Rate Notes of such series, in whole or in part, at any time and from time to time, at a redemption price equal to 100% of the principal amount of the Fixed Rate Notes of such series being redeemed plus accrued and unpaid interest thereon, if any, to, but not including,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Offering was conducted in connection with AbbVie’s previously announced acquisition (the “</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of Apogee Therapeutics, Inc. (“</w:t>
      </w:r>
      <w:r>
        <w:rPr>
          <w:rFonts w:ascii="Times New Roman;Times;Serif" w:hAnsi="Times New Roman;Times;Serif"/>
          <w:b w:val="false"/>
          <w:i w:val="false"/>
          <w:caps w:val="false"/>
          <w:smallCaps w:val="false"/>
          <w:sz w:val="20"/>
          <w:u w:val="single"/>
        </w:rPr>
        <w:t>Apogee</w:t>
      </w:r>
      <w:r>
        <w:rPr>
          <w:rFonts w:ascii="Times New Roman;Times;Serif" w:hAnsi="Times New Roman;Times;Serif"/>
          <w:b w:val="false"/>
          <w:i w:val="false"/>
          <w:caps w:val="false"/>
          <w:smallCaps w:val="false"/>
          <w:sz w:val="20"/>
        </w:rPr>
        <w:t>”). AbbVie expects to use the net proceeds from the Notes Offering to fund a portion of the aggregate cash consideration due to Apogee shareholders in connection with the Acquisition and to pay related fees and expenses, with any remaining net proceeds being used for general corporate purposes. If AbbVie either (i) publicly announces that the definitive agreement providing for the Acquisition has been terminated prior to the consummation of the Acquisition or (ii) notifies the Trustee in writing that it will not pursue the consummation of the Acquisition, then AbbVie will be required to redeem all of the Floating Rate Notes, 2028 Notes, 2030 Notes, 2031 Notes, 2033 Notes, 2036 Notes and 2038 Notes (but not the 2056 Notes or 2066 Notes) then outstanding at a special mandatory redemption price equal to 101% of the principal amount of such Notes plus accrued and unpaid interest thereon, if any, to, but not including, the special mandatory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customary terms and covenants, including limitations on AbbVie’s ability and the ability of certain of its subsidiaries to incur liens securing funded indebtedness and on AbbVie’s ability to consolidate or merge with or into, or convey, transfer or lease its properties and assets substantially as an entirety to any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Indenture does not purport to be complete and is qualified in its entirety by reference to the full text of the Base Indenture and the Supplemental Indenture, which are attached as Exhibits 4.1 and 4.2, respectively, hereto and are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 The following exhibits are provided as part of this Form 8-K: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r:id="rId2">
              <w:r>
                <w:rPr>
                  <w:rStyle w:val="InternetLink"/>
                  <w:rFonts w:ascii="Times New Roman;Times;Serif" w:hAnsi="Times New Roman;Times;Serif"/>
                  <w:sz w:val="20"/>
                </w:rPr>
                <w:t>4.1</w:t>
              </w:r>
            </w:hyperlink>
          </w:p>
        </w:tc>
        <w:tc>
          <w:tcPr>
            <w:tcW w:w="9810" w:type="dxa"/>
            <w:tcBorders/>
            <w:vAlign w:val="center"/>
          </w:tcPr>
          <w:p>
            <w:pPr>
              <w:pStyle w:val="TableContents"/>
              <w:bidi w:val="0"/>
              <w:spacing w:before="0" w:after="283"/>
              <w:jc w:val="both"/>
              <w:rPr/>
            </w:pPr>
            <w:hyperlink r:id="rId3">
              <w:r>
                <w:rPr>
                  <w:rStyle w:val="InternetLink"/>
                  <w:rFonts w:ascii="Times New Roman;Times;Serif" w:hAnsi="Times New Roman;Times;Serif"/>
                  <w:sz w:val="20"/>
                </w:rPr>
                <w:t>Indenture, dated November 8, 2012, between AbbVie Inc. and U.S. Bank Trust Company, National Association, as trustee (incorporated by reference to Exhibit 4.1 of Amendment No. 5 to AbbVie’s Registration Statement on Form 10 filed November 16, 2012).</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both"/>
              <w:rPr/>
            </w:pPr>
            <w:r>
              <w:rPr/>
              <w:t> </w:t>
            </w:r>
          </w:p>
        </w:tc>
      </w:tr>
      <w:tr>
        <w:trPr/>
        <w:tc>
          <w:tcPr>
            <w:tcW w:w="395"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4.2</w:t>
              </w:r>
            </w:hyperlink>
          </w:p>
        </w:tc>
        <w:tc>
          <w:tcPr>
            <w:tcW w:w="9810"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Supplemental Indenture No. 13, dated August 18, 2026, between AbbVie Inc. and U.S. Bank Trust Company, National Association, as trustee.</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4.3</w:t>
              </w:r>
            </w:hyperlink>
          </w:p>
        </w:tc>
        <w:tc>
          <w:tcPr>
            <w:tcW w:w="9810"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Form of Floating Rate Note due 2028 (included in Exhibit 4.2 hereto).</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4.4</w:t>
              </w:r>
            </w:hyperlink>
          </w:p>
        </w:tc>
        <w:tc>
          <w:tcPr>
            <w:tcW w:w="9810"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Form of 4.500% Note due 2028 (included in Exhibit 4.2 hereto).</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4.5</w:t>
              </w:r>
            </w:hyperlink>
          </w:p>
        </w:tc>
        <w:tc>
          <w:tcPr>
            <w:tcW w:w="9810"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Form of 4.650% Note due 2030 (included in Exhibit 4.2 hereto).</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4.6</w:t>
              </w:r>
            </w:hyperlink>
          </w:p>
        </w:tc>
        <w:tc>
          <w:tcPr>
            <w:tcW w:w="9810" w:type="dxa"/>
            <w:tcBorders/>
            <w:vAlign w:val="center"/>
          </w:tcPr>
          <w:p>
            <w:pPr>
              <w:pStyle w:val="TableContents"/>
              <w:bidi w:val="0"/>
              <w:spacing w:before="0" w:after="283"/>
              <w:jc w:val="left"/>
              <w:rPr/>
            </w:pPr>
            <w:hyperlink w:anchor="tm2623337d1_ex4-2.htm">
              <w:r>
                <w:rPr>
                  <w:rStyle w:val="InternetLink"/>
                </w:rPr>
                <w:t>Form of 4.875% Note due 2031 (included in Exhibit 4.2 hereto).</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4.7</w:t>
              </w:r>
            </w:hyperlink>
          </w:p>
        </w:tc>
        <w:tc>
          <w:tcPr>
            <w:tcW w:w="9810" w:type="dxa"/>
            <w:tcBorders/>
            <w:vAlign w:val="center"/>
          </w:tcPr>
          <w:p>
            <w:pPr>
              <w:pStyle w:val="TableContents"/>
              <w:bidi w:val="0"/>
              <w:spacing w:before="0" w:after="283"/>
              <w:jc w:val="left"/>
              <w:rPr/>
            </w:pPr>
            <w:hyperlink w:anchor="tm2623337d1_ex4-2.htm">
              <w:r>
                <w:rPr>
                  <w:rStyle w:val="InternetLink"/>
                </w:rPr>
                <w:t>Form of 5.050% Note due 2033 (included in Exhibit 4.2 hereto).</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4.8</w:t>
              </w:r>
            </w:hyperlink>
          </w:p>
        </w:tc>
        <w:tc>
          <w:tcPr>
            <w:tcW w:w="9810" w:type="dxa"/>
            <w:tcBorders/>
            <w:vAlign w:val="center"/>
          </w:tcPr>
          <w:p>
            <w:pPr>
              <w:pStyle w:val="TableContents"/>
              <w:bidi w:val="0"/>
              <w:spacing w:before="0" w:after="283"/>
              <w:jc w:val="left"/>
              <w:rPr/>
            </w:pPr>
            <w:hyperlink w:anchor="tm2623337d1_ex4-2.htm">
              <w:r>
                <w:rPr>
                  <w:rStyle w:val="InternetLink"/>
                </w:rPr>
                <w:t>Form of 5.300% Note due 2036 (included in Exhibit 4.2 hereto).</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4.9</w:t>
              </w:r>
            </w:hyperlink>
          </w:p>
        </w:tc>
        <w:tc>
          <w:tcPr>
            <w:tcW w:w="9810" w:type="dxa"/>
            <w:tcBorders/>
            <w:vAlign w:val="center"/>
          </w:tcPr>
          <w:p>
            <w:pPr>
              <w:pStyle w:val="TableContents"/>
              <w:bidi w:val="0"/>
              <w:spacing w:before="0" w:after="283"/>
              <w:jc w:val="left"/>
              <w:rPr/>
            </w:pPr>
            <w:hyperlink w:anchor="tm2623337d1_ex4-2.htm">
              <w:r>
                <w:rPr>
                  <w:rStyle w:val="InternetLink"/>
                </w:rPr>
                <w:t>Form of 5.450% Note due 2038 (included in Exhibit 4.2 hereto).</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4.10</w:t>
              </w:r>
            </w:hyperlink>
          </w:p>
        </w:tc>
        <w:tc>
          <w:tcPr>
            <w:tcW w:w="9810" w:type="dxa"/>
            <w:tcBorders/>
            <w:vAlign w:val="center"/>
          </w:tcPr>
          <w:p>
            <w:pPr>
              <w:pStyle w:val="TableContents"/>
              <w:bidi w:val="0"/>
              <w:spacing w:before="0" w:after="283"/>
              <w:jc w:val="left"/>
              <w:rPr/>
            </w:pPr>
            <w:hyperlink w:anchor="tm2623337d1_ex4-2.htm">
              <w:r>
                <w:rPr>
                  <w:rStyle w:val="InternetLink"/>
                </w:rPr>
                <w:t>Form of 6.000% Note due 2056 (included in Exhibit 4.2 hereto).  </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w:anchor="tm2623337d1_ex4-2.htm">
              <w:r>
                <w:rPr>
                  <w:rStyle w:val="InternetLink"/>
                  <w:rFonts w:ascii="Times New Roman;Times;Serif" w:hAnsi="Times New Roman;Times;Serif"/>
                  <w:sz w:val="20"/>
                </w:rPr>
                <w:t>4.11</w:t>
              </w:r>
            </w:hyperlink>
          </w:p>
        </w:tc>
        <w:tc>
          <w:tcPr>
            <w:tcW w:w="9810" w:type="dxa"/>
            <w:tcBorders/>
            <w:vAlign w:val="center"/>
          </w:tcPr>
          <w:p>
            <w:pPr>
              <w:pStyle w:val="TableContents"/>
              <w:bidi w:val="0"/>
              <w:spacing w:before="0" w:after="283"/>
              <w:jc w:val="left"/>
              <w:rPr/>
            </w:pPr>
            <w:hyperlink w:anchor="tm2623337d1_ex4-2.htm">
              <w:r>
                <w:rPr>
                  <w:rStyle w:val="InternetLink"/>
                </w:rPr>
                <w:t>Form of 6.100% Note due 2066 (included in Exhibit 4.2 hereto).</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w:anchor="tm2623337d1_ex5-1.htm">
              <w:r>
                <w:rPr>
                  <w:rStyle w:val="InternetLink"/>
                  <w:rFonts w:ascii="Times New Roman;Times;Serif" w:hAnsi="Times New Roman;Times;Serif"/>
                  <w:sz w:val="20"/>
                </w:rPr>
                <w:t>5.1</w:t>
              </w:r>
            </w:hyperlink>
          </w:p>
        </w:tc>
        <w:tc>
          <w:tcPr>
            <w:tcW w:w="9810" w:type="dxa"/>
            <w:tcBorders/>
            <w:vAlign w:val="center"/>
          </w:tcPr>
          <w:p>
            <w:pPr>
              <w:pStyle w:val="TableContents"/>
              <w:bidi w:val="0"/>
              <w:spacing w:before="0" w:after="283"/>
              <w:jc w:val="left"/>
              <w:rPr/>
            </w:pPr>
            <w:hyperlink w:anchor="tm2623337d1_ex5-1.htm">
              <w:r>
                <w:rPr>
                  <w:rStyle w:val="InternetLink"/>
                </w:rPr>
                <w:t>Opinion of Wachtell, Lipton, Rosen &amp; Katz, dated August 18, 2026, with respect to the Notes.</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pPr>
            <w:hyperlink w:anchor="tm2623337d1_ex5-1.htm">
              <w:r>
                <w:rPr>
                  <w:rStyle w:val="InternetLink"/>
                  <w:rFonts w:ascii="Times New Roman;Times;Serif" w:hAnsi="Times New Roman;Times;Serif"/>
                  <w:sz w:val="20"/>
                </w:rPr>
                <w:t>23.1</w:t>
              </w:r>
            </w:hyperlink>
          </w:p>
        </w:tc>
        <w:tc>
          <w:tcPr>
            <w:tcW w:w="9810" w:type="dxa"/>
            <w:tcBorders/>
            <w:vAlign w:val="center"/>
          </w:tcPr>
          <w:p>
            <w:pPr>
              <w:pStyle w:val="TableContents"/>
              <w:bidi w:val="0"/>
              <w:spacing w:before="0" w:after="283"/>
              <w:jc w:val="left"/>
              <w:rPr/>
            </w:pPr>
            <w:hyperlink w:anchor="tm2623337d1_ex5-1.htm">
              <w:r>
                <w:rPr>
                  <w:rStyle w:val="InternetLink"/>
                </w:rPr>
                <w:t>Consent of Wachtell, Lipton, Rosen &amp; Katz (included in Exhibit 5.1 of this Current Report on Form 8-K).</w:t>
              </w:r>
            </w:hyperlink>
          </w:p>
        </w:tc>
      </w:tr>
      <w:tr>
        <w:trPr/>
        <w:tc>
          <w:tcPr>
            <w:tcW w:w="395" w:type="dxa"/>
            <w:tcBorders/>
            <w:vAlign w:val="center"/>
          </w:tcPr>
          <w:p>
            <w:pPr>
              <w:pStyle w:val="TableContents"/>
              <w:bidi w:val="0"/>
              <w:spacing w:before="0" w:after="283"/>
              <w:jc w:val="left"/>
              <w:rPr/>
            </w:pPr>
            <w:r>
              <w:rPr/>
              <w:t> </w:t>
            </w:r>
          </w:p>
        </w:tc>
        <w:tc>
          <w:tcPr>
            <w:tcW w:w="981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8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1865"/>
        <w:gridCol w:w="320"/>
        <w:gridCol w:w="4025"/>
      </w:tblGrid>
      <w:tr>
        <w:trPr/>
        <w:tc>
          <w:tcPr>
            <w:tcW w:w="186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b/>
              </w:rPr>
            </w:pPr>
            <w:r>
              <w:rPr>
                <w:b/>
              </w:rPr>
              <w:t>ABBVIE INC.</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18,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Scott T. Reents</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T. Reents</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7" w:name="tm2623337d1_ex4-2.htm"/>
      <w:bookmarkStart w:id="38" w:name="kstm2623337d1_ex42"/>
      <w:bookmarkEnd w:id="37"/>
      <w:bookmarkEnd w:id="38"/>
      <w:r>
        <w:rPr/>
        <w:t> </w:t>
      </w:r>
      <w:r>
        <w:br w:type="page"/>
      </w:r>
    </w:p>
    <w:p>
      <w:pPr>
        <w:pStyle w:val="TextBody"/>
        <w:bidi w:val="0"/>
        <w:jc w:val="right"/>
        <w:rPr>
          <w:b/>
        </w:rPr>
      </w:pPr>
      <w:r>
        <w:rPr>
          <w:b/>
        </w:rPr>
        <w:t>Exhibit 4.2</w:t>
      </w:r>
    </w:p>
    <w:p>
      <w:pPr>
        <w:pStyle w:val="TextBody"/>
        <w:bidi w:val="0"/>
        <w:spacing w:before="0" w:after="283"/>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 NO. 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 Senior Floating Rate Notes due 2028</w:t>
        <w:br/>
        <w:t>$1,000,000,000 4.500% Senior Notes due 2028</w:t>
        <w:br/>
        <w:t>$1,250,000,000 4.650% Senior Notes due 2030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 4.875% Senior Notes due 2031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$1,250,000,000 5.050% Senior Notes due 2033</w:t>
        <w:br/>
        <w:t>$1,500,000,000 5.300% Senior Notes due 2036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$1,000,000,000 5.450% Senior Notes due 2038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 6.000% Senior Notes due 2056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 6.100% Senior Notes due 2066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NO. 13, dated as of August 18, 2026 (this “</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by and between ABBVIE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U.S. BANK TRUST COMPANY, NATIONAL ASSOCIATION, a national banking association, as successor-in-interest to U.S. Bank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heretofore executed and delivered to the Trustee an Indenture, dated as of November 8, 2012 (as heretofore supplemented or amended,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providing for the issuance from time to time of one or more series of Securities (as defined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Article IX of the Indenture provides for various matters with respect to any series of Securities issued under the Indenture to be established in an indenture supplemental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9.1(7) of the Indenture provides that the Company and the Trustee may enter into an indenture supplemental to the Indenture to establish the form or terms of Securities of any series as permitted by Sections 2.1 and 3.1 of the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the conditions and requirements necessary to make this Supplemental Indenture, when duly executed and delivered, a valid and binding agreement in accordance with its terms and for the purposes herein expressed have been performed and fulfilled.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THIS SUPPLEMENTAL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and in consideration of the premises and the issuance of the series of Securities provided for herein, the Company and the Trustee mutually covenant and agree for the equal and proportionate benefit of the respective Holders of the Securities of each such series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1</w:t>
      </w:r>
      <w:r>
        <w:rPr>
          <w:rFonts w:ascii="Times New Roman;Times;Serif" w:hAnsi="Times New Roman;Times;Serif"/>
          <w:b w:val="false"/>
          <w:i w:val="false"/>
          <w:caps w:val="false"/>
          <w:smallCaps w:val="false"/>
          <w:sz w:val="20"/>
        </w:rPr>
        <w:br/>
        <w:t>RELATION TO INDENTURE; DEFINITIONS; 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caps w:val="false"/>
          <w:smallCaps w:val="false"/>
          <w:sz w:val="20"/>
        </w:rPr>
        <w:t>Relation to Indenture</w:t>
      </w:r>
      <w:r>
        <w:rPr>
          <w:rFonts w:ascii="Times New Roman;Times;Serif" w:hAnsi="Times New Roman;Times;Serif"/>
          <w:b w:val="false"/>
          <w:i w:val="false"/>
          <w:caps w:val="false"/>
          <w:smallCaps w:val="false"/>
          <w:sz w:val="20"/>
        </w:rPr>
        <w:t>.  This Supplemental Indenture constitutes an integral part of the Indenture and capitalized terms defined in the Indenture that are used but not defined herein shall have the meanings assigned to such terms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For all purposes of this Supplemental Indenture, the following terms shall have the respective meanings set forth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2028 Notes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2030 Notes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2031 Notes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2033 Notes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2036 Notes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2038 Notes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2056 Notes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2066 Notes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Definitive Note</w:t>
      </w:r>
      <w:r>
        <w:rPr>
          <w:rFonts w:ascii="Times New Roman;Times;Serif" w:hAnsi="Times New Roman;Times;Serif"/>
          <w:b w:val="false"/>
          <w:i w:val="false"/>
          <w:caps w:val="false"/>
          <w:smallCaps w:val="false"/>
          <w:sz w:val="20"/>
        </w:rPr>
        <w:t>” means a certificated Note that does not include the Global Notes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Depository</w:t>
      </w:r>
      <w:r>
        <w:rPr>
          <w:rFonts w:ascii="Times New Roman;Times;Serif" w:hAnsi="Times New Roman;Times;Serif"/>
          <w:b w:val="false"/>
          <w:i w:val="false"/>
          <w:caps w:val="false"/>
          <w:smallCaps w:val="false"/>
          <w:sz w:val="20"/>
        </w:rPr>
        <w:t>” means The Depository Trust Company, its nominees and their respective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Floating Rate Notes</w:t>
      </w:r>
      <w:r>
        <w:rPr>
          <w:rFonts w:ascii="Times New Roman;Times;Serif" w:hAnsi="Times New Roman;Times;Serif"/>
          <w:b w:val="false"/>
          <w:i w:val="false"/>
          <w:caps w:val="false"/>
          <w:smallCaps w:val="false"/>
          <w:sz w:val="20"/>
        </w:rPr>
        <w:t xml:space="preserve">” has the meaning assigned to such term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Notes Legend</w:t>
      </w:r>
      <w:r>
        <w:rPr>
          <w:rFonts w:ascii="Times New Roman;Times;Serif" w:hAnsi="Times New Roman;Times;Serif"/>
          <w:b w:val="false"/>
          <w:i w:val="false"/>
          <w:caps w:val="false"/>
          <w:smallCaps w:val="false"/>
          <w:sz w:val="20"/>
        </w:rPr>
        <w:t>” means the legend set forth in Exhibits A1 through A9 to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means the Floating Rate Notes, the 2028 Notes, the 2030 Notes, the 2031 Notes, the 2033 Notes, the 2036 Notes, the 2038 Notes, the 2056 Notes and the 2066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Notes Custodian</w:t>
      </w:r>
      <w:r>
        <w:rPr>
          <w:rFonts w:ascii="Times New Roman;Times;Serif" w:hAnsi="Times New Roman;Times;Serif"/>
          <w:b w:val="false"/>
          <w:i w:val="false"/>
          <w:caps w:val="false"/>
          <w:smallCaps w:val="false"/>
          <w:sz w:val="20"/>
        </w:rPr>
        <w:t>” means the custodian with respect to a Global Note (as appointed by the Depository) or any successor person thereto, who will initially be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Participants</w:t>
      </w:r>
      <w:r>
        <w:rPr>
          <w:rFonts w:ascii="Times New Roman;Times;Serif" w:hAnsi="Times New Roman;Times;Serif"/>
          <w:b w:val="false"/>
          <w:i w:val="false"/>
          <w:caps w:val="false"/>
          <w:smallCaps w:val="false"/>
          <w:sz w:val="20"/>
        </w:rPr>
        <w:t>” means members of, or participants in,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caps w:val="false"/>
          <w:smallCaps w:val="false"/>
          <w:sz w:val="20"/>
        </w:rPr>
        <w:t>Amendment to Section 4.1 of the Indenture</w:t>
      </w:r>
      <w:r>
        <w:rPr>
          <w:rFonts w:ascii="Times New Roman;Times;Serif" w:hAnsi="Times New Roman;Times;Serif"/>
          <w:b w:val="false"/>
          <w:i w:val="false"/>
          <w:caps w:val="false"/>
          <w:smallCaps w:val="false"/>
          <w:sz w:val="20"/>
        </w:rPr>
        <w:t>.  Solely as it relates to the Notes, Section 4.1 of the Indenture shall be amended by replacing subsection (1)(B) with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389"/>
        <w:gridCol w:w="9772"/>
      </w:tblGrid>
      <w:tr>
        <w:trPr/>
        <w:tc>
          <w:tcPr>
            <w:tcW w:w="4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pPr>
            <w:r>
              <w:rPr/>
              <w:t>(B)</w:t>
            </w:r>
          </w:p>
        </w:tc>
        <w:tc>
          <w:tcPr>
            <w:tcW w:w="9772" w:type="dxa"/>
            <w:tcBorders/>
            <w:vAlign w:val="center"/>
          </w:tcPr>
          <w:p>
            <w:pPr>
              <w:pStyle w:val="TableContents"/>
              <w:bidi w:val="0"/>
              <w:spacing w:before="0" w:after="283"/>
              <w:jc w:val="both"/>
              <w:rPr/>
            </w:pPr>
            <w:r>
              <w:rPr/>
              <w:t>all of the Securities of such series not theretofore delivered to the Trustee for cancellation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will become due and payable at their Stated Maturity within one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redeemable at the Company’s option, are to be called for redemption within one year under arrangements satisfactory to the Trustee for the giving of notice of redemption by the Trustee in the name, and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Company, in the case of clause (i), (ii) or (iii) above, has irrevocably deposited or caused to be deposited with the Trustee funds in an amount sufficient to pay and discharge the entire indebtedness on the Securities of such series not theretofore delivered to the Trustee for cancellation, for principal of, premium, if any, and interest on the Securities of such series to the date of such deposit (in the case of Securities which have become due and payable), or to their Stated Maturity or the Redemption Date, as the case may be, together with irrevocable instructions from the Company directing the Trustee to apply such funds to the payment thereof at Stated Maturity or the Redemption Date, as the case may be; provided that in connection with (x) any discharge relating to any redemption that requires the payment of a premium or (y) any discharge if, on the date of deposit or, if earlier, notice of redemption, as applicable, interest payable to, but excluding, such Stated Maturity or Redemption Date cannot be calculated, the amount deposited shall be sufficient for purposes of the Indenture to the extent that an amount is deposited with the Trustee equal to the premium, or interest, respectively, calculated as of the date of deposit or, if earlier, notice of redemption, with the amount of any deficit as of such Stated Maturity or Redemption Date only required to be deposited with the Trustee on or prior to such Stated Maturity or Redemption Date; provided, further, that the amount of any such deficit shall be set forth in an Officers’ Certificate, delivered to the Trustee simultaneously with the deposit of the amount of such deficit, confirming that such amount shall be applied to the interest, premium or other amounts payable at such Stated Maturity or on such Redemption Date, as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caps w:val="false"/>
          <w:smallCaps w:val="false"/>
          <w:sz w:val="20"/>
        </w:rPr>
        <w:t>Amendment to Section 5.1 of the Indenture</w:t>
      </w:r>
      <w:r>
        <w:rPr>
          <w:rFonts w:ascii="Times New Roman;Times;Serif" w:hAnsi="Times New Roman;Times;Serif"/>
          <w:b w:val="false"/>
          <w:i w:val="false"/>
          <w:caps w:val="false"/>
          <w:smallCaps w:val="false"/>
          <w:sz w:val="20"/>
        </w:rPr>
        <w:t>. Solely as it relates to the Notes, Section 5.1 of the Indenture shall be amended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replacing subsection (4)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 giving of written notice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(provided that such notice may not be given with respect to any action taken, and reported publicly or to Holders of the Securities more than two years prior to such notice);”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adding the following paragraph at the end of Section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Any time period in this Indenture to cure any actual or alleged default or Event of Default may be extended or stayed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caps w:val="false"/>
          <w:smallCaps w:val="false"/>
          <w:sz w:val="20"/>
        </w:rPr>
        <w:t>Amendment to Section 11.2 of the Indenture</w:t>
      </w:r>
      <w:r>
        <w:rPr>
          <w:rFonts w:ascii="Times New Roman;Times;Serif" w:hAnsi="Times New Roman;Times;Serif"/>
          <w:b w:val="false"/>
          <w:i w:val="false"/>
          <w:caps w:val="false"/>
          <w:smallCaps w:val="false"/>
          <w:sz w:val="20"/>
        </w:rPr>
        <w:t>.  Solely as it relates to the Notes, Section 11.2 of the Indenture shall be amended by replacing “45 days” with “15 days”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caps w:val="false"/>
          <w:smallCaps w:val="false"/>
          <w:sz w:val="20"/>
        </w:rPr>
        <w:t>Amendment to Section 11.3 of the Indenture</w:t>
      </w:r>
      <w:r>
        <w:rPr>
          <w:rFonts w:ascii="Times New Roman;Times;Serif" w:hAnsi="Times New Roman;Times;Serif"/>
          <w:b w:val="false"/>
          <w:i w:val="false"/>
          <w:caps w:val="false"/>
          <w:smallCaps w:val="false"/>
          <w:sz w:val="20"/>
        </w:rPr>
        <w:t>. Solely as it relates to the Notes, Section 11.3 of the Indenture shall be amended by (a) replacing “45 days” with “15 days” therein, in each instance thereof, and (b) replacing “by random lot” with “pro rata, by lot or by such other method as the Trustee in its sole discretion deems appropriate and fair.”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caps w:val="false"/>
          <w:smallCaps w:val="false"/>
          <w:sz w:val="20"/>
        </w:rPr>
        <w:t>Amendment to Section 11.4 of the Indenture</w:t>
      </w:r>
      <w:r>
        <w:rPr>
          <w:rFonts w:ascii="Times New Roman;Times;Serif" w:hAnsi="Times New Roman;Times;Serif"/>
          <w:b w:val="false"/>
          <w:i w:val="false"/>
          <w:caps w:val="false"/>
          <w:smallCaps w:val="false"/>
          <w:sz w:val="20"/>
        </w:rPr>
        <w:t>. Solely as it relates to the Notes, Section 11.4 of the Indenture shall be amended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replacing the first sentence therein with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Notice of redemption shall be given electronically or by first-class mail, postage prepaid to each Holder of Securities to be redeemed, at his or her address appearing in the Security Register, or otherwise in accordance with the applicable procedures of The Depository Trust Company, sent or mailed not less than 10 nor more than 60 days prior to the Redemption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adding the following sentence to the end of Section 11.4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Any redemption or notice of redemption may, at the Company’s discretion, be subject to one or more conditions precedent, and, at the Company’s discretion, the redemption date may be delayed until such time as any or all such conditions shall be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caps w:val="false"/>
          <w:smallCaps w:val="false"/>
          <w:sz w:val="20"/>
        </w:rPr>
        <w:t>Amendment to Section 13.4 of the Indenture</w:t>
      </w:r>
      <w:r>
        <w:rPr>
          <w:rFonts w:ascii="Times New Roman;Times;Serif" w:hAnsi="Times New Roman;Times;Serif"/>
          <w:b w:val="false"/>
          <w:i w:val="false"/>
          <w:caps w:val="false"/>
          <w:smallCaps w:val="false"/>
          <w:sz w:val="20"/>
        </w:rPr>
        <w:t>. Solely as it relates to the Notes, Section 13.4 of the Indenture shall be amended by replacing subsections (5) and (6) with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(5)</w:t>
            </w:r>
          </w:p>
        </w:tc>
        <w:tc>
          <w:tcPr>
            <w:tcW w:w="9944" w:type="dxa"/>
            <w:tcBorders/>
            <w:vAlign w:val="center"/>
          </w:tcPr>
          <w:p>
            <w:pPr>
              <w:pStyle w:val="TableContents"/>
              <w:bidi w:val="0"/>
              <w:spacing w:before="0" w:after="283"/>
              <w:jc w:val="both"/>
              <w:rPr/>
            </w:pPr>
            <w:r>
              <w:rPr/>
              <w:t>In the case of an election under Section 13.2, the Company shall have delivered to the Trustee an Opinion of Counsel stating that (x) the Company has received from, or there has been published by, the Internal Revenue Service a ruling, or (y) since the date of this Indenture there has been a change in the applicable Federal income tax law, in either case to the effect that, and based thereon such opinion shall confirm that, the beneficial owners of the Outstanding Securities of such series will not recognize income, gain or loss for Federal income tax purposes as a result of such defeasance and will be subject to Federal income tax in the same manner as would have been the case if such defeasance had not occurred.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(6)</w:t>
            </w:r>
          </w:p>
        </w:tc>
        <w:tc>
          <w:tcPr>
            <w:tcW w:w="9938" w:type="dxa"/>
            <w:tcBorders/>
            <w:vAlign w:val="center"/>
          </w:tcPr>
          <w:p>
            <w:pPr>
              <w:pStyle w:val="TableContents"/>
              <w:bidi w:val="0"/>
              <w:spacing w:before="0" w:after="283"/>
              <w:jc w:val="both"/>
              <w:rPr/>
            </w:pPr>
            <w:r>
              <w:rPr/>
              <w:t>In the case of an election under Section 13.3, the Company shall have delivered to the Trustee an Opinion of Counsel to the effect that the beneficial owners of the Outstanding Securities of such series will not recognize income, gain or loss for Federal income tax purposes as a result of such covenant defeasance and will be subject to Federal income tax in the same manner as would have been the case if such covenant defeasance had not occurred.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w:t>
      </w:r>
      <w:r>
        <w:rPr>
          <w:rFonts w:ascii="Times New Roman;Times;Serif" w:hAnsi="Times New Roman;Times;Serif"/>
          <w:b w:val="false"/>
          <w:i/>
          <w:caps w:val="false"/>
          <w:smallCaps w:val="false"/>
          <w:sz w:val="20"/>
        </w:rPr>
        <w:t>Rules of Construction</w:t>
      </w:r>
      <w:r>
        <w:rPr>
          <w:rFonts w:ascii="Times New Roman;Times;Serif" w:hAnsi="Times New Roman;Times;Serif"/>
          <w:b w:val="false"/>
          <w:i w:val="false"/>
          <w:caps w:val="false"/>
          <w:smallCaps w:val="false"/>
          <w:sz w:val="20"/>
        </w:rPr>
        <w:t>.  For all purposes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capitalized terms used herein without definition shall have the meanings specified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references herein to Articles and Sections, unless otherwise specified, refer to the corresponding Articles and Sections of this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terms “herein,” “hereof,” “hereunder” and other words of similar import refer to this Supplemental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a conflict with the definition of terms in the Indenture, the definitions in this Supplemental Indenture shall control.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2</w:t>
      </w:r>
      <w:r>
        <w:rPr>
          <w:rFonts w:ascii="Times New Roman;Times;Serif" w:hAnsi="Times New Roman;Times;Serif"/>
          <w:b w:val="false"/>
          <w:i w:val="false"/>
          <w:caps w:val="false"/>
          <w:smallCaps w:val="false"/>
          <w:sz w:val="20"/>
        </w:rPr>
        <w:br/>
        <w:t>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caps w:val="false"/>
          <w:smallCaps w:val="false"/>
          <w:sz w:val="20"/>
        </w:rPr>
        <w:t>Title of the Notes</w:t>
      </w:r>
      <w:r>
        <w:rPr>
          <w:rFonts w:ascii="Times New Roman;Times;Serif" w:hAnsi="Times New Roman;Times;Serif"/>
          <w:b w:val="false"/>
          <w:i w:val="false"/>
          <w:caps w:val="false"/>
          <w:smallCaps w:val="false"/>
          <w:sz w:val="20"/>
        </w:rPr>
        <w:t>.  There shall be (i) a series of Securities designated the Senior Floating Rate Notes due 2028 (the “</w:t>
      </w:r>
      <w:r>
        <w:rPr>
          <w:rFonts w:ascii="Times New Roman;Times;Serif" w:hAnsi="Times New Roman;Times;Serif"/>
          <w:b/>
          <w:i w:val="false"/>
          <w:caps w:val="false"/>
          <w:smallCaps w:val="false"/>
          <w:sz w:val="20"/>
        </w:rPr>
        <w:t>Floating Rate Notes</w:t>
      </w:r>
      <w:r>
        <w:rPr>
          <w:rFonts w:ascii="Times New Roman;Times;Serif" w:hAnsi="Times New Roman;Times;Serif"/>
          <w:b w:val="false"/>
          <w:i w:val="false"/>
          <w:caps w:val="false"/>
          <w:smallCaps w:val="false"/>
          <w:sz w:val="20"/>
        </w:rPr>
        <w:t>”), (ii) a series of Securities designated the 4.500% Senior Notes due 2028 (the “</w:t>
      </w:r>
      <w:r>
        <w:rPr>
          <w:rFonts w:ascii="Times New Roman;Times;Serif" w:hAnsi="Times New Roman;Times;Serif"/>
          <w:b/>
          <w:i w:val="false"/>
          <w:caps w:val="false"/>
          <w:smallCaps w:val="false"/>
          <w:sz w:val="20"/>
        </w:rPr>
        <w:t>2028 Notes</w:t>
      </w:r>
      <w:r>
        <w:rPr>
          <w:rFonts w:ascii="Times New Roman;Times;Serif" w:hAnsi="Times New Roman;Times;Serif"/>
          <w:b w:val="false"/>
          <w:i w:val="false"/>
          <w:caps w:val="false"/>
          <w:smallCaps w:val="false"/>
          <w:sz w:val="20"/>
        </w:rPr>
        <w:t>”), (iii) a series of Securities designated the 4.650% Senior Notes due 2030 (the “</w:t>
      </w:r>
      <w:r>
        <w:rPr>
          <w:rFonts w:ascii="Times New Roman;Times;Serif" w:hAnsi="Times New Roman;Times;Serif"/>
          <w:b/>
          <w:i w:val="false"/>
          <w:caps w:val="false"/>
          <w:smallCaps w:val="false"/>
          <w:sz w:val="20"/>
        </w:rPr>
        <w:t>2030 Notes</w:t>
      </w:r>
      <w:r>
        <w:rPr>
          <w:rFonts w:ascii="Times New Roman;Times;Serif" w:hAnsi="Times New Roman;Times;Serif"/>
          <w:b w:val="false"/>
          <w:i w:val="false"/>
          <w:caps w:val="false"/>
          <w:smallCaps w:val="false"/>
          <w:sz w:val="20"/>
        </w:rPr>
        <w:t>”), (iv) a series of Securities designated the 4.875% Senior Notes due 2031 (the “</w:t>
      </w:r>
      <w:r>
        <w:rPr>
          <w:rFonts w:ascii="Times New Roman;Times;Serif" w:hAnsi="Times New Roman;Times;Serif"/>
          <w:b/>
          <w:i w:val="false"/>
          <w:caps w:val="false"/>
          <w:smallCaps w:val="false"/>
          <w:sz w:val="20"/>
        </w:rPr>
        <w:t>2031 Notes</w:t>
      </w:r>
      <w:r>
        <w:rPr>
          <w:rFonts w:ascii="Times New Roman;Times;Serif" w:hAnsi="Times New Roman;Times;Serif"/>
          <w:b w:val="false"/>
          <w:i w:val="false"/>
          <w:caps w:val="false"/>
          <w:smallCaps w:val="false"/>
          <w:sz w:val="20"/>
        </w:rPr>
        <w:t>”), (v) a series of Securities designated the 5.050% Senior Notes due 2033 (the “</w:t>
      </w:r>
      <w:r>
        <w:rPr>
          <w:rFonts w:ascii="Times New Roman;Times;Serif" w:hAnsi="Times New Roman;Times;Serif"/>
          <w:b/>
          <w:i w:val="false"/>
          <w:caps w:val="false"/>
          <w:smallCaps w:val="false"/>
          <w:sz w:val="20"/>
        </w:rPr>
        <w:t>2033 Notes</w:t>
      </w:r>
      <w:r>
        <w:rPr>
          <w:rFonts w:ascii="Times New Roman;Times;Serif" w:hAnsi="Times New Roman;Times;Serif"/>
          <w:b w:val="false"/>
          <w:i w:val="false"/>
          <w:caps w:val="false"/>
          <w:smallCaps w:val="false"/>
          <w:sz w:val="20"/>
        </w:rPr>
        <w:t>”), (vi) a series of Securities designated the 5.300% Senior Notes due 2036 (the “</w:t>
      </w:r>
      <w:r>
        <w:rPr>
          <w:rFonts w:ascii="Times New Roman;Times;Serif" w:hAnsi="Times New Roman;Times;Serif"/>
          <w:b/>
          <w:i w:val="false"/>
          <w:caps w:val="false"/>
          <w:smallCaps w:val="false"/>
          <w:sz w:val="20"/>
        </w:rPr>
        <w:t>2036 Notes</w:t>
      </w:r>
      <w:r>
        <w:rPr>
          <w:rFonts w:ascii="Times New Roman;Times;Serif" w:hAnsi="Times New Roman;Times;Serif"/>
          <w:b w:val="false"/>
          <w:i w:val="false"/>
          <w:caps w:val="false"/>
          <w:smallCaps w:val="false"/>
          <w:sz w:val="20"/>
        </w:rPr>
        <w:t>”), (vii) a series of Securities designated the 5.450% Senior Notes due 2038 (the “</w:t>
      </w:r>
      <w:r>
        <w:rPr>
          <w:rFonts w:ascii="Times New Roman;Times;Serif" w:hAnsi="Times New Roman;Times;Serif"/>
          <w:b/>
          <w:i w:val="false"/>
          <w:caps w:val="false"/>
          <w:smallCaps w:val="false"/>
          <w:sz w:val="20"/>
        </w:rPr>
        <w:t>2038 Notes</w:t>
      </w:r>
      <w:r>
        <w:rPr>
          <w:rFonts w:ascii="Times New Roman;Times;Serif" w:hAnsi="Times New Roman;Times;Serif"/>
          <w:b w:val="false"/>
          <w:i w:val="false"/>
          <w:caps w:val="false"/>
          <w:smallCaps w:val="false"/>
          <w:sz w:val="20"/>
        </w:rPr>
        <w:t>”), (viii) a series of Securities designated the 6.000% Senior Notes due 2056 (the “</w:t>
      </w:r>
      <w:r>
        <w:rPr>
          <w:rFonts w:ascii="Times New Roman;Times;Serif" w:hAnsi="Times New Roman;Times;Serif"/>
          <w:b/>
          <w:i w:val="false"/>
          <w:caps w:val="false"/>
          <w:smallCaps w:val="false"/>
          <w:sz w:val="20"/>
        </w:rPr>
        <w:t>2056 Notes</w:t>
      </w:r>
      <w:r>
        <w:rPr>
          <w:rFonts w:ascii="Times New Roman;Times;Serif" w:hAnsi="Times New Roman;Times;Serif"/>
          <w:b w:val="false"/>
          <w:i w:val="false"/>
          <w:caps w:val="false"/>
          <w:smallCaps w:val="false"/>
          <w:sz w:val="20"/>
        </w:rPr>
        <w:t>”) and (ix) a series of Securities designated the 6.100% Senior Notes due 2066 (the “</w:t>
      </w:r>
      <w:r>
        <w:rPr>
          <w:rFonts w:ascii="Times New Roman;Times;Serif" w:hAnsi="Times New Roman;Times;Serif"/>
          <w:b/>
          <w:i w:val="false"/>
          <w:caps w:val="false"/>
          <w:smallCaps w:val="false"/>
          <w:sz w:val="20"/>
        </w:rPr>
        <w:t>2066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caps w:val="false"/>
          <w:smallCaps w:val="false"/>
          <w:sz w:val="20"/>
        </w:rPr>
        <w:t>Initial Principal Amount</w:t>
      </w:r>
      <w:r>
        <w:rPr>
          <w:rFonts w:ascii="Times New Roman;Times;Serif" w:hAnsi="Times New Roman;Times;Serif"/>
          <w:b w:val="false"/>
          <w:i w:val="false"/>
          <w:caps w:val="false"/>
          <w:smallCaps w:val="false"/>
          <w:sz w:val="20"/>
        </w:rPr>
        <w:t>.  The Floating Rate Notes will be initially issued in an aggregate principal amount of $500,000,000, the 2028 Notes will be initially issued in an aggregate principal amount of $1,000,000,000, the 2030 Notes will be initially issued in an aggregate principal amount of $1,250,000,000, the 2031 Notes will be initially issued in an aggregate principal amount of $1,500,000,000, the 2033 Notes will be initially issued in an aggregate principal amount of $1,250,000,000, the 2036 Notes will be initially issued in an aggregate principal amount of $1,500,000,000, the 2038 Notes will be initially issued in an aggregate principal amount of $1,000,000,000, the 2056 Notes will be initially issued in an aggregate principal amount of $1,500,000,000 and the 2066 Notes will be initially issued in an aggregate principal amount of $500,000,000.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caps w:val="false"/>
          <w:smallCaps w:val="false"/>
          <w:sz w:val="20"/>
        </w:rPr>
        <w:t>Form and Dating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The Notes and the Trustee’s certificate of authentication shall be substantially in the forms set forth in the corresponding Exhibits A1-A9 hereto. The Notes may have notations, legends or endorsements required by law, stock exchange rule or usage. Each Note shall be dated the date of its authentication. The Notes shall be in denominations of $2,000 and integral multiples of $1,000 in excess thereof. The Notes of each series and any additional Notes of such series subsequently issued under the Indenture will be treated as a single series or class for all purposes under the Indenture, including, without limitation, waivers, amendments and redemptions; provided that, if any such additional Notes are not fungible with the existing Notes for Federal income tax purposes, such additional Notes will have a separate 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shall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this Supplemental Indenture, the provisions of this Supplemental Indenture shall govern and be controlling.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designates The Depository Trust Company as the initial Depository for the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Global Notes</w:t>
      </w:r>
      <w:r>
        <w:rPr>
          <w:rFonts w:ascii="Times New Roman;Times;Serif" w:hAnsi="Times New Roman;Times;Serif"/>
          <w:b w:val="false"/>
          <w:i w:val="false"/>
          <w:caps w:val="false"/>
          <w:smallCaps w:val="false"/>
          <w:sz w:val="20"/>
        </w:rPr>
        <w:t>.  The Notes will be issued initially in the form of one or more global notes (the “</w:t>
      </w:r>
      <w:r>
        <w:rPr>
          <w:rFonts w:ascii="Times New Roman;Times;Serif" w:hAnsi="Times New Roman;Times;Serif"/>
          <w:b/>
          <w:i w:val="false"/>
          <w:caps w:val="false"/>
          <w:smallCaps w:val="false"/>
          <w:sz w:val="20"/>
        </w:rPr>
        <w:t>Global Notes</w:t>
      </w:r>
      <w:r>
        <w:rPr>
          <w:rFonts w:ascii="Times New Roman;Times;Serif" w:hAnsi="Times New Roman;Times;Serif"/>
          <w:b w:val="false"/>
          <w:i w:val="false"/>
          <w:caps w:val="false"/>
          <w:smallCaps w:val="false"/>
          <w:sz w:val="20"/>
        </w:rPr>
        <w:t>”) in definitive, fully registered, book-entry form. The Global Notes will be delivered to the Notes Custodian and registered in the name of the Depository or the nominee of such Depository. The aggregate principal amount of the Global Notes may from time to time be increased or decreased by adjustments made on the records of the Trustee and the Depository or its nominee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Book-Entry Provisions</w:t>
      </w:r>
      <w:r>
        <w:rPr>
          <w:rFonts w:ascii="Times New Roman;Times;Serif" w:hAnsi="Times New Roman;Times;Serif"/>
          <w:b w:val="false"/>
          <w:i w:val="false"/>
          <w:caps w:val="false"/>
          <w:smallCaps w:val="false"/>
          <w:sz w:val="20"/>
        </w:rPr>
        <w:t>.  This Section 2.4(c) shall apply only to a Global Note deposited with or on behalf of the Depository. The Company shall execute and the Trustee shall, in accordance with this Section 2.4(c) and pursuant to an order of the Company, authenticate and deliver initially one or more Global Notes that (A) shall be registered in the name of the Depository for such Global Note or Global Notes or the nominee of such Depository and (B) shall be delivered by the Trustee to such Depository or pursuant to such Depository’s instructions or held by the Trustee as Notes Custodian.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Payments</w:t>
      </w:r>
      <w:r>
        <w:rPr>
          <w:rFonts w:ascii="Times New Roman;Times;Serif" w:hAnsi="Times New Roman;Times;Serif"/>
          <w:b w:val="false"/>
          <w:i w:val="false"/>
          <w:caps w:val="false"/>
          <w:smallCaps w:val="false"/>
          <w:sz w:val="20"/>
        </w:rPr>
        <w:t>.  Payments in respect of the principal of, premium, if any, and interest on a Global Note registered in the name of the Depository or its nominee will be payable to the Depository in its capacity as the registered holder under the Indenture. Under the terms of the Indenture, the Company, the Trustee and any agent of the Company or the Trustee will treat the persons in whose names the Notes, including the Global Notes, are registered as the owners of the Notes for the purpose of receiving payments and for all other purposes, whether or not the Notes be overdue, and neither the Company, the Trustee nor any such agent shall be affected by notice to the contrary. Notwithstanding the foregoing, nothing herein shall prevent the Company, the Trustee or any agent of the Company or the Trustee from giving effect to any written certification, proxy or other authorization furnished by the Depository or impair, as between the Depository and its Participants, the operation of customary practices of such Depository governing the exercise of the rights of a holder of a beneficial interest in any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Definitive Notes</w:t>
      </w:r>
      <w:r>
        <w:rPr>
          <w:rFonts w:ascii="Times New Roman;Times;Serif" w:hAnsi="Times New Roman;Times;Serif"/>
          <w:b w:val="false"/>
          <w:i w:val="false"/>
          <w:caps w:val="false"/>
          <w:smallCaps w:val="false"/>
          <w:sz w:val="20"/>
        </w:rPr>
        <w:t>.  Except as provided in Section 2.6, owners of a beneficial interest in the Global Notes will not have Notes registered in their names, will not receive physical delivery of Definitive Notes and will not be considered the registered owners or “holders” thereof under the Indenture for any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val="false"/>
          <w:i/>
          <w:caps w:val="false"/>
          <w:smallCaps w:val="false"/>
          <w:sz w:val="20"/>
        </w:rPr>
        <w:t>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Transfer and Exchange of Definitive Notes</w:t>
      </w:r>
      <w:r>
        <w:rPr>
          <w:rFonts w:ascii="Times New Roman;Times;Serif" w:hAnsi="Times New Roman;Times;Serif"/>
          <w:b w:val="false"/>
          <w:i w:val="false"/>
          <w:caps w:val="false"/>
          <w:smallCaps w:val="false"/>
          <w:sz w:val="20"/>
        </w:rPr>
        <w:t>.  When Definitive Notes are presented to the Security Registrar with a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register the transfer of such Definitive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exchange such Definitive Notes for an equal principal amount of Definitive Notes of other authorized denominations, the Security Registrar shall register the transfer or make the exchange as requested if its reasonable requirements for such transaction are met; provided, however, that the Definitive Notes surrendered for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be duly endorsed or accompanied by a written instrument of transfer in form reasonably satisfactory to the Company and the Security Registrar, duly executed by the Holder thereof or his or her attorney duly authorized in writing;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are accompanied by the following additional information and documents,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if such Definitive Notes are being delivered to the Security Registrar by a Holder for registration in the name of such Holder, without transfer, a certification from such Holder to that effect (in the form set forth on the reverse side of the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if such Definitive Notes are being transferred to the Company, a certification to that effect (in the form satisfactory to the Trustee).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Restrictions on Transfer of a Definitive Note for a Beneficial Interest in a Global Note</w:t>
      </w:r>
      <w:r>
        <w:rPr>
          <w:rFonts w:ascii="Times New Roman;Times;Serif" w:hAnsi="Times New Roman;Times;Serif"/>
          <w:b w:val="false"/>
          <w:i w:val="false"/>
          <w:caps w:val="false"/>
          <w:smallCaps w:val="false"/>
          <w:sz w:val="20"/>
        </w:rPr>
        <w:t>.  A Definitive Note may not be exchanged for a beneficial interest in a Global Note except upon satisfaction of the requirement set forth below. Upon receipt by the Trustee of a Definitive Note, duly endorsed or accompanied by a written instrument of transfer in form reasonably satisfactory to the Company and the Security Registrar, together with written instructions directing the Trustee to make, or to direct the Notes Custodian to make, an adjustment on its books and records with respect to such Global Note to reflect an increase in the aggregate principal amount of the Notes represented by the Global Note, such instructions to contain information regarding the Depository account to be credited with such increase, then the Trustee shall cancel such Definitive Note and cause, or direct the Notes Custodian to cause, in accordance with the standing instructions and procedures existing between the Depository and the Notes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no Global Notes are then outstanding and the Global Note has not been previously exchanged for certificated securities pursuant to Section 2.6, the Company shall issue and the Trustee shall authenticate, upon receipt of a Company Order, a new Global Note in the appropriate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Transfer and Exchange of Global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transfer and exchange of Global Notes or beneficial interests therein shall be effected through the Depository, in accordance with this Supplemental Indenture (including applicable restrictions on transfer set forth herein, if any) and the procedures of the Depository therefor. A transferor of a beneficial interest in a Global Note shall deliver a written order given in accordance with the Depository’s procedures containing information regarding the Participant account of the Depository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proposed transfer is a transfer of a beneficial interest in one Global Note to a beneficial interest in another Global Note, the Security Registrar shall reflect on its books and records the date and an increase in the principal amount of the Global Note to which such interest is being transferred in an amount equal to the principal amount of the interest to be so transferred, and the Security Registrar shall reflect on its books and records the date and a corresponding decrease in the principal amount of the Global Note from which such interest is being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Notwithstanding any other provisions of this Supplemental Indenture (other than the provisions set forth in Section 2.6), a Global Note may not be transferred as a whole except by the Depository to a nominee of the Depository or by a nominee of the Depository to the Depository or another nominee of the Depository or by the Depository or any such nominee to a successor Depository or a nominee of such successor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Cancellation or Adjustment of Global Note</w:t>
      </w:r>
      <w:r>
        <w:rPr>
          <w:rFonts w:ascii="Times New Roman;Times;Serif" w:hAnsi="Times New Roman;Times;Serif"/>
          <w:b w:val="false"/>
          <w:i w:val="false"/>
          <w:caps w:val="false"/>
          <w:smallCaps w:val="false"/>
          <w:sz w:val="20"/>
        </w:rPr>
        <w:t>. At such time as all beneficial interests in a Global Note have either been exchanged for Definitive Notes, transferred, redeemed, repurchased or canceled, such Global Note shall be returned by the Depository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Trustee (if it is then the Notes Custodian for such Global Note) with respect to such Global Note, by the Trustee or the Notes Custodian, to reflect such reduction.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Obligations with Respect to Transfers and Exchanges of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permit registrations of transfers and exchanges, the Company shall execute and the Trustee shall authenticate, Definitive Notes and Global Notes at the Security Registrar’s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Prior to the due presentation for registration of transfer of any Note, the Company, the Trustee, the Paying Agent or the Security Registrar may deem and treat the person in whose name a Note is registered as the absolute owner of such Note for the purpose of receiving payment of principal of and interest on such Note and for all other purposes whatsoever, whether or not such Note is overdue, and none of the Company, the Trustee, the Paying Agent or the Security Registrar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hereby appoints the Trustee as Security Registrar for the Notes. Neither the Company nor the Security Registrar shall be required to register the transfer of or exchange of Notes of any series (i) during a period beginning at the opening of business 15 days before the day of the mailing of a notice of redemption of Notes of that series selected for redemption under Section 11.3 of the Indenture and ending at the close of business on the day of such mailing, or (ii) so selected for redemption in whole or in part, except the unredeemed portion of any Note being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Notes issued upon any transfer or exchange pursuant to the terms of this Supplemental Indenture shall evidence the same Debt and shall be entitled to the same benefits under the Indenture as the Notes surrendered upon such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caps w:val="false"/>
          <w:smallCaps w:val="false"/>
          <w:sz w:val="20"/>
        </w:rPr>
        <w:t>No Obligation of the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have no responsibility or obligation to any beneficial owner of a Global Note, any Participant in the Depository or any other Person with respect to the accuracy of the records of the Depository or its nominee or of any Participant thereof, with respect to any ownership interest in the Notes or with respect to the delivery to any Participant, beneficial owner or other Person (other than the Depository)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Depository or its nominee in the case of a Global Note). The rights of beneficial owners in any Global Note shall be exercised only through the Depository subject to the applicable rules and procedures of the Depository. The Trustee may rely and shall be fully protected in relying upon information furnished by the Depository with respect to its Participants and any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have no obligation or duty to monitor, determine or inquire as to compliance with any restrictions on transfer imposed under this Supplemental Indenture or under applicable law with respect to any transfer of any interest in any Note (including any transfers between or among Participants or beneficial owners in any Global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            </w:t>
      </w:r>
      <w:r>
        <w:rPr>
          <w:rFonts w:ascii="Times New Roman;Times;Serif" w:hAnsi="Times New Roman;Times;Serif"/>
          <w:b w:val="false"/>
          <w:i/>
          <w:caps w:val="false"/>
          <w:smallCaps w:val="false"/>
          <w:sz w:val="20"/>
        </w:rPr>
        <w:t>Definitive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Global Note deposited with the Depository or with the Trustee as Notes Custodian pursuant to Section 2.4 shall be transferred to the beneficial owners thereof in the form of Definitive Notes in an aggregate principal amount equal to the principal amount of such Global Note, in exchange for such Global Note, only if such transfer complies with Section 2.5 and (i) the Depository (A) notifies the Company that the Depository is no longer willing or able to act as a depositary or clearing system for the Notes or (B) ceases to be a “clearing agency” registered under the Securities Exchange Act of 1934, as amended, and in either event, a successor depositary or clearing system is not appointed by the Company within 90 days of such notice or cessation, (ii) upon the occurrence and continuation of an Event of Default and the Depository notifies the Trustee of its decision to exchange the Global Note for Definitive Notes, or (iii) the Company determines not to have the Notes represented by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Global Note that is transferable to the beneficial owners thereof pursuant to this Section 2.6 shall be surrendered by the Depository to the Trustee, to be so transferred, in whole or from time to time in part, without charge, and upon Company Order the Trustee shall authenticate and deliver, upon such transfer of each portion of such Global Note, an equal aggregate principal amount of Definitive Notes of authorized denominations. Any portion of a Global Note transferred pursuant to this Section 2.6 shall be executed, authenticated and delivered only in denominations of $2,000 of principal amount and any integral multiple of $1,000 in excess thereof and registered in such names as requested by or on behalf of the Depository (in accordance with its customary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registered Holder of a Global Note may grant proxies and otherwise authorize any Person, including Participants and Persons that may hold interests through Participants, to take any action which a Holder is entitled to take under the Indenture 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the occurrence of any of the events specified in Section 2.6(a)(i), (ii) or (iii), the Company will promptly make available to the Trustee a reasonable supply of Definitive Notes in fully registered form without interest coupons.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3</w:t>
      </w:r>
      <w:r>
        <w:rPr>
          <w:rFonts w:ascii="Times New Roman;Times;Serif" w:hAnsi="Times New Roman;Times;Serif"/>
          <w:b w:val="false"/>
          <w:i w:val="false"/>
          <w:caps w:val="false"/>
          <w:smallCaps w:val="false"/>
          <w:sz w:val="20"/>
        </w:rPr>
        <w:b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            </w:t>
      </w:r>
      <w:r>
        <w:rPr>
          <w:rFonts w:ascii="Times New Roman;Times;Serif" w:hAnsi="Times New Roman;Times;Serif"/>
          <w:b w:val="false"/>
          <w:i/>
          <w:caps w:val="false"/>
          <w:smallCaps w:val="false"/>
          <w:sz w:val="20"/>
        </w:rPr>
        <w:t>Ratification</w:t>
      </w:r>
      <w:r>
        <w:rPr>
          <w:rFonts w:ascii="Times New Roman;Times;Serif" w:hAnsi="Times New Roman;Times;Serif"/>
          <w:b w:val="false"/>
          <w:i w:val="false"/>
          <w:caps w:val="false"/>
          <w:smallCaps w:val="false"/>
          <w:sz w:val="20"/>
        </w:rPr>
        <w:t>.  The Indenture, as supplemented and amended by this Supplemental Indenture, is in all respects hereby adopted, ratified and confirmed.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Supplemental Indenture may be executed in any number of counterparts, each of which when so executed shall be deemed an original, and all such counterparts shall together constitute but one and the same instrument.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(e.g., www.docusign.com) shall constitute effective execution and delivery of this Supplemental Indenture as to the other parties hereto and shall be deemed to be their original signatures for all purposes.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 “execution,” “signed,” “signature,” and words of like import in this Supplemental Indenture and (solely as it relates to the Notes) in the Indenture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assume all risks arising out of the use of digital signatures and electronic methods to submit communications to the Trustee, including, without limitation, the risk of the Trustee acting on unauthorized instructions, and the risk of interception and misuse by third parties, in each case, except to the extent arising from the negligence or bad faith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THIS SUPPLEMENTAL INDENTURE AND EACH NOTE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w:t>
      </w:r>
      <w:r>
        <w:rPr>
          <w:rFonts w:ascii="Times New Roman;Times;Serif" w:hAnsi="Times New Roman;Times;Serif"/>
          <w:b w:val="false"/>
          <w:i/>
          <w:caps w:val="false"/>
          <w:smallCaps w:val="false"/>
          <w:sz w:val="20"/>
        </w:rPr>
        <w:t>Conflict with Trust Indenture Act</w:t>
      </w:r>
      <w:r>
        <w:rPr>
          <w:rFonts w:ascii="Times New Roman;Times;Serif" w:hAnsi="Times New Roman;Times;Serif"/>
          <w:b w:val="false"/>
          <w:i w:val="false"/>
          <w:caps w:val="false"/>
          <w:smallCaps w:val="false"/>
          <w:sz w:val="20"/>
        </w:rPr>
        <w:t>.  If any provision hereof limits, qualifies or conflicts with a provision of the Trust Indenture Act that is required under the Trust Indenture Act to be a part of and govern this Supplemental Indenture, the latter provision shall control. If any provision of this Supplemental Indenture modifies or excludes any provision of the Trust Indenture Act that may be so modified or excluded, the latter provision shall be deemed to apply to this Supplemental Indenture as so modified or to be excluded,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            </w:t>
      </w:r>
      <w:r>
        <w:rPr>
          <w:rFonts w:ascii="Times New Roman;Times;Serif" w:hAnsi="Times New Roman;Times;Serif"/>
          <w:b w:val="false"/>
          <w:i/>
          <w:caps w:val="false"/>
          <w:smallCaps w:val="false"/>
          <w:sz w:val="20"/>
        </w:rPr>
        <w:t>The Trustee</w:t>
      </w:r>
      <w:r>
        <w:rPr>
          <w:rFonts w:ascii="Times New Roman;Times;Serif" w:hAnsi="Times New Roman;Times;Serif"/>
          <w:b w:val="false"/>
          <w:i w:val="false"/>
          <w:caps w:val="false"/>
          <w:smallCaps w:val="false"/>
          <w:sz w:val="20"/>
        </w:rPr>
        <w:t>.  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Supplemental Indenture or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75"/>
        <w:gridCol w:w="320"/>
        <w:gridCol w:w="575"/>
        <w:gridCol w:w="4025"/>
      </w:tblGrid>
      <w:tr>
        <w:trPr/>
        <w:tc>
          <w:tcPr>
            <w:tcW w:w="75" w:type="dxa"/>
            <w:tcBorders/>
            <w:vAlign w:val="center"/>
          </w:tcPr>
          <w:p>
            <w:pPr>
              <w:pStyle w:val="TableContents"/>
              <w:bidi w:val="0"/>
              <w:spacing w:before="0" w:after="283"/>
              <w:jc w:val="left"/>
              <w:rPr/>
            </w:pPr>
            <w:r>
              <w:rPr/>
              <w:t> </w:t>
            </w:r>
          </w:p>
        </w:tc>
        <w:tc>
          <w:tcPr>
            <w:tcW w:w="492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r>
      <w:tr>
        <w:trPr/>
        <w:tc>
          <w:tcPr>
            <w:tcW w:w="75" w:type="dxa"/>
            <w:tcBorders/>
            <w:vAlign w:val="center"/>
          </w:tcPr>
          <w:p>
            <w:pPr>
              <w:pStyle w:val="TableContents"/>
              <w:bidi w:val="0"/>
              <w:spacing w:before="0" w:after="283"/>
              <w:jc w:val="left"/>
              <w:rPr/>
            </w:pPr>
            <w:r>
              <w:rPr/>
              <w:t> </w:t>
            </w:r>
          </w:p>
        </w:tc>
        <w:tc>
          <w:tcPr>
            <w:tcW w:w="492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T. Reents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T. Reents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49" w:type="dxa"/>
        <w:jc w:val="left"/>
        <w:tblInd w:w="0" w:type="dxa"/>
        <w:tblLayout w:type="fixed"/>
        <w:tblCellMar>
          <w:top w:w="0" w:type="dxa"/>
          <w:left w:w="0" w:type="dxa"/>
          <w:bottom w:w="0" w:type="dxa"/>
          <w:right w:w="0" w:type="dxa"/>
        </w:tblCellMar>
      </w:tblPr>
      <w:tblGrid>
        <w:gridCol w:w="75"/>
        <w:gridCol w:w="773"/>
        <w:gridCol w:w="1389"/>
        <w:gridCol w:w="2912"/>
      </w:tblGrid>
      <w:tr>
        <w:trPr/>
        <w:tc>
          <w:tcPr>
            <w:tcW w:w="7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BANK TRUST COMPANY, NATIONAL ASSOCIATION, </w:t>
            </w:r>
          </w:p>
        </w:tc>
      </w:tr>
      <w:tr>
        <w:trPr/>
        <w:tc>
          <w:tcPr>
            <w:tcW w:w="7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507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01"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Linda Garcia</w:t>
            </w:r>
          </w:p>
        </w:tc>
      </w:tr>
      <w:tr>
        <w:trPr/>
        <w:tc>
          <w:tcPr>
            <w:tcW w:w="75"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13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Linda Garcia</w:t>
            </w:r>
          </w:p>
        </w:tc>
      </w:tr>
      <w:tr>
        <w:trPr/>
        <w:tc>
          <w:tcPr>
            <w:tcW w:w="75"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caps w:val="false"/>
                <w:smallCaps w:val="false"/>
              </w:rPr>
            </w:pPr>
            <w:r>
              <w:rPr>
                <w:caps w:val="false"/>
                <w:smallCaps w:val="false"/>
              </w:rPr>
              <w:t> </w:t>
            </w:r>
          </w:p>
        </w:tc>
        <w:tc>
          <w:tcPr>
            <w:tcW w:w="13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2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Supplemental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]Senior Floating Rate Notes due 2028</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635"/>
        <w:gridCol w:w="380"/>
      </w:tblGrid>
      <w:tr>
        <w:trPr/>
        <w:tc>
          <w:tcPr>
            <w:tcW w:w="6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 </w:t>
            </w:r>
          </w:p>
        </w:tc>
        <w:tc>
          <w:tcPr>
            <w:tcW w:w="380"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00287Y EL9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No: US00287YEL92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Security in a global form within the meaning of the Indenture hereinafter referred to and is registered in the name of the Depository or a nominee of the Depository. This global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 a corporation duly organized and existing under the laws of Delaware (herein called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August 18, 2028 and to pay interest thereon from August 18, 2026 or from the most recent Interest Payment Date to which interest has been paid or duly provided for, quarterly in arrears on February 18, May 18, August 18 and November 18 in each year, commencing November 18, 2026, at a floating rate equal to a benchmark rate, which will initially be Compounded SOFR (as defined below), plus a spread of 0.420% per annum, computed on the basis of the actual number of days in an interest period and a 360-day year, until the principal hereof is paid or made available for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will bear interest for each interest period at a rate determined by the Calculation Agent (as defined below), except as set forth below. The calculation agent will be U.S. Bank Trust Company, National Association until such time as the Company appoints a successor calculation agent (the “</w:t>
      </w:r>
      <w:r>
        <w:rPr>
          <w:rFonts w:ascii="Times New Roman;Times;Serif" w:hAnsi="Times New Roman;Times;Serif"/>
          <w:b w:val="false"/>
          <w:i w:val="false"/>
          <w:caps w:val="false"/>
          <w:smallCaps w:val="false"/>
          <w:sz w:val="20"/>
          <w:u w:val="single"/>
        </w:rPr>
        <w:t>Calculation Agent</w:t>
      </w:r>
      <w:r>
        <w:rPr>
          <w:rFonts w:ascii="Times New Roman;Times;Serif" w:hAnsi="Times New Roman;Times;Serif"/>
          <w:b w:val="false"/>
          <w:i w:val="false"/>
          <w:caps w:val="false"/>
          <w:smallCaps w:val="false"/>
          <w:sz w:val="20"/>
        </w:rPr>
        <w:t>”). The interest rate on the Securities of this series for a particular interest period (as defined below) will be a per year rate equal to a benchmark rate, which will initially be Compounded SOFR, determined as described below, plus a spread of 0.420% per year (the “</w:t>
      </w:r>
      <w:r>
        <w:rPr>
          <w:rFonts w:ascii="Times New Roman;Times;Serif" w:hAnsi="Times New Roman;Times;Serif"/>
          <w:b w:val="false"/>
          <w:i w:val="false"/>
          <w:caps w:val="false"/>
          <w:smallCaps w:val="false"/>
          <w:sz w:val="20"/>
          <w:u w:val="single"/>
        </w:rPr>
        <w:t>spread</w:t>
      </w:r>
      <w:r>
        <w:rPr>
          <w:rFonts w:ascii="Times New Roman;Times;Serif" w:hAnsi="Times New Roman;Times;Serif"/>
          <w:b w:val="false"/>
          <w:i w:val="false"/>
          <w:caps w:val="false"/>
          <w:smallCaps w:val="false"/>
          <w:sz w:val="20"/>
        </w:rPr>
        <w:t>”), computed on the basis of the actual number of days in an interest period and a 360-day year. In no event will the interest rate on the Securities of this series be (i) higher than the maximum rate permitted by New York law as the same may be modified by U.S. law of general application or (ii) lower than zero. The interest determination date for an interest period will be the date that is two (2) U.S. Government Securities Business Days (as defined below) before the applicable Interest Payment Date. Promptly upon determination, the Calculation Agent will inform the Trustee and the Company, or in certain circumstances described below, the Company or its designee (which may be an independent financial advisor or such other designee of the Company (any of such entities, a “</w:t>
      </w:r>
      <w:r>
        <w:rPr>
          <w:rFonts w:ascii="Times New Roman;Times;Serif" w:hAnsi="Times New Roman;Times;Serif"/>
          <w:b w:val="false"/>
          <w:i w:val="false"/>
          <w:caps w:val="false"/>
          <w:smallCaps w:val="false"/>
          <w:sz w:val="20"/>
          <w:u w:val="single"/>
        </w:rPr>
        <w:t>Designee</w:t>
      </w:r>
      <w:r>
        <w:rPr>
          <w:rFonts w:ascii="Times New Roman;Times;Serif" w:hAnsi="Times New Roman;Times;Serif"/>
          <w:b w:val="false"/>
          <w:i w:val="false"/>
          <w:caps w:val="false"/>
          <w:smallCaps w:val="false"/>
          <w:sz w:val="20"/>
        </w:rPr>
        <w:t>”)) will inform the Trustee, in writing of the interest rate for such interest period. Absent manifest error, the determination of the interest rate by the Calculation Agent, or in certain circumstances described below, by the Company or its Designee, shall be binding and conclusive on the Holders of the Securities, the Trustee and the Company. For the avoidance of doubt, in no event shall the Calculation Agent, Trustee, or Paying Agent be the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Trustee, the Paying Agent or the Calculation Agent shall be under any obligation (i) to monitor, determine or verify the unavailability or cessation of Compounded SOFR (or any other benchmark), or whether or when there has occurred, or to give notice to any other transaction party of the occurrence of, any Benchmark Transition Event (as defined below) or related Benchmark Replacement Date (as defined below), (ii) to select, determine or designate any Benchmark Replacement (as defined below), or other successor or replacement benchmark index, or whether any conditions to the designation of such a rate or index have been satisfied, (iii) to select, determine or designate any Benchmark Replacement Adjustment (as defined below), or other modifier to any replacement or successor index, or (iv) to determine whether or what Benchmark Replacement Conforming Changes (as defined below) are necessary or advisable, if any, in connection with any of the foregoing, including, but not limited to, adjustments as to any alternative spread thereon, the business day convention, interest determination dates or any other relevant methodology applicable to such substitute or successor benchmark. In connection with the foregoing, each of the Trustee, Paying Agent and Calculation Agent shall be entitled to conclusively rely on any determinations made by the Company or its Designee without independent investigation, and none will have any liability for actions taken at the direction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decision or election that may be made by the Company or its Designee in connection with a Benchmark Transition Event or a Benchmark Replacement, including any determination with respect to a rate or adjustment or of the occurrence or non-occurrence of an event, circumstance or date and any decision to take or refrain from taking any action or any selection, will be conclusive and binding absent manifest error, may be made in the Company’s or its Designee’s sole discretion and, notwithstanding anything to the contrary in this Security or the Indenture, will become effective without consent from any other party. None of the Trustee, the Calculation Agent or the Paying Agent will have any responsibility or liability for any determination made by or on behalf of the Company or its Designee in connection with a Benchmark Transition Event or a Benchmark Replacement.</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Trustee, the Paying Agent or the Calculation Agent shall be responsible or liable for any inability, failure or delay on its part to perform any of its duties set forth in this Security as a result of the unavailability of Compounded SOFR or other applicable Benchmark Replacement, including as a result of any failure, inability, delay, error or inaccuracy on the part of any other transaction party in providing any direction, instruction, notice or information required or contemplated by the terms of this Security and reasonably required for the performance of such duties. None of the Trustee, Paying Agent or Calculation Agent shall be responsible or liable for the Company’s actions or omissions or for those of its Designee, or for any failure or delay in the performance by the Company or its Designee, nor shall any of the Trustee, Paying Agent or Calculation Agent be under any obligation to oversee or monitor the Company’s performance or that of the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with respect to the Securities of this series, means (i) the period from, and including, the most recent Interest Payment Date for such Securities (or, with respect to the initial interest period only, from and including August 18, 2026) to, but excluding, the next succeeding Interest Payment Date for such Securities or (ii) in the case of the last such period, from, and including, the Interest Payment Date for such Securities immediately preceding the maturity date to, but excluding,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Compounded </w:t>
      </w:r>
      <w:r>
        <w:rPr>
          <w:rFonts w:ascii="Times New Roman;Times;Serif" w:hAnsi="Times New Roman;Times;Serif"/>
          <w:b w:val="false"/>
          <w:i/>
          <w:caps w:val="false"/>
          <w:smallCaps w:val="false"/>
          <w:sz w:val="20"/>
          <w:shd w:fill="FFFFFF" w:val="clear"/>
        </w:rPr>
        <w:t>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on the Securities of this series for each interest period will be equal to Compounded SOFR plus the spread. “</w:t>
      </w:r>
      <w:r>
        <w:rPr>
          <w:rFonts w:ascii="Times New Roman;Times;Serif" w:hAnsi="Times New Roman;Times;Serif"/>
          <w:b w:val="false"/>
          <w:i w:val="false"/>
          <w:caps w:val="false"/>
          <w:smallCaps w:val="false"/>
          <w:sz w:val="20"/>
          <w:u w:val="single"/>
        </w:rPr>
        <w:t>Compounded SOFR</w:t>
      </w:r>
      <w:r>
        <w:rPr>
          <w:rFonts w:ascii="Times New Roman;Times;Serif" w:hAnsi="Times New Roman;Times;Serif"/>
          <w:b w:val="false"/>
          <w:i w:val="false"/>
          <w:caps w:val="false"/>
          <w:smallCaps w:val="false"/>
          <w:sz w:val="20"/>
        </w:rPr>
        <w:t xml:space="preserve">” will be determined by the Calculation Agent in accordance with the following formula (and the resulting percentage will be rounded, if necessary, to the nearest one hundred-thousandth of a percentage point,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3.753973% (or .03753973) being rounded down to 3.75397% (or .0375397) and 3.753978% (or .03753978) being rounded up to 3.75398% (or .0375398)):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4315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343150" cy="5238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SOFR Index</w:t>
      </w:r>
      <w:r>
        <w:rPr>
          <w:rFonts w:ascii="Times New Roman;Times;Serif" w:hAnsi="Times New Roman;Times;Serif"/>
          <w:b w:val="false"/>
          <w:i/>
          <w:caps w:val="false"/>
          <w:smallCaps w:val="false"/>
          <w:position w:val="-2"/>
          <w:sz w:val="16"/>
          <w:sz w:val="20"/>
          <w:u w:val="single"/>
        </w:rPr>
        <w:t>Start</w:t>
      </w:r>
      <w:r>
        <w:rPr>
          <w:rFonts w:ascii="Times New Roman;Times;Serif" w:hAnsi="Times New Roman;Times;Serif"/>
          <w:b w:val="false"/>
          <w:i w:val="false"/>
          <w:caps w:val="false"/>
          <w:smallCaps w:val="false"/>
          <w:sz w:val="20"/>
        </w:rPr>
        <w:t>” is the SOFR Index value for the day which is two (2) U.S. Government Securities Business Days preceding the first date of the relevant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SOFR Index</w:t>
      </w:r>
      <w:r>
        <w:rPr>
          <w:rFonts w:ascii="Times New Roman;Times;Serif" w:hAnsi="Times New Roman;Times;Serif"/>
          <w:b w:val="false"/>
          <w:i/>
          <w:caps w:val="false"/>
          <w:smallCaps w:val="false"/>
          <w:position w:val="-2"/>
          <w:sz w:val="16"/>
          <w:sz w:val="20"/>
          <w:u w:val="single"/>
        </w:rPr>
        <w:t>End</w:t>
      </w:r>
      <w:r>
        <w:rPr>
          <w:rFonts w:ascii="Times New Roman;Times;Serif" w:hAnsi="Times New Roman;Times;Serif"/>
          <w:b w:val="false"/>
          <w:i w:val="false"/>
          <w:caps w:val="false"/>
          <w:smallCaps w:val="false"/>
          <w:sz w:val="20"/>
        </w:rPr>
        <w:t>” is the SOFR Index value for the day which is two (2) U.S. Government Securities Business Days preceding the Interest Payment Date relating to such interest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u w:val="single"/>
        </w:rPr>
        <w:t>d</w:t>
      </w:r>
      <w:r>
        <w:rPr>
          <w:rFonts w:ascii="Times New Roman;Times;Serif" w:hAnsi="Times New Roman;Times;Serif"/>
          <w:b w:val="false"/>
          <w:i/>
          <w:caps w:val="false"/>
          <w:smallCaps w:val="false"/>
          <w:position w:val="-2"/>
          <w:sz w:val="16"/>
          <w:sz w:val="20"/>
          <w:u w:val="single"/>
        </w:rPr>
        <w:t>c</w:t>
      </w:r>
      <w:r>
        <w:rPr>
          <w:rFonts w:ascii="Times New Roman;Times;Serif" w:hAnsi="Times New Roman;Times;Serif"/>
          <w:b w:val="false"/>
          <w:i w:val="false"/>
          <w:caps w:val="false"/>
          <w:smallCaps w:val="false"/>
          <w:sz w:val="20"/>
        </w:rPr>
        <w:t>” is the number of calendar days in the applicable Observation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Compounded SOFR, “</w:t>
      </w:r>
      <w:r>
        <w:rPr>
          <w:rFonts w:ascii="Times New Roman;Times;Serif" w:hAnsi="Times New Roman;Times;Serif"/>
          <w:b w:val="false"/>
          <w:i w:val="false"/>
          <w:caps w:val="false"/>
          <w:smallCaps w:val="false"/>
          <w:sz w:val="20"/>
          <w:u w:val="single"/>
        </w:rPr>
        <w:t>SOFR Index</w:t>
      </w:r>
      <w:r>
        <w:rPr>
          <w:rFonts w:ascii="Times New Roman;Times;Serif" w:hAnsi="Times New Roman;Times;Serif"/>
          <w:b w:val="false"/>
          <w:i w:val="false"/>
          <w:caps w:val="false"/>
          <w:smallCaps w:val="false"/>
          <w:sz w:val="20"/>
        </w:rPr>
        <w:t>” means, with respect to any U.S. Government Securities Business Day: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(1)</w:t>
            </w:r>
          </w:p>
        </w:tc>
        <w:tc>
          <w:tcPr>
            <w:tcW w:w="9928" w:type="dxa"/>
            <w:tcBorders/>
            <w:vAlign w:val="center"/>
          </w:tcPr>
          <w:p>
            <w:pPr>
              <w:pStyle w:val="TableContents"/>
              <w:bidi w:val="0"/>
              <w:spacing w:before="0" w:after="283"/>
              <w:jc w:val="both"/>
              <w:rPr/>
            </w:pPr>
            <w:r>
              <w:rPr/>
              <w:t>the SOFR Index published for such U.S. Government Securities Business Day as such value appears on the Federal Reserve Bank of New York’s Website at 3:00 p.m. (New York time) on such U.S. Government Securities Business Day (the “</w:t>
            </w:r>
            <w:r>
              <w:rPr>
                <w:u w:val="single"/>
              </w:rPr>
              <w:t>SOFR Index Determination Time</w:t>
            </w:r>
            <w:r>
              <w:rPr/>
              <w: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if the SOFR Index specified in (1) above does not so appear, unless both a Benchmark Transition Event and its related Benchmark Replacement Date have occurred, with respect to SOFR, then Compounded SOFR shall be the rate determined pursuant to the “SOFR Index Unavailability” provisions below.</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Determination Date</w:t>
      </w:r>
      <w:r>
        <w:rPr>
          <w:rFonts w:ascii="Times New Roman;Times;Serif" w:hAnsi="Times New Roman;Times;Serif"/>
          <w:b w:val="false"/>
          <w:i w:val="false"/>
          <w:caps w:val="false"/>
          <w:smallCaps w:val="false"/>
          <w:sz w:val="20"/>
        </w:rPr>
        <w:t>” is the date that is two (2) U.S. Government Securities Business Days before each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Observation Period</w:t>
      </w:r>
      <w:r>
        <w:rPr>
          <w:rFonts w:ascii="Times New Roman;Times;Serif" w:hAnsi="Times New Roman;Times;Serif"/>
          <w:b w:val="false"/>
          <w:i w:val="false"/>
          <w:caps w:val="false"/>
          <w:smallCaps w:val="false"/>
          <w:sz w:val="20"/>
        </w:rPr>
        <w:t>” is, in respect of each interest period for the Securities, the period from, and including, the date that is two (2) U.S. Government Securities Business Days preceding the first date in such interest period to, but excluding, the Interest Payment Determination Date for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with respect to any day means the secured overnight financing rate published for such day by the Federal Reserve Bank of New York, as the administrator of the benchmark (or a successor administrator), on the Federal Reserve Bank of New York’s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is any day except for a Saturday, a Sunday or a day on which the Securities Industry and Financial Markets Association recommends that the fixed income departments of its members be closed for the entire day for purposes of trading in U.S.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calculation of Compounded SOFR shall exclude the spread of 0.420% per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Security or the Indenture if the Company or its Designee determines on or prior to the relevant Reference Time (as defined herein) that a Benchmark Transition Event and its related Benchmark Replacement Date have occurred with respect to determining Compounded SOFR, then the benchmark replacement provisions set forth herein will thereafter apply to all determinations of the rate of interest payable on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in accordance with the benchmark replacement provisions, after a Benchmark Transition Event and its related Benchmark Replacement Date have occurred, the interest rate for each interest period on the Securities of this series will be an annual rate equal to the sum of the Benchmark Replacement (as defined below) and the spread.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SOFR Index Unavailability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SOFR Index</w:t>
      </w:r>
      <w:r>
        <w:rPr>
          <w:rFonts w:ascii="Times New Roman;Times;Serif" w:hAnsi="Times New Roman;Times;Serif"/>
          <w:b w:val="false"/>
          <w:i w:val="false"/>
          <w:caps w:val="false"/>
          <w:smallCaps w:val="false"/>
          <w:position w:val="-2"/>
          <w:sz w:val="16"/>
          <w:sz w:val="20"/>
        </w:rPr>
        <w:t>Start</w:t>
      </w:r>
      <w:r>
        <w:rPr>
          <w:rFonts w:ascii="Times New Roman;Times;Serif" w:hAnsi="Times New Roman;Times;Serif"/>
          <w:b w:val="false"/>
          <w:i w:val="false"/>
          <w:caps w:val="false"/>
          <w:smallCaps w:val="false"/>
          <w:sz w:val="20"/>
        </w:rPr>
        <w:t xml:space="preserve"> or SOFR Index</w:t>
      </w:r>
      <w:r>
        <w:rPr>
          <w:rFonts w:ascii="Times New Roman;Times;Serif" w:hAnsi="Times New Roman;Times;Serif"/>
          <w:b w:val="false"/>
          <w:i w:val="false"/>
          <w:caps w:val="false"/>
          <w:smallCaps w:val="false"/>
          <w:position w:val="-2"/>
          <w:sz w:val="16"/>
          <w:sz w:val="20"/>
        </w:rPr>
        <w:t>End</w:t>
      </w:r>
      <w:r>
        <w:rPr>
          <w:rFonts w:ascii="Times New Roman;Times;Serif" w:hAnsi="Times New Roman;Times;Serif"/>
          <w:b w:val="false"/>
          <w:i w:val="false"/>
          <w:caps w:val="false"/>
          <w:smallCaps w:val="false"/>
          <w:sz w:val="20"/>
        </w:rPr>
        <w:t xml:space="preserve"> is not published on the associated Interest Payment Determination Date and a Benchmark Transition Event and its related Benchmark Replacement Date have not occurred with respect to SOFR, “Compounded SOFR” shall be deemed to be equal to, for the applicable interest period for which such index is not available, the rate of return on a daily compounded interest investment calculated in accordance with the formula for SOFR Averages, and definitions required for such formula, published on the website of the Federal Reserve Bank of New York, at https://www.newyorkfed.org/markets/reference-rates/additional-information-about-reference-rates, or any successor source. For the purposes of this provision, references in the SOFR Averages compounding formula and related definitions to “calculation period” shall be replaced with “Observation Period” and the words “that is, 30-, 90-, or 180- calendar days” shall be removed. If the daily SOFR (“</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position w:val="-2"/>
          <w:sz w:val="16"/>
          <w:sz w:val="20"/>
          <w:u w:val="single"/>
        </w:rPr>
        <w:t>i</w:t>
      </w:r>
      <w:r>
        <w:rPr>
          <w:rFonts w:ascii="Times New Roman;Times;Serif" w:hAnsi="Times New Roman;Times;Serif"/>
          <w:b w:val="false"/>
          <w:i w:val="false"/>
          <w:caps w:val="false"/>
          <w:smallCaps w:val="false"/>
          <w:sz w:val="20"/>
        </w:rPr>
        <w:t>”) does not so appear for any day, “i”, in the Observation Period, SOFR</w:t>
      </w:r>
      <w:r>
        <w:rPr>
          <w:rFonts w:ascii="Times New Roman;Times;Serif" w:hAnsi="Times New Roman;Times;Serif"/>
          <w:b w:val="false"/>
          <w:i w:val="false"/>
          <w:caps w:val="false"/>
          <w:smallCaps w:val="false"/>
          <w:position w:val="-2"/>
          <w:sz w:val="16"/>
          <w:sz w:val="20"/>
        </w:rPr>
        <w:t>i</w:t>
      </w:r>
      <w:r>
        <w:rPr>
          <w:rFonts w:ascii="Times New Roman;Times;Serif" w:hAnsi="Times New Roman;Times;Serif"/>
          <w:b w:val="false"/>
          <w:i w:val="false"/>
          <w:caps w:val="false"/>
          <w:smallCaps w:val="false"/>
          <w:sz w:val="20"/>
        </w:rPr>
        <w:t xml:space="preserve"> for such day “i” shall be deemed to be SOFR published in respect of the first preceding U.S. Government Securities Business Day for which SOFR was published on the Federal Reserve Bank of New York’s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 of Benchmark Transition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or its Designee determines that a Benchmark Transition Event and its related Benchmark Replacement Date have occurred on or prior to the Reference Time in respect of any determination of the Benchmark on any date, the Benchmark Replacement will replace the then-current Benchmark for all purposes relating to the Securities in respect of such determination on such date and for all determinations on all subsequent dates.</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implementation of a Benchmark Replacement, the Company (or its Designee) will have the right to make Benchmark Replacement Conforming Changes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determination, decision or election that may be made by the Company (or its Designee) pursuant to this Security, including any determination with respect to tenor, rate or adjustment or of the occurrence or nonoccurrence of an event, circumstance or date and any decision to take or refrain from taking any action or any selection, will be conclusive and binding absent manifest error, will be made in the Company’s (or its Designee’s) sole discretion, and, notwithstanding anything to the contrary in this Security or the Indenture, shall become effective without consent from the Holders of the Securities or any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means, initially, Compounded SOFR; provided that, if a Benchmark Transition Event and its related Benchmark Replacement Date shall have occurred with respect to Compounded SOFR or the then-current Benchmark, then “Benchmark” shall mean the applicable Benchmark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the first alternative set forth in the order below that can be determined by the Company (or its Designee) as of the Benchmark Replacement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7"/>
        <w:gridCol w:w="9921"/>
      </w:tblGrid>
      <w:tr>
        <w:trPr/>
        <w:tc>
          <w:tcPr>
            <w:tcW w:w="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283"/>
              <w:jc w:val="both"/>
              <w:rPr/>
            </w:pPr>
            <w:r>
              <w:rPr/>
              <w:t>the sum of: (a) the alternate rate of interest that has been selected or recommended by the Relevant Governmental Body as the replacement for the then-current Benchmark and (b) the Benchmark Replacement Adjustment;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7"/>
        <w:gridCol w:w="9836"/>
      </w:tblGrid>
      <w:tr>
        <w:trPr/>
        <w:tc>
          <w:tcPr>
            <w:tcW w:w="4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(2)</w:t>
            </w:r>
          </w:p>
        </w:tc>
        <w:tc>
          <w:tcPr>
            <w:tcW w:w="9836" w:type="dxa"/>
            <w:tcBorders/>
            <w:vAlign w:val="center"/>
          </w:tcPr>
          <w:p>
            <w:pPr>
              <w:pStyle w:val="TableContents"/>
              <w:bidi w:val="0"/>
              <w:spacing w:before="0" w:after="283"/>
              <w:jc w:val="both"/>
              <w:rPr/>
            </w:pPr>
            <w:r>
              <w:rPr/>
              <w:t>the sum of: (a) the ISDA Fallback Rate and (b) the Benchmark Replacement Adjustment;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283"/>
              <w:jc w:val="both"/>
              <w:rPr/>
            </w:pPr>
            <w:r>
              <w:rPr/>
              <w:t>the sum of: (a) the alternate rate of interest that has been selected by the Company (or its Designee) as the replacement for the then-current Benchmark giving due consideration to any industry-accepted rate of interest as a replacement for the then-current Benchmark for U.S. dollar-denominated floating rate notes at such time and (b) the Benchmark Replacement Adjustment.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the first alternative set forth in the order below that can be determined by the Company (or its Designee) as of the Benchmark Replacement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283"/>
              <w:jc w:val="both"/>
              <w:rPr/>
            </w:pPr>
            <w:r>
              <w:rPr/>
              <w:t>the spread adjustment (which may be a positive or negative value or zero), or method for calculating or determining such spread adjustment, that has been selected or recommended by the Relevant Governmental Body for the applicable Unadjusted Benchmark Replacement;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(2)</w:t>
            </w:r>
          </w:p>
        </w:tc>
        <w:tc>
          <w:tcPr>
            <w:tcW w:w="9897" w:type="dxa"/>
            <w:tcBorders/>
            <w:vAlign w:val="center"/>
          </w:tcPr>
          <w:p>
            <w:pPr>
              <w:pStyle w:val="TableContents"/>
              <w:bidi w:val="0"/>
              <w:spacing w:before="0" w:after="283"/>
              <w:jc w:val="both"/>
              <w:rPr/>
            </w:pPr>
            <w:r>
              <w:rPr/>
              <w:t>if the applicable Unadjusted Benchmark Replacement is equivalent to the ISDA Fallback Rate, then the ISDA Fallback Adjustment;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283"/>
              <w:jc w:val="both"/>
              <w:rPr/>
            </w:pPr>
            <w:r>
              <w:rPr/>
              <w:t>the spread adjustment (which may be a positive or negative value or zero) that has been selected by the Company (or its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means, with respect to any Benchmark Replacement, any technical, administrative or operational changes (including changes to the definitions of “interest period” and “Observation Period,” the timing and frequency of determining rates and making payments of interest, the rounding of amounts or tenors and other administrative matters) that the Company (or its Designee) decides may be appropriate to reflect the adoption of such Benchmark Replacement in a manner substantially consistent with market practice (or, if the Company (or its Designee) decides that adoption of any portion of such market practice is not administratively feasible or if the Company (or its Designee) determines that no market practice for use of the Benchmark Replacement exists, in such other manner as the Company (or its Designee) determines is reasonably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283"/>
              <w:jc w:val="both"/>
              <w:rPr/>
            </w:pPr>
            <w:r>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(2)</w:t>
            </w:r>
          </w:p>
        </w:tc>
        <w:tc>
          <w:tcPr>
            <w:tcW w:w="9905" w:type="dxa"/>
            <w:tcBorders/>
            <w:vAlign w:val="center"/>
          </w:tcPr>
          <w:p>
            <w:pPr>
              <w:pStyle w:val="TableContents"/>
              <w:bidi w:val="0"/>
              <w:spacing w:before="0" w:after="283"/>
              <w:jc w:val="both"/>
              <w:rPr/>
            </w:pPr>
            <w:r>
              <w:rPr/>
              <w:t>in the case of clause (3) of the definition of “Benchmark Transition Event,” the date of the public statement or publication of information referenced therein.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for purposes of the definitions of Benchmark Replacement Date and Benchmark Transition Event, references to Benchmark also include any reference rate underlying such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w:t>
      </w:r>
      <w:r>
        <w:rPr>
          <w:rFonts w:ascii="Times New Roman;Times;Serif" w:hAnsi="Times New Roman;Times;Serif"/>
          <w:b w:val="false"/>
          <w:i w:val="false"/>
          <w:caps w:val="false"/>
          <w:smallCaps w:val="false"/>
          <w:sz w:val="20"/>
        </w:rPr>
        <w:t>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(1)</w:t>
            </w:r>
          </w:p>
        </w:tc>
        <w:tc>
          <w:tcPr>
            <w:tcW w:w="9933" w:type="dxa"/>
            <w:tcBorders/>
            <w:vAlign w:val="center"/>
          </w:tcPr>
          <w:p>
            <w:pPr>
              <w:pStyle w:val="TableContents"/>
              <w:bidi w:val="0"/>
              <w:spacing w:before="0" w:after="283"/>
              <w:jc w:val="both"/>
              <w:rPr/>
            </w:pPr>
            <w:r>
              <w:rPr/>
              <w:t xml:space="preserve">a public statement or publication of information by or on behalf of the administrator of the Benchmark announcing that such administrator has ceased or will cease to provide the Benchmark, permanently or indefinitely; </w:t>
            </w:r>
            <w:r>
              <w:rPr>
                <w:i/>
              </w:rPr>
              <w:t>provided</w:t>
            </w:r>
            <w:r>
              <w:rPr/>
              <w:t xml:space="preserve"> that, at the time of such statement or publication, there is no successor administrator that will continue to provide the Benchmark;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both"/>
              <w:rPr/>
            </w:pPr>
            <w:r>
              <w:rPr/>
              <w:t xml:space="preserve">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w:t>
            </w:r>
            <w:r>
              <w:rPr>
                <w:i/>
              </w:rPr>
              <w:t>provided</w:t>
            </w:r>
            <w:r>
              <w:rPr/>
              <w:t xml:space="preserve"> that, at the time of such statement or publication, there is no successor administrator that will continue to provide the Benchmark;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(3)</w:t>
            </w:r>
          </w:p>
        </w:tc>
        <w:tc>
          <w:tcPr>
            <w:tcW w:w="9911" w:type="dxa"/>
            <w:tcBorders/>
            <w:vAlign w:val="center"/>
          </w:tcPr>
          <w:p>
            <w:pPr>
              <w:pStyle w:val="TableContents"/>
              <w:bidi w:val="0"/>
              <w:spacing w:before="0" w:after="283"/>
              <w:jc w:val="both"/>
              <w:rPr/>
            </w:pPr>
            <w:r>
              <w:rPr/>
              <w:t>a public statement or publication of information by the regulatory supervisor for the administrator of the Benchmark announcing that the Benchmark is no longer representative.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ISDA Definitions</w:t>
      </w:r>
      <w:r>
        <w:rPr>
          <w:rFonts w:ascii="Times New Roman;Times;Serif" w:hAnsi="Times New Roman;Times;Serif"/>
          <w:b w:val="false"/>
          <w:i w:val="false"/>
          <w:caps w:val="false"/>
          <w:smallCaps w:val="false"/>
          <w:sz w:val="20"/>
        </w:rPr>
        <w:t>” means the 2006 ISDA Definitions published by the International Swaps and Derivatives Association, Inc. or any successor thereto, as amended or supplemented from time to time, or any successor definitional booklet for interest rate derivatives published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ISDA Fallback Adjustment</w:t>
      </w:r>
      <w:r>
        <w:rPr>
          <w:rFonts w:ascii="Times New Roman;Times;Serif" w:hAnsi="Times New Roman;Times;Serif"/>
          <w:b w:val="false"/>
          <w:i w:val="false"/>
          <w:caps w:val="false"/>
          <w:smallCaps w:val="false"/>
          <w:sz w:val="20"/>
        </w:rPr>
        <w: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ISDA Fallback Rate</w:t>
      </w:r>
      <w:r>
        <w:rPr>
          <w:rFonts w:ascii="Times New Roman;Times;Serif" w:hAnsi="Times New Roman;Times;Serif"/>
          <w:b w:val="false"/>
          <w:i w:val="false"/>
          <w:caps w:val="false"/>
          <w:smallCaps w:val="false"/>
          <w:sz w:val="20"/>
        </w:rPr>
        <w:t>”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Time</w:t>
      </w:r>
      <w:r>
        <w:rPr>
          <w:rFonts w:ascii="Times New Roman;Times;Serif" w:hAnsi="Times New Roman;Times;Serif"/>
          <w:b w:val="false"/>
          <w:i w:val="false"/>
          <w:caps w:val="false"/>
          <w:smallCaps w:val="false"/>
          <w:sz w:val="20"/>
        </w:rPr>
        <w:t>” with respect to any determination of the Benchmark for the Securities of this series means (1) if the Benchmark is Compounded SOFR, the SOFR Index Determination Time and (2) if the Benchmark is not Compounded SOFR, the time determined by the Company or its Designee after giving effect to the Benchmark Replacement Conforming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Benchmark Replacement excluding the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1249" w:type="dxa"/>
        <w:jc w:val="left"/>
        <w:tblInd w:w="0" w:type="dxa"/>
        <w:tblLayout w:type="fixed"/>
        <w:tblCellMar>
          <w:top w:w="0" w:type="dxa"/>
          <w:left w:w="0" w:type="dxa"/>
          <w:bottom w:w="0" w:type="dxa"/>
          <w:right w:w="0" w:type="dxa"/>
        </w:tblCellMar>
      </w:tblPr>
      <w:tblGrid>
        <w:gridCol w:w="75"/>
        <w:gridCol w:w="427"/>
        <w:gridCol w:w="747"/>
      </w:tblGrid>
      <w:tr>
        <w:trPr/>
        <w:tc>
          <w:tcPr>
            <w:tcW w:w="75"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r>
      <w:tr>
        <w:trPr/>
        <w:tc>
          <w:tcPr>
            <w:tcW w:w="75"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74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666"/>
        <w:gridCol w:w="1135"/>
        <w:gridCol w:w="3228"/>
      </w:tblGrid>
      <w:tr>
        <w:trPr/>
        <w:tc>
          <w:tcPr>
            <w:tcW w:w="75" w:type="dxa"/>
            <w:tcBorders/>
            <w:vAlign w:val="center"/>
          </w:tcPr>
          <w:p>
            <w:pPr>
              <w:pStyle w:val="TableContents"/>
              <w:bidi w:val="0"/>
              <w:spacing w:before="0" w:after="283"/>
              <w:ind w:left="0" w:right="0" w:hanging="180"/>
              <w:jc w:val="left"/>
              <w:rPr/>
            </w:pPr>
            <w:r>
              <w:rPr/>
              <w:t> </w:t>
            </w:r>
          </w:p>
        </w:tc>
        <w:tc>
          <w:tcPr>
            <w:tcW w:w="502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as Trustee</w:t>
            </w:r>
          </w:p>
        </w:tc>
      </w:tr>
      <w:tr>
        <w:trPr/>
        <w:tc>
          <w:tcPr>
            <w:tcW w:w="75" w:type="dxa"/>
            <w:tcBorders/>
            <w:vAlign w:val="center"/>
          </w:tcPr>
          <w:p>
            <w:pPr>
              <w:pStyle w:val="TableContents"/>
              <w:bidi w:val="0"/>
              <w:spacing w:before="0" w:after="283"/>
              <w:jc w:val="left"/>
              <w:rPr/>
            </w:pPr>
            <w:r>
              <w:rPr/>
              <w:t> </w:t>
            </w:r>
          </w:p>
        </w:tc>
        <w:tc>
          <w:tcPr>
            <w:tcW w:w="502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63"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tcBorders/>
            <w:vAlign w:val="center"/>
          </w:tcPr>
          <w:p>
            <w:pPr>
              <w:pStyle w:val="TableContents"/>
              <w:bidi w:val="0"/>
              <w:spacing w:before="0" w:after="283"/>
              <w:jc w:val="left"/>
              <w:rPr>
                <w:caps w:val="false"/>
                <w:smallCaps w:val="false"/>
              </w:rPr>
            </w:pPr>
            <w:r>
              <w:rPr>
                <w:caps w:val="false"/>
                <w:smallCaps w:val="false"/>
              </w:rPr>
              <w:t> </w:t>
            </w:r>
          </w:p>
        </w:tc>
        <w:tc>
          <w:tcPr>
            <w:tcW w:w="3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issued and to be issued in one or more series under an Indenture, dated as of November 8, 2012, as it may be supplemented or amended from time to time (herein called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and U.S. Bank Trust Company, National Association, as successor-in-interest to U.S. Bank National Association, as trustee (herein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which term includes any successor trustee under the Indenture), and Supplemental Indenture No. 13, dated as of August 18, 2026 (herein called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between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not redeemable prior to its maturity, other than pursuant to a Special Mandatory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 publicly announces that the Acquisition Agreement (as defined below) has been terminated prior to the consummation of the Specified Acquisition (as defined below), or (ii) notifies the Trustee in writing that it will not pursue the consummation of the Specified Acquisition (the earliest date of any such announcement or notification, the “</w:t>
      </w:r>
      <w:r>
        <w:rPr>
          <w:rFonts w:ascii="Times New Roman;Times;Serif" w:hAnsi="Times New Roman;Times;Serif"/>
          <w:b w:val="false"/>
          <w:i w:val="false"/>
          <w:caps w:val="false"/>
          <w:smallCaps w:val="false"/>
          <w:sz w:val="20"/>
          <w:u w:val="single"/>
        </w:rPr>
        <w:t>Special Mandatory Redemption Trigger Date</w:t>
      </w:r>
      <w:r>
        <w:rPr>
          <w:rFonts w:ascii="Times New Roman;Times;Serif" w:hAnsi="Times New Roman;Times;Serif"/>
          <w:b w:val="false"/>
          <w:i w:val="false"/>
          <w:caps w:val="false"/>
          <w:smallCaps w:val="false"/>
          <w:sz w:val="20"/>
        </w:rPr>
        <w:t>”), the Company shall redeem all and not less than all of the Securities of this series then Outstanding (such redemption, the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by a date no later than ten (10) Business Days after the Special Mandatory Redemption Trigger Date (the “</w:t>
      </w:r>
      <w:r>
        <w:rPr>
          <w:rFonts w:ascii="Times New Roman;Times;Serif" w:hAnsi="Times New Roman;Times;Serif"/>
          <w:b w:val="false"/>
          <w:i w:val="false"/>
          <w:caps w:val="false"/>
          <w:smallCaps w:val="false"/>
          <w:sz w:val="20"/>
          <w:u w:val="single"/>
        </w:rPr>
        <w:t>Special Mandatory Redemption End Date</w:t>
      </w:r>
      <w:r>
        <w:rPr>
          <w:rFonts w:ascii="Times New Roman;Times;Serif" w:hAnsi="Times New Roman;Times;Serif"/>
          <w:b w:val="false"/>
          <w:i w:val="false"/>
          <w:caps w:val="false"/>
          <w:smallCaps w:val="false"/>
          <w:sz w:val="20"/>
        </w:rPr>
        <w:t>”) at a redemption price equal to 101% of the principal amount of the Securities of this series to be redeemed plus accrued and unpaid interest thereon to, but excluding, the Special Mandatory Redemption Date (the “</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becomes obligated to redeem the Securities of this series pursuant to the foregoing paragraph, the Company shall promptly, and in any event not more than five (5) Business Days after the Special Mandatory Redemption Trigger Date, deliver notice to the Trustee of the Special Mandatory Redemption and the date upon which the Securities of this series shall be redeemed (the “</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which shall be no later than the Special Mandatory Redemption End Date. The Trustee shall then promptly, and in any event not more than one (1) Business Day after receipt of such notice, deliver notice of the Special Mandatory Redemption and the Special Mandatory Redemption Date to each Holder of the Securities of this series at its registered address. Unless the Company defaults in payment of the Special Mandatory Redemption Price, on and after such Special Mandatory Redemption Date, interest shall cease to accrue on the Securities of this series and the Indenture shall be discharged and cease to be of further effect as to all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Special Mandatory Redemption Date shall be payable on such Interest Payment Dates to the registered Holders as of the close of business on the relevant record dates in accordance with the Securities of this series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Agreement</w:t>
      </w:r>
      <w:r>
        <w:rPr>
          <w:rFonts w:ascii="Times New Roman;Times;Serif" w:hAnsi="Times New Roman;Times;Serif"/>
          <w:b w:val="false"/>
          <w:i w:val="false"/>
          <w:caps w:val="false"/>
          <w:smallCaps w:val="false"/>
          <w:sz w:val="20"/>
        </w:rPr>
        <w:t>” means the definitive agreement of the Company providing for the Specified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Acquisition</w:t>
      </w:r>
      <w:r>
        <w:rPr>
          <w:rFonts w:ascii="Times New Roman;Times;Serif" w:hAnsi="Times New Roman;Times;Serif"/>
          <w:b w:val="false"/>
          <w:i w:val="false"/>
          <w:caps w:val="false"/>
          <w:smallCaps w:val="false"/>
          <w:sz w:val="20"/>
        </w:rPr>
        <w:t>” means the acquisition of Apogee Therapeutics, Inc. by the Company or any of its subsidiaries.</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A-1-10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do not provide for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 Sections 13.2 and 13.3 of the Indenture apply to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A-1-11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and Supplemental Indenture shall have the meanings assigned to them in the Indenture and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A-1-12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TO BE DELIVERED UPON EXCHANGE</w:t>
        <w:br/>
        <w:t>OR REGISTRATION OF TRANSFER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relates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Securities held in (check applicable space)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book-entry 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definitive form by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(check one box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exchange or register the transfer of a Security or Securities.</w:t>
            </w:r>
          </w:p>
        </w:tc>
      </w:tr>
    </w:tbl>
    <w:p>
      <w:pPr>
        <w:pStyle w:val="TextBody"/>
        <w:bidi w:val="0"/>
        <w:spacing w:before="0" w:after="0"/>
        <w:ind w:left="0" w:right="0" w:hanging="0"/>
        <w:jc w:val="left"/>
        <w:rPr>
          <w:caps w:val="false"/>
          <w:smallCaps w:val="false"/>
        </w:rPr>
      </w:pPr>
      <w:r>
        <w:rPr>
          <w:caps w:val="false"/>
          <w:smallCaps w:val="false"/>
        </w:rPr>
        <w:t> </w:t>
      </w:r>
    </w:p>
    <w:tbl>
      <w:tblPr>
        <w:tblW w:w="3669" w:type="dxa"/>
        <w:jc w:val="left"/>
        <w:tblInd w:w="0" w:type="dxa"/>
        <w:tblLayout w:type="fixed"/>
        <w:tblCellMar>
          <w:top w:w="0" w:type="dxa"/>
          <w:left w:w="0" w:type="dxa"/>
          <w:bottom w:w="0" w:type="dxa"/>
          <w:right w:w="0" w:type="dxa"/>
        </w:tblCellMar>
      </w:tblPr>
      <w:tblGrid>
        <w:gridCol w:w="471"/>
        <w:gridCol w:w="103"/>
        <w:gridCol w:w="60"/>
        <w:gridCol w:w="3035"/>
      </w:tblGrid>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NAME OF TRANSFEROR]</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ind w:left="0" w:right="0" w:hanging="720"/>
              <w:jc w:val="left"/>
              <w:rPr/>
            </w:pPr>
            <w:r>
              <w:rPr/>
              <w:t> </w:t>
            </w:r>
          </w:p>
        </w:tc>
      </w:tr>
      <w:tr>
        <w:trPr/>
        <w:tc>
          <w:tcPr>
            <w:tcW w:w="4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A-1-13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redemptions or purchases of a part of this Book-Entry Security have been made:</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28" w:type="dxa"/>
          <w:right w:w="0" w:type="dxa"/>
        </w:tblCellMar>
      </w:tblPr>
      <w:tblGrid>
        <w:gridCol w:w="1115"/>
        <w:gridCol w:w="60"/>
        <w:gridCol w:w="1580"/>
        <w:gridCol w:w="60"/>
        <w:gridCol w:w="1535"/>
        <w:gridCol w:w="60"/>
        <w:gridCol w:w="1580"/>
        <w:gridCol w:w="60"/>
        <w:gridCol w:w="1070"/>
      </w:tblGrid>
      <w:tr>
        <w:trPr/>
        <w:tc>
          <w:tcPr>
            <w:tcW w:w="111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br/>
              <w:t>Redemption/</w:t>
              <w:br/>
              <w:t>Repurchase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Principal Amount</w:t>
              <w:br/>
              <w:t>of this Book-Entry</w:t>
              <w:br/>
              <w:t>Security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increase in</w:t>
              <w:br/>
              <w:t>Principal Amount</w:t>
              <w:br/>
              <w:t>of this Book-</w:t>
              <w:br/>
              <w:t>Entry Security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 this Book-Entry</w:t>
              <w:br/>
              <w:t>Security following</w:t>
              <w:br/>
              <w:t>such decrease (or</w:t>
              <w:br/>
              <w:t>increase)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w:t>
              <w:br/>
              <w:t>signatory of</w:t>
              <w:br/>
              <w:t>Trustee</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A-1-14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Security,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 or type assignee’s name, address and zip code)</w:t>
            </w:r>
          </w:p>
        </w:tc>
      </w:tr>
      <w:tr>
        <w:trPr/>
        <w:tc>
          <w:tcPr>
            <w:tcW w:w="4295" w:type="dxa"/>
            <w:tcBorders/>
            <w:tcMar>
              <w:bottom w:w="0" w:type="dxa"/>
            </w:tcMar>
            <w:vAlign w:val="center"/>
          </w:tcPr>
          <w:p>
            <w:pPr>
              <w:pStyle w:val="TableContents"/>
              <w:bidi w:val="0"/>
              <w:spacing w:before="0" w:after="283"/>
              <w:jc w:val="center"/>
              <w:rPr/>
            </w:pPr>
            <w:r>
              <w:rPr/>
              <w:t> </w:t>
            </w:r>
          </w:p>
        </w:tc>
      </w:tr>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assignee’s soc. sec. or tax I.D.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irrevocably appoint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as agent to transfer this Security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1655" w:type="dxa"/>
        <w:jc w:val="left"/>
        <w:tblInd w:w="0" w:type="dxa"/>
        <w:tblLayout w:type="fixed"/>
        <w:tblCellMar>
          <w:top w:w="0" w:type="dxa"/>
          <w:left w:w="0" w:type="dxa"/>
          <w:bottom w:w="0" w:type="dxa"/>
          <w:right w:w="0" w:type="dxa"/>
        </w:tblCellMar>
      </w:tblPr>
      <w:tblGrid>
        <w:gridCol w:w="560"/>
        <w:gridCol w:w="102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0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 Signature*: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0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0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0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Security.</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2045"/>
        <w:gridCol w:w="60"/>
        <w:gridCol w:w="75"/>
      </w:tblGrid>
      <w:tr>
        <w:trPr/>
        <w:tc>
          <w:tcPr>
            <w:tcW w:w="2045" w:type="dxa"/>
            <w:tcBorders/>
            <w:vAlign w:val="center"/>
          </w:tcPr>
          <w:p>
            <w:pPr>
              <w:pStyle w:val="TableContents"/>
              <w:bidi w:val="0"/>
              <w:spacing w:before="0" w:after="283"/>
              <w:jc w:val="left"/>
              <w:rPr>
                <w:sz w:val="20"/>
              </w:rPr>
            </w:pPr>
            <w:r>
              <w:rPr>
                <w:rFonts w:ascii="Times New Roman;Times;Serif" w:hAnsi="Times New Roman;Times;Serif"/>
                <w:sz w:val="20"/>
              </w:rPr>
              <w:t>*Signature Guaranteed:</w:t>
            </w:r>
            <w:r>
              <w:rPr>
                <w:sz w:val="20"/>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it appears upon the face of the within Note in every particular, without alteration, enlargement or any change whatever. Such signature must be guaranteed by an “eligible guarantor institution” meeting the requirements of the Security Registrar, which requirements include membership or participation in Security Transfer Agents Medallion Program (“STAMP”) or such other “signature guarantee program” as may be determined by the Security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A-1-15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]4.500% Senior Notes due 2028</w:t>
      </w:r>
    </w:p>
    <w:p>
      <w:pPr>
        <w:pStyle w:val="TextBody"/>
        <w:bidi w:val="0"/>
        <w:spacing w:before="0" w:after="0"/>
        <w:ind w:left="0" w:right="0" w:hanging="0"/>
        <w:jc w:val="left"/>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590"/>
        <w:gridCol w:w="335"/>
      </w:tblGrid>
      <w:tr>
        <w:trPr/>
        <w:tc>
          <w:tcPr>
            <w:tcW w:w="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 </w:t>
            </w:r>
          </w:p>
        </w:tc>
        <w:tc>
          <w:tcPr>
            <w:tcW w:w="3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00287Y EK1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No: US00287YEK10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Security in a global form within the meaning of the Indenture hereinafter referred to and is registered in the name of the Depository or a nominee of the Depository. This global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 a corporation duly organized and existing under the laws of Delaware (herein called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August 18, 2028 and to pay interest thereon from August 18, 2026 or from the most recent Interest Payment Date to which interest has been paid or duly provided for, semi-annually in arrears on February 18 and August 18 in each year, commencing February 18, 2027, at the rate of 4.500%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1430" w:type="dxa"/>
        <w:jc w:val="left"/>
        <w:tblInd w:w="0" w:type="dxa"/>
        <w:tblLayout w:type="fixed"/>
        <w:tblCellMar>
          <w:top w:w="0" w:type="dxa"/>
          <w:left w:w="0" w:type="dxa"/>
          <w:bottom w:w="0" w:type="dxa"/>
          <w:right w:w="0" w:type="dxa"/>
        </w:tblCellMar>
      </w:tblPr>
      <w:tblGrid>
        <w:gridCol w:w="75"/>
        <w:gridCol w:w="320"/>
        <w:gridCol w:w="1035"/>
      </w:tblGrid>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r>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666"/>
        <w:gridCol w:w="1135"/>
        <w:gridCol w:w="3228"/>
      </w:tblGrid>
      <w:tr>
        <w:trPr/>
        <w:tc>
          <w:tcPr>
            <w:tcW w:w="75" w:type="dxa"/>
            <w:tcBorders/>
            <w:vAlign w:val="center"/>
          </w:tcPr>
          <w:p>
            <w:pPr>
              <w:pStyle w:val="TableContents"/>
              <w:bidi w:val="0"/>
              <w:spacing w:before="0" w:after="283"/>
              <w:ind w:left="0" w:right="0" w:hanging="180"/>
              <w:jc w:val="left"/>
              <w:rPr/>
            </w:pPr>
            <w:r>
              <w:rPr/>
              <w:t> </w:t>
            </w:r>
          </w:p>
        </w:tc>
        <w:tc>
          <w:tcPr>
            <w:tcW w:w="502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as Trustee</w:t>
            </w:r>
          </w:p>
        </w:tc>
      </w:tr>
      <w:tr>
        <w:trPr/>
        <w:tc>
          <w:tcPr>
            <w:tcW w:w="75" w:type="dxa"/>
            <w:tcBorders/>
            <w:vAlign w:val="center"/>
          </w:tcPr>
          <w:p>
            <w:pPr>
              <w:pStyle w:val="TableContents"/>
              <w:bidi w:val="0"/>
              <w:spacing w:before="0" w:after="283"/>
              <w:jc w:val="left"/>
              <w:rPr/>
            </w:pPr>
            <w:r>
              <w:rPr/>
              <w:t> </w:t>
            </w:r>
          </w:p>
        </w:tc>
        <w:tc>
          <w:tcPr>
            <w:tcW w:w="502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63"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tcBorders/>
            <w:vAlign w:val="center"/>
          </w:tcPr>
          <w:p>
            <w:pPr>
              <w:pStyle w:val="TableContents"/>
              <w:bidi w:val="0"/>
              <w:spacing w:before="0" w:after="283"/>
              <w:jc w:val="left"/>
              <w:rPr>
                <w:caps w:val="false"/>
                <w:smallCaps w:val="false"/>
              </w:rPr>
            </w:pPr>
            <w:r>
              <w:rPr>
                <w:caps w:val="false"/>
                <w:smallCaps w:val="false"/>
              </w:rPr>
              <w:t> </w:t>
            </w:r>
          </w:p>
        </w:tc>
        <w:tc>
          <w:tcPr>
            <w:tcW w:w="3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issued and to be issued in one or more series under an Indenture, dated as of November 8, 2012, as it may be supplemented or amended from time to time (herein called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and U.S. Bank Trust Company, National Association, as successor-in-interest to U.S. Bank National Association, as trustee (herein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which term includes any successor trustee under the Indenture), and Supplemental Indenture No. 13, dated as of August 18, 2026 (herein called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between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the Company may redeem the Securities of this series at its option, in whole or in part,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such Securities matured on the maturity date of the Securities of this series) on a semi-annual basis (assuming a 360-day year consisting of twelve 30-day months) at the Treasury Rate plus 5 basis points, less (b)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Securities of this series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for Securities of this series, the yield applicable to this series of Securities determined by the Company in accordance with the following two paragraphs. The Treasury Rate applicable to this series of Securities shall be determined by the Company after 4:15 p.m., New York City time (or after such time as yields on U.S. government securities are posted daily by the Board of Governors of the Federal Reserve System), on the third New York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applicable Treasury Rate, the Company shall select, as applicable: (1) the yield for the Treasury constant maturity on H.15 exactly equal to the period from such Redemption Date to the applicable Maturity date of the Securities of this series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Maturity date of the Securities of this series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New York Business Day preceding such Redemption Date, H.15 TCM is no longer published, the Company shall calculate the applicable Treasury Rate based on the rate per annum equal to the semi-annual equivalent yield to maturity at 11:00 a.m., New York City time, on the second New York Business Day preceding such Redemption Date of the United States Treasury security maturing on, or with a maturity that is closest to, the Maturity date of the Securities of this series, as applicable. If there is no United States Treasury security maturing on the Maturity date of the Securities of this series but there are two or more United States Treasury securities with a maturity date equally distant from the applicable Maturity date of the Securities of this series, one with a maturity date preceding the Maturity date of the Securities of this series and one with a maturity date following the Maturity date of the Securities of this series, the Company shall select the United States Treasury security with a maturity date preceding the Maturity date of the Securities of this series. If there are two or more United States Treasury securities maturing on the Maturity date of the Securities of this series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Securities of this series of a principal amount of $2,000 or less will be redeemed in part. For so long as the Securities are held by The Depository Trust Company (or another depositary), the redemption of the Securities shall be done in accordance with the policies and procedures of the applicable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Business Day</w:t>
      </w:r>
      <w:r>
        <w:rPr>
          <w:rFonts w:ascii="Times New Roman;Times;Serif" w:hAnsi="Times New Roman;Times;Serif"/>
          <w:b w:val="false"/>
          <w:i w:val="false"/>
          <w:caps w:val="false"/>
          <w:smallCaps w:val="false"/>
          <w:sz w:val="20"/>
        </w:rPr>
        <w:t>” means any calendar day that is not a Saturday, Sunday or legal holiday in New York, New York and on which commercial banks are open for business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 publicly announces that the Acquisition Agreement (as defined below) has been terminated prior to the consummation of the Specified Acquisition (as defined below), or (ii) notifies the Trustee in writing that it will not pursue the consummation of the Specified Acquisition (the earliest date of any such announcement or notification, the “</w:t>
      </w:r>
      <w:r>
        <w:rPr>
          <w:rFonts w:ascii="Times New Roman;Times;Serif" w:hAnsi="Times New Roman;Times;Serif"/>
          <w:b w:val="false"/>
          <w:i w:val="false"/>
          <w:caps w:val="false"/>
          <w:smallCaps w:val="false"/>
          <w:sz w:val="20"/>
          <w:u w:val="single"/>
        </w:rPr>
        <w:t>Special Mandatory Redemption Trigger Date</w:t>
      </w:r>
      <w:r>
        <w:rPr>
          <w:rFonts w:ascii="Times New Roman;Times;Serif" w:hAnsi="Times New Roman;Times;Serif"/>
          <w:b w:val="false"/>
          <w:i w:val="false"/>
          <w:caps w:val="false"/>
          <w:smallCaps w:val="false"/>
          <w:sz w:val="20"/>
        </w:rPr>
        <w:t>”), the Company shall redeem all and not less than all of the Securities of this series then Outstanding (such redemption, the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by a date no later than ten (10) Business Days after the Special Mandatory Redemption Trigger Date (the “</w:t>
      </w:r>
      <w:r>
        <w:rPr>
          <w:rFonts w:ascii="Times New Roman;Times;Serif" w:hAnsi="Times New Roman;Times;Serif"/>
          <w:b w:val="false"/>
          <w:i w:val="false"/>
          <w:caps w:val="false"/>
          <w:smallCaps w:val="false"/>
          <w:sz w:val="20"/>
          <w:u w:val="single"/>
        </w:rPr>
        <w:t>Special Mandatory Redemption End Date</w:t>
      </w:r>
      <w:r>
        <w:rPr>
          <w:rFonts w:ascii="Times New Roman;Times;Serif" w:hAnsi="Times New Roman;Times;Serif"/>
          <w:b w:val="false"/>
          <w:i w:val="false"/>
          <w:caps w:val="false"/>
          <w:smallCaps w:val="false"/>
          <w:sz w:val="20"/>
        </w:rPr>
        <w:t>”) at a redemption price equal to 101% of the principal amount of the Securities of this series to be redeemed plus accrued and unpaid interest thereon to, but excluding, the Special Mandatory Redemption Date (the “</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becomes obligated to redeem the Securities of this series pursuant to the foregoing paragraph, the Company shall promptly, and in any event not more than five (5) Business Days after the Special Mandatory Redemption Trigger Date, deliver notice to the Trustee of the Special Mandatory Redemption and the date upon which the Securities of this series shall be redeemed (the “</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which shall be no later than the Special Mandatory Redemption End Date. The Trustee shall then promptly, and in any event not more than one (1) Business Day after receipt of such notice, deliver notice of the Special Mandatory Redemption and the Special Mandatory Redemption Date to each Holder of the Securities of this series at its registered address. Unless the Company defaults in payment of the Special Mandatory Redemption Price, on and after such Special Mandatory Redemption Date, interest shall cease to accrue on the Securities of this series and the Indenture shall be discharged and cease to be of further effect as to all Securities of this series.</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Special Mandatory Redemption Date shall be payable on such Interest Payment Dates to the registered Holders as of the close of business on the relevant record dates in accordance with the Securities of this series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Agreement</w:t>
      </w:r>
      <w:r>
        <w:rPr>
          <w:rFonts w:ascii="Times New Roman;Times;Serif" w:hAnsi="Times New Roman;Times;Serif"/>
          <w:b w:val="false"/>
          <w:i w:val="false"/>
          <w:caps w:val="false"/>
          <w:smallCaps w:val="false"/>
          <w:sz w:val="20"/>
        </w:rPr>
        <w:t>” means the definitive agreement of the Company providing for the Specified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Acquisition</w:t>
      </w:r>
      <w:r>
        <w:rPr>
          <w:rFonts w:ascii="Times New Roman;Times;Serif" w:hAnsi="Times New Roman;Times;Serif"/>
          <w:b w:val="false"/>
          <w:i w:val="false"/>
          <w:caps w:val="false"/>
          <w:smallCaps w:val="false"/>
          <w:sz w:val="20"/>
        </w:rPr>
        <w:t>” means the acquisition of Apogee Therapeutics, Inc.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do not provide for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 Sections 13.2 and 13.3 of the Indenture apply to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and Supplemental Indenture shall have the meanings assigned to them in the Indenture and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TO BE DELIVERED UPON EXCHANGE</w:t>
        <w:br/>
        <w:t>OR REGISTRATION OF TRANSFER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relates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Securities held in (check applicable space)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book-entry 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definitive form by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(check one box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exchange or register the transfer of a Security or Securities.</w:t>
            </w:r>
          </w:p>
        </w:tc>
      </w:tr>
    </w:tbl>
    <w:p>
      <w:pPr>
        <w:pStyle w:val="TextBody"/>
        <w:bidi w:val="0"/>
        <w:spacing w:before="0" w:after="0"/>
        <w:ind w:left="0" w:right="0" w:hanging="0"/>
        <w:jc w:val="left"/>
        <w:rPr>
          <w:caps w:val="false"/>
          <w:smallCaps w:val="false"/>
        </w:rPr>
      </w:pPr>
      <w:r>
        <w:rPr>
          <w:caps w:val="false"/>
          <w:smallCaps w:val="false"/>
        </w:rPr>
        <w:t> </w:t>
      </w:r>
    </w:p>
    <w:tbl>
      <w:tblPr>
        <w:tblW w:w="3669" w:type="dxa"/>
        <w:jc w:val="left"/>
        <w:tblInd w:w="0" w:type="dxa"/>
        <w:tblLayout w:type="fixed"/>
        <w:tblCellMar>
          <w:top w:w="0" w:type="dxa"/>
          <w:left w:w="0" w:type="dxa"/>
          <w:bottom w:w="0" w:type="dxa"/>
          <w:right w:w="0" w:type="dxa"/>
        </w:tblCellMar>
      </w:tblPr>
      <w:tblGrid>
        <w:gridCol w:w="471"/>
        <w:gridCol w:w="103"/>
        <w:gridCol w:w="60"/>
        <w:gridCol w:w="3035"/>
      </w:tblGrid>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NAME OF TRANSFEROR]</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471"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By:</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redemptions or purchases of a part of this Book-Entry Security have been made:</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28" w:type="dxa"/>
          <w:right w:w="0" w:type="dxa"/>
        </w:tblCellMar>
      </w:tblPr>
      <w:tblGrid>
        <w:gridCol w:w="1115"/>
        <w:gridCol w:w="60"/>
        <w:gridCol w:w="1580"/>
        <w:gridCol w:w="60"/>
        <w:gridCol w:w="1535"/>
        <w:gridCol w:w="60"/>
        <w:gridCol w:w="1580"/>
        <w:gridCol w:w="60"/>
        <w:gridCol w:w="1070"/>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br/>
              <w:t>Redemption/</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Principal Amount</w:t>
              <w:br/>
              <w:t>of this Book-Entry</w:t>
              <w:br/>
              <w:t>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increase in</w:t>
              <w:br/>
              <w:t>Principal Amount</w:t>
              <w:br/>
              <w:t>of this Book-</w:t>
              <w:br/>
              <w:t>Entry 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 this Book-Entry</w:t>
              <w:br/>
              <w:t>Security following</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w:t>
              <w:br/>
              <w:t>signatory of</w:t>
              <w:br/>
              <w:t>Trustee</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A-2-10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Security,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 or type assignee’s name, address and zip code)</w:t>
            </w:r>
          </w:p>
        </w:tc>
      </w:tr>
      <w:tr>
        <w:trPr/>
        <w:tc>
          <w:tcPr>
            <w:tcW w:w="4295" w:type="dxa"/>
            <w:tcBorders/>
            <w:tcMar>
              <w:bottom w:w="0" w:type="dxa"/>
            </w:tcMar>
            <w:vAlign w:val="center"/>
          </w:tcPr>
          <w:p>
            <w:pPr>
              <w:pStyle w:val="TableContents"/>
              <w:bidi w:val="0"/>
              <w:spacing w:before="0" w:after="283"/>
              <w:jc w:val="center"/>
              <w:rPr/>
            </w:pPr>
            <w:r>
              <w:rPr/>
              <w:t> </w:t>
            </w:r>
          </w:p>
        </w:tc>
      </w:tr>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assignee’s soc. sec. or tax I.D.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irrevocably appoint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as agent to transfer this Security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1504" w:type="dxa"/>
        <w:jc w:val="left"/>
        <w:tblInd w:w="0" w:type="dxa"/>
        <w:tblLayout w:type="fixed"/>
        <w:tblCellMar>
          <w:top w:w="0" w:type="dxa"/>
          <w:left w:w="0" w:type="dxa"/>
          <w:bottom w:w="0" w:type="dxa"/>
          <w:right w:w="0" w:type="dxa"/>
        </w:tblCellMar>
      </w:tblPr>
      <w:tblGrid>
        <w:gridCol w:w="597"/>
        <w:gridCol w:w="832"/>
        <w:gridCol w:w="75"/>
      </w:tblGrid>
      <w:tr>
        <w:trPr/>
        <w:tc>
          <w:tcPr>
            <w:tcW w:w="5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83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7"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 Signature*:</w:t>
            </w:r>
          </w:p>
        </w:tc>
        <w:tc>
          <w:tcPr>
            <w:tcW w:w="75" w:type="dxa"/>
            <w:tcBorders/>
            <w:vAlign w:val="center"/>
          </w:tcPr>
          <w:p>
            <w:pPr>
              <w:pStyle w:val="TableContents"/>
              <w:bidi w:val="0"/>
              <w:spacing w:before="0" w:after="283"/>
              <w:jc w:val="left"/>
              <w:rPr/>
            </w:pPr>
            <w:r>
              <w:rPr/>
              <w:t> </w:t>
            </w:r>
          </w:p>
        </w:tc>
      </w:tr>
      <w:tr>
        <w:trPr/>
        <w:tc>
          <w:tcPr>
            <w:tcW w:w="597"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3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3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3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Security.</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2045"/>
        <w:gridCol w:w="60"/>
        <w:gridCol w:w="75"/>
      </w:tblGrid>
      <w:tr>
        <w:trPr/>
        <w:tc>
          <w:tcPr>
            <w:tcW w:w="2045" w:type="dxa"/>
            <w:tcBorders/>
            <w:vAlign w:val="center"/>
          </w:tcPr>
          <w:p>
            <w:pPr>
              <w:pStyle w:val="TableContents"/>
              <w:bidi w:val="0"/>
              <w:spacing w:before="0" w:after="283"/>
              <w:jc w:val="left"/>
              <w:rPr>
                <w:sz w:val="20"/>
              </w:rPr>
            </w:pPr>
            <w:r>
              <w:rPr>
                <w:rFonts w:ascii="Times New Roman;Times;Serif" w:hAnsi="Times New Roman;Times;Serif"/>
                <w:sz w:val="20"/>
              </w:rPr>
              <w:t>*Signature Guaranteed:</w:t>
            </w:r>
            <w:r>
              <w:rPr>
                <w:sz w:val="20"/>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it appears upon the face of the within Note in every particular, without alteration, enlargement or any change whatever. Such signature must be guaranteed by an “eligible guarantor institution” meeting the requirements of the Security Registrar, which requirements include membership or participation in Security Transfer Agents Medallion Program (“STAMP”) or such other “signature guarantee program” as may be determined by the Security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A-2-11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]4.650% Senior Notes due 2030</w:t>
      </w:r>
    </w:p>
    <w:p>
      <w:pPr>
        <w:pStyle w:val="TextBody"/>
        <w:bidi w:val="0"/>
        <w:spacing w:before="0" w:after="0"/>
        <w:ind w:left="0" w:right="0" w:hanging="0"/>
        <w:jc w:val="left"/>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590"/>
        <w:gridCol w:w="335"/>
      </w:tblGrid>
      <w:tr>
        <w:trPr/>
        <w:tc>
          <w:tcPr>
            <w:tcW w:w="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 </w:t>
            </w:r>
          </w:p>
        </w:tc>
        <w:tc>
          <w:tcPr>
            <w:tcW w:w="3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00287Y EM7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No: US00287YEM75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Security in a global form within the meaning of the Indenture hereinafter referred to and is registered in the name of the Depository or a nominee of the Depository. This global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 a corporation duly organized and existing under the laws of Delaware (herein called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March 15, 2030 and to pay interest thereon from August 18, 2026 or from the most recent Interest Payment Date to which interest has been paid or duly provided for, semi-annually in arrears on March 15 and September 15 in each year, commencing March 15, 2027, at the rate of 4.650%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1430" w:type="dxa"/>
        <w:jc w:val="left"/>
        <w:tblInd w:w="0" w:type="dxa"/>
        <w:tblLayout w:type="fixed"/>
        <w:tblCellMar>
          <w:top w:w="0" w:type="dxa"/>
          <w:left w:w="0" w:type="dxa"/>
          <w:bottom w:w="0" w:type="dxa"/>
          <w:right w:w="0" w:type="dxa"/>
        </w:tblCellMar>
      </w:tblPr>
      <w:tblGrid>
        <w:gridCol w:w="75"/>
        <w:gridCol w:w="320"/>
        <w:gridCol w:w="1035"/>
      </w:tblGrid>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r>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666"/>
        <w:gridCol w:w="1135"/>
        <w:gridCol w:w="3228"/>
      </w:tblGrid>
      <w:tr>
        <w:trPr/>
        <w:tc>
          <w:tcPr>
            <w:tcW w:w="75" w:type="dxa"/>
            <w:tcBorders/>
            <w:vAlign w:val="center"/>
          </w:tcPr>
          <w:p>
            <w:pPr>
              <w:pStyle w:val="TableContents"/>
              <w:bidi w:val="0"/>
              <w:spacing w:before="0" w:after="283"/>
              <w:ind w:left="0" w:right="0" w:hanging="180"/>
              <w:jc w:val="left"/>
              <w:rPr/>
            </w:pPr>
            <w:r>
              <w:rPr/>
              <w:t> </w:t>
            </w:r>
          </w:p>
        </w:tc>
        <w:tc>
          <w:tcPr>
            <w:tcW w:w="502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as Trustee</w:t>
            </w:r>
          </w:p>
        </w:tc>
      </w:tr>
      <w:tr>
        <w:trPr/>
        <w:tc>
          <w:tcPr>
            <w:tcW w:w="75" w:type="dxa"/>
            <w:tcBorders/>
            <w:vAlign w:val="center"/>
          </w:tcPr>
          <w:p>
            <w:pPr>
              <w:pStyle w:val="TableContents"/>
              <w:bidi w:val="0"/>
              <w:spacing w:before="0" w:after="283"/>
              <w:jc w:val="left"/>
              <w:rPr/>
            </w:pPr>
            <w:r>
              <w:rPr/>
              <w:t> </w:t>
            </w:r>
          </w:p>
        </w:tc>
        <w:tc>
          <w:tcPr>
            <w:tcW w:w="502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63"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2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center"/>
              <w:rPr>
                <w:caps w:val="false"/>
                <w:smallCaps w:val="false"/>
              </w:rPr>
            </w:pPr>
            <w:r>
              <w:rPr>
                <w:caps w:val="false"/>
                <w:smallCaps w:val="false"/>
              </w:rPr>
              <w:t> </w:t>
            </w:r>
          </w:p>
        </w:tc>
        <w:tc>
          <w:tcPr>
            <w:tcW w:w="1135" w:type="dxa"/>
            <w:tcBorders/>
            <w:vAlign w:val="center"/>
          </w:tcPr>
          <w:p>
            <w:pPr>
              <w:pStyle w:val="TableContents"/>
              <w:bidi w:val="0"/>
              <w:spacing w:before="0" w:after="283"/>
              <w:jc w:val="center"/>
              <w:rPr>
                <w:caps w:val="false"/>
                <w:smallCaps w:val="false"/>
              </w:rPr>
            </w:pPr>
            <w:r>
              <w:rPr>
                <w:caps w:val="false"/>
                <w:smallCaps w:val="false"/>
              </w:rPr>
              <w:t> </w:t>
            </w:r>
          </w:p>
        </w:tc>
        <w:tc>
          <w:tcPr>
            <w:tcW w:w="3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issued and to be issued in one or more series under an Indenture, dated as of November 8, 2012, as it may be supplemented or amended from time to time (herein called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and U.S. Bank Trust Company, National Association, as successor-in-interest to U.S. Bank National Association, as trustee (herein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which term includes any successor trustee under the Indenture), and Supplemental Indenture No. 13, dated as of August 18, 2026 (herein called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between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$1,250,000,000.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Par Call Date (as defined below), the Company may redeem the Securities of this series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such Securities matured on the Par Call Date) on a semi-annual basis (assuming a 360-day year consisting of twelve 30-day months) at the Treasury Rate plus 10 basis points, less (b)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Securities of this series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Securities of this series, in whole or in part, at any time and from time to time, at a Redemption Price equal to 100% of the principal amount of the Securities of this series being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February 15, 2030 (the date that is one (1) month prior to the maturity date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for Securities of this series, the yield applicable to this series of Securities determined by the Company in accordance with the following two paragraphs. The Treasury Rate applicable to this series of Securities shall be determined by the Company after 4:15 p.m., New York City time (or after such time as yields on U.S. government securities are posted daily by the Board of Governors of the Federal Reserve System), on the third New York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applicable Treasury Rate, the Company shall select, as applicable: (1) the yield for the Treasury constant maturity on H.15 exactly equal to the period from such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New York Business Day preceding such Redemption Date, H.15 TCM is no longer published, the Company shall calculate the applicable Treasury Rate based on the rate per annum equal to the semi-annual equivalent yield to maturity at 11:00 a.m., New York City time, on the second New York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applicable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Securities of this series of a principal amount of $2,000 or less will be redeemed in part. For so long as the Securities are held by The Depository Trust Company (or another depositary), the redemption of the Securities shall be done in accordance with the policies and procedures of the applicable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Business Day</w:t>
      </w:r>
      <w:r>
        <w:rPr>
          <w:rFonts w:ascii="Times New Roman;Times;Serif" w:hAnsi="Times New Roman;Times;Serif"/>
          <w:b w:val="false"/>
          <w:i w:val="false"/>
          <w:caps w:val="false"/>
          <w:smallCaps w:val="false"/>
          <w:sz w:val="20"/>
        </w:rPr>
        <w:t>” means any calendar day that is not a Saturday, Sunday or legal holiday in New York, New York and on which commercial banks are open for business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 publicly announces that the Acquisition Agreement (as defined below) has been terminated prior to the consummation of the Specified Acquisition (as defined below), or (ii) notifies the Trustee in writing that it will not pursue the consummation of the Specified Acquisition (the earliest date of any such announcement or notification, the “</w:t>
      </w:r>
      <w:r>
        <w:rPr>
          <w:rFonts w:ascii="Times New Roman;Times;Serif" w:hAnsi="Times New Roman;Times;Serif"/>
          <w:b w:val="false"/>
          <w:i w:val="false"/>
          <w:caps w:val="false"/>
          <w:smallCaps w:val="false"/>
          <w:sz w:val="20"/>
          <w:u w:val="single"/>
        </w:rPr>
        <w:t>Special Mandatory Redemption Trigger Date</w:t>
      </w:r>
      <w:r>
        <w:rPr>
          <w:rFonts w:ascii="Times New Roman;Times;Serif" w:hAnsi="Times New Roman;Times;Serif"/>
          <w:b w:val="false"/>
          <w:i w:val="false"/>
          <w:caps w:val="false"/>
          <w:smallCaps w:val="false"/>
          <w:sz w:val="20"/>
        </w:rPr>
        <w:t>”), the Company shall redeem all and not less than all of the Securities of this series then Outstanding (such redemption, the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by a date no later than ten (10) Business Days after the Special Mandatory Redemption Trigger Date (the “</w:t>
      </w:r>
      <w:r>
        <w:rPr>
          <w:rFonts w:ascii="Times New Roman;Times;Serif" w:hAnsi="Times New Roman;Times;Serif"/>
          <w:b w:val="false"/>
          <w:i w:val="false"/>
          <w:caps w:val="false"/>
          <w:smallCaps w:val="false"/>
          <w:sz w:val="20"/>
          <w:u w:val="single"/>
        </w:rPr>
        <w:t>Special Mandatory Redemption End Date</w:t>
      </w:r>
      <w:r>
        <w:rPr>
          <w:rFonts w:ascii="Times New Roman;Times;Serif" w:hAnsi="Times New Roman;Times;Serif"/>
          <w:b w:val="false"/>
          <w:i w:val="false"/>
          <w:caps w:val="false"/>
          <w:smallCaps w:val="false"/>
          <w:sz w:val="20"/>
        </w:rPr>
        <w:t>”) at a redemption price equal to 101% of the principal amount of the Securities of this series to be redeemed plus accrued and unpaid interest thereon to, but excluding, the Special Mandatory Redemption Date (the “</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becomes obligated to redeem the Securities of this series pursuant to the foregoing paragraph, the Company shall promptly, and in any event not more than five (5) Business Days after the Special Mandatory Redemption Trigger Date, deliver notice to the Trustee of the Special Mandatory Redemption and the date upon which the Securities of this series shall be redeemed (the “</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which shall be no later than the Special Mandatory Redemption End Date. The Trustee shall then promptly, and in any event not more than one (1) Business Day after receipt of such notice, deliver notice of the Special Mandatory Redemption and the Special Mandatory Redemption Date to each Holder of the Securities of this series at its registered address. Unless the Company defaults in payment of the Special Mandatory Redemption Price, on and after such Special Mandatory Redemption Date, interest shall cease to accrue on the Securities of this series and the Indenture shall be discharged and cease to be of further effect as to all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Special Mandatory Redemption Date shall be payable on such Interest Payment Dates to the registered Holders as of the close of business on the relevant record dates in accordance with the Securities of this series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Agreement</w:t>
      </w:r>
      <w:r>
        <w:rPr>
          <w:rFonts w:ascii="Times New Roman;Times;Serif" w:hAnsi="Times New Roman;Times;Serif"/>
          <w:b w:val="false"/>
          <w:i w:val="false"/>
          <w:caps w:val="false"/>
          <w:smallCaps w:val="false"/>
          <w:sz w:val="20"/>
        </w:rPr>
        <w:t>” means the definitive agreement of the Company providing for the Specified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Acquisition</w:t>
      </w:r>
      <w:r>
        <w:rPr>
          <w:rFonts w:ascii="Times New Roman;Times;Serif" w:hAnsi="Times New Roman;Times;Serif"/>
          <w:b w:val="false"/>
          <w:i w:val="false"/>
          <w:caps w:val="false"/>
          <w:smallCaps w:val="false"/>
          <w:sz w:val="20"/>
        </w:rPr>
        <w:t>” means the acquisition of Apogee Therapeutics, Inc.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do not provide for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 Sections 13.2 and 13.3 of the Indenture apply to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and Supplemental Indenture shall have the meanings assigned to them in the Indenture and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TO BE DELIVERED UPON EXCHANGE</w:t>
        <w:br/>
        <w:t>OR REGISTRATION OF TRANSFER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relates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Securities held in (check applicable space)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book-entry 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definitive form by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(check one box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exchange or register the transfer of a Security or Securities.</w:t>
            </w:r>
          </w:p>
        </w:tc>
      </w:tr>
    </w:tbl>
    <w:p>
      <w:pPr>
        <w:pStyle w:val="TextBody"/>
        <w:bidi w:val="0"/>
        <w:spacing w:before="0" w:after="0"/>
        <w:ind w:left="0" w:right="0" w:hanging="0"/>
        <w:jc w:val="left"/>
        <w:rPr>
          <w:caps w:val="false"/>
          <w:smallCaps w:val="false"/>
        </w:rPr>
      </w:pPr>
      <w:r>
        <w:rPr>
          <w:caps w:val="false"/>
          <w:smallCaps w:val="false"/>
        </w:rPr>
        <w:t> </w:t>
      </w:r>
    </w:p>
    <w:tbl>
      <w:tblPr>
        <w:tblW w:w="3669" w:type="dxa"/>
        <w:jc w:val="left"/>
        <w:tblInd w:w="0" w:type="dxa"/>
        <w:tblLayout w:type="fixed"/>
        <w:tblCellMar>
          <w:top w:w="0" w:type="dxa"/>
          <w:left w:w="0" w:type="dxa"/>
          <w:bottom w:w="0" w:type="dxa"/>
          <w:right w:w="0" w:type="dxa"/>
        </w:tblCellMar>
      </w:tblPr>
      <w:tblGrid>
        <w:gridCol w:w="471"/>
        <w:gridCol w:w="103"/>
        <w:gridCol w:w="60"/>
        <w:gridCol w:w="3035"/>
      </w:tblGrid>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NAME OF TRANSFEROR]</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ind w:left="0" w:right="0" w:hanging="720"/>
              <w:jc w:val="left"/>
              <w:rPr/>
            </w:pPr>
            <w:r>
              <w:rPr/>
              <w:t> </w:t>
            </w:r>
          </w:p>
        </w:tc>
      </w:tr>
      <w:tr>
        <w:trPr/>
        <w:tc>
          <w:tcPr>
            <w:tcW w:w="4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redemptions or purchases of a part of this Book-Entry Security have been made:</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28" w:type="dxa"/>
          <w:right w:w="0" w:type="dxa"/>
        </w:tblCellMar>
      </w:tblPr>
      <w:tblGrid>
        <w:gridCol w:w="1115"/>
        <w:gridCol w:w="60"/>
        <w:gridCol w:w="1580"/>
        <w:gridCol w:w="60"/>
        <w:gridCol w:w="1535"/>
        <w:gridCol w:w="60"/>
        <w:gridCol w:w="1580"/>
        <w:gridCol w:w="60"/>
        <w:gridCol w:w="1070"/>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br/>
              <w:t>Redemption/</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Principal Amount</w:t>
              <w:br/>
              <w:t>of this Book-Entry</w:t>
              <w:br/>
              <w:t>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increase in</w:t>
              <w:br/>
              <w:t>Principal Amount</w:t>
              <w:br/>
              <w:t>of this Book-</w:t>
              <w:br/>
              <w:t>Entry 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 this Book-Entry</w:t>
              <w:br/>
              <w:t>Security following</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w:t>
              <w:br/>
              <w:t>signatory of</w:t>
              <w:br/>
              <w:t>Trustee</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A-3-10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Security,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 or type assignee’s name, address and zip code)</w:t>
            </w:r>
          </w:p>
        </w:tc>
      </w:tr>
      <w:tr>
        <w:trPr/>
        <w:tc>
          <w:tcPr>
            <w:tcW w:w="4295" w:type="dxa"/>
            <w:tcBorders/>
            <w:tcMar>
              <w:bottom w:w="0" w:type="dxa"/>
            </w:tcMar>
            <w:vAlign w:val="center"/>
          </w:tcPr>
          <w:p>
            <w:pPr>
              <w:pStyle w:val="TableContents"/>
              <w:bidi w:val="0"/>
              <w:spacing w:before="0" w:after="283"/>
              <w:jc w:val="center"/>
              <w:rPr/>
            </w:pPr>
            <w:r>
              <w:rPr/>
              <w:t> </w:t>
            </w:r>
          </w:p>
        </w:tc>
      </w:tr>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assignee’s soc. sec. or tax I.D.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irrevocably appoint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as agent to transfer this Security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1535" w:type="dxa"/>
        <w:jc w:val="left"/>
        <w:tblInd w:w="0" w:type="dxa"/>
        <w:tblLayout w:type="fixed"/>
        <w:tblCellMar>
          <w:top w:w="0" w:type="dxa"/>
          <w:left w:w="0" w:type="dxa"/>
          <w:bottom w:w="0" w:type="dxa"/>
          <w:right w:w="0" w:type="dxa"/>
        </w:tblCellMar>
      </w:tblPr>
      <w:tblGrid>
        <w:gridCol w:w="560"/>
        <w:gridCol w:w="90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 Signature*: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Security.</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2045"/>
        <w:gridCol w:w="60"/>
        <w:gridCol w:w="75"/>
      </w:tblGrid>
      <w:tr>
        <w:trPr/>
        <w:tc>
          <w:tcPr>
            <w:tcW w:w="2045" w:type="dxa"/>
            <w:tcBorders/>
            <w:vAlign w:val="center"/>
          </w:tcPr>
          <w:p>
            <w:pPr>
              <w:pStyle w:val="TableContents"/>
              <w:bidi w:val="0"/>
              <w:spacing w:before="0" w:after="283"/>
              <w:jc w:val="left"/>
              <w:rPr>
                <w:sz w:val="20"/>
              </w:rPr>
            </w:pPr>
            <w:r>
              <w:rPr>
                <w:rFonts w:ascii="Times New Roman;Times;Serif" w:hAnsi="Times New Roman;Times;Serif"/>
                <w:sz w:val="20"/>
              </w:rPr>
              <w:t>*Signature Guaranteed:</w:t>
            </w:r>
            <w:r>
              <w:rPr>
                <w:sz w:val="20"/>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it appears upon the face of the within Note in every particular, without alteration, enlargement or any change whatever. Such signature must be guaranteed by an “eligible guarantor institution” meeting the requirements of the Security Registrar, which requirements include membership or participation in Security Transfer Agents Medallion Program (“STAMP”) or such other “signature guarantee program” as may be determined by the Security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A-3-11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]4.875% Senior Notes due 2031</w:t>
      </w:r>
    </w:p>
    <w:p>
      <w:pPr>
        <w:pStyle w:val="TextBody"/>
        <w:bidi w:val="0"/>
        <w:spacing w:before="0" w:after="0"/>
        <w:ind w:left="0" w:right="0" w:hanging="0"/>
        <w:jc w:val="left"/>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590"/>
        <w:gridCol w:w="335"/>
      </w:tblGrid>
      <w:tr>
        <w:trPr/>
        <w:tc>
          <w:tcPr>
            <w:tcW w:w="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 </w:t>
            </w:r>
          </w:p>
        </w:tc>
        <w:tc>
          <w:tcPr>
            <w:tcW w:w="3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00287Y EN5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No: US00287YEN58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Security in a global form within the meaning of the Indenture hereinafter referred to and is registered in the name of the Depository or a nominee of the Depository. This global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 a corporation duly organized and existing under the laws of Delaware (herein called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September 15, 2031 and to pay interest thereon from August 18, 2026 or from the most recent Interest Payment Date to which interest has been paid or duly provided for, semi-annually in arrears on March 15 and September 15 in each year, commencing March 15, 2027, at the rate of 4.875%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1430" w:type="dxa"/>
        <w:jc w:val="left"/>
        <w:tblInd w:w="0" w:type="dxa"/>
        <w:tblLayout w:type="fixed"/>
        <w:tblCellMar>
          <w:top w:w="0" w:type="dxa"/>
          <w:left w:w="0" w:type="dxa"/>
          <w:bottom w:w="0" w:type="dxa"/>
          <w:right w:w="0" w:type="dxa"/>
        </w:tblCellMar>
      </w:tblPr>
      <w:tblGrid>
        <w:gridCol w:w="75"/>
        <w:gridCol w:w="320"/>
        <w:gridCol w:w="1035"/>
      </w:tblGrid>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r>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938"/>
        <w:gridCol w:w="4091"/>
      </w:tblGrid>
      <w:tr>
        <w:trPr/>
        <w:tc>
          <w:tcPr>
            <w:tcW w:w="75" w:type="dxa"/>
            <w:tcBorders/>
            <w:vAlign w:val="center"/>
          </w:tcPr>
          <w:p>
            <w:pPr>
              <w:pStyle w:val="TableContents"/>
              <w:bidi w:val="0"/>
              <w:spacing w:before="0" w:after="283"/>
              <w:ind w:left="0" w:right="0" w:hanging="180"/>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as Trustee</w:t>
            </w:r>
          </w:p>
        </w:tc>
      </w:tr>
      <w:tr>
        <w:trPr/>
        <w:tc>
          <w:tcPr>
            <w:tcW w:w="75"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9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caps w:val="false"/>
                <w:smallCaps w:val="false"/>
              </w:rPr>
            </w:pPr>
            <w:r>
              <w:rPr>
                <w:caps w:val="false"/>
                <w:smallCaps w:val="false"/>
              </w:rPr>
              <w:t> </w:t>
            </w:r>
          </w:p>
        </w:tc>
        <w:tc>
          <w:tcPr>
            <w:tcW w:w="40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caps w:val="false"/>
                <w:smallCaps w:val="false"/>
              </w:rPr>
            </w:pPr>
            <w:r>
              <w:rPr>
                <w:caps w:val="false"/>
                <w:smallCaps w:val="false"/>
              </w:rPr>
              <w:t> </w:t>
            </w:r>
          </w:p>
        </w:tc>
        <w:tc>
          <w:tcPr>
            <w:tcW w:w="40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issued and to be issued in one or more series under an Indenture, dated as of November 8, 2012, as it may be supplemented or amended from time to time (herein called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and U.S. Bank Trust Company, National Association, as successor-in-interest to U.S. Bank National Association, as trustee (herein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which term includes any successor trustee under the Indenture), and Supplemental Indenture No. 13, dated as of August 18, 2026 (herein called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between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$1,500,000,000.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Par Call Date (as defined below), the Company may redeem the Securities of this series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such Securities matured on the Par Call Date) on a semi-annual basis (assuming a 360-day year consisting of twelve 30-day months) at the Treasury Rate plus 10 basis points, less (b)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Securities of this series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Securities of this series, in whole or in part, at any time and from time to time, at a Redemption Price equal to 100% of the principal amount of the Securities of this series being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August 15, 2031 (the date that is one (1) month prior to the maturity date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for Securities of this series, the yield applicable to this series of Securities determined by the Company in accordance with the following two paragraphs. The Treasury Rate applicable to this series of Securities shall be determined by the Company after 4:15 p.m., New York City time (or after such time as yields on U.S. government securities are posted daily by the Board of Governors of the Federal Reserve System), on the third New York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applicable Treasury Rate, the Company shall select, as applicable: (1) the yield for the Treasury constant maturity on H.15 exactly equal to the period from such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New York Business Day preceding such Redemption Date, H.15 TCM is no longer published, the Company shall calculate the applicable Treasury Rate based on the rate per annum equal to the semi-annual equivalent yield to maturity at 11:00 a.m., New York City time, on the second New York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applicable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Securities of this series of a principal amount of $2,000 or less will be redeemed in part. For so long as the Securities are held by The Depository Trust Company (or another depositary), the redemption of the Securities shall be done in accordance with the policies and procedures of the applicable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Business Day</w:t>
      </w:r>
      <w:r>
        <w:rPr>
          <w:rFonts w:ascii="Times New Roman;Times;Serif" w:hAnsi="Times New Roman;Times;Serif"/>
          <w:b w:val="false"/>
          <w:i w:val="false"/>
          <w:caps w:val="false"/>
          <w:smallCaps w:val="false"/>
          <w:sz w:val="20"/>
        </w:rPr>
        <w:t>” means any calendar day that is not a Saturday, Sunday or legal holiday in New York, New York and on which commercial banks are open for business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 publicly announces that the Acquisition Agreement (as defined below) has been terminated prior to the consummation of the Specified Acquisition (as defined below), or (ii) notifies the Trustee in writing that it will not pursue the consummation of the Specified Acquisition (the earliest date of any such announcement or notification, the “</w:t>
      </w:r>
      <w:r>
        <w:rPr>
          <w:rFonts w:ascii="Times New Roman;Times;Serif" w:hAnsi="Times New Roman;Times;Serif"/>
          <w:b w:val="false"/>
          <w:i w:val="false"/>
          <w:caps w:val="false"/>
          <w:smallCaps w:val="false"/>
          <w:sz w:val="20"/>
          <w:u w:val="single"/>
        </w:rPr>
        <w:t>Special Mandatory Redemption Trigger Date</w:t>
      </w:r>
      <w:r>
        <w:rPr>
          <w:rFonts w:ascii="Times New Roman;Times;Serif" w:hAnsi="Times New Roman;Times;Serif"/>
          <w:b w:val="false"/>
          <w:i w:val="false"/>
          <w:caps w:val="false"/>
          <w:smallCaps w:val="false"/>
          <w:sz w:val="20"/>
        </w:rPr>
        <w:t>”), the Company shall redeem all and not less than all of the Securities of this series then Outstanding (such redemption, the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by a date no later than ten (10) Business Days after the Special Mandatory Redemption Trigger Date (the “</w:t>
      </w:r>
      <w:r>
        <w:rPr>
          <w:rFonts w:ascii="Times New Roman;Times;Serif" w:hAnsi="Times New Roman;Times;Serif"/>
          <w:b w:val="false"/>
          <w:i w:val="false"/>
          <w:caps w:val="false"/>
          <w:smallCaps w:val="false"/>
          <w:sz w:val="20"/>
          <w:u w:val="single"/>
        </w:rPr>
        <w:t>Special Mandatory Redemption End Date</w:t>
      </w:r>
      <w:r>
        <w:rPr>
          <w:rFonts w:ascii="Times New Roman;Times;Serif" w:hAnsi="Times New Roman;Times;Serif"/>
          <w:b w:val="false"/>
          <w:i w:val="false"/>
          <w:caps w:val="false"/>
          <w:smallCaps w:val="false"/>
          <w:sz w:val="20"/>
        </w:rPr>
        <w:t>”) at a redemption price equal to 101% of the principal amount of the Securities of this series to be redeemed plus accrued and unpaid interest thereon to, but excluding, the Special Mandatory Redemption Date (the “</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becomes obligated to redeem the Securities of this series pursuant to the foregoing paragraph, the Company shall promptly, and in any event not more than five (5) Business Days after the Special Mandatory Redemption Trigger Date, deliver notice to the Trustee of the Special Mandatory Redemption and the date upon which the Securities of this series shall be redeemed (the “</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which shall be no later than the Special Mandatory Redemption End Date. The Trustee shall then promptly, and in any event not more than one (1) Business Day after receipt of such notice, deliver notice of the Special Mandatory Redemption and the Special Mandatory Redemption Date to each Holder of the Securities of this series at its registered address. Unless the Company defaults in payment of the Special Mandatory Redemption Price, on and after such Special Mandatory Redemption Date, interest shall cease to accrue on the Securities of this series and the Indenture shall be discharged and cease to be of further effect as to all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Special Mandatory Redemption Date shall be payable on such Interest Payment Dates to the registered Holders as of the close of business on the relevant record dates in accordance with the Securities of this series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Agreement</w:t>
      </w:r>
      <w:r>
        <w:rPr>
          <w:rFonts w:ascii="Times New Roman;Times;Serif" w:hAnsi="Times New Roman;Times;Serif"/>
          <w:b w:val="false"/>
          <w:i w:val="false"/>
          <w:caps w:val="false"/>
          <w:smallCaps w:val="false"/>
          <w:sz w:val="20"/>
        </w:rPr>
        <w:t>” means the definitive agreement of the Company providing for the Specified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Acquisition</w:t>
      </w:r>
      <w:r>
        <w:rPr>
          <w:rFonts w:ascii="Times New Roman;Times;Serif" w:hAnsi="Times New Roman;Times;Serif"/>
          <w:b w:val="false"/>
          <w:i w:val="false"/>
          <w:caps w:val="false"/>
          <w:smallCaps w:val="false"/>
          <w:sz w:val="20"/>
        </w:rPr>
        <w:t>” means the acquisition of Apogee Therapeutics, Inc.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do not provide for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 Sections 13.2 and 13.3 of the Indenture apply to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and Supplemental Indenture shall have the meanings assigned to them in the Indenture and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TO BE DELIVERED UPON EXCHANGE</w:t>
        <w:br/>
        <w:t>OR REGISTRATION OF TRANSFER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relates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Securities held in (check applicable space)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book-entry 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definitive form by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(check one box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exchange or register the transfer of a Security or Securities.</w:t>
            </w:r>
          </w:p>
        </w:tc>
      </w:tr>
    </w:tbl>
    <w:p>
      <w:pPr>
        <w:pStyle w:val="TextBody"/>
        <w:bidi w:val="0"/>
        <w:spacing w:before="0" w:after="0"/>
        <w:ind w:left="0" w:right="0" w:hanging="0"/>
        <w:jc w:val="left"/>
        <w:rPr>
          <w:caps w:val="false"/>
          <w:smallCaps w:val="false"/>
        </w:rPr>
      </w:pPr>
      <w:r>
        <w:rPr>
          <w:caps w:val="false"/>
          <w:smallCaps w:val="false"/>
        </w:rPr>
        <w:t> </w:t>
      </w:r>
    </w:p>
    <w:tbl>
      <w:tblPr>
        <w:tblW w:w="3669" w:type="dxa"/>
        <w:jc w:val="left"/>
        <w:tblInd w:w="0" w:type="dxa"/>
        <w:tblLayout w:type="fixed"/>
        <w:tblCellMar>
          <w:top w:w="0" w:type="dxa"/>
          <w:left w:w="0" w:type="dxa"/>
          <w:bottom w:w="0" w:type="dxa"/>
          <w:right w:w="0" w:type="dxa"/>
        </w:tblCellMar>
      </w:tblPr>
      <w:tblGrid>
        <w:gridCol w:w="530"/>
        <w:gridCol w:w="44"/>
        <w:gridCol w:w="60"/>
        <w:gridCol w:w="3035"/>
      </w:tblGrid>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NAME OF TRANSFEROR]</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By:</w:t>
            </w:r>
          </w:p>
        </w:tc>
        <w:tc>
          <w:tcPr>
            <w:tcW w:w="4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redemptions or purchases of a part of this Book-Entry Security have been made:</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28" w:type="dxa"/>
          <w:right w:w="0" w:type="dxa"/>
        </w:tblCellMar>
      </w:tblPr>
      <w:tblGrid>
        <w:gridCol w:w="1115"/>
        <w:gridCol w:w="60"/>
        <w:gridCol w:w="1580"/>
        <w:gridCol w:w="60"/>
        <w:gridCol w:w="1535"/>
        <w:gridCol w:w="60"/>
        <w:gridCol w:w="1580"/>
        <w:gridCol w:w="60"/>
        <w:gridCol w:w="1070"/>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br/>
              <w:t>Redemption/</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Principal Amount</w:t>
              <w:br/>
              <w:t>of this Book-Entry</w:t>
              <w:br/>
              <w:t>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increase in</w:t>
              <w:br/>
              <w:t>Principal Amount</w:t>
              <w:br/>
              <w:t>of this Book-</w:t>
              <w:br/>
              <w:t>Entry 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 this Book-Entry</w:t>
              <w:br/>
              <w:t>Security following</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w:t>
              <w:br/>
              <w:t>signatory of</w:t>
              <w:br/>
              <w:t>Trustee</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A-4-10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Security,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 or type assignee’s name, address and zip code)</w:t>
            </w:r>
          </w:p>
        </w:tc>
      </w:tr>
      <w:tr>
        <w:trPr/>
        <w:tc>
          <w:tcPr>
            <w:tcW w:w="4295" w:type="dxa"/>
            <w:tcBorders/>
            <w:tcMar>
              <w:bottom w:w="0" w:type="dxa"/>
            </w:tcMar>
            <w:vAlign w:val="center"/>
          </w:tcPr>
          <w:p>
            <w:pPr>
              <w:pStyle w:val="TableContents"/>
              <w:bidi w:val="0"/>
              <w:spacing w:before="0" w:after="283"/>
              <w:jc w:val="center"/>
              <w:rPr/>
            </w:pPr>
            <w:r>
              <w:rPr/>
              <w:t> </w:t>
            </w:r>
          </w:p>
        </w:tc>
      </w:tr>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assignee’s soc. sec. or tax I.D.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irrevocably appoint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as agent to transfer this Security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1535" w:type="dxa"/>
        <w:jc w:val="left"/>
        <w:tblInd w:w="0" w:type="dxa"/>
        <w:tblLayout w:type="fixed"/>
        <w:tblCellMar>
          <w:top w:w="0" w:type="dxa"/>
          <w:left w:w="0" w:type="dxa"/>
          <w:bottom w:w="0" w:type="dxa"/>
          <w:right w:w="0" w:type="dxa"/>
        </w:tblCellMar>
      </w:tblPr>
      <w:tblGrid>
        <w:gridCol w:w="560"/>
        <w:gridCol w:w="90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 Signature*: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Security.</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2045"/>
        <w:gridCol w:w="60"/>
        <w:gridCol w:w="75"/>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Guaranteed: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it appears upon the face of the within Note in every particular, without alteration, enlargement or any change whatever. Such signature must be guaranteed by an “eligible guarantor institution” meeting the requirements of the Security Registrar, which requirements include membership or participation in Security Transfer Agents Medallion Program (“STAMP”) or such other “signature guarantee program” as may be determined by the Security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A-4-11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]5.050% Senior Notes due 2033</w:t>
      </w:r>
    </w:p>
    <w:p>
      <w:pPr>
        <w:pStyle w:val="TextBody"/>
        <w:bidi w:val="0"/>
        <w:spacing w:before="0" w:after="0"/>
        <w:ind w:left="0" w:right="0" w:hanging="0"/>
        <w:jc w:val="left"/>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590"/>
        <w:gridCol w:w="335"/>
      </w:tblGrid>
      <w:tr>
        <w:trPr/>
        <w:tc>
          <w:tcPr>
            <w:tcW w:w="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 </w:t>
            </w:r>
          </w:p>
        </w:tc>
        <w:tc>
          <w:tcPr>
            <w:tcW w:w="3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00287Y EP0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No: US00287YEP07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Security in a global form within the meaning of the Indenture hereinafter referred to and is registered in the name of the Depository or a nominee of the Depository. This global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 a corporation duly organized and existing under the laws of Delaware (herein called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September 15, 2033 and to pay interest thereon from August 18, 2026 or from the most recent Interest Payment Date to which interest has been paid or duly provided for, semi-annually in arrears on March 15 and September 15 in each year, commencing March 15, 2027, at the rate of 5.050%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A-5-1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A-5-2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1430" w:type="dxa"/>
        <w:jc w:val="left"/>
        <w:tblInd w:w="0" w:type="dxa"/>
        <w:tblLayout w:type="fixed"/>
        <w:tblCellMar>
          <w:top w:w="0" w:type="dxa"/>
          <w:left w:w="0" w:type="dxa"/>
          <w:bottom w:w="0" w:type="dxa"/>
          <w:right w:w="0" w:type="dxa"/>
        </w:tblCellMar>
      </w:tblPr>
      <w:tblGrid>
        <w:gridCol w:w="75"/>
        <w:gridCol w:w="320"/>
        <w:gridCol w:w="1035"/>
      </w:tblGrid>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r>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A-5-3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906"/>
        <w:gridCol w:w="4123"/>
      </w:tblGrid>
      <w:tr>
        <w:trPr/>
        <w:tc>
          <w:tcPr>
            <w:tcW w:w="75" w:type="dxa"/>
            <w:tcBorders/>
            <w:vAlign w:val="center"/>
          </w:tcPr>
          <w:p>
            <w:pPr>
              <w:pStyle w:val="TableContents"/>
              <w:bidi w:val="0"/>
              <w:spacing w:before="0" w:after="283"/>
              <w:ind w:left="0" w:right="0" w:hanging="180"/>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as Trustee</w:t>
            </w:r>
          </w:p>
        </w:tc>
      </w:tr>
      <w:tr>
        <w:trPr/>
        <w:tc>
          <w:tcPr>
            <w:tcW w:w="75"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2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caps w:val="false"/>
                <w:smallCaps w:val="false"/>
              </w:rPr>
            </w:pPr>
            <w:r>
              <w:rPr>
                <w:caps w:val="false"/>
                <w:smallCaps w:val="false"/>
              </w:rPr>
              <w:t> </w:t>
            </w:r>
          </w:p>
        </w:tc>
        <w:tc>
          <w:tcPr>
            <w:tcW w:w="4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caps w:val="false"/>
                <w:smallCaps w:val="false"/>
              </w:rPr>
            </w:pPr>
            <w:r>
              <w:rPr>
                <w:caps w:val="false"/>
                <w:smallCaps w:val="false"/>
              </w:rPr>
              <w:t> </w:t>
            </w:r>
          </w:p>
        </w:tc>
        <w:tc>
          <w:tcPr>
            <w:tcW w:w="4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A-5-4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issued and to be issued in one or more series under an Indenture, dated as of November 8, 2012, as it may be supplemented or amended from time to time (herein called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and U.S. Bank Trust Company, National Association, as successor-in-interest to U.S. Bank National Association, as trustee (herein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which term includes any successor trustee under the Indenture), and Supplemental Indenture No. 13, dated as of August 18, 2026 (herein called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between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$1,250,000,000.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Par Call Date (as defined below), the Company may redeem the Securities of this series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such Securities matured on the Par Call Date) on a semi-annual basis (assuming a 360-day year consisting of twelve 30-day months) at the Treasury Rate plus 10 basis points, less (b)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Securities of this series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Securities of this series, in whole or in part, at any time and from time to time, at a Redemption Price equal to 100% of the principal amount of the Securities of this series being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July 15, 2033 (the date that is two (2) months prior to the maturity date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for Securities of this series, the yield applicable to this series of Securities determined by the Company in accordance with the following two paragraphs. The Treasury Rate applicable to this series of Securities shall be determined by the Company after 4:15 p.m., New York City time (or after such time as yields on U.S. government securities are posted daily by the Board of Governors of the Federal Reserve System), on the third New York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applicable Treasury Rate, the Company shall select, as applicable: (1) the yield for the Treasury constant maturity on H.15 exactly equal to the period from such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A-5-5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New York Business Day preceding such Redemption Date, H.15 TCM is no longer published, the Company shall calculate the applicable Treasury Rate based on the rate per annum equal to the semi-annual equivalent yield to maturity at 11:00 a.m., New York City time, on the second New York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applicable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Securities of this series of a principal amount of $2,000 or less will be redeemed in part. For so long as the Securities are held by The Depository Trust Company (or another depositary), the redemption of the Securities shall be done in accordance with the policies and procedures of the applicable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Business Day</w:t>
      </w:r>
      <w:r>
        <w:rPr>
          <w:rFonts w:ascii="Times New Roman;Times;Serif" w:hAnsi="Times New Roman;Times;Serif"/>
          <w:b w:val="false"/>
          <w:i w:val="false"/>
          <w:caps w:val="false"/>
          <w:smallCaps w:val="false"/>
          <w:sz w:val="20"/>
        </w:rPr>
        <w:t>” means any calendar day that is not a Saturday, Sunday or legal holiday in New York, New York and on which commercial banks are open for business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 publicly announces that the Acquisition Agreement (as defined below) has been terminated prior to the consummation of the Specified Acquisition (as defined below), or (ii) notifies the Trustee in writing that it will not pursue the consummation of the Specified Acquisition (the earliest date of any such announcement or notification, the “</w:t>
      </w:r>
      <w:r>
        <w:rPr>
          <w:rFonts w:ascii="Times New Roman;Times;Serif" w:hAnsi="Times New Roman;Times;Serif"/>
          <w:b w:val="false"/>
          <w:i w:val="false"/>
          <w:caps w:val="false"/>
          <w:smallCaps w:val="false"/>
          <w:sz w:val="20"/>
          <w:u w:val="single"/>
        </w:rPr>
        <w:t>Special Mandatory Redemption Trigger Date</w:t>
      </w:r>
      <w:r>
        <w:rPr>
          <w:rFonts w:ascii="Times New Roman;Times;Serif" w:hAnsi="Times New Roman;Times;Serif"/>
          <w:b w:val="false"/>
          <w:i w:val="false"/>
          <w:caps w:val="false"/>
          <w:smallCaps w:val="false"/>
          <w:sz w:val="20"/>
        </w:rPr>
        <w:t>”), the Company shall redeem all and not less than all of the Securities of this series then Outstanding (such redemption, the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by a date no later than ten (10) Business Days after the Special Mandatory Redemption Trigger Date (the “</w:t>
      </w:r>
      <w:r>
        <w:rPr>
          <w:rFonts w:ascii="Times New Roman;Times;Serif" w:hAnsi="Times New Roman;Times;Serif"/>
          <w:b w:val="false"/>
          <w:i w:val="false"/>
          <w:caps w:val="false"/>
          <w:smallCaps w:val="false"/>
          <w:sz w:val="20"/>
          <w:u w:val="single"/>
        </w:rPr>
        <w:t>Special Mandatory Redemption End Date</w:t>
      </w:r>
      <w:r>
        <w:rPr>
          <w:rFonts w:ascii="Times New Roman;Times;Serif" w:hAnsi="Times New Roman;Times;Serif"/>
          <w:b w:val="false"/>
          <w:i w:val="false"/>
          <w:caps w:val="false"/>
          <w:smallCaps w:val="false"/>
          <w:sz w:val="20"/>
        </w:rPr>
        <w:t>”) at a redemption price equal to 101% of the principal amount of the Securities of this series to be redeemed plus accrued and unpaid interest thereon to, but excluding, the Special Mandatory Redemption Date (the “</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A-5-6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becomes obligated to redeem the Securities of this series pursuant to the foregoing paragraph, the Company shall promptly, and in any event not more than five (5) Business Days after the Special Mandatory Redemption Trigger Date, deliver notice to the Trustee of the Special Mandatory Redemption and the date upon which the Securities of this series shall be redeemed (the “</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which shall be no later than the Special Mandatory Redemption End Date. The Trustee shall then promptly, and in any event not more than one (1) Business Day after receipt of such notice, deliver notice of the Special Mandatory Redemption and the Special Mandatory Redemption Date to each Holder of the Securities of this series at its registered address. Unless the Company defaults in payment of the Special Mandatory Redemption Price, on and after such Special Mandatory Redemption Date, interest shall cease to accrue on the Securities of this series and the Indenture shall be discharged and cease to be of further effect as to all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Special Mandatory Redemption Date shall be payable on such Interest Payment Dates to the registered Holders as of the close of business on the relevant record dates in accordance with the Securities of this series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Agreement</w:t>
      </w:r>
      <w:r>
        <w:rPr>
          <w:rFonts w:ascii="Times New Roman;Times;Serif" w:hAnsi="Times New Roman;Times;Serif"/>
          <w:b w:val="false"/>
          <w:i w:val="false"/>
          <w:caps w:val="false"/>
          <w:smallCaps w:val="false"/>
          <w:sz w:val="20"/>
        </w:rPr>
        <w:t>” means the definitive agreement of the Company providing for the Specified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Acquisition</w:t>
      </w:r>
      <w:r>
        <w:rPr>
          <w:rFonts w:ascii="Times New Roman;Times;Serif" w:hAnsi="Times New Roman;Times;Serif"/>
          <w:b w:val="false"/>
          <w:i w:val="false"/>
          <w:caps w:val="false"/>
          <w:smallCaps w:val="false"/>
          <w:sz w:val="20"/>
        </w:rPr>
        <w:t>” means the acquisition of Apogee Therapeutics, Inc.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do not provide for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 Sections 13.2 and 13.3 of the Indenture apply to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A-5-7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and Supplemental Indenture shall have the meanings assigned to them in the Indenture and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A-5-8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TO BE DELIVERED UPON EXCHANGE</w:t>
        <w:br/>
        <w:t>OR REGISTRATION OF TRANSFER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relates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Securities held in (check applicable space)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book-entry 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definitive form by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(check one box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exchange or register the transfer of a Security or Securities.</w:t>
            </w:r>
          </w:p>
        </w:tc>
      </w:tr>
    </w:tbl>
    <w:p>
      <w:pPr>
        <w:pStyle w:val="TextBody"/>
        <w:bidi w:val="0"/>
        <w:spacing w:before="0" w:after="0"/>
        <w:ind w:left="0" w:right="0" w:hanging="0"/>
        <w:jc w:val="left"/>
        <w:rPr>
          <w:caps w:val="false"/>
          <w:smallCaps w:val="false"/>
        </w:rPr>
      </w:pPr>
      <w:r>
        <w:rPr>
          <w:caps w:val="false"/>
          <w:smallCaps w:val="false"/>
        </w:rPr>
        <w:t> </w:t>
      </w:r>
    </w:p>
    <w:tbl>
      <w:tblPr>
        <w:tblW w:w="3669" w:type="dxa"/>
        <w:jc w:val="left"/>
        <w:tblInd w:w="0" w:type="dxa"/>
        <w:tblLayout w:type="fixed"/>
        <w:tblCellMar>
          <w:top w:w="0" w:type="dxa"/>
          <w:left w:w="0" w:type="dxa"/>
          <w:bottom w:w="0" w:type="dxa"/>
          <w:right w:w="0" w:type="dxa"/>
        </w:tblCellMar>
      </w:tblPr>
      <w:tblGrid>
        <w:gridCol w:w="530"/>
        <w:gridCol w:w="44"/>
        <w:gridCol w:w="60"/>
        <w:gridCol w:w="3035"/>
      </w:tblGrid>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NAME OF TRANSFEROR]</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By:</w:t>
            </w:r>
          </w:p>
        </w:tc>
        <w:tc>
          <w:tcPr>
            <w:tcW w:w="4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A-5-9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redemptions or purchases of a part of this Book-Entry Security have been made:</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28" w:type="dxa"/>
          <w:right w:w="0" w:type="dxa"/>
        </w:tblCellMar>
      </w:tblPr>
      <w:tblGrid>
        <w:gridCol w:w="1115"/>
        <w:gridCol w:w="60"/>
        <w:gridCol w:w="1580"/>
        <w:gridCol w:w="60"/>
        <w:gridCol w:w="1535"/>
        <w:gridCol w:w="60"/>
        <w:gridCol w:w="1580"/>
        <w:gridCol w:w="60"/>
        <w:gridCol w:w="1070"/>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br/>
              <w:t>Redemption/</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Principal Amount</w:t>
              <w:br/>
              <w:t>of this Book-Entry</w:t>
              <w:br/>
              <w:t>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increase in</w:t>
              <w:br/>
              <w:t>Principal Amount</w:t>
              <w:br/>
              <w:t>of this Book-</w:t>
              <w:br/>
              <w:t>Entry 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 this Book-Entry</w:t>
              <w:br/>
              <w:t>Security following</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w:t>
              <w:br/>
              <w:t>signatory of</w:t>
              <w:br/>
              <w:t>Trustee</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A-5-10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Security,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 or type assignee’s name, address and zip code)</w:t>
            </w:r>
          </w:p>
        </w:tc>
      </w:tr>
      <w:tr>
        <w:trPr/>
        <w:tc>
          <w:tcPr>
            <w:tcW w:w="4295" w:type="dxa"/>
            <w:tcBorders/>
            <w:tcMar>
              <w:bottom w:w="0" w:type="dxa"/>
            </w:tcMar>
            <w:vAlign w:val="center"/>
          </w:tcPr>
          <w:p>
            <w:pPr>
              <w:pStyle w:val="TableContents"/>
              <w:bidi w:val="0"/>
              <w:spacing w:before="0" w:after="283"/>
              <w:jc w:val="center"/>
              <w:rPr/>
            </w:pPr>
            <w:r>
              <w:rPr/>
              <w:t> </w:t>
            </w:r>
          </w:p>
        </w:tc>
      </w:tr>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assignee’s soc. sec. or tax I.D.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irrevocably appoint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as agent to transfer this Security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1535" w:type="dxa"/>
        <w:jc w:val="left"/>
        <w:tblInd w:w="0" w:type="dxa"/>
        <w:tblLayout w:type="fixed"/>
        <w:tblCellMar>
          <w:top w:w="0" w:type="dxa"/>
          <w:left w:w="0" w:type="dxa"/>
          <w:bottom w:w="0" w:type="dxa"/>
          <w:right w:w="0" w:type="dxa"/>
        </w:tblCellMar>
      </w:tblPr>
      <w:tblGrid>
        <w:gridCol w:w="560"/>
        <w:gridCol w:w="90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 Signature*: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Security.</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2045"/>
        <w:gridCol w:w="60"/>
        <w:gridCol w:w="75"/>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Guaranteed: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it appears upon the face of the within Note in every particular, without alteration, enlargement or any change whatever. Such signature must be guaranteed by an “eligible guarantor institution” meeting the requirements of the Security Registrar, which requirements include membership or participation in Security Transfer Agents Medallion Program (“STAMP”) or such other “signature guarantee program” as may be determined by the Security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A-5-11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]5.300% Senior Notes due 2036</w:t>
      </w:r>
    </w:p>
    <w:p>
      <w:pPr>
        <w:pStyle w:val="TextBody"/>
        <w:bidi w:val="0"/>
        <w:spacing w:before="0" w:after="0"/>
        <w:ind w:left="0" w:right="0" w:hanging="0"/>
        <w:jc w:val="left"/>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590"/>
        <w:gridCol w:w="335"/>
      </w:tblGrid>
      <w:tr>
        <w:trPr/>
        <w:tc>
          <w:tcPr>
            <w:tcW w:w="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 </w:t>
            </w:r>
          </w:p>
        </w:tc>
        <w:tc>
          <w:tcPr>
            <w:tcW w:w="3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00287Y EQ8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No: US00287YEQ89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Security in a global form within the meaning of the Indenture hereinafter referred to and is registered in the name of the Depository or a nominee of the Depository. This global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 a corporation duly organized and existing under the laws of Delaware (herein called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September 15, 2036 and to pay interest thereon from August 18, 2026 or from the most recent Interest Payment Date to which interest has been paid or duly provided for, semi-annually in arrears on March 15 and September 15 in each year, commencing March 15, 2027, at the rate of 5.300%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A-6-1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A-6-2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1430" w:type="dxa"/>
        <w:jc w:val="left"/>
        <w:tblInd w:w="0" w:type="dxa"/>
        <w:tblLayout w:type="fixed"/>
        <w:tblCellMar>
          <w:top w:w="0" w:type="dxa"/>
          <w:left w:w="0" w:type="dxa"/>
          <w:bottom w:w="0" w:type="dxa"/>
          <w:right w:w="0" w:type="dxa"/>
        </w:tblCellMar>
      </w:tblPr>
      <w:tblGrid>
        <w:gridCol w:w="75"/>
        <w:gridCol w:w="320"/>
        <w:gridCol w:w="1035"/>
      </w:tblGrid>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r>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A-6-3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1091"/>
        <w:gridCol w:w="3938"/>
      </w:tblGrid>
      <w:tr>
        <w:trPr/>
        <w:tc>
          <w:tcPr>
            <w:tcW w:w="75" w:type="dxa"/>
            <w:tcBorders/>
            <w:vAlign w:val="center"/>
          </w:tcPr>
          <w:p>
            <w:pPr>
              <w:pStyle w:val="TableContents"/>
              <w:bidi w:val="0"/>
              <w:spacing w:before="0" w:after="283"/>
              <w:ind w:left="0" w:right="0" w:hanging="180"/>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as Trustee</w:t>
            </w:r>
          </w:p>
        </w:tc>
      </w:tr>
      <w:tr>
        <w:trPr/>
        <w:tc>
          <w:tcPr>
            <w:tcW w:w="75"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left"/>
              <w:rPr>
                <w:caps w:val="false"/>
                <w:smallCaps w:val="false"/>
              </w:rPr>
            </w:pPr>
            <w:r>
              <w:rPr>
                <w:caps w:val="false"/>
                <w:smallCaps w:val="false"/>
              </w:rPr>
              <w:t> </w:t>
            </w:r>
          </w:p>
        </w:tc>
        <w:tc>
          <w:tcPr>
            <w:tcW w:w="3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left"/>
              <w:rPr>
                <w:caps w:val="false"/>
                <w:smallCaps w:val="false"/>
              </w:rPr>
            </w:pPr>
            <w:r>
              <w:rPr>
                <w:caps w:val="false"/>
                <w:smallCaps w:val="false"/>
              </w:rPr>
              <w:t> </w:t>
            </w:r>
          </w:p>
        </w:tc>
        <w:tc>
          <w:tcPr>
            <w:tcW w:w="39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A-6-4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issued and to be issued in one or more series under an Indenture, dated as of November 8, 2012, as it may be supplemented or amended from time to time (herein called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and U.S. Bank Trust Company, National Association, as successor-in-interest to U.S. Bank National Association, as trustee (herein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which term includes any successor trustee under the Indenture), and Supplemental Indenture No. 13, dated as of August 18, 2026 (herein called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between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$1,500,000,000.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Par Call Date (as defined below), the Company may redeem the Securities of this series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such Securities matured on the Par Call Date) on a semi-annual basis (assuming a 360-day year consisting of twelve 30-day months) at the Treasury Rate plus 15 basis points, less (b)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Securities of this series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Securities of this series, in whole or in part, at any time and from time to time, at a Redemption Price equal to 100% of the principal amount of the Securities of this series being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June 15, 2036 (the date that is three (3) months prior to the maturity date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for Securities of this series, the yield applicable to this series of Securities determined by the Company in accordance with the following two paragraphs. The Treasury Rate applicable to this series of Securities shall be determined by the Company after 4:15 p.m., New York City time (or after such time as yields on U.S. government securities are posted daily by the Board of Governors of the Federal Reserve System), on the third New York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applicable Treasury Rate, the Company shall select, as applicable: (1) the yield for the Treasury constant maturity on H.15 exactly equal to the period from such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A-6-5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New York Business Day preceding such Redemption Date, H.15 TCM is no longer published, the Company shall calculate the applicable Treasury Rate based on the rate per annum equal to the semi-annual equivalent yield to maturity at 11:00 a.m., New York City time, on the second New York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applicable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Securities of this series of a principal amount of $2,000 or less will be redeemed in part. For so long as the Securities are held by The Depository Trust Company (or another depositary), the redemption of the Securities shall be done in accordance with the policies and procedures of the applicable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Business Day</w:t>
      </w:r>
      <w:r>
        <w:rPr>
          <w:rFonts w:ascii="Times New Roman;Times;Serif" w:hAnsi="Times New Roman;Times;Serif"/>
          <w:b w:val="false"/>
          <w:i w:val="false"/>
          <w:caps w:val="false"/>
          <w:smallCaps w:val="false"/>
          <w:sz w:val="20"/>
        </w:rPr>
        <w:t>” means any calendar day that is not a Saturday, Sunday or legal holiday in New York, New York and on which commercial banks are open for business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 publicly announces that the Acquisition Agreement (as defined below) has been terminated prior to the consummation of the Specified Acquisition (as defined below), or (ii) notifies the Trustee in writing that it will not pursue the consummation of the Specified Acquisition (the earliest date of any such announcement or notification, the “</w:t>
      </w:r>
      <w:r>
        <w:rPr>
          <w:rFonts w:ascii="Times New Roman;Times;Serif" w:hAnsi="Times New Roman;Times;Serif"/>
          <w:b w:val="false"/>
          <w:i w:val="false"/>
          <w:caps w:val="false"/>
          <w:smallCaps w:val="false"/>
          <w:sz w:val="20"/>
          <w:u w:val="single"/>
        </w:rPr>
        <w:t>Special Mandatory Redemption Trigger Date</w:t>
      </w:r>
      <w:r>
        <w:rPr>
          <w:rFonts w:ascii="Times New Roman;Times;Serif" w:hAnsi="Times New Roman;Times;Serif"/>
          <w:b w:val="false"/>
          <w:i w:val="false"/>
          <w:caps w:val="false"/>
          <w:smallCaps w:val="false"/>
          <w:sz w:val="20"/>
        </w:rPr>
        <w:t>”), the Company shall redeem all and not less than all of the Securities of this series then Outstanding (such redemption, the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by a date no later than ten (10) Business Days after the Special Mandatory Redemption Trigger Date (the “</w:t>
      </w:r>
      <w:r>
        <w:rPr>
          <w:rFonts w:ascii="Times New Roman;Times;Serif" w:hAnsi="Times New Roman;Times;Serif"/>
          <w:b w:val="false"/>
          <w:i w:val="false"/>
          <w:caps w:val="false"/>
          <w:smallCaps w:val="false"/>
          <w:sz w:val="20"/>
          <w:u w:val="single"/>
        </w:rPr>
        <w:t>Special Mandatory Redemption End Date</w:t>
      </w:r>
      <w:r>
        <w:rPr>
          <w:rFonts w:ascii="Times New Roman;Times;Serif" w:hAnsi="Times New Roman;Times;Serif"/>
          <w:b w:val="false"/>
          <w:i w:val="false"/>
          <w:caps w:val="false"/>
          <w:smallCaps w:val="false"/>
          <w:sz w:val="20"/>
        </w:rPr>
        <w:t>”) at a redemption price equal to 101% of the principal amount of the Securities of this series to be redeemed plus accrued and unpaid interest thereon to, but excluding, the Special Mandatory Redemption Date (the “</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A-6-6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becomes obligated to redeem the Securities of this series pursuant to the foregoing paragraph, the Company shall promptly, and in any event not more than five (5) Business Days after the Special Mandatory Redemption Trigger Date, deliver notice to the Trustee of the Special Mandatory Redemption and the date upon which the Securities of this series shall be redeemed (the “</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which shall be no later than the Special Mandatory Redemption End Date. The Trustee shall then promptly, and in any event not more than one (1) Business Day after receipt of such notice, deliver notice of the Special Mandatory Redemption and the Special Mandatory Redemption Date to each Holder of the Securities of this series at its registered address. Unless the Company defaults in payment of the Special Mandatory Redemption Price, on and after such Special Mandatory Redemption Date, interest shall cease to accrue on the Securities of this series and the Indenture shall be discharged and cease to be of further effect as to all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Special Mandatory Redemption Date shall be payable on such Interest Payment Dates to the registered Holders as of the close of business on the relevant record dates in accordance with the Securities of this series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Agreement</w:t>
      </w:r>
      <w:r>
        <w:rPr>
          <w:rFonts w:ascii="Times New Roman;Times;Serif" w:hAnsi="Times New Roman;Times;Serif"/>
          <w:b w:val="false"/>
          <w:i w:val="false"/>
          <w:caps w:val="false"/>
          <w:smallCaps w:val="false"/>
          <w:sz w:val="20"/>
        </w:rPr>
        <w:t>” means the definitive agreement of the Company providing for the Specified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Acquisition</w:t>
      </w:r>
      <w:r>
        <w:rPr>
          <w:rFonts w:ascii="Times New Roman;Times;Serif" w:hAnsi="Times New Roman;Times;Serif"/>
          <w:b w:val="false"/>
          <w:i w:val="false"/>
          <w:caps w:val="false"/>
          <w:smallCaps w:val="false"/>
          <w:sz w:val="20"/>
        </w:rPr>
        <w:t>” means the acquisition of Apogee Therapeutics, Inc.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do not provide for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 Sections 13.2 and 13.3 of the Indenture apply to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A-6-7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and Supplemental Indenture shall have the meanings assigned to them in the Indenture and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A-6-8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TO BE DELIVERED UPON EXCHANGE</w:t>
        <w:br/>
        <w:t>OR REGISTRATION OF TRANSFER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relates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Securities held in (check applicable space)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book-entry 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definitive form by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(check one box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exchange or register the transfer of a Security or Securities.</w:t>
            </w:r>
          </w:p>
        </w:tc>
      </w:tr>
    </w:tbl>
    <w:p>
      <w:pPr>
        <w:pStyle w:val="TextBody"/>
        <w:bidi w:val="0"/>
        <w:spacing w:before="0" w:after="0"/>
        <w:ind w:left="0" w:right="0" w:hanging="0"/>
        <w:jc w:val="left"/>
        <w:rPr>
          <w:caps w:val="false"/>
          <w:smallCaps w:val="false"/>
        </w:rPr>
      </w:pPr>
      <w:r>
        <w:rPr>
          <w:caps w:val="false"/>
          <w:smallCaps w:val="false"/>
        </w:rPr>
        <w:t> </w:t>
      </w:r>
    </w:p>
    <w:tbl>
      <w:tblPr>
        <w:tblW w:w="3669" w:type="dxa"/>
        <w:jc w:val="left"/>
        <w:tblInd w:w="0" w:type="dxa"/>
        <w:tblLayout w:type="fixed"/>
        <w:tblCellMar>
          <w:top w:w="0" w:type="dxa"/>
          <w:left w:w="0" w:type="dxa"/>
          <w:bottom w:w="0" w:type="dxa"/>
          <w:right w:w="0" w:type="dxa"/>
        </w:tblCellMar>
      </w:tblPr>
      <w:tblGrid>
        <w:gridCol w:w="530"/>
        <w:gridCol w:w="44"/>
        <w:gridCol w:w="60"/>
        <w:gridCol w:w="3035"/>
      </w:tblGrid>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NAME OF TRANSFEROR]</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By:</w:t>
            </w:r>
          </w:p>
        </w:tc>
        <w:tc>
          <w:tcPr>
            <w:tcW w:w="4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A-6-9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redemptions or purchases of a part of this Book-Entry Security have been made:</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28" w:type="dxa"/>
          <w:right w:w="0" w:type="dxa"/>
        </w:tblCellMar>
      </w:tblPr>
      <w:tblGrid>
        <w:gridCol w:w="1115"/>
        <w:gridCol w:w="60"/>
        <w:gridCol w:w="1580"/>
        <w:gridCol w:w="60"/>
        <w:gridCol w:w="1535"/>
        <w:gridCol w:w="60"/>
        <w:gridCol w:w="1580"/>
        <w:gridCol w:w="60"/>
        <w:gridCol w:w="1070"/>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br/>
              <w:t>Redemption/</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Principal Amount</w:t>
              <w:br/>
              <w:t>of this Book-Entry</w:t>
              <w:br/>
              <w:t>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increase in</w:t>
              <w:br/>
              <w:t>Principal Amount</w:t>
              <w:br/>
              <w:t>of this Book-</w:t>
              <w:br/>
              <w:t>Entry 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 this Book-Entry</w:t>
              <w:br/>
              <w:t>Security following</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w:t>
              <w:br/>
              <w:t>signatory of</w:t>
              <w:br/>
              <w:t>Trustee</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A-6-10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Security,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 or type assignee’s name, address and zip code)</w:t>
            </w:r>
          </w:p>
        </w:tc>
      </w:tr>
      <w:tr>
        <w:trPr/>
        <w:tc>
          <w:tcPr>
            <w:tcW w:w="4295" w:type="dxa"/>
            <w:tcBorders/>
            <w:tcMar>
              <w:bottom w:w="0" w:type="dxa"/>
            </w:tcMar>
            <w:vAlign w:val="center"/>
          </w:tcPr>
          <w:p>
            <w:pPr>
              <w:pStyle w:val="TableContents"/>
              <w:bidi w:val="0"/>
              <w:spacing w:before="0" w:after="283"/>
              <w:jc w:val="center"/>
              <w:rPr/>
            </w:pPr>
            <w:r>
              <w:rPr/>
              <w:t> </w:t>
            </w:r>
          </w:p>
        </w:tc>
      </w:tr>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assignee’s soc. sec. or tax I.D.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irrevocably appoint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as agent to transfer this Security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1535" w:type="dxa"/>
        <w:jc w:val="left"/>
        <w:tblInd w:w="0" w:type="dxa"/>
        <w:tblLayout w:type="fixed"/>
        <w:tblCellMar>
          <w:top w:w="0" w:type="dxa"/>
          <w:left w:w="0" w:type="dxa"/>
          <w:bottom w:w="0" w:type="dxa"/>
          <w:right w:w="0" w:type="dxa"/>
        </w:tblCellMar>
      </w:tblPr>
      <w:tblGrid>
        <w:gridCol w:w="560"/>
        <w:gridCol w:w="90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 Signature*: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Security.</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2045"/>
        <w:gridCol w:w="60"/>
        <w:gridCol w:w="75"/>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Guaranteed: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it appears upon the face of the within Note in every particular, without alteration, enlargement or any change whatever. Such signature must be guaranteed by an “eligible guarantor institution” meeting the requirements of the Security Registrar, which requirements include membership or participation in Security Transfer Agents Medallion Program (“STAMP”) or such other “signature guarantee program” as may be determined by the Security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A-6-11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]5.450% Senior Notes due 2038</w:t>
      </w:r>
    </w:p>
    <w:p>
      <w:pPr>
        <w:pStyle w:val="TextBody"/>
        <w:bidi w:val="0"/>
        <w:spacing w:before="0" w:after="0"/>
        <w:ind w:left="0" w:right="0" w:hanging="0"/>
        <w:jc w:val="left"/>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590"/>
        <w:gridCol w:w="335"/>
      </w:tblGrid>
      <w:tr>
        <w:trPr/>
        <w:tc>
          <w:tcPr>
            <w:tcW w:w="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 </w:t>
            </w:r>
          </w:p>
        </w:tc>
        <w:tc>
          <w:tcPr>
            <w:tcW w:w="3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00287Y ER6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No: US00287YER62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Security in a global form within the meaning of the Indenture hereinafter referred to and is registered in the name of the Depository or a nominee of the Depository. This global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 a corporation duly organized and existing under the laws of Delaware (herein called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September 15, 2038 and to pay interest thereon from August 18, 2026 or from the most recent Interest Payment Date to which interest has been paid or duly provided for, semi-annually in arrears on March 15 and September 15 in each year, commencing March 15, 2027, at the rate of 5.450%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A-7-1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A-7-2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1430" w:type="dxa"/>
        <w:jc w:val="left"/>
        <w:tblInd w:w="0" w:type="dxa"/>
        <w:tblLayout w:type="fixed"/>
        <w:tblCellMar>
          <w:top w:w="0" w:type="dxa"/>
          <w:left w:w="0" w:type="dxa"/>
          <w:bottom w:w="0" w:type="dxa"/>
          <w:right w:w="0" w:type="dxa"/>
        </w:tblCellMar>
      </w:tblPr>
      <w:tblGrid>
        <w:gridCol w:w="75"/>
        <w:gridCol w:w="320"/>
        <w:gridCol w:w="1035"/>
      </w:tblGrid>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r>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A-7-3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906"/>
        <w:gridCol w:w="4123"/>
      </w:tblGrid>
      <w:tr>
        <w:trPr/>
        <w:tc>
          <w:tcPr>
            <w:tcW w:w="75" w:type="dxa"/>
            <w:tcBorders/>
            <w:vAlign w:val="center"/>
          </w:tcPr>
          <w:p>
            <w:pPr>
              <w:pStyle w:val="TableContents"/>
              <w:bidi w:val="0"/>
              <w:spacing w:before="0" w:after="283"/>
              <w:ind w:left="0" w:right="0" w:hanging="180"/>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as Trustee</w:t>
            </w:r>
          </w:p>
        </w:tc>
      </w:tr>
      <w:tr>
        <w:trPr/>
        <w:tc>
          <w:tcPr>
            <w:tcW w:w="75"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23"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caps w:val="false"/>
                <w:smallCaps w:val="false"/>
              </w:rPr>
            </w:pPr>
            <w:r>
              <w:rPr>
                <w:caps w:val="false"/>
                <w:smallCaps w:val="false"/>
              </w:rPr>
              <w:t> </w:t>
            </w:r>
          </w:p>
        </w:tc>
        <w:tc>
          <w:tcPr>
            <w:tcW w:w="4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906" w:type="dxa"/>
            <w:tcBorders/>
            <w:vAlign w:val="center"/>
          </w:tcPr>
          <w:p>
            <w:pPr>
              <w:pStyle w:val="TableContents"/>
              <w:bidi w:val="0"/>
              <w:spacing w:before="0" w:after="283"/>
              <w:jc w:val="left"/>
              <w:rPr>
                <w:caps w:val="false"/>
                <w:smallCaps w:val="false"/>
              </w:rPr>
            </w:pPr>
            <w:r>
              <w:rPr>
                <w:caps w:val="false"/>
                <w:smallCaps w:val="false"/>
              </w:rPr>
              <w:t> </w:t>
            </w:r>
          </w:p>
        </w:tc>
        <w:tc>
          <w:tcPr>
            <w:tcW w:w="4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A-7-4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issued and to be issued in one or more series under an Indenture, dated as of November 8, 2012, as it may be supplemented or amended from time to time (herein called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and U.S. Bank Trust Company, National Association, as successor-in-interest to U.S. Bank National Association, as trustee (herein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which term includes any successor trustee under the Indenture), and Supplemental Indenture No. 13, dated as of August 18, 2026 (herein called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between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$1,000,000,000.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Par Call Date (as defined below), the Company may redeem the Securities of this series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such Securities matured on the Par Call Date) on a semi-annual basis (assuming a 360-day year consisting of twelve 30-day months) at the Treasury Rate plus 15 basis points, less (b)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Securities of this series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Securities of this series, in whole or in part, at any time and from time to time, at a Redemption Price equal to 100% of the principal amount of the Securities of this series being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June 15, 2038 (the date that is three (3) months prior to the maturity date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for Securities of this series, the yield applicable to this series of Securities determined by the Company in accordance with the following two paragraphs. The Treasury Rate applicable to this series of Securities shall be determined by the Company after 4:15 p.m., New York City time (or after such time as yields on U.S. government securities are posted daily by the Board of Governors of the Federal Reserve System), on the third New York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applicable Treasury Rate, the Company shall select, as applicable: (1) the yield for the Treasury constant maturity on H.15 exactly equal to the period from such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A-7-5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New York Business Day preceding such Redemption Date, H.15 TCM is no longer published, the Company shall calculate the applicable Treasury Rate based on the rate per annum equal to the semi-annual equivalent yield to maturity at 11:00 a.m., New York City time, on the second New York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applicable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Securities of this series of a principal amount of $2,000 or less will be redeemed in part. For so long as the Securities are held by The Depository Trust Company (or another depositary), the redemption of the Securities shall be done in accordance with the policies and procedures of the applicable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Business Day</w:t>
      </w:r>
      <w:r>
        <w:rPr>
          <w:rFonts w:ascii="Times New Roman;Times;Serif" w:hAnsi="Times New Roman;Times;Serif"/>
          <w:b w:val="false"/>
          <w:i w:val="false"/>
          <w:caps w:val="false"/>
          <w:smallCaps w:val="false"/>
          <w:sz w:val="20"/>
        </w:rPr>
        <w:t>” means any calendar day that is not a Saturday, Sunday or legal holiday in New York, New York and on which commercial banks are open for business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 publicly announces that the Acquisition Agreement (as defined below) has been terminated prior to the consummation of the Specified Acquisition (as defined below), or (ii) notifies the Trustee in writing that it will not pursue the consummation of the Specified Acquisition (the earliest date of any such announcement or notification, the “</w:t>
      </w:r>
      <w:r>
        <w:rPr>
          <w:rFonts w:ascii="Times New Roman;Times;Serif" w:hAnsi="Times New Roman;Times;Serif"/>
          <w:b w:val="false"/>
          <w:i w:val="false"/>
          <w:caps w:val="false"/>
          <w:smallCaps w:val="false"/>
          <w:sz w:val="20"/>
          <w:u w:val="single"/>
        </w:rPr>
        <w:t>Special Mandatory Redemption Trigger Date</w:t>
      </w:r>
      <w:r>
        <w:rPr>
          <w:rFonts w:ascii="Times New Roman;Times;Serif" w:hAnsi="Times New Roman;Times;Serif"/>
          <w:b w:val="false"/>
          <w:i w:val="false"/>
          <w:caps w:val="false"/>
          <w:smallCaps w:val="false"/>
          <w:sz w:val="20"/>
        </w:rPr>
        <w:t>”), the Company shall redeem all and not less than all of the Securities of this series then Outstanding (such redemption, the “</w:t>
      </w:r>
      <w:r>
        <w:rPr>
          <w:rFonts w:ascii="Times New Roman;Times;Serif" w:hAnsi="Times New Roman;Times;Serif"/>
          <w:b w:val="false"/>
          <w:i w:val="false"/>
          <w:caps w:val="false"/>
          <w:smallCaps w:val="false"/>
          <w:sz w:val="20"/>
          <w:u w:val="single"/>
        </w:rPr>
        <w:t>Special Mandatory Redemption</w:t>
      </w:r>
      <w:r>
        <w:rPr>
          <w:rFonts w:ascii="Times New Roman;Times;Serif" w:hAnsi="Times New Roman;Times;Serif"/>
          <w:b w:val="false"/>
          <w:i w:val="false"/>
          <w:caps w:val="false"/>
          <w:smallCaps w:val="false"/>
          <w:sz w:val="20"/>
        </w:rPr>
        <w:t>”) by a date no later than ten (10) Business Days after the Special Mandatory Redemption Trigger Date (the “</w:t>
      </w:r>
      <w:r>
        <w:rPr>
          <w:rFonts w:ascii="Times New Roman;Times;Serif" w:hAnsi="Times New Roman;Times;Serif"/>
          <w:b w:val="false"/>
          <w:i w:val="false"/>
          <w:caps w:val="false"/>
          <w:smallCaps w:val="false"/>
          <w:sz w:val="20"/>
          <w:u w:val="single"/>
        </w:rPr>
        <w:t>Special Mandatory Redemption End Date</w:t>
      </w:r>
      <w:r>
        <w:rPr>
          <w:rFonts w:ascii="Times New Roman;Times;Serif" w:hAnsi="Times New Roman;Times;Serif"/>
          <w:b w:val="false"/>
          <w:i w:val="false"/>
          <w:caps w:val="false"/>
          <w:smallCaps w:val="false"/>
          <w:sz w:val="20"/>
        </w:rPr>
        <w:t>”) at a redemption price equal to 101% of the principal amount of the Securities of this series to be redeemed plus accrued and unpaid interest thereon to, but excluding, the Special Mandatory Redemption Date (the “</w:t>
      </w:r>
      <w:r>
        <w:rPr>
          <w:rFonts w:ascii="Times New Roman;Times;Serif" w:hAnsi="Times New Roman;Times;Serif"/>
          <w:b w:val="false"/>
          <w:i w:val="false"/>
          <w:caps w:val="false"/>
          <w:smallCaps w:val="false"/>
          <w:sz w:val="20"/>
          <w:u w:val="single"/>
        </w:rPr>
        <w:t>Special Mandatory Redemption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A-7-6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becomes obligated to redeem the Securities of this series pursuant to the foregoing paragraph, the Company shall promptly, and in any event not more than five (5) Business Days after the Special Mandatory Redemption Trigger Date, deliver notice to the Trustee of the Special Mandatory Redemption and the date upon which the Securities of this series shall be redeemed (the “</w:t>
      </w:r>
      <w:r>
        <w:rPr>
          <w:rFonts w:ascii="Times New Roman;Times;Serif" w:hAnsi="Times New Roman;Times;Serif"/>
          <w:b w:val="false"/>
          <w:i w:val="false"/>
          <w:caps w:val="false"/>
          <w:smallCaps w:val="false"/>
          <w:sz w:val="20"/>
          <w:u w:val="single"/>
        </w:rPr>
        <w:t>Special Mandatory Redemption Date</w:t>
      </w:r>
      <w:r>
        <w:rPr>
          <w:rFonts w:ascii="Times New Roman;Times;Serif" w:hAnsi="Times New Roman;Times;Serif"/>
          <w:b w:val="false"/>
          <w:i w:val="false"/>
          <w:caps w:val="false"/>
          <w:smallCaps w:val="false"/>
          <w:sz w:val="20"/>
        </w:rPr>
        <w:t>”), which shall be no later than the Special Mandatory Redemption End Date. The Trustee shall then promptly, and in any event not more than one (1) Business Day after receipt of such notice, deliver notice of the Special Mandatory Redemption and the Special Mandatory Redemption Date to each Holder of the Securities of this series at its registered address. Unless the Company defaults in payment of the Special Mandatory Redemption Price, on and after such Special Mandatory Redemption Date, interest shall cease to accrue on the Securities of this series and the Indenture shall be discharged and cease to be of further effect as to all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installments of interest on the Securities of this series that are due and payable on Interest Payment Dates falling on or prior to the Special Mandatory Redemption Date shall be payable on such Interest Payment Dates to the registered Holders as of the close of business on the relevant record dates in accordance with the Securities of this series and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Agreement</w:t>
      </w:r>
      <w:r>
        <w:rPr>
          <w:rFonts w:ascii="Times New Roman;Times;Serif" w:hAnsi="Times New Roman;Times;Serif"/>
          <w:b w:val="false"/>
          <w:i w:val="false"/>
          <w:caps w:val="false"/>
          <w:smallCaps w:val="false"/>
          <w:sz w:val="20"/>
        </w:rPr>
        <w:t>” means the definitive agreement of the Company providing for the Specified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Acquisition</w:t>
      </w:r>
      <w:r>
        <w:rPr>
          <w:rFonts w:ascii="Times New Roman;Times;Serif" w:hAnsi="Times New Roman;Times;Serif"/>
          <w:b w:val="false"/>
          <w:i w:val="false"/>
          <w:caps w:val="false"/>
          <w:smallCaps w:val="false"/>
          <w:sz w:val="20"/>
        </w:rPr>
        <w:t>” means the acquisition of Apogee Therapeutics, Inc.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do not provide for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 Sections 13.2 and 13.3 of the Indenture apply to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A-7-7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and Supplemental Indenture shall have the meanings assigned to them in the Indenture and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A-7-8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TO BE DELIVERED UPON EXCHANGE</w:t>
        <w:br/>
        <w:t>OR REGISTRATION OF TRANSFER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relates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Securities held in (check applicable space)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book-entry 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definitive form by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(check one box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exchange or register the transfer of a Security or Securities.</w:t>
            </w:r>
          </w:p>
        </w:tc>
      </w:tr>
    </w:tbl>
    <w:p>
      <w:pPr>
        <w:pStyle w:val="TextBody"/>
        <w:bidi w:val="0"/>
        <w:spacing w:before="0" w:after="0"/>
        <w:ind w:left="0" w:right="0" w:hanging="0"/>
        <w:jc w:val="left"/>
        <w:rPr>
          <w:caps w:val="false"/>
          <w:smallCaps w:val="false"/>
        </w:rPr>
      </w:pPr>
      <w:r>
        <w:rPr>
          <w:caps w:val="false"/>
          <w:smallCaps w:val="false"/>
        </w:rPr>
        <w:t> </w:t>
      </w:r>
    </w:p>
    <w:tbl>
      <w:tblPr>
        <w:tblW w:w="3669" w:type="dxa"/>
        <w:jc w:val="left"/>
        <w:tblInd w:w="0" w:type="dxa"/>
        <w:tblLayout w:type="fixed"/>
        <w:tblCellMar>
          <w:top w:w="0" w:type="dxa"/>
          <w:left w:w="0" w:type="dxa"/>
          <w:bottom w:w="0" w:type="dxa"/>
          <w:right w:w="0" w:type="dxa"/>
        </w:tblCellMar>
      </w:tblPr>
      <w:tblGrid>
        <w:gridCol w:w="530"/>
        <w:gridCol w:w="44"/>
        <w:gridCol w:w="60"/>
        <w:gridCol w:w="3035"/>
      </w:tblGrid>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NAME OF TRANSFEROR]</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By:</w:t>
            </w:r>
          </w:p>
        </w:tc>
        <w:tc>
          <w:tcPr>
            <w:tcW w:w="4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A-7-9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redemptions or purchases of a part of this Book-Entry Security have been made:</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28" w:type="dxa"/>
          <w:right w:w="0" w:type="dxa"/>
        </w:tblCellMar>
      </w:tblPr>
      <w:tblGrid>
        <w:gridCol w:w="1115"/>
        <w:gridCol w:w="60"/>
        <w:gridCol w:w="1580"/>
        <w:gridCol w:w="60"/>
        <w:gridCol w:w="1535"/>
        <w:gridCol w:w="60"/>
        <w:gridCol w:w="1580"/>
        <w:gridCol w:w="60"/>
        <w:gridCol w:w="1070"/>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br/>
              <w:t>Redemption/</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Principal Amount</w:t>
              <w:br/>
              <w:t>of this Book-Entry</w:t>
              <w:br/>
              <w:t>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increase in</w:t>
              <w:br/>
              <w:t>Principal Amount</w:t>
              <w:br/>
              <w:t>of this Book-</w:t>
              <w:br/>
              <w:t>Entry 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 this Book-Entry</w:t>
              <w:br/>
              <w:t>Security following</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w:t>
              <w:br/>
              <w:t>signatory of</w:t>
              <w:br/>
              <w:t>Trustee</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A-7-10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Security,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 or type assignee’s name, address and zip code)</w:t>
            </w:r>
          </w:p>
        </w:tc>
      </w:tr>
      <w:tr>
        <w:trPr/>
        <w:tc>
          <w:tcPr>
            <w:tcW w:w="4295" w:type="dxa"/>
            <w:tcBorders/>
            <w:tcMar>
              <w:bottom w:w="0" w:type="dxa"/>
            </w:tcMar>
            <w:vAlign w:val="center"/>
          </w:tcPr>
          <w:p>
            <w:pPr>
              <w:pStyle w:val="TableContents"/>
              <w:bidi w:val="0"/>
              <w:spacing w:before="0" w:after="283"/>
              <w:jc w:val="center"/>
              <w:rPr/>
            </w:pPr>
            <w:r>
              <w:rPr/>
              <w:t> </w:t>
            </w:r>
          </w:p>
        </w:tc>
      </w:tr>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assignee’s soc. sec. or tax I.D.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irrevocably appoint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as agent to transfer this Security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1535" w:type="dxa"/>
        <w:jc w:val="left"/>
        <w:tblInd w:w="0" w:type="dxa"/>
        <w:tblLayout w:type="fixed"/>
        <w:tblCellMar>
          <w:top w:w="0" w:type="dxa"/>
          <w:left w:w="0" w:type="dxa"/>
          <w:bottom w:w="0" w:type="dxa"/>
          <w:right w:w="0" w:type="dxa"/>
        </w:tblCellMar>
      </w:tblPr>
      <w:tblGrid>
        <w:gridCol w:w="560"/>
        <w:gridCol w:w="90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 Signature*: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Security.</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2045"/>
        <w:gridCol w:w="60"/>
        <w:gridCol w:w="75"/>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Guaranteed: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it appears upon the face of the within Note in every particular, without alteration, enlargement or any change whatever. Such signature must be guaranteed by an “eligible guarantor institution” meeting the requirements of the Security Registrar, which requirements include membership or participation in Security Transfer Agents Medallion Program (“STAMP”) or such other “signature guarantee program” as may be determined by the Security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A-7-11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]6.000% Senior Notes due 2056</w:t>
      </w:r>
    </w:p>
    <w:p>
      <w:pPr>
        <w:pStyle w:val="TextBody"/>
        <w:bidi w:val="0"/>
        <w:spacing w:before="0" w:after="0"/>
        <w:ind w:left="0" w:right="0" w:hanging="0"/>
        <w:jc w:val="left"/>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590"/>
        <w:gridCol w:w="335"/>
      </w:tblGrid>
      <w:tr>
        <w:trPr/>
        <w:tc>
          <w:tcPr>
            <w:tcW w:w="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 </w:t>
            </w:r>
          </w:p>
        </w:tc>
        <w:tc>
          <w:tcPr>
            <w:tcW w:w="3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00287Y ES4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No: US00287YES46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Security in a global form within the meaning of the Indenture hereinafter referred to and is registered in the name of the Depository or a nominee of the Depository. This global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 a corporation duly organized and existing under the laws of Delaware (herein called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September 15, 2056 and to pay interest thereon from August 18, 2026 or from the most recent Interest Payment Date to which interest has been paid or duly provided for, semi-annually in arrears on March 15 and September 15 in each year, commencing March 15, 2027, at the rate of 6.000%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A-8-1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A-8-2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1430" w:type="dxa"/>
        <w:jc w:val="left"/>
        <w:tblInd w:w="0" w:type="dxa"/>
        <w:tblLayout w:type="fixed"/>
        <w:tblCellMar>
          <w:top w:w="0" w:type="dxa"/>
          <w:left w:w="0" w:type="dxa"/>
          <w:bottom w:w="0" w:type="dxa"/>
          <w:right w:w="0" w:type="dxa"/>
        </w:tblCellMar>
      </w:tblPr>
      <w:tblGrid>
        <w:gridCol w:w="75"/>
        <w:gridCol w:w="320"/>
        <w:gridCol w:w="1035"/>
      </w:tblGrid>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r>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A-8-3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847"/>
        <w:gridCol w:w="1442"/>
        <w:gridCol w:w="2740"/>
      </w:tblGrid>
      <w:tr>
        <w:trPr/>
        <w:tc>
          <w:tcPr>
            <w:tcW w:w="75" w:type="dxa"/>
            <w:tcBorders/>
            <w:vAlign w:val="center"/>
          </w:tcPr>
          <w:p>
            <w:pPr>
              <w:pStyle w:val="TableContents"/>
              <w:bidi w:val="0"/>
              <w:spacing w:before="0" w:after="283"/>
              <w:ind w:left="0" w:right="0" w:hanging="180"/>
              <w:jc w:val="left"/>
              <w:rPr/>
            </w:pPr>
            <w:r>
              <w:rPr/>
              <w:t> </w:t>
            </w:r>
          </w:p>
        </w:tc>
        <w:tc>
          <w:tcPr>
            <w:tcW w:w="502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as Trustee</w:t>
            </w:r>
          </w:p>
        </w:tc>
      </w:tr>
      <w:tr>
        <w:trPr/>
        <w:tc>
          <w:tcPr>
            <w:tcW w:w="75" w:type="dxa"/>
            <w:tcBorders/>
            <w:vAlign w:val="center"/>
          </w:tcPr>
          <w:p>
            <w:pPr>
              <w:pStyle w:val="TableContents"/>
              <w:bidi w:val="0"/>
              <w:spacing w:before="0" w:after="283"/>
              <w:jc w:val="left"/>
              <w:rPr/>
            </w:pPr>
            <w:r>
              <w:rPr/>
              <w:t> </w:t>
            </w:r>
          </w:p>
        </w:tc>
        <w:tc>
          <w:tcPr>
            <w:tcW w:w="5029"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82"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caps w:val="false"/>
                <w:smallCaps w:val="false"/>
              </w:rPr>
            </w:pPr>
            <w:r>
              <w:rPr>
                <w:caps w:val="false"/>
                <w:smallCaps w:val="false"/>
              </w:rPr>
              <w:t> </w:t>
            </w:r>
          </w:p>
        </w:tc>
        <w:tc>
          <w:tcPr>
            <w:tcW w:w="14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caps w:val="false"/>
                <w:smallCaps w:val="false"/>
              </w:rPr>
            </w:pPr>
            <w:r>
              <w:rPr>
                <w:caps w:val="false"/>
                <w:smallCaps w:val="false"/>
              </w:rPr>
              <w:t> </w:t>
            </w:r>
          </w:p>
        </w:tc>
        <w:tc>
          <w:tcPr>
            <w:tcW w:w="14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274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A-8-4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issued and to be issued in one or more series under an Indenture, dated as of November 8, 2012, as it may be supplemented or amended from time to time (herein called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and U.S. Bank Trust Company, National Association, as successor-in-interest to U.S. Bank National Association, as trustee (herein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which term includes any successor trustee under the Indenture), and Supplemental Indenture No. 13, dated as of August 18, 2026 (herein called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between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$1,500,000,000.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Par Call Date (as defined below), the Company may redeem the Securities of this series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such Securities matured on the Par Call Date) on a semi-annual basis (assuming a 360-day year consisting of twelve 30-day months) at the Treasury Rate plus 15 basis points, less (b)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Securities of this series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Securities of this series, in whole or in part, at any time and from time to time, at a Redemption Price equal to 100% of the principal amount of the Securities of this series being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March 15, 2056 (the date that is six (6) months prior to the maturity date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for Securities of this series, the yield applicable to this series of Securities determined by the Company in accordance with the following two paragraphs. The Treasury Rate applicable to this series of Securities shall be determined by the Company after 4:15 p.m., New York City time (or after such time as yields on U.S. government securities are posted daily by the Board of Governors of the Federal Reserve System), on the third New York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applicable Treasury Rate, the Company shall select, as applicable: (1) the yield for the Treasury constant maturity on H.15 exactly equal to the period from such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A-8-5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New York Business Day preceding such Redemption Date, H.15 TCM is no longer published, the Company shall calculate the applicable Treasury Rate based on the rate per annum equal to the semi-annual equivalent yield to maturity at 11:00 a.m., New York City time, on the second New York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applicable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Securities of this series of a principal amount of $2,000 or less will be redeemed in part. For so long as the Securities are held by The Depository Trust Company (or another depositary), the redemption of the Securities shall be done in accordance with the policies and procedures of the applicable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Business Day</w:t>
      </w:r>
      <w:r>
        <w:rPr>
          <w:rFonts w:ascii="Times New Roman;Times;Serif" w:hAnsi="Times New Roman;Times;Serif"/>
          <w:b w:val="false"/>
          <w:i w:val="false"/>
          <w:caps w:val="false"/>
          <w:smallCaps w:val="false"/>
          <w:sz w:val="20"/>
        </w:rPr>
        <w:t>” means any calendar day that is not a Saturday, Sunday or legal holiday in New York, New York and on which commercial banks are open for business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do not provide for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 Sections 13.2 and 13.3 of the Indenture apply to the Securities of this series.</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A-8-6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and Supplemental Indenture shall have the meanings assigned to them in the Indenture and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A-8-7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TO BE DELIVERED UPON EXCHANGE</w:t>
        <w:br/>
        <w:t>OR REGISTRATION OF TRANSFER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relates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Securities held in (check applicable space)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book-entry 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definitive form by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(check one box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exchange or register the transfer of a Security or Securities.</w:t>
            </w:r>
          </w:p>
        </w:tc>
      </w:tr>
    </w:tbl>
    <w:p>
      <w:pPr>
        <w:pStyle w:val="TextBody"/>
        <w:bidi w:val="0"/>
        <w:spacing w:before="0" w:after="0"/>
        <w:ind w:left="0" w:right="0" w:hanging="0"/>
        <w:jc w:val="left"/>
        <w:rPr>
          <w:caps w:val="false"/>
          <w:smallCaps w:val="false"/>
        </w:rPr>
      </w:pPr>
      <w:r>
        <w:rPr>
          <w:caps w:val="false"/>
          <w:smallCaps w:val="false"/>
        </w:rPr>
        <w:t> </w:t>
      </w:r>
    </w:p>
    <w:tbl>
      <w:tblPr>
        <w:tblW w:w="3669" w:type="dxa"/>
        <w:jc w:val="left"/>
        <w:tblInd w:w="0" w:type="dxa"/>
        <w:tblLayout w:type="fixed"/>
        <w:tblCellMar>
          <w:top w:w="0" w:type="dxa"/>
          <w:left w:w="0" w:type="dxa"/>
          <w:bottom w:w="0" w:type="dxa"/>
          <w:right w:w="0" w:type="dxa"/>
        </w:tblCellMar>
      </w:tblPr>
      <w:tblGrid>
        <w:gridCol w:w="530"/>
        <w:gridCol w:w="44"/>
        <w:gridCol w:w="60"/>
        <w:gridCol w:w="3035"/>
      </w:tblGrid>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[INSERT NAME OF TRANSFEROR]</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By:</w:t>
            </w:r>
          </w:p>
        </w:tc>
        <w:tc>
          <w:tcPr>
            <w:tcW w:w="4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A-8-8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redemptions or purchases of a part of this Book-Entry Security have been made:</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28" w:type="dxa"/>
          <w:right w:w="0" w:type="dxa"/>
        </w:tblCellMar>
      </w:tblPr>
      <w:tblGrid>
        <w:gridCol w:w="1115"/>
        <w:gridCol w:w="60"/>
        <w:gridCol w:w="1580"/>
        <w:gridCol w:w="60"/>
        <w:gridCol w:w="1535"/>
        <w:gridCol w:w="60"/>
        <w:gridCol w:w="1580"/>
        <w:gridCol w:w="60"/>
        <w:gridCol w:w="1070"/>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br/>
              <w:t>Redemption/</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Principal Amount</w:t>
              <w:br/>
              <w:t>of this Book-Entry</w:t>
              <w:br/>
              <w:t>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increase in</w:t>
              <w:br/>
              <w:t>Principal Amount</w:t>
              <w:br/>
              <w:t>of this Book-</w:t>
              <w:br/>
              <w:t>Entry 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 this Book-Entry</w:t>
              <w:br/>
              <w:t>Security following</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w:t>
              <w:br/>
              <w:t>signatory of</w:t>
              <w:br/>
              <w:t>Trustee</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A-8-9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Security,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 or type assignee’s name, address and zip code)</w:t>
            </w:r>
          </w:p>
        </w:tc>
      </w:tr>
      <w:tr>
        <w:trPr/>
        <w:tc>
          <w:tcPr>
            <w:tcW w:w="4295" w:type="dxa"/>
            <w:tcBorders/>
            <w:tcMar>
              <w:bottom w:w="0" w:type="dxa"/>
            </w:tcMar>
            <w:vAlign w:val="center"/>
          </w:tcPr>
          <w:p>
            <w:pPr>
              <w:pStyle w:val="TableContents"/>
              <w:bidi w:val="0"/>
              <w:spacing w:before="0" w:after="283"/>
              <w:jc w:val="center"/>
              <w:rPr/>
            </w:pPr>
            <w:r>
              <w:rPr/>
              <w:t> </w:t>
            </w:r>
          </w:p>
        </w:tc>
      </w:tr>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assignee’s soc. sec. or tax I.D.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irrevocably appoint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as agent to transfer this Security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1535" w:type="dxa"/>
        <w:jc w:val="left"/>
        <w:tblInd w:w="0" w:type="dxa"/>
        <w:tblLayout w:type="fixed"/>
        <w:tblCellMar>
          <w:top w:w="0" w:type="dxa"/>
          <w:left w:w="0" w:type="dxa"/>
          <w:bottom w:w="0" w:type="dxa"/>
          <w:right w:w="0" w:type="dxa"/>
        </w:tblCellMar>
      </w:tblPr>
      <w:tblGrid>
        <w:gridCol w:w="560"/>
        <w:gridCol w:w="90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 Signature*: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Security.</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0" w:type="dxa"/>
          <w:right w:w="0" w:type="dxa"/>
        </w:tblCellMar>
      </w:tblPr>
      <w:tblGrid>
        <w:gridCol w:w="2045"/>
        <w:gridCol w:w="60"/>
        <w:gridCol w:w="75"/>
      </w:tblGrid>
      <w:tr>
        <w:trPr/>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Guaranteed: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it appears upon the face of the within Note in every particular, without alteration, enlargement or any change whatever. Such signature must be guaranteed by an “eligible guarantor institution” meeting the requirements of the Security Registrar, which requirements include membership or participation in Security Transfer Agents Medallion Program (“STAMP”) or such other “signature guarantee program” as may be determined by the Security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A-8-10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]6.100% Senior Notes due 2066</w:t>
      </w:r>
    </w:p>
    <w:p>
      <w:pPr>
        <w:pStyle w:val="TextBody"/>
        <w:bidi w:val="0"/>
        <w:spacing w:before="0" w:after="0"/>
        <w:ind w:left="0" w:right="0" w:hanging="0"/>
        <w:jc w:val="left"/>
        <w:rPr>
          <w:caps w:val="false"/>
          <w:smallCaps w:val="false"/>
        </w:rPr>
      </w:pPr>
      <w:r>
        <w:rPr>
          <w:caps w:val="false"/>
          <w:smallCaps w:val="false"/>
        </w:rPr>
        <w:t> </w:t>
      </w:r>
    </w:p>
    <w:tbl>
      <w:tblPr>
        <w:tblW w:w="925" w:type="dxa"/>
        <w:jc w:val="left"/>
        <w:tblInd w:w="0" w:type="dxa"/>
        <w:tblLayout w:type="fixed"/>
        <w:tblCellMar>
          <w:top w:w="0" w:type="dxa"/>
          <w:left w:w="0" w:type="dxa"/>
          <w:bottom w:w="0" w:type="dxa"/>
          <w:right w:w="0" w:type="dxa"/>
        </w:tblCellMar>
      </w:tblPr>
      <w:tblGrid>
        <w:gridCol w:w="590"/>
        <w:gridCol w:w="335"/>
      </w:tblGrid>
      <w:tr>
        <w:trPr/>
        <w:tc>
          <w:tcPr>
            <w:tcW w:w="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 </w:t>
            </w:r>
          </w:p>
        </w:tc>
        <w:tc>
          <w:tcPr>
            <w:tcW w:w="335" w:type="dxa"/>
            <w:tcBorders/>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No: 00287Y ET2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ISIN No: US00287YET29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Security in a global form within the meaning of the Indenture hereinafter referred to and is registered in the name of the Depository or a nominee of the Depository. This global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Security is presented by an authorized representative of The Depository Trust Company to the issuer or its agent for registration of transfer, exchange or payment, and any Security issued upon registration of transfer of, or in exchange for, or in lieu of, this Security is registered in the name of Cede &amp; Co. or such other name as requested by an authorized representative of The Depository Trust Company and any payment hereon is made to Cede &amp; Co., ANY TRANSFER, PLEDGE OR OTHER USE HEREOF FOR VALUE OR OTHERWISE BY OR TO ANY PERSON IS WRONGFUL since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 a corporation duly organized and existing under the laws of Delaware (herein called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which term includes any successor Person under the Indenture and Supplemental Indenture hereinafter referred to), for value received, hereby promises to pay to Cede &amp; Co., as nominee for The Depository Trust Company, or registered assigns, the principal sum of [•] Dollars ($[•]), or such other principal sum as may be indicated on the Schedule of Exchanges attached hereto, on September 15, 2066 and to pay interest thereon from August 18, 2026 or from the most recent Interest Payment Date to which interest has been paid or duly provided for, semi-annually in arrears on March 15 and September 15 in each year, commencing March 15, 2027, at the rate of 6.100%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date that is fifteen (15) calendar days prior to the relevant Interest Payment Date (whether or not a Business Day).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ten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A-9-1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principal of (and premium, if any) and any such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(1) check mailed to the address of the Person entitled thereto as such address shall appear in the Security Register or (2) wire transfer as directed by the Holder, in immediately available funds to an account maintained by the Depository or its nominee with respect to a Global Note, and to the Holder or its nominee with respect to a Definitive Note; provided, further, that in the case of a Definitive Note (1) the Holder thereof shall have provided written wiring instructions to the Trustee on or before the related Regular Record Date and (2) if appropriate instructions for any such wire transfer are not received by the related Regular Record Date, then such payment shall be made by check mailed to the address of the Holder specified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Security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certificate of authentication hereon has been executed by the Trustee referred to herein by manual signature, this Security shall not be entitled to any benefit under the Indenture or be valid or obligatory for any purpose.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A-9-2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1430" w:type="dxa"/>
        <w:jc w:val="left"/>
        <w:tblInd w:w="0" w:type="dxa"/>
        <w:tblLayout w:type="fixed"/>
        <w:tblCellMar>
          <w:top w:w="0" w:type="dxa"/>
          <w:left w:w="0" w:type="dxa"/>
          <w:bottom w:w="0" w:type="dxa"/>
          <w:right w:w="0" w:type="dxa"/>
        </w:tblCellMar>
      </w:tblPr>
      <w:tblGrid>
        <w:gridCol w:w="75"/>
        <w:gridCol w:w="320"/>
        <w:gridCol w:w="1035"/>
      </w:tblGrid>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tc>
      </w:tr>
      <w:tr>
        <w:trPr/>
        <w:tc>
          <w:tcPr>
            <w:tcW w:w="75"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A-9-3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one of the Securities of the series designated therein referred to in the within-mentioned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tbl>
      <w:tblPr>
        <w:tblW w:w="5104" w:type="dxa"/>
        <w:jc w:val="left"/>
        <w:tblInd w:w="0" w:type="dxa"/>
        <w:tblLayout w:type="fixed"/>
        <w:tblCellMar>
          <w:top w:w="0" w:type="dxa"/>
          <w:left w:w="0" w:type="dxa"/>
          <w:bottom w:w="0" w:type="dxa"/>
          <w:right w:w="0" w:type="dxa"/>
        </w:tblCellMar>
      </w:tblPr>
      <w:tblGrid>
        <w:gridCol w:w="75"/>
        <w:gridCol w:w="1009"/>
        <w:gridCol w:w="4020"/>
      </w:tblGrid>
      <w:tr>
        <w:trPr/>
        <w:tc>
          <w:tcPr>
            <w:tcW w:w="75" w:type="dxa"/>
            <w:tcBorders/>
            <w:vAlign w:val="center"/>
          </w:tcPr>
          <w:p>
            <w:pPr>
              <w:pStyle w:val="TableContents"/>
              <w:bidi w:val="0"/>
              <w:spacing w:before="0" w:after="283"/>
              <w:ind w:left="0" w:right="0" w:hanging="180"/>
              <w:jc w:val="left"/>
              <w:rPr/>
            </w:pPr>
            <w:r>
              <w:rPr/>
              <w:t> </w:t>
            </w:r>
          </w:p>
        </w:tc>
        <w:tc>
          <w:tcPr>
            <w:tcW w:w="502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w:t>
              <w:br/>
              <w:t>as Trustee</w:t>
            </w:r>
          </w:p>
        </w:tc>
      </w:tr>
      <w:tr>
        <w:trPr/>
        <w:tc>
          <w:tcPr>
            <w:tcW w:w="75" w:type="dxa"/>
            <w:tcBorders/>
            <w:vAlign w:val="center"/>
          </w:tcPr>
          <w:p>
            <w:pPr>
              <w:pStyle w:val="TableContents"/>
              <w:bidi w:val="0"/>
              <w:spacing w:before="0" w:after="283"/>
              <w:jc w:val="left"/>
              <w:rPr/>
            </w:pPr>
            <w:r>
              <w:rPr/>
              <w:t> </w:t>
            </w:r>
          </w:p>
        </w:tc>
        <w:tc>
          <w:tcPr>
            <w:tcW w:w="502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2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left"/>
              <w:rPr>
                <w:caps w:val="false"/>
                <w:smallCaps w:val="false"/>
              </w:rPr>
            </w:pPr>
            <w:r>
              <w:rPr>
                <w:caps w:val="false"/>
                <w:smallCaps w:val="false"/>
              </w:rPr>
              <w:t> </w:t>
            </w:r>
          </w:p>
        </w:tc>
        <w:tc>
          <w:tcPr>
            <w:tcW w:w="4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1009" w:type="dxa"/>
            <w:tcBorders/>
            <w:vAlign w:val="center"/>
          </w:tcPr>
          <w:p>
            <w:pPr>
              <w:pStyle w:val="TableContents"/>
              <w:bidi w:val="0"/>
              <w:spacing w:before="0" w:after="283"/>
              <w:jc w:val="left"/>
              <w:rPr>
                <w:caps w:val="false"/>
                <w:smallCaps w:val="false"/>
              </w:rPr>
            </w:pPr>
            <w:r>
              <w:rPr>
                <w:caps w:val="false"/>
                <w:smallCaps w:val="false"/>
              </w:rPr>
              <w:t> </w:t>
            </w:r>
          </w:p>
        </w:tc>
        <w:tc>
          <w:tcPr>
            <w:tcW w:w="4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A-9-4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OF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one of a duly authorized issue of securities of the Company (herein called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issued and to be issued in one or more series under an Indenture, dated as of November 8, 2012, as it may be supplemented or amended from time to time (herein called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between the Company and U.S. Bank Trust Company, National Association, as successor-in-interest to U.S. Bank National Association, as trustee (herein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which term includes any successor trustee under the Indenture), and Supplemental Indenture No. 13, dated as of August 18, 2026 (herein called the “</w:t>
      </w:r>
      <w:r>
        <w:rPr>
          <w:rFonts w:ascii="Times New Roman;Times;Serif" w:hAnsi="Times New Roman;Times;Serif"/>
          <w:b w:val="false"/>
          <w:i w:val="false"/>
          <w:caps w:val="false"/>
          <w:smallCaps w:val="false"/>
          <w:sz w:val="20"/>
          <w:u w:val="single"/>
        </w:rPr>
        <w:t>Supplemental Indenture</w:t>
      </w:r>
      <w:r>
        <w:rPr>
          <w:rFonts w:ascii="Times New Roman;Times;Serif" w:hAnsi="Times New Roman;Times;Serif"/>
          <w:b w:val="false"/>
          <w:i w:val="false"/>
          <w:caps w:val="false"/>
          <w:smallCaps w:val="false"/>
          <w:sz w:val="20"/>
        </w:rPr>
        <w:t>”), between the Company and the Trustee, to which Indenture, Supplemental Indenture and all indentures supplemental thereto reference is hereby made for a statement of the respective rights, limitations of rights, duties and immunities thereunder of the Company, the Trustee and the Holders of the Securities of this series and of the terms upon which the Securities of this series are, and are to be, authenticated and delivered. This Security is one of the series designated on the face hereof, in an initial aggregate principal amount of $500,000,000.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Par Call Date (as defined below), the Company may redeem the Securities of this series at its option, in whole or in part, at any time and from time to time, at a Redemption Price (expressed as a percentage of principal amount and rounded to three decimal places) equal to the greater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the sum of the present values of the remaining scheduled payments of principal and interest thereon discounted to the Redemption Date (assuming such Securities matured on the Par Call Date) on a semi-annual basis (assuming a 360-day year consisting of twelve 30-day months) at the Treasury Rate plus 15 basis points, less (b) interest accrued to the date of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principal amount of the Securities of this series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 in either case,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Par Call Date, the Company may redeem the Securities of this series, in whole or in part, at any time and from time to time, at a Redemption Price equal to 100% of the principal amount of the Securities of this series being redeemed plus accrued and unpaid interest thereon to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 Call Date</w:t>
      </w:r>
      <w:r>
        <w:rPr>
          <w:rFonts w:ascii="Times New Roman;Times;Serif" w:hAnsi="Times New Roman;Times;Serif"/>
          <w:b w:val="false"/>
          <w:i w:val="false"/>
          <w:caps w:val="false"/>
          <w:smallCaps w:val="false"/>
          <w:sz w:val="20"/>
        </w:rPr>
        <w:t>” means March 15, 2066 (the date that is six (6) months prior to the maturity date of the Securities of this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means, with respect to any Redemption Date for Securities of this series, the yield applicable to this series of Securities determined by the Company in accordance with the following two paragraphs. The Treasury Rate applicable to this series of Securities shall be determined by the Company after 4:15 p.m., New York City time (or after such time as yields on U.S. government securities are posted daily by the Board of Governors of the Federal Reserve System), on the third New York Business Day preceding such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applicable Treasury Rate, the Company shall select, as applicable: (1) the yield for the Treasury constant maturity on H.15 exactly equal to the period from such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such redemption date.</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A-9-5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third New York Business Day preceding such Redemption Date, H.15 TCM is no longer published, the Company shall calculate the applicable Treasury Rate based on the rate per annum equal to the semi-annual equivalent yield to maturity at 11:00 a.m., New York City time, on the second New York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applicable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actions and determinations in determining the redemption price shall be conclusive and binding for all purposes,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Securities of this series of a principal amount of $2,000 or less will be redeemed in part. For so long as the Securities are held by The Depository Trust Company (or another depositary), the redemption of the Securities shall be done in accordance with the policies and procedures of the applicable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York Business Day</w:t>
      </w:r>
      <w:r>
        <w:rPr>
          <w:rFonts w:ascii="Times New Roman;Times;Serif" w:hAnsi="Times New Roman;Times;Serif"/>
          <w:b w:val="false"/>
          <w:i w:val="false"/>
          <w:caps w:val="false"/>
          <w:smallCaps w:val="false"/>
          <w:sz w:val="20"/>
        </w:rPr>
        <w:t>” means any calendar day that is not a Saturday, Sunday or legal holiday in New York, New York and on which commercial banks are open for business in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do not provide for a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this series shall occur and be continuing, the principal of the Securities of this series may be declared due and payable in the manner and with the effect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for defeasance at any time of the entire indebtedness of this Security or certain restrictive covenants and Events of Default with respect to this Security, in each case upon compliance with certain conditions set forth therein. Sections 13.2 and 13.3 of the Indenture apply to the Securities of this series.</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A-9-6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at the time Outstanding of any series,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reference herein to the Indenture or Supplemental Indenture and no provision of this Security or of the Indenture or Supplemental Indenture shall alter or impair the obligation of the Company, which is absolute and unconditional, to pay the principal of and any premium and interest on this Security at the times, place and rate, and in the coin or currency,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Indenture and subject to certain limitations therein set forth, the transfer of this Security is registerable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this series are issuable only in registered form without coupons in denominations of $2,000 and any integral multiple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the Notes, but the Company or the Security Registrar may require payment of a sum sufficient to cover any transfer tax, assessments, or similar governmental charge payable in connection therewith (other than any such transfer taxes, assessments or similar governmental charge payable upon exchange or transfer pursuant to Sections 9.6 or 11.7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this Security for registration of transfer, the Company, the Trustee and any agent of the Company or the Trustee will treat the Person in whose name this Security is registered as the owner hereof for the purpose of receiving payments and for all other purposes, whether or not this Security be overdue, and neither the Company, the Trustee nor any such agent shall be affected by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terms used in this Security which are defined in the Indenture and Supplemental Indenture shall have the meanings assigned to them in the Indenture and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or by a nominee of the Depository to the Depository or another nominee of the Depository.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A-9-7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TO BE DELIVERED UPON EXCHANGE</w:t>
        <w:br/>
        <w:t>OR REGISTRATION OF TRANSFER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relates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principal amount of Securities held in (check applicable space)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book-entry 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definitive form by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Transferor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(check one box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deliver in exchange for its beneficial interest in the global Security held by the Depository a Security or Securities in definitive, registered form of authorized denominations in an aggregate principal amount equal to its beneficial interest in such global Security (or the portion thereof indicated above);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has requested the Trustee by written order to exchange or register the transfer of a Security or Securities.</w:t>
            </w:r>
          </w:p>
        </w:tc>
      </w:tr>
    </w:tbl>
    <w:p>
      <w:pPr>
        <w:pStyle w:val="TextBody"/>
        <w:bidi w:val="0"/>
        <w:spacing w:before="0" w:after="0"/>
        <w:ind w:left="0" w:right="0" w:hanging="0"/>
        <w:jc w:val="left"/>
        <w:rPr>
          <w:caps w:val="false"/>
          <w:smallCaps w:val="false"/>
        </w:rPr>
      </w:pPr>
      <w:r>
        <w:rPr>
          <w:caps w:val="false"/>
          <w:smallCaps w:val="false"/>
        </w:rPr>
        <w:t> </w:t>
      </w:r>
    </w:p>
    <w:tbl>
      <w:tblPr>
        <w:tblW w:w="3669" w:type="dxa"/>
        <w:jc w:val="left"/>
        <w:tblInd w:w="0" w:type="dxa"/>
        <w:tblLayout w:type="fixed"/>
        <w:tblCellMar>
          <w:top w:w="0" w:type="dxa"/>
          <w:left w:w="0" w:type="dxa"/>
          <w:bottom w:w="0" w:type="dxa"/>
          <w:right w:w="0" w:type="dxa"/>
        </w:tblCellMar>
      </w:tblPr>
      <w:tblGrid>
        <w:gridCol w:w="530"/>
        <w:gridCol w:w="44"/>
        <w:gridCol w:w="60"/>
        <w:gridCol w:w="3035"/>
      </w:tblGrid>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NAME OF TRANSFEROR]</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By:</w:t>
            </w:r>
          </w:p>
        </w:tc>
        <w:tc>
          <w:tcPr>
            <w:tcW w:w="44"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A-9-8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exchanges, redemptions or purchases of a part of this Book-Entry Security have been made:</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28" w:type="dxa"/>
          <w:right w:w="0" w:type="dxa"/>
        </w:tblCellMar>
      </w:tblPr>
      <w:tblGrid>
        <w:gridCol w:w="1115"/>
        <w:gridCol w:w="60"/>
        <w:gridCol w:w="1580"/>
        <w:gridCol w:w="60"/>
        <w:gridCol w:w="1535"/>
        <w:gridCol w:w="60"/>
        <w:gridCol w:w="1580"/>
        <w:gridCol w:w="60"/>
        <w:gridCol w:w="1070"/>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Exchange/</w:t>
              <w:br/>
              <w:t>Redemption/</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decrease in</w:t>
              <w:br/>
              <w:t>Principal Amount</w:t>
              <w:br/>
              <w:t>of this Book-Entry</w:t>
              <w:br/>
              <w:t>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w:t>
              <w:br/>
              <w:t>increase in</w:t>
              <w:br/>
              <w:t>Principal Amount</w:t>
              <w:br/>
              <w:t>of this Book-</w:t>
              <w:br/>
              <w:t>Entry Security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w:t>
              <w:br/>
              <w:t>of this Book-Entry</w:t>
              <w:br/>
              <w:t>Security following</w:t>
              <w:br/>
              <w:t>such decrease (or</w:t>
              <w:br/>
              <w:t>increase)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w:t>
              <w:br/>
              <w:t>authorized</w:t>
              <w:br/>
              <w:t>signatory of</w:t>
              <w:br/>
              <w:t>Trustee</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0"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75"/>
        <w:gridCol w:w="590"/>
        <w:gridCol w:w="7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A-9-9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Security, fill in the form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Security to</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28" w:type="dxa"/>
          <w:right w:w="0" w:type="dxa"/>
        </w:tblCellMar>
      </w:tblPr>
      <w:tblGrid>
        <w:gridCol w:w="4295"/>
      </w:tblGrid>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(Print or type assignee’s name, address and zip code)</w:t>
            </w:r>
          </w:p>
        </w:tc>
      </w:tr>
      <w:tr>
        <w:trPr/>
        <w:tc>
          <w:tcPr>
            <w:tcW w:w="4295" w:type="dxa"/>
            <w:tcBorders/>
            <w:tcMar>
              <w:bottom w:w="0" w:type="dxa"/>
            </w:tcMar>
            <w:vAlign w:val="center"/>
          </w:tcPr>
          <w:p>
            <w:pPr>
              <w:pStyle w:val="TableContents"/>
              <w:bidi w:val="0"/>
              <w:spacing w:before="0" w:after="283"/>
              <w:jc w:val="center"/>
              <w:rPr/>
            </w:pPr>
            <w:r>
              <w:rPr/>
              <w:t> </w:t>
            </w:r>
          </w:p>
        </w:tc>
      </w:tr>
      <w:tr>
        <w:trPr/>
        <w:tc>
          <w:tcPr>
            <w:tcW w:w="4295" w:type="dxa"/>
            <w:tcBorders>
              <w:bottom w:val="single" w:sz="8" w:space="0" w:color="000000"/>
            </w:tcBorders>
            <w:vAlign w:val="center"/>
          </w:tcPr>
          <w:p>
            <w:pPr>
              <w:pStyle w:val="TableContents"/>
              <w:bidi w:val="0"/>
              <w:spacing w:before="0" w:after="283"/>
              <w:jc w:val="center"/>
              <w:rPr/>
            </w:pPr>
            <w:r>
              <w:rPr/>
              <w:t> </w:t>
            </w:r>
          </w:p>
        </w:tc>
      </w:tr>
      <w:tr>
        <w:trPr/>
        <w:tc>
          <w:tcPr>
            <w:tcW w:w="42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(Insert assignee’s soc. sec. or tax I.D.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irrevocably appoint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as agent to transfer this Security on the books of the Company. The agent may substitute another to act for him.</w:t>
      </w:r>
    </w:p>
    <w:p>
      <w:pPr>
        <w:pStyle w:val="TextBody"/>
        <w:bidi w:val="0"/>
        <w:spacing w:before="0" w:after="0"/>
        <w:ind w:left="0" w:right="0" w:hanging="0"/>
        <w:jc w:val="left"/>
        <w:rPr>
          <w:caps w:val="false"/>
          <w:smallCaps w:val="false"/>
        </w:rPr>
      </w:pPr>
      <w:r>
        <w:rPr>
          <w:caps w:val="false"/>
          <w:smallCaps w:val="false"/>
        </w:rPr>
        <w:t> </w:t>
      </w:r>
    </w:p>
    <w:tbl>
      <w:tblPr>
        <w:tblW w:w="1535" w:type="dxa"/>
        <w:jc w:val="left"/>
        <w:tblInd w:w="0" w:type="dxa"/>
        <w:tblLayout w:type="fixed"/>
        <w:tblCellMar>
          <w:top w:w="0" w:type="dxa"/>
          <w:left w:w="0" w:type="dxa"/>
          <w:bottom w:w="0" w:type="dxa"/>
          <w:right w:w="0" w:type="dxa"/>
        </w:tblCellMar>
      </w:tblPr>
      <w:tblGrid>
        <w:gridCol w:w="560"/>
        <w:gridCol w:w="90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6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Your Signature*: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9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Security.</w:t>
      </w:r>
    </w:p>
    <w:p>
      <w:pPr>
        <w:pStyle w:val="TextBody"/>
        <w:bidi w:val="0"/>
        <w:spacing w:before="0" w:after="0"/>
        <w:ind w:left="0" w:right="0" w:hanging="0"/>
        <w:jc w:val="left"/>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2090"/>
        <w:gridCol w:w="60"/>
        <w:gridCol w:w="75"/>
      </w:tblGrid>
      <w:tr>
        <w:trPr/>
        <w:tc>
          <w:tcPr>
            <w:tcW w:w="2090" w:type="dxa"/>
            <w:tcBorders/>
            <w:vAlign w:val="center"/>
          </w:tcPr>
          <w:p>
            <w:pPr>
              <w:pStyle w:val="TableContents"/>
              <w:bidi w:val="0"/>
              <w:spacing w:before="0" w:after="283"/>
              <w:jc w:val="left"/>
              <w:rPr>
                <w:sz w:val="20"/>
              </w:rPr>
            </w:pPr>
            <w:r>
              <w:rPr>
                <w:rFonts w:ascii="Times New Roman;Times;Serif" w:hAnsi="Times New Roman;Times;Serif"/>
                <w:sz w:val="20"/>
              </w:rPr>
              <w:t>*Signature Guaranteed:  </w:t>
            </w:r>
            <w:r>
              <w:rPr>
                <w:sz w:val="20"/>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to this assignment must correspond with the name as it appears upon the face of the within Note in every particular, without alteration, enlargement or any change whatever. Such signature must be guaranteed by an “eligible guarantor institution” meeting the requirements of the Security Registrar, which requirements include membership or participation in Security Transfer Agents Medallion Program (“STAMP”) or such other “signature guarantee program” as may be determined by the Security Registrar in addition to, or in substitution for, STAMP, all in accordance with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860" w:type="dxa"/>
        <w:jc w:val="left"/>
        <w:tblInd w:w="0" w:type="dxa"/>
        <w:tblLayout w:type="fixed"/>
        <w:tblCellMar>
          <w:top w:w="0" w:type="dxa"/>
          <w:left w:w="0" w:type="dxa"/>
          <w:bottom w:w="0" w:type="dxa"/>
          <w:right w:w="0" w:type="dxa"/>
        </w:tblCellMar>
      </w:tblPr>
      <w:tblGrid>
        <w:gridCol w:w="75"/>
        <w:gridCol w:w="710"/>
        <w:gridCol w:w="75"/>
      </w:tblGrid>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A-9-10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9" w:name="tm2623337d1_ex5-1.htm"/>
      <w:bookmarkStart w:id="40" w:name="kstm2623337d1_ex51"/>
      <w:bookmarkEnd w:id="39"/>
      <w:bookmarkEnd w:id="4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[WLRK Letterhead]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North Waukegan Rd.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Chicago, Illinois 60044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AbbVie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issuance and sale by the Company of $500,000,000 in aggregate principal amount of its Senior Floating Rate Notes due 2028 (the “</w:t>
      </w:r>
      <w:r>
        <w:rPr>
          <w:rFonts w:ascii="Times New Roman;Times;Serif" w:hAnsi="Times New Roman;Times;Serif"/>
          <w:b w:val="false"/>
          <w:i w:val="false"/>
          <w:caps w:val="false"/>
          <w:smallCaps w:val="false"/>
          <w:sz w:val="20"/>
          <w:u w:val="single"/>
        </w:rPr>
        <w:t>Floating Rate Notes</w:t>
      </w:r>
      <w:r>
        <w:rPr>
          <w:rFonts w:ascii="Times New Roman;Times;Serif" w:hAnsi="Times New Roman;Times;Serif"/>
          <w:b w:val="false"/>
          <w:i w:val="false"/>
          <w:caps w:val="false"/>
          <w:smallCaps w:val="false"/>
          <w:sz w:val="20"/>
        </w:rPr>
        <w:t>”), $1,000,000,000 in aggregate principal amount of its 4.500% Senior Notes due 2028 (the “</w:t>
      </w:r>
      <w:r>
        <w:rPr>
          <w:rFonts w:ascii="Times New Roman;Times;Serif" w:hAnsi="Times New Roman;Times;Serif"/>
          <w:b w:val="false"/>
          <w:i w:val="false"/>
          <w:caps w:val="false"/>
          <w:smallCaps w:val="false"/>
          <w:sz w:val="20"/>
          <w:u w:val="single"/>
        </w:rPr>
        <w:t>2028 Notes</w:t>
      </w:r>
      <w:r>
        <w:rPr>
          <w:rFonts w:ascii="Times New Roman;Times;Serif" w:hAnsi="Times New Roman;Times;Serif"/>
          <w:b w:val="false"/>
          <w:i w:val="false"/>
          <w:caps w:val="false"/>
          <w:smallCaps w:val="false"/>
          <w:sz w:val="20"/>
        </w:rPr>
        <w:t>”), $1,250,000,000 in aggregate principal amount of its 4.650% Senior Notes due 2030 (the “</w:t>
      </w:r>
      <w:r>
        <w:rPr>
          <w:rFonts w:ascii="Times New Roman;Times;Serif" w:hAnsi="Times New Roman;Times;Serif"/>
          <w:b w:val="false"/>
          <w:i w:val="false"/>
          <w:caps w:val="false"/>
          <w:smallCaps w:val="false"/>
          <w:sz w:val="20"/>
          <w:u w:val="single"/>
        </w:rPr>
        <w:t>2030 Notes</w:t>
      </w:r>
      <w:r>
        <w:rPr>
          <w:rFonts w:ascii="Times New Roman;Times;Serif" w:hAnsi="Times New Roman;Times;Serif"/>
          <w:b w:val="false"/>
          <w:i w:val="false"/>
          <w:caps w:val="false"/>
          <w:smallCaps w:val="false"/>
          <w:sz w:val="20"/>
        </w:rPr>
        <w:t>”), $1,500,000,000 in aggregate principal amount of its 4.875% Senior Notes due 2031 (the “</w:t>
      </w:r>
      <w:r>
        <w:rPr>
          <w:rFonts w:ascii="Times New Roman;Times;Serif" w:hAnsi="Times New Roman;Times;Serif"/>
          <w:b w:val="false"/>
          <w:i w:val="false"/>
          <w:caps w:val="false"/>
          <w:smallCaps w:val="false"/>
          <w:sz w:val="20"/>
          <w:u w:val="single"/>
        </w:rPr>
        <w:t>2031 Notes</w:t>
      </w:r>
      <w:r>
        <w:rPr>
          <w:rFonts w:ascii="Times New Roman;Times;Serif" w:hAnsi="Times New Roman;Times;Serif"/>
          <w:b w:val="false"/>
          <w:i w:val="false"/>
          <w:caps w:val="false"/>
          <w:smallCaps w:val="false"/>
          <w:sz w:val="20"/>
        </w:rPr>
        <w:t>”), $1,250,000,000 in aggregate principal amount of its 5.050% Senior Notes due 2033 (the “</w:t>
      </w:r>
      <w:r>
        <w:rPr>
          <w:rFonts w:ascii="Times New Roman;Times;Serif" w:hAnsi="Times New Roman;Times;Serif"/>
          <w:b w:val="false"/>
          <w:i w:val="false"/>
          <w:caps w:val="false"/>
          <w:smallCaps w:val="false"/>
          <w:sz w:val="20"/>
          <w:u w:val="single"/>
        </w:rPr>
        <w:t>2033 Notes</w:t>
      </w:r>
      <w:r>
        <w:rPr>
          <w:rFonts w:ascii="Times New Roman;Times;Serif" w:hAnsi="Times New Roman;Times;Serif"/>
          <w:b w:val="false"/>
          <w:i w:val="false"/>
          <w:caps w:val="false"/>
          <w:smallCaps w:val="false"/>
          <w:sz w:val="20"/>
        </w:rPr>
        <w:t>”), $1,500,000,000 in aggregate principal amount of its 5.300% Senior Notes due 2036 (the “</w:t>
      </w:r>
      <w:r>
        <w:rPr>
          <w:rFonts w:ascii="Times New Roman;Times;Serif" w:hAnsi="Times New Roman;Times;Serif"/>
          <w:b w:val="false"/>
          <w:i w:val="false"/>
          <w:caps w:val="false"/>
          <w:smallCaps w:val="false"/>
          <w:sz w:val="20"/>
          <w:u w:val="single"/>
        </w:rPr>
        <w:t>2036 Notes</w:t>
      </w:r>
      <w:r>
        <w:rPr>
          <w:rFonts w:ascii="Times New Roman;Times;Serif" w:hAnsi="Times New Roman;Times;Serif"/>
          <w:b w:val="false"/>
          <w:i w:val="false"/>
          <w:caps w:val="false"/>
          <w:smallCaps w:val="false"/>
          <w:sz w:val="20"/>
        </w:rPr>
        <w:t>”), $1,000,000,000 in aggregate principal amount of its 5.450% Senior Notes due 2038 (the “</w:t>
      </w:r>
      <w:r>
        <w:rPr>
          <w:rFonts w:ascii="Times New Roman;Times;Serif" w:hAnsi="Times New Roman;Times;Serif"/>
          <w:b w:val="false"/>
          <w:i w:val="false"/>
          <w:caps w:val="false"/>
          <w:smallCaps w:val="false"/>
          <w:sz w:val="20"/>
          <w:u w:val="single"/>
        </w:rPr>
        <w:t>2038 Notes</w:t>
      </w:r>
      <w:r>
        <w:rPr>
          <w:rFonts w:ascii="Times New Roman;Times;Serif" w:hAnsi="Times New Roman;Times;Serif"/>
          <w:b w:val="false"/>
          <w:i w:val="false"/>
          <w:caps w:val="false"/>
          <w:smallCaps w:val="false"/>
          <w:sz w:val="20"/>
        </w:rPr>
        <w:t>”), $1,500,000,000 in aggregate principal amount of its 6.000% Senior Notes due 2056 (the “</w:t>
      </w:r>
      <w:r>
        <w:rPr>
          <w:rFonts w:ascii="Times New Roman;Times;Serif" w:hAnsi="Times New Roman;Times;Serif"/>
          <w:b w:val="false"/>
          <w:i w:val="false"/>
          <w:caps w:val="false"/>
          <w:smallCaps w:val="false"/>
          <w:sz w:val="20"/>
          <w:u w:val="single"/>
        </w:rPr>
        <w:t>2056 Notes</w:t>
      </w:r>
      <w:r>
        <w:rPr>
          <w:rFonts w:ascii="Times New Roman;Times;Serif" w:hAnsi="Times New Roman;Times;Serif"/>
          <w:b w:val="false"/>
          <w:i w:val="false"/>
          <w:caps w:val="false"/>
          <w:smallCaps w:val="false"/>
          <w:sz w:val="20"/>
        </w:rPr>
        <w:t>”) and $500,000,000 in aggregate principal amount of its 6.100% Senior Notes due 2066 (the “</w:t>
      </w:r>
      <w:r>
        <w:rPr>
          <w:rFonts w:ascii="Times New Roman;Times;Serif" w:hAnsi="Times New Roman;Times;Serif"/>
          <w:b w:val="false"/>
          <w:i w:val="false"/>
          <w:caps w:val="false"/>
          <w:smallCaps w:val="false"/>
          <w:sz w:val="20"/>
          <w:u w:val="single"/>
        </w:rPr>
        <w:t>2066 Notes</w:t>
      </w:r>
      <w:r>
        <w:rPr>
          <w:rFonts w:ascii="Times New Roman;Times;Serif" w:hAnsi="Times New Roman;Times;Serif"/>
          <w:b w:val="false"/>
          <w:i w:val="false"/>
          <w:caps w:val="false"/>
          <w:smallCaps w:val="false"/>
          <w:sz w:val="20"/>
        </w:rPr>
        <w:t>” and, together with the Floating Rate Notes, the 2028 Notes, the 2030 Notes, the 2031 Notes, the 2033 Notes, the 2036 Notes, the 2038 Notes and the 2056 Notes,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The Notes were sold pursuant to an Underwriting Agreement, dated August 4, 2026, by and among the Company and Morgan Stanley &amp; Co. LLC, BofA Securities, Inc., J.P. Morgan Securities LLC and SG Americas Securities, LLC, acting for themselves and as representatives of the several Underwriters named therein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The Notes are to be issued under that certain Indenture, dated as of November 8, 2012, between the Company and U.S. Bank Trust Company, National Association, as successor-in-interest to U.S. Bank National Association, as trustee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supplemented by that certain Supplemental Indenture No. 13, dated as of August 18, 2026, between the Company and the Trustee (collectively,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r>
        <w:rPr>
          <w:caps w:val="false"/>
          <w:smallCaps w:val="false"/>
        </w:rPr>
        <w:drawing>
          <wp:inline distT="0" distB="0" distL="0" distR="0">
            <wp:extent cx="2952750" cy="20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2952750" cy="209550"/>
                    </a:xfrm>
                    <a:prstGeom prst="rect">
                      <a:avLst/>
                    </a:prstGeom>
                  </pic:spPr>
                </pic:pic>
              </a:graphicData>
            </a:graphic>
          </wp:inline>
        </w:drawing>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and relied on originals or copies certified or otherwise identified to our satisfaction of such documents, corporate records, certificates of the Company and public officials and other instruments as we have deemed necessary or appropriate for the purposes of this letter, including (a) the registration statement on Form S-3ASR (File No. 333-284980), filed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on February 14, 2025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but excluding the documents incorporated therein; (b) the base prospectus, dated February 14, 2025, included in the Registration Statement, but excluding the documents incorporated therein; (c) the preliminary prospectus supplement, dated August 4, 2026, as filed with the Commission pursuant to Rule 424(b)(5)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but excluding the documents incorporated by reference therein; (d) the final term sheet dated August 4, 2026, as filed with the Commission pursuant to Rule 433 under the Act; (e) the prospectus supplement, dated August 4, 2026, as filed with the Commission pursuant to Rule 424(b)(5) under the Act, but excluding the documents incorporated by reference therein; (f) a copy of the Amended and Restated Certificate of Incorporation of the Company and a copy of the Third Amended and Restated Bylaws of the Company, each as set forth in the certificate of the Secretary of the Company, dated the date hereof; (g) the Indenture; (h) a copy of the Global Notes for each series of the Notes, each dated as of August 18, 2026; (i) an executed copy of the Underwriting Agreement; (j) resolutions of the Board of Directors of the Company relating to the issuance of the Notes; and (k) such other corporate records, certificates and other documents and such matters of law, in each case, as we have deemed necessary or appropriate.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agreements, records, documents, instruments and certificates we have reviewed; (iv) all Notes will be issued and sold in compliance with applicable federal and state securities laws and in the manner stated in the Registration Statement and the Prospectus Supplement; and (v) the Underwriting Agreement has been duly authorized and validly executed and delivered by the Underwriters. We have assumed that the terms of the Notes have been established so as not to, and that the execution and delivery by the parties thereto and the performance of such parties’ obligations under the Notes will not, breach, contravene, violate, conflict with or constitute a default under (1) any law, rule or regulation to which any party thereto is subject (excepting the laws of the State of New York as such laws apply to the Company); (2) any judicial or regulatory order or decree of any governmental authority; or (3) any consent, approval, license, authorization or validation of, or filing, recording or registration with any governmental authority. We also have assumed that the Indenture and the Notes are the valid and legally binding obligation of the Trustee. As to any facts material to the opinion expressed herein that we did not independently establish or verify, we have relied upon statements and representations of officers and other representatives of the Company and others. We have further assumed the legal capacity of all natural persons, the genuineness of all signatures, the authenticity of all documents submitted to us as originals, the conformity to original documents of all documents submitted to us as certified, facsimile, conformed, electronic or photostatic copies, and the authenticity of the originals of such copies.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 of the State of New York, and we have not considered, and we express no opinion as to, the laws of any jurisdiction other than the laws of the State of New York in effect on the date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limitations, qualifications, exceptions and comments set forth in this letter, we advise you that, in our opinion, the Notes, when duly executed, authenticated, issued, delivered and paid for in accordance with the terms of the Indenture and the Underwriting Agreement, will be valid and binding obligations of the Company, enforceable against the Company in accordance with their terms.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2952750"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2952750" cy="20955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set forth above is subject to the effects of (a) bankruptcy, insolvency, fraudulent conveyance, reorganization, moratorium and other similar laws relating to or affecting the enforcement of creditors’ rights generally; (b) general equitable principles (whether considered in a proceeding in equity or at law); (c) an implied covenant of good faith and fair dealing; (d) provisions of law that require that a judgment for money damages rendered by a court in the United States be expressed only in United States dollars; (e) limitations by any governmental authority that limit, delay or prohibit the making of payments outside the United States; and (f) generally applicable laws that (i) provide for the enforcement of oral waivers or modifications where a material change of position in reliance thereon has occurred or provide that a course of performance may operate as a waiver, (ii) limit the availability of a remedy under certain circumstances where another remedy has been elected, (iii) limit the enforceability of provisions releasing, exculpating or exempting a party from, or requiring indemnification of a party for, liability for its own action or inaction, to the extent the action or inaction involves negligence, gross negligence, recklessness, willful misconduct or unlawful conduct, (iv) may, where less than all of a contract may be unenforceable, limit the enforceability of the balance of the contract to circumstances in which the unenforceable portion is not an essential part of the agreed-upon exchange, (v) may limit the enforceability of provisions providing for compounded interest, imposing increased interest rates or late payment charges upon delinquency in payment or default or providing for liquidated damages or for premiums upon acceleration, or (vi) limit the waiver of rights under usury laws. Furthermore, the manner in which any particular issue relating to the opinions would be treated in any actual court case would depend in part on facts and circumstances particular to the case and would also depend on how the court involved chose to exercise the wide discretionary authority generally available to it. We express no opinion as to the effect of Section 210(p) of the Dodd-Frank Wall Street Reform and Consumer Protection Act of 2010, as amended.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whether, or the extent to which, the laws of any particular jurisdiction apply to the subject matter hereof, including, without limitation, the enforceability of the governing law provisions contained in the Notes and the Indenture. We express no opinion as to the ability of another court, federal or state, to accept jurisdiction and/or venue in the event the chosen court is unavailable for any reason, including, without limitation, natural disaster, act of God, human health or safety reasons or otherwise (including a pandemic).</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speaks only as of its date and is delivered in accordance with the requirements of Item 601(b)(5) of Regulation S-K under the Act. We hereby consent to the filing of a copy of this letter as an exhibit to the Company’s Current Report on Form 8-K, filed on August 18, 2026, and to the use of our name in the prospectus forming a part of the Registration Statement under the caption “Legal Matters.” In giving this consent, we do not thereby admit that we are within the category of persons whose consent is required under Section 7 of the Act.</w:t>
      </w:r>
    </w:p>
    <w:p>
      <w:pPr>
        <w:pStyle w:val="TextBody"/>
        <w:bidi w:val="0"/>
        <w:spacing w:before="0" w:after="0"/>
        <w:ind w:left="0" w:right="0" w:firstLine="1440"/>
        <w:jc w:val="left"/>
        <w:rPr>
          <w:caps w:val="false"/>
          <w:smallCaps w:val="false"/>
        </w:rPr>
      </w:pPr>
      <w:r>
        <w:rPr>
          <w:caps w:val="false"/>
          <w:smallCaps w:val="false"/>
        </w:rPr>
        <w:t> </w:t>
      </w:r>
    </w:p>
    <w:tbl>
      <w:tblPr>
        <w:tblW w:w="3410" w:type="dxa"/>
        <w:jc w:val="left"/>
        <w:tblInd w:w="0" w:type="dxa"/>
        <w:tblLayout w:type="fixed"/>
        <w:tblCellMar>
          <w:top w:w="0" w:type="dxa"/>
          <w:left w:w="0" w:type="dxa"/>
          <w:bottom w:w="0" w:type="dxa"/>
          <w:right w:w="0" w:type="dxa"/>
        </w:tblCellMar>
      </w:tblPr>
      <w:tblGrid>
        <w:gridCol w:w="60"/>
        <w:gridCol w:w="3350"/>
      </w:tblGrid>
      <w:tr>
        <w:trPr/>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Very truly yours,</w:t>
            </w:r>
          </w:p>
        </w:tc>
      </w:tr>
      <w:tr>
        <w:trPr/>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/s/ Wachtell, Lipton, Rosen &amp; Katz</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51152/000104746912010673/a2211869zex-4_1.htm" TargetMode="External"/><Relationship Id="rId3" Type="http://schemas.openxmlformats.org/officeDocument/2006/relationships/hyperlink" Target="https://www.sec.gov/Archives/edgar/data/1551152/000104746912010673/a2211869zex-4_1.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43506</Words>
  <Characters>222049</Characters>
  <CharactersWithSpaces>268717</CharactersWithSpaces>
  <Paragraphs>3368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